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C3FD2" w:rsidP="008C3FD2">
            <w:pPr>
              <w:suppressAutoHyphens w:val="0"/>
              <w:spacing w:after="20"/>
              <w:jc w:val="right"/>
            </w:pPr>
            <w:r w:rsidRPr="008C3FD2">
              <w:rPr>
                <w:sz w:val="40"/>
              </w:rPr>
              <w:t>E</w:t>
            </w:r>
            <w:r>
              <w:t xml:space="preserve">/C.12/MUS/Q/5/Add.1 </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C3FD2" w:rsidP="008C3FD2">
            <w:pPr>
              <w:spacing w:before="240"/>
            </w:pPr>
            <w:r>
              <w:t>Distr.: General</w:t>
            </w:r>
          </w:p>
          <w:p w:rsidR="008C3FD2" w:rsidRDefault="008C3FD2" w:rsidP="008C3FD2">
            <w:pPr>
              <w:suppressAutoHyphens w:val="0"/>
            </w:pPr>
            <w:r>
              <w:t>19 December 2018</w:t>
            </w:r>
          </w:p>
          <w:p w:rsidR="008C3FD2" w:rsidRDefault="008C3FD2" w:rsidP="008C3FD2">
            <w:pPr>
              <w:suppressAutoHyphens w:val="0"/>
            </w:pPr>
          </w:p>
          <w:p w:rsidR="008C3FD2" w:rsidRDefault="008C3FD2" w:rsidP="008C3FD2">
            <w:pPr>
              <w:suppressAutoHyphens w:val="0"/>
            </w:pPr>
            <w:r>
              <w:t>Original: English</w:t>
            </w:r>
          </w:p>
          <w:p w:rsidR="008C3FD2" w:rsidRDefault="008C3FD2" w:rsidP="008C3FD2">
            <w:pPr>
              <w:suppressAutoHyphens w:val="0"/>
            </w:pPr>
            <w:r>
              <w:t>English, French and Spanish only</w:t>
            </w:r>
          </w:p>
        </w:tc>
      </w:tr>
    </w:tbl>
    <w:p w:rsidR="00D77BDC" w:rsidRPr="00917153" w:rsidRDefault="00D77BDC" w:rsidP="00D77BDC">
      <w:pPr>
        <w:spacing w:before="120"/>
        <w:rPr>
          <w:b/>
          <w:bCs/>
          <w:sz w:val="24"/>
          <w:szCs w:val="24"/>
        </w:rPr>
      </w:pPr>
      <w:r w:rsidRPr="00917153">
        <w:rPr>
          <w:b/>
          <w:bCs/>
          <w:sz w:val="24"/>
          <w:szCs w:val="24"/>
        </w:rPr>
        <w:t>Committee on Economic, Social and Cultural Rights</w:t>
      </w:r>
    </w:p>
    <w:p w:rsidR="00D77BDC" w:rsidRPr="00E86131" w:rsidRDefault="00D77BDC" w:rsidP="00D77BDC">
      <w:pPr>
        <w:rPr>
          <w:b/>
          <w:bCs/>
        </w:rPr>
      </w:pPr>
      <w:r w:rsidRPr="00E86131">
        <w:rPr>
          <w:b/>
          <w:bCs/>
        </w:rPr>
        <w:t xml:space="preserve">Sixty-fifth session </w:t>
      </w:r>
    </w:p>
    <w:p w:rsidR="00D77BDC" w:rsidRPr="00E86131" w:rsidRDefault="00D77BDC" w:rsidP="00D77BDC">
      <w:r>
        <w:t>18 February–</w:t>
      </w:r>
      <w:r w:rsidRPr="00E86131">
        <w:t>8 March 2019</w:t>
      </w:r>
    </w:p>
    <w:p w:rsidR="00D77BDC" w:rsidRPr="00B362EC" w:rsidRDefault="00D77BDC" w:rsidP="00D77BDC">
      <w:r w:rsidRPr="00B362EC">
        <w:t xml:space="preserve">Item </w:t>
      </w:r>
      <w:r>
        <w:t xml:space="preserve">7 (a) </w:t>
      </w:r>
      <w:r w:rsidRPr="00B362EC">
        <w:t>of the provisional agenda</w:t>
      </w:r>
    </w:p>
    <w:p w:rsidR="00D77BDC" w:rsidRPr="00E86131" w:rsidRDefault="00D77BDC" w:rsidP="00D77BDC">
      <w:pPr>
        <w:rPr>
          <w:b/>
          <w:bCs/>
        </w:rPr>
      </w:pPr>
      <w:bookmarkStart w:id="0" w:name="_GoBack"/>
      <w:r w:rsidRPr="00E86131">
        <w:rPr>
          <w:b/>
          <w:bCs/>
        </w:rPr>
        <w:t>C</w:t>
      </w:r>
      <w:bookmarkEnd w:id="0"/>
      <w:r w:rsidRPr="00E86131">
        <w:rPr>
          <w:b/>
          <w:bCs/>
        </w:rPr>
        <w:t>onsideration of reports: reports submitted by States parties</w:t>
      </w:r>
      <w:r w:rsidRPr="00E86131">
        <w:rPr>
          <w:b/>
          <w:bCs/>
        </w:rPr>
        <w:br/>
        <w:t>in accordance with articles 16 and 17 of the Covenant</w:t>
      </w:r>
    </w:p>
    <w:p w:rsidR="00D77BDC" w:rsidRPr="00E86131" w:rsidRDefault="00D77BDC" w:rsidP="00D77BDC">
      <w:pPr>
        <w:pStyle w:val="HChG"/>
      </w:pPr>
      <w:r w:rsidRPr="00E86131">
        <w:tab/>
      </w:r>
      <w:r w:rsidRPr="00E86131">
        <w:tab/>
        <w:t>List of issues in relation to the fifth periodic report of Mauritius</w:t>
      </w:r>
    </w:p>
    <w:p w:rsidR="00D77BDC" w:rsidRPr="00E86131" w:rsidRDefault="00D77BDC" w:rsidP="00D77BDC">
      <w:pPr>
        <w:pStyle w:val="H23G"/>
      </w:pPr>
      <w:r w:rsidRPr="00E86131">
        <w:tab/>
      </w:r>
      <w:r w:rsidRPr="00E86131">
        <w:tab/>
        <w:t>Addendum</w:t>
      </w:r>
    </w:p>
    <w:p w:rsidR="00D77BDC" w:rsidRPr="001075DD" w:rsidRDefault="00D77BDC" w:rsidP="00D77BDC">
      <w:pPr>
        <w:pStyle w:val="HChG"/>
        <w:rPr>
          <w:rStyle w:val="FootnoteReference"/>
        </w:rPr>
      </w:pPr>
      <w:r w:rsidRPr="00E86131">
        <w:tab/>
      </w:r>
      <w:r w:rsidRPr="00E86131">
        <w:tab/>
        <w:t>Replies of Mauritius to the list of issues</w:t>
      </w:r>
      <w:r w:rsidRPr="001369E7">
        <w:rPr>
          <w:rStyle w:val="FootnoteReference"/>
          <w:b w:val="0"/>
          <w:bCs/>
          <w:sz w:val="20"/>
          <w:szCs w:val="22"/>
          <w:vertAlign w:val="baseline"/>
        </w:rPr>
        <w:footnoteReference w:customMarkFollows="1" w:id="1"/>
        <w:t>*</w:t>
      </w:r>
      <w:r w:rsidRPr="00326957">
        <w:rPr>
          <w:rStyle w:val="FootnoteReference"/>
          <w:b w:val="0"/>
          <w:bCs/>
          <w:position w:val="8"/>
          <w:szCs w:val="18"/>
          <w:vertAlign w:val="baseline"/>
        </w:rPr>
        <w:t>,</w:t>
      </w:r>
      <w:r w:rsidRPr="001369E7">
        <w:rPr>
          <w:rStyle w:val="FootnoteReference"/>
          <w:b w:val="0"/>
          <w:bCs/>
          <w:sz w:val="20"/>
          <w:szCs w:val="22"/>
          <w:vertAlign w:val="baseline"/>
        </w:rPr>
        <w:t xml:space="preserve"> **</w:t>
      </w:r>
    </w:p>
    <w:p w:rsidR="00D77BDC" w:rsidRPr="00B362EC" w:rsidRDefault="00D77BDC" w:rsidP="00D77BDC">
      <w:pPr>
        <w:pStyle w:val="SingleTxtG"/>
        <w:jc w:val="right"/>
      </w:pPr>
      <w:r w:rsidRPr="00E86131">
        <w:t>[Date received: 3 December 2018</w:t>
      </w:r>
      <w:r w:rsidRPr="00B362EC">
        <w:t>]</w:t>
      </w:r>
    </w:p>
    <w:p w:rsidR="00D77BDC" w:rsidRDefault="00D77BDC" w:rsidP="00EE22AE">
      <w:pPr>
        <w:pStyle w:val="HChG"/>
        <w:rPr>
          <w:lang w:val="en-US"/>
        </w:rPr>
      </w:pPr>
      <w:r>
        <w:br w:type="page"/>
      </w:r>
      <w:r>
        <w:rPr>
          <w:lang w:val="en-US"/>
        </w:rPr>
        <w:lastRenderedPageBreak/>
        <w:tab/>
      </w:r>
      <w:r>
        <w:rPr>
          <w:lang w:val="en-US"/>
        </w:rPr>
        <w:tab/>
        <w:t>General information</w:t>
      </w:r>
    </w:p>
    <w:p w:rsidR="00D77BDC" w:rsidRDefault="00D77BDC" w:rsidP="00D77BDC">
      <w:pPr>
        <w:pStyle w:val="H1G"/>
        <w:rPr>
          <w:lang w:val="en-US"/>
        </w:rPr>
      </w:pPr>
      <w:r w:rsidRPr="003514AF">
        <w:rPr>
          <w:b w:val="0"/>
          <w:lang w:val="en-US"/>
        </w:rPr>
        <w:tab/>
      </w:r>
      <w:r w:rsidR="002F5A52">
        <w:rPr>
          <w:lang w:val="en-US"/>
        </w:rPr>
        <w:tab/>
      </w:r>
      <w:r>
        <w:rPr>
          <w:lang w:val="en-US"/>
        </w:rPr>
        <w:t>Question 1</w:t>
      </w:r>
    </w:p>
    <w:p w:rsidR="00D77BDC" w:rsidRPr="00EE4CF2" w:rsidRDefault="00D77BDC" w:rsidP="00D77BDC">
      <w:pPr>
        <w:pStyle w:val="SingleTxtG"/>
        <w:rPr>
          <w:lang w:val="en-US"/>
        </w:rPr>
      </w:pPr>
      <w:r w:rsidRPr="00EE4CF2">
        <w:rPr>
          <w:lang w:val="en-US"/>
        </w:rPr>
        <w:t>1.</w:t>
      </w:r>
      <w:r w:rsidRPr="00EE4CF2">
        <w:rPr>
          <w:lang w:val="en-US"/>
        </w:rPr>
        <w:tab/>
        <w:t>The Covenant has not been incorporated in one single piece of legislation. A number of laws have however been passed which incorporate most of the provisions found in the Convention. The Action Plan 2012-2020 has been implemented at 90% at different stages.</w:t>
      </w:r>
    </w:p>
    <w:p w:rsidR="00D77BDC" w:rsidRPr="00EE4CF2" w:rsidRDefault="00D77BDC" w:rsidP="00D77BDC">
      <w:pPr>
        <w:pStyle w:val="SingleTxtG"/>
        <w:rPr>
          <w:lang w:val="en-US"/>
        </w:rPr>
      </w:pPr>
      <w:r w:rsidRPr="00EE4CF2">
        <w:rPr>
          <w:lang w:val="en-US"/>
        </w:rPr>
        <w:t>2.</w:t>
      </w:r>
      <w:r w:rsidRPr="00EE4CF2">
        <w:rPr>
          <w:lang w:val="en-US"/>
        </w:rPr>
        <w:tab/>
        <w:t xml:space="preserve">There is no recent case where the Covenant has been invoked before our Courts. In 2004, in its judgment in the case of Bishop of Roman Catholic Diocese of Port Louis &amp; </w:t>
      </w:r>
      <w:proofErr w:type="spellStart"/>
      <w:r w:rsidRPr="00EE4CF2">
        <w:rPr>
          <w:lang w:val="en-US"/>
        </w:rPr>
        <w:t>Ors</w:t>
      </w:r>
      <w:proofErr w:type="spellEnd"/>
      <w:r w:rsidRPr="00EE4CF2">
        <w:rPr>
          <w:lang w:val="en-US"/>
        </w:rPr>
        <w:t xml:space="preserve"> v </w:t>
      </w:r>
      <w:proofErr w:type="spellStart"/>
      <w:r w:rsidRPr="00EE4CF2">
        <w:rPr>
          <w:lang w:val="en-US"/>
        </w:rPr>
        <w:t>Suttyhudeo</w:t>
      </w:r>
      <w:proofErr w:type="spellEnd"/>
      <w:r w:rsidRPr="00EE4CF2">
        <w:rPr>
          <w:lang w:val="en-US"/>
        </w:rPr>
        <w:t xml:space="preserve"> </w:t>
      </w:r>
      <w:proofErr w:type="spellStart"/>
      <w:r w:rsidRPr="00EE4CF2">
        <w:rPr>
          <w:lang w:val="en-US"/>
        </w:rPr>
        <w:t>Tengur</w:t>
      </w:r>
      <w:proofErr w:type="spellEnd"/>
      <w:r w:rsidRPr="00EE4CF2">
        <w:rPr>
          <w:lang w:val="en-US"/>
        </w:rPr>
        <w:t xml:space="preserve"> &amp; </w:t>
      </w:r>
      <w:proofErr w:type="spellStart"/>
      <w:r w:rsidRPr="00EE4CF2">
        <w:rPr>
          <w:lang w:val="en-US"/>
        </w:rPr>
        <w:t>Ors</w:t>
      </w:r>
      <w:proofErr w:type="spellEnd"/>
      <w:r w:rsidRPr="00EE4CF2">
        <w:rPr>
          <w:lang w:val="en-US"/>
        </w:rPr>
        <w:t>, the Judicial Committee of the Privy Council observed that the Supreme Court in reaching its conclusion on justification (on the alleged discriminatory Admissions policy) paid close attention not only to the Constitution but also to the UNESCO Convention against Discrimination in Education and the UN International Covenant on Economic, Social and Cultural Rights.</w:t>
      </w:r>
    </w:p>
    <w:p w:rsidR="00D77BDC" w:rsidRPr="00EE4CF2" w:rsidRDefault="00D77BDC" w:rsidP="00D77BDC">
      <w:pPr>
        <w:pStyle w:val="H1G"/>
        <w:rPr>
          <w:lang w:val="en-US"/>
        </w:rPr>
      </w:pPr>
      <w:r w:rsidRPr="00EE4CF2">
        <w:rPr>
          <w:lang w:val="en-US"/>
        </w:rPr>
        <w:tab/>
      </w:r>
      <w:r w:rsidRPr="00EE4CF2">
        <w:rPr>
          <w:lang w:val="en-US"/>
        </w:rPr>
        <w:tab/>
        <w:t>Question 2</w:t>
      </w:r>
    </w:p>
    <w:p w:rsidR="00D77BDC" w:rsidRPr="00EE4CF2" w:rsidRDefault="00D77BDC" w:rsidP="00816ECE">
      <w:pPr>
        <w:pStyle w:val="H23G"/>
        <w:rPr>
          <w:lang w:val="en-US"/>
        </w:rPr>
      </w:pPr>
      <w:r w:rsidRPr="00EE4CF2">
        <w:rPr>
          <w:lang w:val="en-US"/>
        </w:rPr>
        <w:tab/>
      </w:r>
      <w:r w:rsidRPr="00EE4CF2">
        <w:rPr>
          <w:lang w:val="en-US"/>
        </w:rPr>
        <w:tab/>
        <w:t>Please provide information on the concrete steps taken to:</w:t>
      </w:r>
    </w:p>
    <w:p w:rsidR="00D77BDC" w:rsidRPr="00EE4CF2" w:rsidRDefault="00D77BDC" w:rsidP="00D77BDC">
      <w:pPr>
        <w:pStyle w:val="H23G"/>
        <w:rPr>
          <w:lang w:val="en-US"/>
        </w:rPr>
      </w:pPr>
      <w:r w:rsidRPr="00EE4CF2">
        <w:rPr>
          <w:lang w:val="en-US"/>
        </w:rPr>
        <w:tab/>
        <w:t>(a)</w:t>
      </w:r>
      <w:r w:rsidRPr="00EE4CF2">
        <w:rPr>
          <w:lang w:val="en-US"/>
        </w:rPr>
        <w:tab/>
        <w:t>Expand the mandate of the National Human Rights Commission to include the rights enshrined in the Covenant</w:t>
      </w:r>
    </w:p>
    <w:p w:rsidR="00D77BDC" w:rsidRPr="00EE4CF2" w:rsidRDefault="00D77BDC" w:rsidP="00D77BDC">
      <w:pPr>
        <w:pStyle w:val="SingleTxtG"/>
        <w:rPr>
          <w:lang w:val="en-US"/>
        </w:rPr>
      </w:pPr>
      <w:r w:rsidRPr="00EE4CF2">
        <w:rPr>
          <w:lang w:val="en-US"/>
        </w:rPr>
        <w:t>3.</w:t>
      </w:r>
      <w:r w:rsidRPr="00EE4CF2">
        <w:rPr>
          <w:lang w:val="en-US"/>
        </w:rPr>
        <w:tab/>
        <w:t>The mandate of the National Human Rights Commission currently does not include the rights enshrined in the International Covenant on Economic, Social and Cultural Rights. This is not envisaged for the time being. The Economic and Social Rights are not enshrined in Chapter II of our Constitution. However, Economic Social rights are enshrined in our laws and they are ensured through the existence of a welfare state. Mauritius provides, free education, free access to health services, social aid to vulnerable groups and pension benefits to elderly. Cultural rights are also protected through the guarantee of the rights on freedom of expression, freedom to establish schools of religious denomination, freedom of religion as well as protection from discrimination amongst others.</w:t>
      </w:r>
    </w:p>
    <w:p w:rsidR="00D77BDC" w:rsidRPr="00EE4CF2" w:rsidRDefault="00D77BDC" w:rsidP="00D77BDC">
      <w:pPr>
        <w:pStyle w:val="H23G"/>
        <w:rPr>
          <w:lang w:val="en-US"/>
        </w:rPr>
      </w:pPr>
      <w:r w:rsidRPr="00EE4CF2">
        <w:rPr>
          <w:lang w:val="en-US"/>
        </w:rPr>
        <w:tab/>
        <w:t>(b)</w:t>
      </w:r>
      <w:r w:rsidRPr="00EE4CF2">
        <w:rPr>
          <w:lang w:val="en-US"/>
        </w:rPr>
        <w:tab/>
        <w:t>Ensure the administrative independence of the Commission, particularly in relation to the recruitment of its staff and to its Complaints Investigation Bureau, which deals with complaints brought against police officers but is effectively under the administrative control of the Commissioner of Police</w:t>
      </w:r>
    </w:p>
    <w:p w:rsidR="00D77BDC" w:rsidRPr="00EE4CF2" w:rsidRDefault="00D77BDC" w:rsidP="00D77BDC">
      <w:pPr>
        <w:pStyle w:val="SingleTxtG"/>
        <w:rPr>
          <w:lang w:val="en-US"/>
        </w:rPr>
      </w:pPr>
      <w:r w:rsidRPr="00EE4CF2">
        <w:rPr>
          <w:lang w:val="en-US"/>
        </w:rPr>
        <w:t>4.</w:t>
      </w:r>
      <w:r w:rsidRPr="00EE4CF2">
        <w:rPr>
          <w:lang w:val="en-US"/>
        </w:rPr>
        <w:tab/>
        <w:t>The NHRC is an independent body established by government with specific human rights mandate. Though it receives funding from government, it enjoys independence in its functions. The Police Complaints Division which was a division of the National Human Rights Commission is no longer in existence since the coming into operation in April 2018 of the Independence Complaints Commission Act with the setting up of the Independent Police Complaints Commission.</w:t>
      </w:r>
    </w:p>
    <w:p w:rsidR="00D77BDC" w:rsidRPr="00EE4CF2" w:rsidRDefault="00D77BDC" w:rsidP="00D77BDC">
      <w:pPr>
        <w:pStyle w:val="H23G"/>
        <w:rPr>
          <w:lang w:val="en-US"/>
        </w:rPr>
      </w:pPr>
      <w:r w:rsidRPr="00EE4CF2">
        <w:rPr>
          <w:lang w:val="en-US"/>
        </w:rPr>
        <w:tab/>
        <w:t>(c)</w:t>
      </w:r>
      <w:r w:rsidRPr="00EE4CF2">
        <w:rPr>
          <w:lang w:val="en-US"/>
        </w:rPr>
        <w:tab/>
        <w:t>Strengthen the power of the Commission to intervene before a court or tribunal in any proceedings involving a violation of human rights. Please also provide information on the annual budget allocated to the Commission and the number of staff during the reporting period</w:t>
      </w:r>
    </w:p>
    <w:p w:rsidR="00D77BDC" w:rsidRPr="00EE4CF2" w:rsidRDefault="00D77BDC" w:rsidP="007C1C81">
      <w:pPr>
        <w:pStyle w:val="SingleTxtG"/>
        <w:rPr>
          <w:lang w:val="en-US"/>
        </w:rPr>
      </w:pPr>
      <w:r w:rsidRPr="00EE4CF2">
        <w:rPr>
          <w:lang w:val="en-US"/>
        </w:rPr>
        <w:t>5.</w:t>
      </w:r>
      <w:r w:rsidRPr="00EE4CF2">
        <w:rPr>
          <w:lang w:val="en-US"/>
        </w:rPr>
        <w:tab/>
        <w:t>The NHRC has no power to intervene before a Court of Law in any proceedings involving violation of human rights. The officers of the Human Rights Commission attend court regarding complaints which have been lodged at the NHRC when they are summoned by the parties to a case.</w:t>
      </w:r>
      <w:r w:rsidR="007C1C81">
        <w:rPr>
          <w:lang w:val="en-US"/>
        </w:rPr>
        <w:t xml:space="preserve"> A</w:t>
      </w:r>
      <w:r w:rsidRPr="00EE4CF2">
        <w:rPr>
          <w:lang w:val="en-US"/>
        </w:rPr>
        <w:t xml:space="preserve">s at date there are 28 employees posted at the NHRC. 20 employees are on </w:t>
      </w:r>
      <w:proofErr w:type="spellStart"/>
      <w:r w:rsidRPr="00EE4CF2">
        <w:rPr>
          <w:lang w:val="en-US"/>
        </w:rPr>
        <w:t>secondment</w:t>
      </w:r>
      <w:proofErr w:type="spellEnd"/>
      <w:r w:rsidRPr="00EE4CF2">
        <w:rPr>
          <w:lang w:val="en-US"/>
        </w:rPr>
        <w:t xml:space="preserve"> from the Civil Service as per section 5 of the Protection of Human Rights Act and 8 are on a contractual basis. The budget of the HHRC for the current financial year 2018/19 is 24.8 million rupees.</w:t>
      </w:r>
    </w:p>
    <w:p w:rsidR="00D77BDC" w:rsidRPr="00EE4CF2" w:rsidRDefault="00D77BDC" w:rsidP="00D77BDC">
      <w:pPr>
        <w:pStyle w:val="H1G"/>
        <w:rPr>
          <w:lang w:val="en-US"/>
        </w:rPr>
      </w:pPr>
      <w:r w:rsidRPr="00EE4CF2">
        <w:rPr>
          <w:lang w:val="en-US"/>
        </w:rPr>
        <w:lastRenderedPageBreak/>
        <w:tab/>
      </w:r>
      <w:r w:rsidRPr="00EE4CF2">
        <w:rPr>
          <w:lang w:val="en-US"/>
        </w:rPr>
        <w:tab/>
        <w:t>Question 3</w:t>
      </w:r>
    </w:p>
    <w:p w:rsidR="00D77BDC" w:rsidRPr="00EE4CF2" w:rsidRDefault="00D77BDC" w:rsidP="00D77BDC">
      <w:pPr>
        <w:pStyle w:val="SingleTxtG"/>
        <w:rPr>
          <w:lang w:val="en-US"/>
        </w:rPr>
      </w:pPr>
      <w:r w:rsidRPr="00EE4CF2">
        <w:rPr>
          <w:lang w:val="en-US"/>
        </w:rPr>
        <w:t>6.</w:t>
      </w:r>
      <w:r w:rsidRPr="00EE4CF2">
        <w:rPr>
          <w:lang w:val="en-US"/>
        </w:rPr>
        <w:tab/>
        <w:t xml:space="preserve">The issues of climate change have prompted Government to come up with comprehensive policy for the safety of people in times of humanitarian emergencies and situations of risks and disasters. Since January 2013 a Disaster Risk Reduction Strategic Framework and Action Plan (DDR), including Risk Maps in relation to inland flooding, landslide and coastal inundation, for the Republic of Mauritius had also been developed. </w:t>
      </w:r>
    </w:p>
    <w:p w:rsidR="00D77BDC" w:rsidRPr="00EE4CF2" w:rsidRDefault="00D77BDC" w:rsidP="00D77BDC">
      <w:pPr>
        <w:pStyle w:val="SingleTxtG"/>
        <w:rPr>
          <w:lang w:val="en-US"/>
        </w:rPr>
      </w:pPr>
      <w:r w:rsidRPr="00EE4CF2">
        <w:rPr>
          <w:lang w:val="en-US"/>
        </w:rPr>
        <w:t>7.</w:t>
      </w:r>
      <w:r w:rsidRPr="00EE4CF2">
        <w:rPr>
          <w:lang w:val="en-US"/>
        </w:rPr>
        <w:tab/>
        <w:t>The National Disaster and Operations Coordination Centre coordinates action taken by departments in respect of risk mitigations. It carries out regular sensitization campaigns on disaster risk reduction and organizes frequent simulation exercises and activities. During these campaigns and simulation exercises, the special needs of persons with disabilities and the elderly are taken into consideration.</w:t>
      </w:r>
    </w:p>
    <w:p w:rsidR="00D77BDC" w:rsidRPr="00EE4CF2" w:rsidRDefault="00D77BDC" w:rsidP="00D77BDC">
      <w:pPr>
        <w:pStyle w:val="SingleTxtG"/>
        <w:rPr>
          <w:lang w:val="en-US"/>
        </w:rPr>
      </w:pPr>
      <w:r w:rsidRPr="00EE4CF2">
        <w:rPr>
          <w:lang w:val="en-US"/>
        </w:rPr>
        <w:t>8.</w:t>
      </w:r>
      <w:r w:rsidRPr="00EE4CF2">
        <w:rPr>
          <w:lang w:val="en-US"/>
        </w:rPr>
        <w:tab/>
        <w:t>The National Disaster Risk Reduction and Management Act was proclaimed in July 2016, and provision was made therein for the evacuation of persons at risk. People at risk includes persons with disabilities and elderly, and in case of adverse event, they will be given priority to be evacuated first.</w:t>
      </w:r>
    </w:p>
    <w:p w:rsidR="00D77BDC" w:rsidRPr="00EE4CF2" w:rsidRDefault="00D77BDC" w:rsidP="00D77BDC">
      <w:pPr>
        <w:pStyle w:val="SingleTxtG"/>
        <w:rPr>
          <w:lang w:val="en-US"/>
        </w:rPr>
      </w:pPr>
      <w:r w:rsidRPr="00EE4CF2">
        <w:rPr>
          <w:lang w:val="en-US"/>
        </w:rPr>
        <w:t>9.</w:t>
      </w:r>
      <w:r w:rsidRPr="00EE4CF2">
        <w:rPr>
          <w:lang w:val="en-US"/>
        </w:rPr>
        <w:tab/>
        <w:t xml:space="preserve">An early warning system (EMS) for incoming storm surges has recently been installed by the Mauritius Meteorological Services. It predicts where and when storm surges can occur on a six hours basis. </w:t>
      </w:r>
    </w:p>
    <w:p w:rsidR="00D77BDC" w:rsidRPr="00EE4CF2" w:rsidRDefault="00D77BDC" w:rsidP="00D77BDC">
      <w:pPr>
        <w:pStyle w:val="SingleTxtG"/>
        <w:rPr>
          <w:lang w:val="en-US"/>
        </w:rPr>
      </w:pPr>
      <w:r w:rsidRPr="00EE4CF2">
        <w:rPr>
          <w:lang w:val="en-US"/>
        </w:rPr>
        <w:t>10.</w:t>
      </w:r>
      <w:r w:rsidRPr="00EE4CF2">
        <w:rPr>
          <w:lang w:val="en-US"/>
        </w:rPr>
        <w:tab/>
        <w:t xml:space="preserve">2 mobile applications have been developed to send alert messages to subscribers before, during and after disasters. A National Multi Hazard Emergency Alert System is being implemented to cater for alerting the public, prior and during a disaster. The Doppler Radar will also soon become operational. </w:t>
      </w:r>
    </w:p>
    <w:p w:rsidR="00D77BDC" w:rsidRPr="00EE4CF2" w:rsidRDefault="00D77BDC" w:rsidP="00D77BDC">
      <w:pPr>
        <w:pStyle w:val="SingleTxtG"/>
        <w:rPr>
          <w:lang w:val="en-US"/>
        </w:rPr>
      </w:pPr>
      <w:r w:rsidRPr="00EE4CF2">
        <w:rPr>
          <w:lang w:val="en-US"/>
        </w:rPr>
        <w:t>11.</w:t>
      </w:r>
      <w:r w:rsidRPr="00EE4CF2">
        <w:rPr>
          <w:lang w:val="en-US"/>
        </w:rPr>
        <w:tab/>
        <w:t xml:space="preserve">A protocol for heavy rainfall for the public sector has been implemented and a similar protocol for private sector will soon be implemented. </w:t>
      </w:r>
    </w:p>
    <w:p w:rsidR="00D77BDC" w:rsidRPr="00EE4CF2" w:rsidRDefault="00D77BDC" w:rsidP="00D77BDC">
      <w:pPr>
        <w:pStyle w:val="SingleTxtG"/>
        <w:rPr>
          <w:lang w:val="en-US"/>
        </w:rPr>
      </w:pPr>
      <w:r w:rsidRPr="00EE4CF2">
        <w:rPr>
          <w:lang w:val="en-US"/>
        </w:rPr>
        <w:t>12.</w:t>
      </w:r>
      <w:r w:rsidRPr="00EE4CF2">
        <w:rPr>
          <w:lang w:val="en-US"/>
        </w:rPr>
        <w:tab/>
        <w:t xml:space="preserve">2 real time wireless flood sensors in the region of Port Louis has been installed in October 2018. All vulnerable areas have been identified and contingency plans have been prepared and are regularly tested. </w:t>
      </w:r>
    </w:p>
    <w:p w:rsidR="00D77BDC" w:rsidRPr="00EE4CF2" w:rsidRDefault="00D77BDC" w:rsidP="00D77BDC">
      <w:pPr>
        <w:pStyle w:val="SingleTxtG"/>
        <w:rPr>
          <w:lang w:val="en-US"/>
        </w:rPr>
      </w:pPr>
      <w:r w:rsidRPr="00EE4CF2">
        <w:rPr>
          <w:lang w:val="en-US"/>
        </w:rPr>
        <w:t>13.</w:t>
      </w:r>
      <w:r w:rsidRPr="00EE4CF2">
        <w:rPr>
          <w:lang w:val="en-US"/>
        </w:rPr>
        <w:tab/>
        <w:t xml:space="preserve">A modern refugee </w:t>
      </w:r>
      <w:proofErr w:type="spellStart"/>
      <w:r w:rsidRPr="00EE4CF2">
        <w:rPr>
          <w:lang w:val="en-US"/>
        </w:rPr>
        <w:t>centre</w:t>
      </w:r>
      <w:proofErr w:type="spellEnd"/>
      <w:r w:rsidRPr="00EE4CF2">
        <w:rPr>
          <w:lang w:val="en-US"/>
        </w:rPr>
        <w:t xml:space="preserve"> with all necessary amenities has recently been completed at </w:t>
      </w:r>
      <w:proofErr w:type="spellStart"/>
      <w:r w:rsidRPr="00EE4CF2">
        <w:rPr>
          <w:lang w:val="en-US"/>
        </w:rPr>
        <w:t>Quatre</w:t>
      </w:r>
      <w:proofErr w:type="spellEnd"/>
      <w:r w:rsidRPr="00EE4CF2">
        <w:rPr>
          <w:lang w:val="en-US"/>
        </w:rPr>
        <w:t xml:space="preserve"> </w:t>
      </w:r>
      <w:proofErr w:type="spellStart"/>
      <w:r w:rsidRPr="00EE4CF2">
        <w:rPr>
          <w:lang w:val="en-US"/>
        </w:rPr>
        <w:t>Soeur</w:t>
      </w:r>
      <w:proofErr w:type="spellEnd"/>
      <w:r w:rsidRPr="00EE4CF2">
        <w:rPr>
          <w:lang w:val="en-US"/>
        </w:rPr>
        <w:t xml:space="preserve"> and it will be able to accommodate a maximum of 1000 evacuees in case of emergency.</w:t>
      </w:r>
    </w:p>
    <w:p w:rsidR="00D77BDC" w:rsidRPr="00EE4CF2" w:rsidRDefault="00D77BDC" w:rsidP="00D77BDC">
      <w:pPr>
        <w:pStyle w:val="H1G"/>
        <w:rPr>
          <w:lang w:val="en-US"/>
        </w:rPr>
      </w:pPr>
      <w:r w:rsidRPr="00EE4CF2">
        <w:rPr>
          <w:lang w:val="en-US"/>
        </w:rPr>
        <w:tab/>
      </w:r>
      <w:r w:rsidRPr="00EE4CF2">
        <w:rPr>
          <w:lang w:val="en-US"/>
        </w:rPr>
        <w:tab/>
        <w:t>Maximum available resources (art. 2 (1))</w:t>
      </w:r>
    </w:p>
    <w:p w:rsidR="00D77BDC" w:rsidRPr="00EE4CF2" w:rsidRDefault="00D77BDC" w:rsidP="00D77BDC">
      <w:pPr>
        <w:pStyle w:val="H1G"/>
        <w:rPr>
          <w:lang w:val="en-US"/>
        </w:rPr>
      </w:pPr>
      <w:r w:rsidRPr="00EE4CF2">
        <w:rPr>
          <w:lang w:val="en-US"/>
        </w:rPr>
        <w:tab/>
      </w:r>
      <w:r w:rsidRPr="00EE4CF2">
        <w:rPr>
          <w:lang w:val="en-US"/>
        </w:rPr>
        <w:tab/>
        <w:t>Question 4</w:t>
      </w:r>
    </w:p>
    <w:p w:rsidR="00D77BDC" w:rsidRPr="00EE4CF2" w:rsidRDefault="00D77BDC" w:rsidP="00D77BDC">
      <w:pPr>
        <w:pStyle w:val="H23G"/>
        <w:rPr>
          <w:lang w:val="en-US"/>
        </w:rPr>
      </w:pPr>
      <w:r w:rsidRPr="00EE4CF2">
        <w:rPr>
          <w:lang w:val="en-US"/>
        </w:rPr>
        <w:tab/>
      </w:r>
      <w:r w:rsidRPr="00EE4CF2">
        <w:rPr>
          <w:lang w:val="en-US"/>
        </w:rPr>
        <w:tab/>
        <w:t>Please provide information on the evolution since the last report of:</w:t>
      </w:r>
    </w:p>
    <w:p w:rsidR="00D77BDC" w:rsidRPr="00EE4CF2" w:rsidRDefault="00D77BDC" w:rsidP="00D77BDC">
      <w:pPr>
        <w:pStyle w:val="H23G"/>
        <w:rPr>
          <w:lang w:val="en-US"/>
        </w:rPr>
      </w:pPr>
      <w:r w:rsidRPr="00EE4CF2">
        <w:rPr>
          <w:lang w:val="en-US"/>
        </w:rPr>
        <w:tab/>
        <w:t>(a)</w:t>
      </w:r>
      <w:r w:rsidRPr="00EE4CF2">
        <w:rPr>
          <w:lang w:val="en-US"/>
        </w:rPr>
        <w:tab/>
        <w:t>The proportion of people below the poverty line and the levels of inequality, defined as the ratio between total income accruing to the richest decile of the population and the total income of the 40 per cent poorest in the population</w:t>
      </w:r>
    </w:p>
    <w:p w:rsidR="00D77BDC" w:rsidRPr="00EE4CF2" w:rsidRDefault="00D77BDC" w:rsidP="00D77BDC">
      <w:pPr>
        <w:pStyle w:val="SingleTxtG"/>
      </w:pPr>
      <w:r w:rsidRPr="00EE4CF2">
        <w:t>14.</w:t>
      </w:r>
      <w:r w:rsidRPr="00EE4CF2">
        <w:tab/>
        <w:t xml:space="preserve">Statistics Mauritius uses the Relative Poverty Line (RPL) defined as half of the median monthly household income per adult equivalent. It was estimated at </w:t>
      </w:r>
      <w:proofErr w:type="spellStart"/>
      <w:r w:rsidRPr="00EE4CF2">
        <w:t>Rs</w:t>
      </w:r>
      <w:proofErr w:type="spellEnd"/>
      <w:r w:rsidRPr="00EE4CF2">
        <w:t xml:space="preserve"> 5,652 and </w:t>
      </w:r>
      <w:proofErr w:type="spellStart"/>
      <w:r w:rsidRPr="00EE4CF2">
        <w:t>Rs</w:t>
      </w:r>
      <w:proofErr w:type="spellEnd"/>
      <w:r w:rsidRPr="00EE4CF2">
        <w:t xml:space="preserve"> 7,497 in 2012 and 2017 respectively.</w:t>
      </w:r>
      <w:r w:rsidR="00027F3C">
        <w:t xml:space="preserve"> </w:t>
      </w:r>
      <w:r w:rsidRPr="00EE4CF2">
        <w:t>In 2017, the number of households in relative poverty was estimated at around 36,100 (9.4%), with 130,500 persons (10.3%) as shown in Table 1 below:</w:t>
      </w:r>
    </w:p>
    <w:p w:rsidR="00D77BDC" w:rsidRPr="00EE4CF2" w:rsidRDefault="00D77BDC" w:rsidP="00D77BDC">
      <w:pPr>
        <w:pStyle w:val="Heading1"/>
        <w:keepNext/>
        <w:keepLines/>
        <w:spacing w:after="120"/>
        <w:rPr>
          <w:b/>
        </w:rPr>
      </w:pPr>
      <w:r w:rsidRPr="00EE4CF2">
        <w:lastRenderedPageBreak/>
        <w:t>Table 1</w:t>
      </w:r>
      <w:r w:rsidRPr="00EE4CF2">
        <w:rPr>
          <w:b/>
        </w:rPr>
        <w:br/>
        <w:t xml:space="preserve">Estimated number of households/persons in relative poverty, </w:t>
      </w:r>
      <w:r w:rsidRPr="00EE4CF2">
        <w:rPr>
          <w:b/>
        </w:rPr>
        <w:br/>
        <w:t>Republic of Mauritius, 2012 &amp; 2017</w:t>
      </w:r>
    </w:p>
    <w:tbl>
      <w:tblPr>
        <w:tblW w:w="7370" w:type="dxa"/>
        <w:tblInd w:w="1134" w:type="dxa"/>
        <w:tblLayout w:type="fixed"/>
        <w:tblCellMar>
          <w:left w:w="0" w:type="dxa"/>
          <w:right w:w="0" w:type="dxa"/>
        </w:tblCellMar>
        <w:tblLook w:val="04A0" w:firstRow="1" w:lastRow="0" w:firstColumn="1" w:lastColumn="0" w:noHBand="0" w:noVBand="1"/>
      </w:tblPr>
      <w:tblGrid>
        <w:gridCol w:w="5387"/>
        <w:gridCol w:w="992"/>
        <w:gridCol w:w="991"/>
      </w:tblGrid>
      <w:tr w:rsidR="00D77BDC" w:rsidRPr="00EE4CF2" w:rsidTr="00B532BA">
        <w:trPr>
          <w:tblHeader/>
        </w:trPr>
        <w:tc>
          <w:tcPr>
            <w:tcW w:w="538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3977E1">
            <w:pPr>
              <w:pStyle w:val="SingleTxtG"/>
              <w:keepNext/>
              <w:keepLines/>
              <w:suppressAutoHyphens w:val="0"/>
              <w:spacing w:before="80" w:after="80" w:line="200" w:lineRule="exact"/>
              <w:ind w:left="0" w:right="0"/>
              <w:jc w:val="left"/>
              <w:rPr>
                <w:i/>
                <w:sz w:val="16"/>
                <w:lang w:val="en-US"/>
              </w:rPr>
            </w:pP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80" w:after="80" w:line="200" w:lineRule="exact"/>
              <w:ind w:left="0" w:right="113"/>
              <w:jc w:val="right"/>
              <w:rPr>
                <w:i/>
                <w:sz w:val="16"/>
                <w:lang w:val="en-US"/>
              </w:rPr>
            </w:pPr>
            <w:r w:rsidRPr="00EE4CF2">
              <w:rPr>
                <w:bCs/>
                <w:i/>
                <w:sz w:val="16"/>
                <w:lang w:val="en-US"/>
              </w:rPr>
              <w:t>2012</w:t>
            </w:r>
          </w:p>
        </w:tc>
        <w:tc>
          <w:tcPr>
            <w:tcW w:w="99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80" w:after="80" w:line="200" w:lineRule="exact"/>
              <w:ind w:left="0" w:right="113"/>
              <w:jc w:val="right"/>
              <w:rPr>
                <w:i/>
                <w:sz w:val="16"/>
                <w:lang w:val="en-US"/>
              </w:rPr>
            </w:pPr>
            <w:r w:rsidRPr="00EE4CF2">
              <w:rPr>
                <w:bCs/>
                <w:i/>
                <w:sz w:val="16"/>
                <w:lang w:val="en-US"/>
              </w:rPr>
              <w:t>2017</w:t>
            </w:r>
            <w:r w:rsidRPr="00B532BA">
              <w:rPr>
                <w:bCs/>
                <w:iCs/>
                <w:sz w:val="16"/>
                <w:vertAlign w:val="superscript"/>
                <w:lang w:val="en-US"/>
              </w:rPr>
              <w:t>1</w:t>
            </w:r>
          </w:p>
        </w:tc>
      </w:tr>
      <w:tr w:rsidR="00D77BDC" w:rsidRPr="00EE4CF2" w:rsidTr="00B532BA">
        <w:tc>
          <w:tcPr>
            <w:tcW w:w="5387" w:type="dxa"/>
            <w:tcBorders>
              <w:top w:val="single" w:sz="12" w:space="0" w:color="auto"/>
            </w:tcBorders>
            <w:shd w:val="clear" w:color="auto" w:fill="auto"/>
            <w:tcMar>
              <w:top w:w="0" w:type="dxa"/>
              <w:left w:w="0" w:type="dxa"/>
              <w:bottom w:w="0" w:type="dxa"/>
              <w:right w:w="0" w:type="dxa"/>
            </w:tcMar>
            <w:hideMark/>
          </w:tcPr>
          <w:p w:rsidR="00D77BDC" w:rsidRPr="00EE4CF2" w:rsidRDefault="00D77BDC" w:rsidP="003977E1">
            <w:pPr>
              <w:pStyle w:val="SingleTxtG"/>
              <w:keepNext/>
              <w:keepLines/>
              <w:suppressAutoHyphens w:val="0"/>
              <w:spacing w:before="40" w:after="40" w:line="220" w:lineRule="exact"/>
              <w:ind w:left="0" w:right="0"/>
              <w:jc w:val="left"/>
              <w:rPr>
                <w:sz w:val="18"/>
                <w:lang w:val="en-US"/>
              </w:rPr>
            </w:pPr>
            <w:r w:rsidRPr="00EE4CF2">
              <w:rPr>
                <w:bCs/>
                <w:sz w:val="18"/>
                <w:lang w:val="en-US"/>
              </w:rPr>
              <w:t>Relative Poverty Line (RPL) – Half median monthly household income per adult equivalent</w:t>
            </w:r>
            <w:r w:rsidRPr="00EE4CF2">
              <w:rPr>
                <w:bCs/>
                <w:sz w:val="18"/>
                <w:vertAlign w:val="superscript"/>
                <w:lang w:val="en-US"/>
              </w:rPr>
              <w:t>2</w:t>
            </w:r>
            <w:r w:rsidRPr="00EE4CF2">
              <w:rPr>
                <w:bCs/>
                <w:sz w:val="18"/>
                <w:lang w:val="en-US"/>
              </w:rPr>
              <w:t>(</w:t>
            </w:r>
            <w:proofErr w:type="spellStart"/>
            <w:r w:rsidRPr="00EE4CF2">
              <w:rPr>
                <w:bCs/>
                <w:sz w:val="18"/>
                <w:lang w:val="en-US"/>
              </w:rPr>
              <w:t>Rs</w:t>
            </w:r>
            <w:proofErr w:type="spellEnd"/>
            <w:r w:rsidRPr="00EE4CF2">
              <w:rPr>
                <w:bCs/>
                <w:sz w:val="18"/>
                <w:lang w:val="en-US"/>
              </w:rPr>
              <w:t>)</w:t>
            </w:r>
          </w:p>
        </w:tc>
        <w:tc>
          <w:tcPr>
            <w:tcW w:w="992" w:type="dxa"/>
            <w:tcBorders>
              <w:top w:val="single" w:sz="12" w:space="0" w:color="auto"/>
            </w:tcBorders>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bCs/>
                <w:sz w:val="18"/>
                <w:lang w:val="en-US"/>
              </w:rPr>
              <w:t>5</w:t>
            </w:r>
            <w:r w:rsidR="00B532BA">
              <w:rPr>
                <w:bCs/>
                <w:sz w:val="18"/>
                <w:lang w:val="en-US"/>
              </w:rPr>
              <w:t xml:space="preserve"> </w:t>
            </w:r>
            <w:r w:rsidRPr="00EE4CF2">
              <w:rPr>
                <w:bCs/>
                <w:sz w:val="18"/>
                <w:lang w:val="en-US"/>
              </w:rPr>
              <w:t>652</w:t>
            </w:r>
          </w:p>
        </w:tc>
        <w:tc>
          <w:tcPr>
            <w:tcW w:w="991" w:type="dxa"/>
            <w:tcBorders>
              <w:top w:val="single" w:sz="12" w:space="0" w:color="auto"/>
            </w:tcBorders>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bCs/>
                <w:sz w:val="18"/>
                <w:lang w:val="en-US"/>
              </w:rPr>
              <w:t>7</w:t>
            </w:r>
            <w:r w:rsidR="00B532BA">
              <w:rPr>
                <w:bCs/>
                <w:sz w:val="18"/>
                <w:lang w:val="en-US"/>
              </w:rPr>
              <w:t xml:space="preserve"> </w:t>
            </w:r>
            <w:r w:rsidRPr="00EE4CF2">
              <w:rPr>
                <w:bCs/>
                <w:sz w:val="18"/>
                <w:lang w:val="en-US"/>
              </w:rPr>
              <w:t>497</w:t>
            </w:r>
          </w:p>
        </w:tc>
      </w:tr>
      <w:tr w:rsidR="00D77BDC" w:rsidRPr="00EE4CF2" w:rsidTr="00B532BA">
        <w:tc>
          <w:tcPr>
            <w:tcW w:w="5387" w:type="dxa"/>
            <w:shd w:val="clear" w:color="auto" w:fill="auto"/>
            <w:tcMar>
              <w:top w:w="0" w:type="dxa"/>
              <w:left w:w="0" w:type="dxa"/>
              <w:bottom w:w="0" w:type="dxa"/>
              <w:right w:w="0" w:type="dxa"/>
            </w:tcMar>
            <w:hideMark/>
          </w:tcPr>
          <w:p w:rsidR="00D77BDC" w:rsidRPr="00EE4CF2" w:rsidRDefault="00D77BDC" w:rsidP="003977E1">
            <w:pPr>
              <w:pStyle w:val="SingleTxtG"/>
              <w:keepNext/>
              <w:keepLines/>
              <w:suppressAutoHyphens w:val="0"/>
              <w:spacing w:before="40" w:after="40" w:line="220" w:lineRule="exact"/>
              <w:ind w:left="0" w:right="0"/>
              <w:jc w:val="left"/>
              <w:rPr>
                <w:sz w:val="18"/>
                <w:lang w:val="en-US"/>
              </w:rPr>
            </w:pPr>
            <w:r w:rsidRPr="00EE4CF2">
              <w:rPr>
                <w:sz w:val="18"/>
                <w:lang w:val="en-US"/>
              </w:rPr>
              <w:t>Estimated number of households in relative poverty</w:t>
            </w:r>
          </w:p>
        </w:tc>
        <w:tc>
          <w:tcPr>
            <w:tcW w:w="992" w:type="dxa"/>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sz w:val="18"/>
                <w:lang w:val="en-US"/>
              </w:rPr>
              <w:t>33</w:t>
            </w:r>
            <w:r w:rsidR="00B532BA">
              <w:rPr>
                <w:sz w:val="18"/>
                <w:lang w:val="en-US"/>
              </w:rPr>
              <w:t xml:space="preserve"> </w:t>
            </w:r>
            <w:r w:rsidRPr="00EE4CF2">
              <w:rPr>
                <w:sz w:val="18"/>
                <w:lang w:val="en-US"/>
              </w:rPr>
              <w:t>600</w:t>
            </w:r>
          </w:p>
        </w:tc>
        <w:tc>
          <w:tcPr>
            <w:tcW w:w="991" w:type="dxa"/>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sz w:val="18"/>
                <w:lang w:val="en-US"/>
              </w:rPr>
              <w:t>36</w:t>
            </w:r>
            <w:r w:rsidR="00B532BA">
              <w:rPr>
                <w:sz w:val="18"/>
                <w:lang w:val="en-US"/>
              </w:rPr>
              <w:t xml:space="preserve"> </w:t>
            </w:r>
            <w:r w:rsidRPr="00EE4CF2">
              <w:rPr>
                <w:sz w:val="18"/>
                <w:lang w:val="en-US"/>
              </w:rPr>
              <w:t>100</w:t>
            </w:r>
          </w:p>
        </w:tc>
      </w:tr>
      <w:tr w:rsidR="00D77BDC" w:rsidRPr="00EE4CF2" w:rsidTr="00B532BA">
        <w:tc>
          <w:tcPr>
            <w:tcW w:w="5387" w:type="dxa"/>
            <w:shd w:val="clear" w:color="auto" w:fill="auto"/>
            <w:tcMar>
              <w:top w:w="0" w:type="dxa"/>
              <w:left w:w="0" w:type="dxa"/>
              <w:bottom w:w="0" w:type="dxa"/>
              <w:right w:w="0" w:type="dxa"/>
            </w:tcMar>
            <w:hideMark/>
          </w:tcPr>
          <w:p w:rsidR="00D77BDC" w:rsidRPr="00EE4CF2" w:rsidRDefault="00D77BDC" w:rsidP="003977E1">
            <w:pPr>
              <w:pStyle w:val="SingleTxtG"/>
              <w:keepNext/>
              <w:keepLines/>
              <w:suppressAutoHyphens w:val="0"/>
              <w:spacing w:before="40" w:after="40" w:line="220" w:lineRule="exact"/>
              <w:ind w:left="0" w:right="0"/>
              <w:jc w:val="left"/>
              <w:rPr>
                <w:sz w:val="18"/>
                <w:lang w:val="en-US"/>
              </w:rPr>
            </w:pPr>
            <w:r w:rsidRPr="00EE4CF2">
              <w:rPr>
                <w:iCs/>
                <w:sz w:val="18"/>
                <w:lang w:val="en-US"/>
              </w:rPr>
              <w:t>Proportion of households in relative poverty (%)</w:t>
            </w:r>
          </w:p>
        </w:tc>
        <w:tc>
          <w:tcPr>
            <w:tcW w:w="992" w:type="dxa"/>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iCs/>
                <w:sz w:val="18"/>
                <w:lang w:val="en-US"/>
              </w:rPr>
              <w:t>9.4</w:t>
            </w:r>
          </w:p>
        </w:tc>
        <w:tc>
          <w:tcPr>
            <w:tcW w:w="991" w:type="dxa"/>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iCs/>
                <w:sz w:val="18"/>
                <w:lang w:val="en-US"/>
              </w:rPr>
              <w:t>9.4</w:t>
            </w:r>
          </w:p>
        </w:tc>
      </w:tr>
      <w:tr w:rsidR="00D77BDC" w:rsidRPr="00EE4CF2" w:rsidTr="00B532BA">
        <w:tc>
          <w:tcPr>
            <w:tcW w:w="5387" w:type="dxa"/>
            <w:shd w:val="clear" w:color="auto" w:fill="auto"/>
            <w:tcMar>
              <w:top w:w="0" w:type="dxa"/>
              <w:left w:w="0" w:type="dxa"/>
              <w:bottom w:w="0" w:type="dxa"/>
              <w:right w:w="0" w:type="dxa"/>
            </w:tcMar>
            <w:hideMark/>
          </w:tcPr>
          <w:p w:rsidR="00D77BDC" w:rsidRPr="00EE4CF2" w:rsidRDefault="00D77BDC" w:rsidP="003977E1">
            <w:pPr>
              <w:pStyle w:val="SingleTxtG"/>
              <w:keepNext/>
              <w:keepLines/>
              <w:suppressAutoHyphens w:val="0"/>
              <w:spacing w:before="40" w:after="40" w:line="220" w:lineRule="exact"/>
              <w:ind w:left="0" w:right="0"/>
              <w:jc w:val="left"/>
              <w:rPr>
                <w:sz w:val="18"/>
                <w:lang w:val="en-US"/>
              </w:rPr>
            </w:pPr>
            <w:r w:rsidRPr="00EE4CF2">
              <w:rPr>
                <w:sz w:val="18"/>
                <w:lang w:val="en-US"/>
              </w:rPr>
              <w:t>Estimated number of persons in relative poverty</w:t>
            </w:r>
          </w:p>
        </w:tc>
        <w:tc>
          <w:tcPr>
            <w:tcW w:w="992" w:type="dxa"/>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sz w:val="18"/>
                <w:lang w:val="en-US"/>
              </w:rPr>
              <w:t>122</w:t>
            </w:r>
            <w:r w:rsidR="00B532BA">
              <w:rPr>
                <w:sz w:val="18"/>
                <w:lang w:val="en-US"/>
              </w:rPr>
              <w:t xml:space="preserve"> </w:t>
            </w:r>
            <w:r w:rsidRPr="00EE4CF2">
              <w:rPr>
                <w:sz w:val="18"/>
                <w:lang w:val="en-US"/>
              </w:rPr>
              <w:t>700</w:t>
            </w:r>
          </w:p>
        </w:tc>
        <w:tc>
          <w:tcPr>
            <w:tcW w:w="991" w:type="dxa"/>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sz w:val="18"/>
                <w:lang w:val="en-US"/>
              </w:rPr>
              <w:t>130</w:t>
            </w:r>
            <w:r w:rsidR="00B532BA">
              <w:rPr>
                <w:sz w:val="18"/>
                <w:lang w:val="en-US"/>
              </w:rPr>
              <w:t xml:space="preserve"> </w:t>
            </w:r>
            <w:r w:rsidRPr="00EE4CF2">
              <w:rPr>
                <w:sz w:val="18"/>
                <w:lang w:val="en-US"/>
              </w:rPr>
              <w:t>500</w:t>
            </w:r>
          </w:p>
        </w:tc>
      </w:tr>
      <w:tr w:rsidR="00D77BDC" w:rsidRPr="00EE4CF2" w:rsidTr="00B532BA">
        <w:tc>
          <w:tcPr>
            <w:tcW w:w="5387" w:type="dxa"/>
            <w:tcBorders>
              <w:bottom w:val="single" w:sz="12" w:space="0" w:color="auto"/>
            </w:tcBorders>
            <w:shd w:val="clear" w:color="auto" w:fill="auto"/>
            <w:tcMar>
              <w:top w:w="0" w:type="dxa"/>
              <w:left w:w="0" w:type="dxa"/>
              <w:bottom w:w="0" w:type="dxa"/>
              <w:right w:w="0" w:type="dxa"/>
            </w:tcMar>
            <w:hideMark/>
          </w:tcPr>
          <w:p w:rsidR="00D77BDC" w:rsidRPr="00EE4CF2" w:rsidRDefault="00D77BDC" w:rsidP="003977E1">
            <w:pPr>
              <w:pStyle w:val="SingleTxtG"/>
              <w:keepNext/>
              <w:keepLines/>
              <w:suppressAutoHyphens w:val="0"/>
              <w:spacing w:before="40" w:after="40" w:line="220" w:lineRule="exact"/>
              <w:ind w:left="0" w:right="0"/>
              <w:jc w:val="left"/>
              <w:rPr>
                <w:sz w:val="18"/>
                <w:lang w:val="en-US"/>
              </w:rPr>
            </w:pPr>
            <w:r w:rsidRPr="00EE4CF2">
              <w:rPr>
                <w:iCs/>
                <w:sz w:val="18"/>
                <w:lang w:val="en-US"/>
              </w:rPr>
              <w:t>Proportion of persons in relative poverty (%)</w:t>
            </w:r>
          </w:p>
        </w:tc>
        <w:tc>
          <w:tcPr>
            <w:tcW w:w="992" w:type="dxa"/>
            <w:tcBorders>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iCs/>
                <w:sz w:val="18"/>
                <w:lang w:val="en-US"/>
              </w:rPr>
              <w:t>9.8</w:t>
            </w:r>
          </w:p>
        </w:tc>
        <w:tc>
          <w:tcPr>
            <w:tcW w:w="991" w:type="dxa"/>
            <w:tcBorders>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B532BA">
            <w:pPr>
              <w:pStyle w:val="SingleTxtG"/>
              <w:keepNext/>
              <w:keepLines/>
              <w:suppressAutoHyphens w:val="0"/>
              <w:spacing w:before="40" w:after="40" w:line="220" w:lineRule="exact"/>
              <w:ind w:left="0" w:right="113"/>
              <w:jc w:val="right"/>
              <w:rPr>
                <w:sz w:val="18"/>
                <w:lang w:val="en-US"/>
              </w:rPr>
            </w:pPr>
            <w:r w:rsidRPr="00EE4CF2">
              <w:rPr>
                <w:iCs/>
                <w:sz w:val="18"/>
                <w:lang w:val="en-US"/>
              </w:rPr>
              <w:t>10.3</w:t>
            </w:r>
          </w:p>
        </w:tc>
      </w:tr>
    </w:tbl>
    <w:p w:rsidR="00D77BDC" w:rsidRPr="00EE4CF2" w:rsidRDefault="00D77BDC" w:rsidP="00D77BDC">
      <w:pPr>
        <w:pStyle w:val="SingleTxtG"/>
        <w:spacing w:before="120" w:after="0"/>
        <w:ind w:firstLine="170"/>
        <w:rPr>
          <w:i/>
          <w:sz w:val="18"/>
          <w:szCs w:val="18"/>
          <w:lang w:val="en-US"/>
        </w:rPr>
      </w:pPr>
      <w:r w:rsidRPr="00EE4CF2">
        <w:rPr>
          <w:bCs/>
          <w:i/>
          <w:iCs/>
          <w:sz w:val="18"/>
          <w:szCs w:val="18"/>
        </w:rPr>
        <w:t xml:space="preserve">Data source: </w:t>
      </w:r>
      <w:r w:rsidRPr="00EE4CF2">
        <w:rPr>
          <w:bCs/>
          <w:iCs/>
          <w:sz w:val="18"/>
          <w:szCs w:val="18"/>
        </w:rPr>
        <w:t>Household Budget Survey</w:t>
      </w:r>
      <w:r w:rsidR="00B10828">
        <w:rPr>
          <w:bCs/>
          <w:iCs/>
          <w:sz w:val="18"/>
          <w:szCs w:val="18"/>
        </w:rPr>
        <w:t>.</w:t>
      </w:r>
    </w:p>
    <w:p w:rsidR="00D77BDC" w:rsidRPr="00EE4CF2" w:rsidRDefault="00D77BDC" w:rsidP="00D77BDC">
      <w:pPr>
        <w:pStyle w:val="SingleTxtG"/>
        <w:spacing w:after="0"/>
        <w:ind w:firstLine="170"/>
        <w:rPr>
          <w:bCs/>
          <w:iCs/>
          <w:sz w:val="18"/>
          <w:szCs w:val="18"/>
        </w:rPr>
      </w:pPr>
      <w:r w:rsidRPr="00EE4CF2">
        <w:rPr>
          <w:bCs/>
          <w:sz w:val="18"/>
          <w:vertAlign w:val="superscript"/>
          <w:lang w:val="en-US"/>
        </w:rPr>
        <w:t>1</w:t>
      </w:r>
      <w:r w:rsidRPr="00EE4CF2">
        <w:rPr>
          <w:bCs/>
          <w:iCs/>
          <w:sz w:val="18"/>
          <w:szCs w:val="18"/>
        </w:rPr>
        <w:t xml:space="preserve">  Provisional figures.</w:t>
      </w:r>
    </w:p>
    <w:p w:rsidR="00D77BDC" w:rsidRPr="007F0AE3" w:rsidRDefault="00D77BDC" w:rsidP="00D77BDC">
      <w:pPr>
        <w:pStyle w:val="SingleTxtG"/>
        <w:spacing w:after="240"/>
        <w:ind w:firstLine="170"/>
      </w:pPr>
      <w:r w:rsidRPr="00EE4CF2">
        <w:rPr>
          <w:bCs/>
          <w:sz w:val="18"/>
          <w:vertAlign w:val="superscript"/>
          <w:lang w:val="en-US"/>
        </w:rPr>
        <w:t>2</w:t>
      </w:r>
      <w:r w:rsidRPr="00EE4CF2">
        <w:rPr>
          <w:bCs/>
          <w:iCs/>
          <w:sz w:val="18"/>
          <w:szCs w:val="18"/>
        </w:rPr>
        <w:t xml:space="preserve">  The RPL is calculated based on income – comprising household disposable income, and imputed rent (a rental value of non-renting households. The household income is expressed in terms of </w:t>
      </w:r>
      <w:r w:rsidR="007F0AE3">
        <w:rPr>
          <w:bCs/>
          <w:iCs/>
          <w:sz w:val="18"/>
          <w:szCs w:val="18"/>
        </w:rPr>
        <w:t>“</w:t>
      </w:r>
      <w:r w:rsidRPr="00EE4CF2">
        <w:rPr>
          <w:bCs/>
          <w:iCs/>
          <w:sz w:val="18"/>
          <w:szCs w:val="18"/>
        </w:rPr>
        <w:t>adult equivalent</w:t>
      </w:r>
      <w:r w:rsidR="007F0AE3">
        <w:rPr>
          <w:bCs/>
          <w:iCs/>
          <w:sz w:val="18"/>
          <w:szCs w:val="18"/>
        </w:rPr>
        <w:t>”</w:t>
      </w:r>
      <w:r w:rsidRPr="00EE4CF2">
        <w:rPr>
          <w:bCs/>
          <w:iCs/>
          <w:sz w:val="18"/>
          <w:szCs w:val="18"/>
        </w:rPr>
        <w:t xml:space="preserve"> by adjusting for household size and composition, and economies of scale</w:t>
      </w:r>
      <w:r w:rsidRPr="00EE4CF2">
        <w:rPr>
          <w:i/>
          <w:iCs/>
        </w:rPr>
        <w:t>.</w:t>
      </w:r>
    </w:p>
    <w:p w:rsidR="00D77BDC" w:rsidRPr="00EE4CF2" w:rsidRDefault="00D77BDC" w:rsidP="00D77BDC">
      <w:pPr>
        <w:pStyle w:val="SingleTxtG"/>
        <w:rPr>
          <w:lang w:val="en-US"/>
        </w:rPr>
      </w:pPr>
      <w:r w:rsidRPr="00EE4CF2">
        <w:rPr>
          <w:lang w:val="en-US"/>
        </w:rPr>
        <w:t>15.</w:t>
      </w:r>
      <w:r w:rsidRPr="00EE4CF2">
        <w:rPr>
          <w:lang w:val="en-US"/>
        </w:rPr>
        <w:tab/>
      </w:r>
      <w:r w:rsidRPr="00EE4CF2">
        <w:t>As regards the ratio </w:t>
      </w:r>
      <w:r w:rsidRPr="00EE4CF2">
        <w:rPr>
          <w:lang w:val="en-US"/>
        </w:rPr>
        <w:t>between total income accruing to the richest decile of the population and the total income of the 40 percent poorest of the population, Table 2 below provides the details.</w:t>
      </w:r>
    </w:p>
    <w:p w:rsidR="00D77BDC" w:rsidRPr="00EE4CF2" w:rsidRDefault="00D77BDC" w:rsidP="00D77BDC">
      <w:pPr>
        <w:pStyle w:val="Heading1"/>
        <w:spacing w:after="120"/>
        <w:rPr>
          <w:b/>
          <w:lang w:val="en-US"/>
        </w:rPr>
      </w:pPr>
      <w:r w:rsidRPr="00EE4CF2">
        <w:rPr>
          <w:lang w:val="en-US"/>
        </w:rPr>
        <w:t>Table 2</w:t>
      </w:r>
      <w:r w:rsidRPr="00EE4CF2">
        <w:rPr>
          <w:b/>
          <w:lang w:val="en-US"/>
        </w:rPr>
        <w:br/>
        <w:t>Ratio of income going to the highest 10% households to the lowest 40% households,</w:t>
      </w:r>
      <w:r w:rsidRPr="00EE4CF2">
        <w:rPr>
          <w:b/>
          <w:lang w:val="en-US"/>
        </w:rPr>
        <w:br/>
        <w:t>Republic of Mauritius, 2012 &amp; 2017</w:t>
      </w:r>
    </w:p>
    <w:tbl>
      <w:tblPr>
        <w:tblW w:w="7370" w:type="dxa"/>
        <w:tblInd w:w="1134" w:type="dxa"/>
        <w:tblLayout w:type="fixed"/>
        <w:tblCellMar>
          <w:left w:w="0" w:type="dxa"/>
          <w:right w:w="0" w:type="dxa"/>
        </w:tblCellMar>
        <w:tblLook w:val="04A0" w:firstRow="1" w:lastRow="0" w:firstColumn="1" w:lastColumn="0" w:noHBand="0" w:noVBand="1"/>
      </w:tblPr>
      <w:tblGrid>
        <w:gridCol w:w="2977"/>
        <w:gridCol w:w="2033"/>
        <w:gridCol w:w="2360"/>
      </w:tblGrid>
      <w:tr w:rsidR="00D77BDC" w:rsidRPr="00EE4CF2" w:rsidTr="00DE05E9">
        <w:trPr>
          <w:tblHeader/>
        </w:trPr>
        <w:tc>
          <w:tcPr>
            <w:tcW w:w="297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3977E1">
            <w:pPr>
              <w:pStyle w:val="SingleTxtG"/>
              <w:suppressAutoHyphens w:val="0"/>
              <w:spacing w:before="80" w:after="80" w:line="200" w:lineRule="exact"/>
              <w:ind w:left="0" w:right="0"/>
              <w:jc w:val="left"/>
              <w:rPr>
                <w:i/>
                <w:sz w:val="16"/>
                <w:lang w:val="en-US"/>
              </w:rPr>
            </w:pPr>
            <w:r w:rsidRPr="00EE4CF2">
              <w:rPr>
                <w:i/>
                <w:sz w:val="16"/>
                <w:lang w:val="en-US"/>
              </w:rPr>
              <w:t>Percentage of household income going to:</w:t>
            </w:r>
          </w:p>
        </w:tc>
        <w:tc>
          <w:tcPr>
            <w:tcW w:w="203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DE05E9">
            <w:pPr>
              <w:pStyle w:val="SingleTxtG"/>
              <w:suppressAutoHyphens w:val="0"/>
              <w:spacing w:before="80" w:after="80" w:line="200" w:lineRule="exact"/>
              <w:ind w:left="0" w:right="113"/>
              <w:jc w:val="right"/>
              <w:rPr>
                <w:i/>
                <w:sz w:val="16"/>
                <w:lang w:val="en-US"/>
              </w:rPr>
            </w:pPr>
            <w:r w:rsidRPr="00EE4CF2">
              <w:rPr>
                <w:bCs/>
                <w:i/>
                <w:sz w:val="16"/>
                <w:lang w:val="en-US"/>
              </w:rPr>
              <w:t>2012</w:t>
            </w:r>
          </w:p>
        </w:tc>
        <w:tc>
          <w:tcPr>
            <w:tcW w:w="23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DE05E9">
            <w:pPr>
              <w:pStyle w:val="SingleTxtG"/>
              <w:suppressAutoHyphens w:val="0"/>
              <w:spacing w:before="80" w:after="80" w:line="200" w:lineRule="exact"/>
              <w:ind w:left="0" w:right="113"/>
              <w:jc w:val="right"/>
              <w:rPr>
                <w:i/>
                <w:sz w:val="16"/>
                <w:lang w:val="en-US"/>
              </w:rPr>
            </w:pPr>
            <w:r w:rsidRPr="00EE4CF2">
              <w:rPr>
                <w:bCs/>
                <w:i/>
                <w:sz w:val="16"/>
                <w:lang w:val="en-US"/>
              </w:rPr>
              <w:t>2017</w:t>
            </w:r>
            <w:r w:rsidRPr="00EE4CF2">
              <w:rPr>
                <w:bCs/>
                <w:sz w:val="18"/>
                <w:vertAlign w:val="superscript"/>
                <w:lang w:val="en-US"/>
              </w:rPr>
              <w:t>1</w:t>
            </w:r>
          </w:p>
        </w:tc>
      </w:tr>
      <w:tr w:rsidR="00D77BDC" w:rsidRPr="00EE4CF2" w:rsidTr="00DE05E9">
        <w:tc>
          <w:tcPr>
            <w:tcW w:w="2977" w:type="dxa"/>
            <w:tcBorders>
              <w:top w:val="single" w:sz="12" w:space="0" w:color="auto"/>
            </w:tcBorders>
            <w:shd w:val="clear" w:color="auto" w:fill="auto"/>
            <w:tcMar>
              <w:top w:w="0" w:type="dxa"/>
              <w:left w:w="0" w:type="dxa"/>
              <w:bottom w:w="0" w:type="dxa"/>
              <w:right w:w="0" w:type="dxa"/>
            </w:tcMar>
            <w:hideMark/>
          </w:tcPr>
          <w:p w:rsidR="00D77BDC" w:rsidRPr="00EE4CF2" w:rsidRDefault="00D77BDC" w:rsidP="003977E1">
            <w:pPr>
              <w:pStyle w:val="SingleTxtG"/>
              <w:suppressAutoHyphens w:val="0"/>
              <w:spacing w:before="40" w:after="40" w:line="220" w:lineRule="exact"/>
              <w:ind w:left="0" w:right="0"/>
              <w:jc w:val="left"/>
              <w:rPr>
                <w:sz w:val="18"/>
                <w:lang w:val="en-US"/>
              </w:rPr>
            </w:pPr>
            <w:r w:rsidRPr="00EE4CF2">
              <w:rPr>
                <w:sz w:val="18"/>
                <w:lang w:val="en-US"/>
              </w:rPr>
              <w:t>Lowest 40% of households</w:t>
            </w:r>
          </w:p>
        </w:tc>
        <w:tc>
          <w:tcPr>
            <w:tcW w:w="2033" w:type="dxa"/>
            <w:tcBorders>
              <w:top w:val="single" w:sz="12" w:space="0" w:color="auto"/>
            </w:tcBorders>
            <w:shd w:val="clear" w:color="auto" w:fill="auto"/>
            <w:tcMar>
              <w:top w:w="0" w:type="dxa"/>
              <w:left w:w="0" w:type="dxa"/>
              <w:bottom w:w="0" w:type="dxa"/>
              <w:right w:w="0" w:type="dxa"/>
            </w:tcMar>
            <w:vAlign w:val="bottom"/>
            <w:hideMark/>
          </w:tcPr>
          <w:p w:rsidR="00D77BDC" w:rsidRPr="00EE4CF2" w:rsidRDefault="00D77BDC" w:rsidP="00DE05E9">
            <w:pPr>
              <w:pStyle w:val="SingleTxtG"/>
              <w:suppressAutoHyphens w:val="0"/>
              <w:spacing w:before="40" w:after="40" w:line="220" w:lineRule="exact"/>
              <w:ind w:left="0" w:right="113"/>
              <w:jc w:val="right"/>
              <w:rPr>
                <w:sz w:val="18"/>
                <w:lang w:val="en-US"/>
              </w:rPr>
            </w:pPr>
            <w:r w:rsidRPr="00EE4CF2">
              <w:rPr>
                <w:sz w:val="18"/>
                <w:lang w:val="en-US"/>
              </w:rPr>
              <w:t>15.7</w:t>
            </w:r>
          </w:p>
        </w:tc>
        <w:tc>
          <w:tcPr>
            <w:tcW w:w="2360" w:type="dxa"/>
            <w:tcBorders>
              <w:top w:val="single" w:sz="12" w:space="0" w:color="auto"/>
            </w:tcBorders>
            <w:shd w:val="clear" w:color="auto" w:fill="auto"/>
            <w:tcMar>
              <w:top w:w="0" w:type="dxa"/>
              <w:left w:w="0" w:type="dxa"/>
              <w:bottom w:w="0" w:type="dxa"/>
              <w:right w:w="0" w:type="dxa"/>
            </w:tcMar>
            <w:vAlign w:val="bottom"/>
            <w:hideMark/>
          </w:tcPr>
          <w:p w:rsidR="00D77BDC" w:rsidRPr="00EE4CF2" w:rsidRDefault="00D77BDC" w:rsidP="00DE05E9">
            <w:pPr>
              <w:pStyle w:val="SingleTxtG"/>
              <w:suppressAutoHyphens w:val="0"/>
              <w:spacing w:before="40" w:after="40" w:line="220" w:lineRule="exact"/>
              <w:ind w:left="0" w:right="113"/>
              <w:jc w:val="right"/>
              <w:rPr>
                <w:sz w:val="18"/>
                <w:lang w:val="en-US"/>
              </w:rPr>
            </w:pPr>
            <w:r w:rsidRPr="00EE4CF2">
              <w:rPr>
                <w:sz w:val="18"/>
                <w:lang w:val="en-US"/>
              </w:rPr>
              <w:t>16.0</w:t>
            </w:r>
          </w:p>
        </w:tc>
      </w:tr>
      <w:tr w:rsidR="00D77BDC" w:rsidRPr="00EE4CF2" w:rsidTr="00DE05E9">
        <w:tc>
          <w:tcPr>
            <w:tcW w:w="2977" w:type="dxa"/>
            <w:shd w:val="clear" w:color="auto" w:fill="auto"/>
            <w:tcMar>
              <w:top w:w="0" w:type="dxa"/>
              <w:left w:w="0" w:type="dxa"/>
              <w:bottom w:w="0" w:type="dxa"/>
              <w:right w:w="0" w:type="dxa"/>
            </w:tcMar>
            <w:hideMark/>
          </w:tcPr>
          <w:p w:rsidR="00D77BDC" w:rsidRPr="00EE4CF2" w:rsidRDefault="00D77BDC" w:rsidP="003977E1">
            <w:pPr>
              <w:pStyle w:val="SingleTxtG"/>
              <w:suppressAutoHyphens w:val="0"/>
              <w:spacing w:before="40" w:after="40" w:line="220" w:lineRule="exact"/>
              <w:ind w:left="0" w:right="0"/>
              <w:jc w:val="left"/>
              <w:rPr>
                <w:sz w:val="18"/>
                <w:lang w:val="en-US"/>
              </w:rPr>
            </w:pPr>
            <w:r w:rsidRPr="00EE4CF2">
              <w:rPr>
                <w:sz w:val="18"/>
                <w:lang w:val="en-US"/>
              </w:rPr>
              <w:t>Highest 10% of households</w:t>
            </w:r>
          </w:p>
        </w:tc>
        <w:tc>
          <w:tcPr>
            <w:tcW w:w="2033" w:type="dxa"/>
            <w:shd w:val="clear" w:color="auto" w:fill="auto"/>
            <w:tcMar>
              <w:top w:w="0" w:type="dxa"/>
              <w:left w:w="0" w:type="dxa"/>
              <w:bottom w:w="0" w:type="dxa"/>
              <w:right w:w="0" w:type="dxa"/>
            </w:tcMar>
            <w:vAlign w:val="bottom"/>
            <w:hideMark/>
          </w:tcPr>
          <w:p w:rsidR="00D77BDC" w:rsidRPr="00EE4CF2" w:rsidRDefault="00D77BDC" w:rsidP="00DE05E9">
            <w:pPr>
              <w:pStyle w:val="SingleTxtG"/>
              <w:suppressAutoHyphens w:val="0"/>
              <w:spacing w:before="40" w:after="40" w:line="220" w:lineRule="exact"/>
              <w:ind w:left="0" w:right="113"/>
              <w:jc w:val="right"/>
              <w:rPr>
                <w:sz w:val="18"/>
                <w:lang w:val="en-US"/>
              </w:rPr>
            </w:pPr>
            <w:r w:rsidRPr="00EE4CF2">
              <w:rPr>
                <w:sz w:val="18"/>
                <w:lang w:val="en-US"/>
              </w:rPr>
              <w:t>31.2</w:t>
            </w:r>
          </w:p>
        </w:tc>
        <w:tc>
          <w:tcPr>
            <w:tcW w:w="2360" w:type="dxa"/>
            <w:shd w:val="clear" w:color="auto" w:fill="auto"/>
            <w:tcMar>
              <w:top w:w="0" w:type="dxa"/>
              <w:left w:w="0" w:type="dxa"/>
              <w:bottom w:w="0" w:type="dxa"/>
              <w:right w:w="0" w:type="dxa"/>
            </w:tcMar>
            <w:vAlign w:val="bottom"/>
            <w:hideMark/>
          </w:tcPr>
          <w:p w:rsidR="00D77BDC" w:rsidRPr="00EE4CF2" w:rsidRDefault="00D77BDC" w:rsidP="00DE05E9">
            <w:pPr>
              <w:pStyle w:val="SingleTxtG"/>
              <w:suppressAutoHyphens w:val="0"/>
              <w:spacing w:before="40" w:after="40" w:line="220" w:lineRule="exact"/>
              <w:ind w:left="0" w:right="113"/>
              <w:jc w:val="right"/>
              <w:rPr>
                <w:sz w:val="18"/>
                <w:lang w:val="en-US"/>
              </w:rPr>
            </w:pPr>
            <w:r w:rsidRPr="00EE4CF2">
              <w:rPr>
                <w:sz w:val="18"/>
                <w:lang w:val="en-US"/>
              </w:rPr>
              <w:t>29.7</w:t>
            </w:r>
          </w:p>
        </w:tc>
      </w:tr>
      <w:tr w:rsidR="00D77BDC" w:rsidRPr="00EE4CF2" w:rsidTr="00DE05E9">
        <w:tc>
          <w:tcPr>
            <w:tcW w:w="2977" w:type="dxa"/>
            <w:tcBorders>
              <w:bottom w:val="single" w:sz="12" w:space="0" w:color="auto"/>
            </w:tcBorders>
            <w:shd w:val="clear" w:color="auto" w:fill="auto"/>
            <w:tcMar>
              <w:top w:w="0" w:type="dxa"/>
              <w:left w:w="0" w:type="dxa"/>
              <w:bottom w:w="0" w:type="dxa"/>
              <w:right w:w="0" w:type="dxa"/>
            </w:tcMar>
            <w:hideMark/>
          </w:tcPr>
          <w:p w:rsidR="00D77BDC" w:rsidRPr="00EE4CF2" w:rsidRDefault="00D77BDC" w:rsidP="003977E1">
            <w:pPr>
              <w:pStyle w:val="SingleTxtG"/>
              <w:suppressAutoHyphens w:val="0"/>
              <w:spacing w:before="40" w:after="40" w:line="220" w:lineRule="exact"/>
              <w:ind w:left="0" w:right="0"/>
              <w:jc w:val="left"/>
              <w:rPr>
                <w:sz w:val="18"/>
                <w:lang w:val="en-US"/>
              </w:rPr>
            </w:pPr>
            <w:r w:rsidRPr="00EE4CF2">
              <w:rPr>
                <w:sz w:val="18"/>
                <w:lang w:val="en-US"/>
              </w:rPr>
              <w:t>Ratio of highest 10% to lowest 40%</w:t>
            </w:r>
          </w:p>
        </w:tc>
        <w:tc>
          <w:tcPr>
            <w:tcW w:w="2033" w:type="dxa"/>
            <w:tcBorders>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DE05E9">
            <w:pPr>
              <w:pStyle w:val="SingleTxtG"/>
              <w:suppressAutoHyphens w:val="0"/>
              <w:spacing w:before="40" w:after="40" w:line="220" w:lineRule="exact"/>
              <w:ind w:left="0" w:right="113"/>
              <w:jc w:val="right"/>
              <w:rPr>
                <w:sz w:val="18"/>
                <w:lang w:val="en-US"/>
              </w:rPr>
            </w:pPr>
            <w:r w:rsidRPr="00EE4CF2">
              <w:rPr>
                <w:sz w:val="18"/>
                <w:lang w:val="en-US"/>
              </w:rPr>
              <w:t>2.0</w:t>
            </w:r>
          </w:p>
        </w:tc>
        <w:tc>
          <w:tcPr>
            <w:tcW w:w="2360" w:type="dxa"/>
            <w:tcBorders>
              <w:bottom w:val="single" w:sz="12" w:space="0" w:color="auto"/>
            </w:tcBorders>
            <w:shd w:val="clear" w:color="auto" w:fill="auto"/>
            <w:tcMar>
              <w:top w:w="0" w:type="dxa"/>
              <w:left w:w="0" w:type="dxa"/>
              <w:bottom w:w="0" w:type="dxa"/>
              <w:right w:w="0" w:type="dxa"/>
            </w:tcMar>
            <w:vAlign w:val="bottom"/>
            <w:hideMark/>
          </w:tcPr>
          <w:p w:rsidR="00D77BDC" w:rsidRPr="00EE4CF2" w:rsidRDefault="00D77BDC" w:rsidP="00DE05E9">
            <w:pPr>
              <w:pStyle w:val="SingleTxtG"/>
              <w:suppressAutoHyphens w:val="0"/>
              <w:spacing w:before="40" w:after="40" w:line="220" w:lineRule="exact"/>
              <w:ind w:left="0" w:right="113"/>
              <w:jc w:val="right"/>
              <w:rPr>
                <w:sz w:val="18"/>
                <w:lang w:val="en-US"/>
              </w:rPr>
            </w:pPr>
            <w:r w:rsidRPr="00EE4CF2">
              <w:rPr>
                <w:sz w:val="18"/>
                <w:lang w:val="en-US"/>
              </w:rPr>
              <w:t>1.9</w:t>
            </w:r>
          </w:p>
        </w:tc>
      </w:tr>
    </w:tbl>
    <w:p w:rsidR="00D77BDC" w:rsidRPr="00EE4CF2" w:rsidRDefault="00D77BDC" w:rsidP="009D39AA">
      <w:pPr>
        <w:pStyle w:val="SingleTxtG"/>
        <w:spacing w:before="120" w:after="0"/>
        <w:rPr>
          <w:bCs/>
          <w:i/>
          <w:iCs/>
          <w:sz w:val="18"/>
          <w:szCs w:val="18"/>
        </w:rPr>
      </w:pPr>
      <w:r w:rsidRPr="00EE4CF2">
        <w:rPr>
          <w:bCs/>
          <w:i/>
          <w:iCs/>
          <w:sz w:val="18"/>
          <w:szCs w:val="18"/>
        </w:rPr>
        <w:t xml:space="preserve">Data source: </w:t>
      </w:r>
      <w:r w:rsidRPr="00EE4CF2">
        <w:rPr>
          <w:bCs/>
          <w:iCs/>
          <w:sz w:val="18"/>
          <w:szCs w:val="18"/>
        </w:rPr>
        <w:t>Household Budget Survey</w:t>
      </w:r>
      <w:r w:rsidR="00B10828">
        <w:rPr>
          <w:bCs/>
          <w:iCs/>
          <w:sz w:val="18"/>
          <w:szCs w:val="18"/>
        </w:rPr>
        <w:t>.</w:t>
      </w:r>
    </w:p>
    <w:p w:rsidR="00D77BDC" w:rsidRPr="00EE4CF2" w:rsidRDefault="00D77BDC" w:rsidP="00D77BDC">
      <w:pPr>
        <w:pStyle w:val="SingleTxtG"/>
        <w:spacing w:after="0"/>
        <w:ind w:firstLine="170"/>
        <w:rPr>
          <w:lang w:val="en-US"/>
        </w:rPr>
      </w:pPr>
      <w:r w:rsidRPr="00EE4CF2">
        <w:rPr>
          <w:bCs/>
          <w:sz w:val="18"/>
          <w:vertAlign w:val="superscript"/>
          <w:lang w:val="en-US"/>
        </w:rPr>
        <w:t>1</w:t>
      </w:r>
      <w:r w:rsidRPr="00EE4CF2">
        <w:rPr>
          <w:bCs/>
          <w:iCs/>
          <w:sz w:val="18"/>
          <w:szCs w:val="18"/>
        </w:rPr>
        <w:t xml:space="preserve">  Provisional figures.</w:t>
      </w:r>
    </w:p>
    <w:p w:rsidR="00D77BDC" w:rsidRPr="00EE4CF2" w:rsidRDefault="00D77BDC" w:rsidP="00D77BDC">
      <w:pPr>
        <w:pStyle w:val="SingleTxtG"/>
        <w:ind w:firstLine="170"/>
        <w:rPr>
          <w:lang w:val="en-US"/>
        </w:rPr>
      </w:pPr>
      <w:r w:rsidRPr="00EE4CF2">
        <w:rPr>
          <w:bCs/>
          <w:sz w:val="18"/>
          <w:vertAlign w:val="superscript"/>
          <w:lang w:val="en-US"/>
        </w:rPr>
        <w:t>2</w:t>
      </w:r>
      <w:r w:rsidRPr="00EE4CF2">
        <w:rPr>
          <w:bCs/>
          <w:iCs/>
          <w:sz w:val="18"/>
          <w:szCs w:val="18"/>
        </w:rPr>
        <w:t xml:space="preserve">  Income from employment, transfers, property, and income obtained from own produced goods; it excludes compulsory deductions such as income tax (PAYE) and contributions to pension and social security schemes.</w:t>
      </w:r>
    </w:p>
    <w:p w:rsidR="00D77BDC" w:rsidRPr="00EE4CF2" w:rsidRDefault="00D77BDC" w:rsidP="00D77BDC">
      <w:pPr>
        <w:pStyle w:val="H23G"/>
        <w:rPr>
          <w:lang w:val="en-US"/>
        </w:rPr>
      </w:pPr>
      <w:r w:rsidRPr="00EE4CF2">
        <w:rPr>
          <w:lang w:val="en-US"/>
        </w:rPr>
        <w:tab/>
        <w:t>(b)</w:t>
      </w:r>
      <w:r w:rsidRPr="00EE4CF2">
        <w:rPr>
          <w:lang w:val="en-US"/>
        </w:rPr>
        <w:tab/>
        <w:t>The ratio of the public revenue to gross domestic product (GDP) and the proportion of public revenue that is financed through taxes</w:t>
      </w:r>
    </w:p>
    <w:p w:rsidR="00D77BDC" w:rsidRPr="00EE4CF2" w:rsidRDefault="00D77BDC" w:rsidP="00D77BDC">
      <w:pPr>
        <w:pStyle w:val="Heading1"/>
        <w:spacing w:after="120"/>
        <w:rPr>
          <w:b/>
          <w:lang w:val="en-US"/>
        </w:rPr>
      </w:pPr>
      <w:r w:rsidRPr="00EE4CF2">
        <w:rPr>
          <w:lang w:val="en-US"/>
        </w:rPr>
        <w:t>Table 3</w:t>
      </w:r>
      <w:r w:rsidRPr="00EE4CF2">
        <w:rPr>
          <w:b/>
          <w:lang w:val="en-US"/>
        </w:rPr>
        <w:br/>
        <w:t>Showing the ratio of the public revenue to gross domestic product (GDP) and the</w:t>
      </w:r>
      <w:r w:rsidRPr="00EE4CF2">
        <w:rPr>
          <w:b/>
          <w:lang w:val="en-US"/>
        </w:rPr>
        <w:br/>
        <w:t xml:space="preserve">proportion of public revenue that is financed through taxes is as hereunder </w:t>
      </w:r>
    </w:p>
    <w:tbl>
      <w:tblPr>
        <w:tblW w:w="7370" w:type="dxa"/>
        <w:tblInd w:w="1134" w:type="dxa"/>
        <w:tblLayout w:type="fixed"/>
        <w:tblCellMar>
          <w:left w:w="0" w:type="dxa"/>
          <w:right w:w="0" w:type="dxa"/>
        </w:tblCellMar>
        <w:tblLook w:val="04A0" w:firstRow="1" w:lastRow="0" w:firstColumn="1" w:lastColumn="0" w:noHBand="0" w:noVBand="1"/>
      </w:tblPr>
      <w:tblGrid>
        <w:gridCol w:w="3969"/>
        <w:gridCol w:w="993"/>
        <w:gridCol w:w="850"/>
        <w:gridCol w:w="709"/>
        <w:gridCol w:w="849"/>
      </w:tblGrid>
      <w:tr w:rsidR="00430F10" w:rsidRPr="00EE4CF2" w:rsidTr="00430F10">
        <w:trPr>
          <w:trHeight w:val="352"/>
          <w:tblHeader/>
        </w:trPr>
        <w:tc>
          <w:tcPr>
            <w:tcW w:w="3969" w:type="dxa"/>
            <w:tcBorders>
              <w:top w:val="single" w:sz="4" w:space="0" w:color="auto"/>
              <w:bottom w:val="single" w:sz="4" w:space="0" w:color="auto"/>
            </w:tcBorders>
            <w:shd w:val="clear" w:color="auto" w:fill="auto"/>
            <w:vAlign w:val="bottom"/>
            <w:hideMark/>
          </w:tcPr>
          <w:p w:rsidR="00D77BDC" w:rsidRPr="00EE4CF2" w:rsidRDefault="00D77BDC" w:rsidP="003977E1">
            <w:pPr>
              <w:pStyle w:val="SingleTxtG"/>
              <w:suppressAutoHyphens w:val="0"/>
              <w:spacing w:before="80" w:after="80" w:line="200" w:lineRule="exact"/>
              <w:ind w:left="0" w:right="0"/>
              <w:jc w:val="left"/>
              <w:rPr>
                <w:bCs/>
                <w:i/>
                <w:sz w:val="16"/>
                <w:lang w:val="en-US"/>
              </w:rPr>
            </w:pPr>
            <w:r w:rsidRPr="00EE4CF2">
              <w:rPr>
                <w:bCs/>
                <w:i/>
                <w:sz w:val="16"/>
                <w:lang w:val="en-US"/>
              </w:rPr>
              <w:t>Remarks</w:t>
            </w:r>
          </w:p>
        </w:tc>
        <w:tc>
          <w:tcPr>
            <w:tcW w:w="993" w:type="dxa"/>
            <w:tcBorders>
              <w:top w:val="single" w:sz="4" w:space="0" w:color="auto"/>
              <w:bottom w:val="single" w:sz="4" w:space="0" w:color="auto"/>
            </w:tcBorders>
            <w:shd w:val="clear" w:color="auto" w:fill="auto"/>
            <w:vAlign w:val="bottom"/>
            <w:hideMark/>
          </w:tcPr>
          <w:p w:rsidR="00D77BDC" w:rsidRPr="00EE4CF2" w:rsidRDefault="00D77BDC" w:rsidP="00AD56F3">
            <w:pPr>
              <w:pStyle w:val="SingleTxtG"/>
              <w:suppressAutoHyphens w:val="0"/>
              <w:spacing w:before="80" w:after="80" w:line="200" w:lineRule="exact"/>
              <w:ind w:left="0" w:right="113"/>
              <w:jc w:val="right"/>
              <w:rPr>
                <w:bCs/>
                <w:i/>
                <w:sz w:val="16"/>
                <w:lang w:val="en-US"/>
              </w:rPr>
            </w:pPr>
            <w:r w:rsidRPr="00EE4CF2">
              <w:rPr>
                <w:bCs/>
                <w:i/>
                <w:sz w:val="16"/>
                <w:lang w:val="en-US"/>
              </w:rPr>
              <w:t>Unit</w:t>
            </w:r>
          </w:p>
        </w:tc>
        <w:tc>
          <w:tcPr>
            <w:tcW w:w="850" w:type="dxa"/>
            <w:tcBorders>
              <w:top w:val="single" w:sz="4" w:space="0" w:color="auto"/>
              <w:bottom w:val="single" w:sz="4" w:space="0" w:color="auto"/>
            </w:tcBorders>
            <w:shd w:val="clear" w:color="auto" w:fill="auto"/>
            <w:vAlign w:val="bottom"/>
            <w:hideMark/>
          </w:tcPr>
          <w:p w:rsidR="00D77BDC" w:rsidRPr="00EE4CF2" w:rsidRDefault="00D77BDC" w:rsidP="00AD56F3">
            <w:pPr>
              <w:pStyle w:val="SingleTxtG"/>
              <w:suppressAutoHyphens w:val="0"/>
              <w:spacing w:before="80" w:after="80" w:line="200" w:lineRule="exact"/>
              <w:ind w:left="0" w:right="113"/>
              <w:jc w:val="right"/>
              <w:rPr>
                <w:bCs/>
                <w:i/>
                <w:sz w:val="16"/>
                <w:lang w:val="en-US"/>
              </w:rPr>
            </w:pPr>
            <w:r w:rsidRPr="00EE4CF2">
              <w:rPr>
                <w:bCs/>
                <w:i/>
                <w:sz w:val="16"/>
                <w:lang w:val="en-US"/>
              </w:rPr>
              <w:t>FY 2015/16</w:t>
            </w:r>
          </w:p>
        </w:tc>
        <w:tc>
          <w:tcPr>
            <w:tcW w:w="709" w:type="dxa"/>
            <w:tcBorders>
              <w:top w:val="single" w:sz="4" w:space="0" w:color="auto"/>
              <w:bottom w:val="single" w:sz="4" w:space="0" w:color="auto"/>
            </w:tcBorders>
            <w:shd w:val="clear" w:color="auto" w:fill="auto"/>
            <w:vAlign w:val="bottom"/>
            <w:hideMark/>
          </w:tcPr>
          <w:p w:rsidR="00D77BDC" w:rsidRPr="00EE4CF2" w:rsidRDefault="00D77BDC" w:rsidP="00AD56F3">
            <w:pPr>
              <w:pStyle w:val="SingleTxtG"/>
              <w:suppressAutoHyphens w:val="0"/>
              <w:spacing w:before="80" w:after="80" w:line="200" w:lineRule="exact"/>
              <w:ind w:left="0" w:right="113"/>
              <w:jc w:val="right"/>
              <w:rPr>
                <w:bCs/>
                <w:i/>
                <w:sz w:val="16"/>
                <w:lang w:val="en-US"/>
              </w:rPr>
            </w:pPr>
            <w:r w:rsidRPr="00EE4CF2">
              <w:rPr>
                <w:bCs/>
                <w:i/>
                <w:sz w:val="16"/>
                <w:lang w:val="en-US"/>
              </w:rPr>
              <w:t>FY 2016/17</w:t>
            </w:r>
          </w:p>
        </w:tc>
        <w:tc>
          <w:tcPr>
            <w:tcW w:w="849" w:type="dxa"/>
            <w:tcBorders>
              <w:top w:val="single" w:sz="4" w:space="0" w:color="auto"/>
              <w:bottom w:val="single" w:sz="4" w:space="0" w:color="auto"/>
            </w:tcBorders>
            <w:shd w:val="clear" w:color="auto" w:fill="auto"/>
            <w:vAlign w:val="bottom"/>
            <w:hideMark/>
          </w:tcPr>
          <w:p w:rsidR="00D77BDC" w:rsidRPr="00EE4CF2" w:rsidRDefault="00D77BDC" w:rsidP="00AD56F3">
            <w:pPr>
              <w:pStyle w:val="SingleTxtG"/>
              <w:suppressAutoHyphens w:val="0"/>
              <w:spacing w:before="80" w:after="80" w:line="200" w:lineRule="exact"/>
              <w:ind w:left="0" w:right="113"/>
              <w:jc w:val="right"/>
              <w:rPr>
                <w:bCs/>
                <w:i/>
                <w:sz w:val="16"/>
                <w:lang w:val="en-US"/>
              </w:rPr>
            </w:pPr>
            <w:r w:rsidRPr="00EE4CF2">
              <w:rPr>
                <w:bCs/>
                <w:i/>
                <w:sz w:val="16"/>
                <w:lang w:val="en-US"/>
              </w:rPr>
              <w:t>FY 2017/18</w:t>
            </w:r>
          </w:p>
        </w:tc>
      </w:tr>
      <w:tr w:rsidR="00430F10" w:rsidRPr="00EE4CF2" w:rsidTr="00430F10">
        <w:tc>
          <w:tcPr>
            <w:tcW w:w="3969" w:type="dxa"/>
            <w:tcBorders>
              <w:top w:val="single" w:sz="4" w:space="0" w:color="auto"/>
              <w:bottom w:val="single" w:sz="12" w:space="0" w:color="auto"/>
            </w:tcBorders>
            <w:shd w:val="clear" w:color="auto" w:fill="auto"/>
            <w:vAlign w:val="bottom"/>
            <w:hideMark/>
          </w:tcPr>
          <w:p w:rsidR="00D77BDC" w:rsidRPr="00AD56F3" w:rsidRDefault="00D77BDC" w:rsidP="00AD56F3">
            <w:pPr>
              <w:pStyle w:val="SingleTxtG"/>
              <w:suppressAutoHyphens w:val="0"/>
              <w:spacing w:before="80" w:after="80" w:line="200" w:lineRule="exact"/>
              <w:ind w:left="0" w:right="0"/>
              <w:jc w:val="left"/>
              <w:rPr>
                <w:bCs/>
                <w:i/>
                <w:sz w:val="16"/>
                <w:lang w:val="en-US"/>
              </w:rPr>
            </w:pPr>
            <w:r w:rsidRPr="00AD56F3">
              <w:rPr>
                <w:bCs/>
                <w:i/>
                <w:sz w:val="16"/>
                <w:lang w:val="en-US"/>
              </w:rPr>
              <w:t>Data from Central Government</w:t>
            </w:r>
          </w:p>
        </w:tc>
        <w:tc>
          <w:tcPr>
            <w:tcW w:w="993" w:type="dxa"/>
            <w:tcBorders>
              <w:top w:val="single" w:sz="4" w:space="0" w:color="auto"/>
              <w:bottom w:val="single" w:sz="12" w:space="0" w:color="auto"/>
            </w:tcBorders>
            <w:shd w:val="clear" w:color="auto" w:fill="auto"/>
            <w:vAlign w:val="bottom"/>
            <w:hideMark/>
          </w:tcPr>
          <w:p w:rsidR="00D77BDC" w:rsidRPr="00AD56F3" w:rsidRDefault="00D77BDC" w:rsidP="00AD56F3">
            <w:pPr>
              <w:pStyle w:val="SingleTxtG"/>
              <w:suppressAutoHyphens w:val="0"/>
              <w:spacing w:before="80" w:after="80" w:line="200" w:lineRule="exact"/>
              <w:ind w:left="0" w:right="113"/>
              <w:jc w:val="right"/>
              <w:rPr>
                <w:bCs/>
                <w:i/>
                <w:sz w:val="16"/>
                <w:lang w:val="en-US"/>
              </w:rPr>
            </w:pPr>
          </w:p>
        </w:tc>
        <w:tc>
          <w:tcPr>
            <w:tcW w:w="850" w:type="dxa"/>
            <w:tcBorders>
              <w:top w:val="single" w:sz="4" w:space="0" w:color="auto"/>
              <w:bottom w:val="single" w:sz="12" w:space="0" w:color="auto"/>
            </w:tcBorders>
            <w:shd w:val="clear" w:color="auto" w:fill="auto"/>
            <w:vAlign w:val="bottom"/>
            <w:hideMark/>
          </w:tcPr>
          <w:p w:rsidR="00D77BDC" w:rsidRPr="00AD56F3" w:rsidRDefault="00D77BDC" w:rsidP="00AD56F3">
            <w:pPr>
              <w:pStyle w:val="SingleTxtG"/>
              <w:suppressAutoHyphens w:val="0"/>
              <w:spacing w:before="80" w:after="80" w:line="200" w:lineRule="exact"/>
              <w:ind w:left="0" w:right="113"/>
              <w:jc w:val="right"/>
              <w:rPr>
                <w:bCs/>
                <w:i/>
                <w:sz w:val="16"/>
                <w:lang w:val="en-US"/>
              </w:rPr>
            </w:pPr>
          </w:p>
        </w:tc>
        <w:tc>
          <w:tcPr>
            <w:tcW w:w="709" w:type="dxa"/>
            <w:tcBorders>
              <w:top w:val="single" w:sz="4" w:space="0" w:color="auto"/>
              <w:bottom w:val="single" w:sz="12" w:space="0" w:color="auto"/>
            </w:tcBorders>
            <w:shd w:val="clear" w:color="auto" w:fill="auto"/>
            <w:vAlign w:val="bottom"/>
            <w:hideMark/>
          </w:tcPr>
          <w:p w:rsidR="00D77BDC" w:rsidRPr="00AD56F3" w:rsidRDefault="00D77BDC" w:rsidP="00AD56F3">
            <w:pPr>
              <w:pStyle w:val="SingleTxtG"/>
              <w:suppressAutoHyphens w:val="0"/>
              <w:spacing w:before="80" w:after="80" w:line="200" w:lineRule="exact"/>
              <w:ind w:left="0" w:right="113"/>
              <w:jc w:val="right"/>
              <w:rPr>
                <w:bCs/>
                <w:i/>
                <w:sz w:val="16"/>
                <w:lang w:val="en-US"/>
              </w:rPr>
            </w:pPr>
          </w:p>
        </w:tc>
        <w:tc>
          <w:tcPr>
            <w:tcW w:w="849" w:type="dxa"/>
            <w:tcBorders>
              <w:top w:val="single" w:sz="4" w:space="0" w:color="auto"/>
              <w:bottom w:val="single" w:sz="12" w:space="0" w:color="auto"/>
            </w:tcBorders>
            <w:shd w:val="clear" w:color="auto" w:fill="auto"/>
            <w:vAlign w:val="bottom"/>
            <w:hideMark/>
          </w:tcPr>
          <w:p w:rsidR="00D77BDC" w:rsidRPr="00AD56F3" w:rsidRDefault="00D77BDC" w:rsidP="00AD56F3">
            <w:pPr>
              <w:pStyle w:val="SingleTxtG"/>
              <w:suppressAutoHyphens w:val="0"/>
              <w:spacing w:before="80" w:after="80" w:line="200" w:lineRule="exact"/>
              <w:ind w:left="0" w:right="113"/>
              <w:jc w:val="right"/>
              <w:rPr>
                <w:bCs/>
                <w:i/>
                <w:sz w:val="16"/>
                <w:lang w:val="en-US"/>
              </w:rPr>
            </w:pPr>
            <w:r w:rsidRPr="00AD56F3">
              <w:rPr>
                <w:bCs/>
                <w:i/>
                <w:sz w:val="16"/>
                <w:lang w:val="en-US"/>
              </w:rPr>
              <w:t>Prov. Act</w:t>
            </w:r>
          </w:p>
        </w:tc>
      </w:tr>
      <w:tr w:rsidR="00430F10" w:rsidRPr="00EE4CF2" w:rsidTr="00430F10">
        <w:tc>
          <w:tcPr>
            <w:tcW w:w="3969" w:type="dxa"/>
            <w:tcBorders>
              <w:top w:val="single" w:sz="12" w:space="0" w:color="auto"/>
            </w:tcBorders>
            <w:shd w:val="clear" w:color="auto" w:fill="auto"/>
            <w:vAlign w:val="bottom"/>
            <w:hideMark/>
          </w:tcPr>
          <w:p w:rsidR="00D77BDC" w:rsidRPr="00EE4CF2" w:rsidRDefault="00D77BDC" w:rsidP="003977E1">
            <w:pPr>
              <w:pStyle w:val="SingleTxtG"/>
              <w:suppressAutoHyphens w:val="0"/>
              <w:spacing w:before="40" w:after="40" w:line="220" w:lineRule="exact"/>
              <w:ind w:left="0" w:right="0"/>
              <w:jc w:val="left"/>
              <w:rPr>
                <w:bCs/>
                <w:sz w:val="18"/>
                <w:lang w:val="en-US"/>
              </w:rPr>
            </w:pPr>
            <w:r w:rsidRPr="00EE4CF2">
              <w:rPr>
                <w:bCs/>
                <w:sz w:val="18"/>
                <w:lang w:val="en-US"/>
              </w:rPr>
              <w:t>% of Total revenue (including taxes, grants, social contributions, etc.) to GDP</w:t>
            </w:r>
          </w:p>
        </w:tc>
        <w:tc>
          <w:tcPr>
            <w:tcW w:w="993" w:type="dxa"/>
            <w:tcBorders>
              <w:top w:val="single" w:sz="12" w:space="0" w:color="auto"/>
            </w:tcBorders>
            <w:shd w:val="clear" w:color="auto" w:fill="auto"/>
            <w:vAlign w:val="bottom"/>
            <w:hideMark/>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w:t>
            </w:r>
          </w:p>
        </w:tc>
        <w:tc>
          <w:tcPr>
            <w:tcW w:w="850" w:type="dxa"/>
            <w:tcBorders>
              <w:top w:val="single" w:sz="12" w:space="0" w:color="auto"/>
            </w:tcBorders>
            <w:shd w:val="clear" w:color="auto" w:fill="auto"/>
            <w:noWrap/>
            <w:vAlign w:val="bottom"/>
            <w:hideMark/>
          </w:tcPr>
          <w:p w:rsidR="00D77BDC" w:rsidRPr="00EE4CF2" w:rsidRDefault="00D77BDC" w:rsidP="00AD56F3">
            <w:pPr>
              <w:pStyle w:val="SingleTxtG"/>
              <w:suppressAutoHyphens w:val="0"/>
              <w:spacing w:before="40" w:after="40" w:line="220" w:lineRule="exact"/>
              <w:ind w:left="0" w:right="113"/>
              <w:jc w:val="right"/>
              <w:rPr>
                <w:bCs/>
                <w:sz w:val="18"/>
                <w:lang w:val="en-US"/>
              </w:rPr>
            </w:pPr>
            <w:r w:rsidRPr="00EE4CF2">
              <w:rPr>
                <w:bCs/>
                <w:sz w:val="18"/>
                <w:lang w:val="en-US"/>
              </w:rPr>
              <w:t>21%</w:t>
            </w:r>
          </w:p>
        </w:tc>
        <w:tc>
          <w:tcPr>
            <w:tcW w:w="709" w:type="dxa"/>
            <w:tcBorders>
              <w:top w:val="single" w:sz="12" w:space="0" w:color="auto"/>
            </w:tcBorders>
            <w:shd w:val="clear" w:color="auto" w:fill="auto"/>
            <w:noWrap/>
            <w:vAlign w:val="bottom"/>
            <w:hideMark/>
          </w:tcPr>
          <w:p w:rsidR="00D77BDC" w:rsidRPr="00EE4CF2" w:rsidRDefault="00D77BDC" w:rsidP="00AD56F3">
            <w:pPr>
              <w:pStyle w:val="SingleTxtG"/>
              <w:suppressAutoHyphens w:val="0"/>
              <w:spacing w:before="40" w:after="40" w:line="220" w:lineRule="exact"/>
              <w:ind w:left="0" w:right="113"/>
              <w:jc w:val="right"/>
              <w:rPr>
                <w:bCs/>
                <w:sz w:val="18"/>
                <w:lang w:val="en-US"/>
              </w:rPr>
            </w:pPr>
            <w:r w:rsidRPr="00EE4CF2">
              <w:rPr>
                <w:bCs/>
                <w:sz w:val="18"/>
                <w:lang w:val="en-US"/>
              </w:rPr>
              <w:t>21%</w:t>
            </w:r>
          </w:p>
        </w:tc>
        <w:tc>
          <w:tcPr>
            <w:tcW w:w="849" w:type="dxa"/>
            <w:tcBorders>
              <w:top w:val="single" w:sz="12" w:space="0" w:color="auto"/>
            </w:tcBorders>
            <w:shd w:val="clear" w:color="auto" w:fill="auto"/>
            <w:noWrap/>
            <w:vAlign w:val="bottom"/>
            <w:hideMark/>
          </w:tcPr>
          <w:p w:rsidR="00D77BDC" w:rsidRPr="00EE4CF2" w:rsidRDefault="00D77BDC" w:rsidP="00AD56F3">
            <w:pPr>
              <w:pStyle w:val="SingleTxtG"/>
              <w:suppressAutoHyphens w:val="0"/>
              <w:spacing w:before="40" w:after="40" w:line="220" w:lineRule="exact"/>
              <w:ind w:left="0" w:right="113"/>
              <w:jc w:val="right"/>
              <w:rPr>
                <w:bCs/>
                <w:sz w:val="18"/>
                <w:lang w:val="en-US"/>
              </w:rPr>
            </w:pPr>
            <w:r w:rsidRPr="00EE4CF2">
              <w:rPr>
                <w:bCs/>
                <w:sz w:val="18"/>
                <w:lang w:val="en-US"/>
              </w:rPr>
              <w:t>22%</w:t>
            </w:r>
          </w:p>
        </w:tc>
      </w:tr>
      <w:tr w:rsidR="00430F10" w:rsidRPr="00EE4CF2" w:rsidTr="00430F10">
        <w:tc>
          <w:tcPr>
            <w:tcW w:w="3969" w:type="dxa"/>
            <w:shd w:val="clear" w:color="auto" w:fill="auto"/>
            <w:vAlign w:val="bottom"/>
            <w:hideMark/>
          </w:tcPr>
          <w:p w:rsidR="00D77BDC" w:rsidRPr="00EE4CF2" w:rsidRDefault="00D77BDC" w:rsidP="003977E1">
            <w:pPr>
              <w:pStyle w:val="SingleTxtG"/>
              <w:suppressAutoHyphens w:val="0"/>
              <w:spacing w:before="40" w:after="40" w:line="220" w:lineRule="exact"/>
              <w:ind w:left="0" w:right="0"/>
              <w:jc w:val="left"/>
              <w:rPr>
                <w:bCs/>
                <w:sz w:val="18"/>
                <w:lang w:val="en-US"/>
              </w:rPr>
            </w:pPr>
            <w:r w:rsidRPr="00EE4CF2">
              <w:rPr>
                <w:sz w:val="18"/>
                <w:lang w:val="en-US"/>
              </w:rPr>
              <w:t> </w:t>
            </w:r>
            <w:r w:rsidRPr="00EE4CF2">
              <w:rPr>
                <w:bCs/>
                <w:sz w:val="18"/>
                <w:lang w:val="en-US"/>
              </w:rPr>
              <w:t>% of taxes over total revenue</w:t>
            </w:r>
          </w:p>
        </w:tc>
        <w:tc>
          <w:tcPr>
            <w:tcW w:w="993" w:type="dxa"/>
            <w:shd w:val="clear" w:color="auto" w:fill="auto"/>
            <w:vAlign w:val="bottom"/>
            <w:hideMark/>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w:t>
            </w:r>
          </w:p>
        </w:tc>
        <w:tc>
          <w:tcPr>
            <w:tcW w:w="850" w:type="dxa"/>
            <w:shd w:val="clear" w:color="auto" w:fill="auto"/>
            <w:noWrap/>
            <w:vAlign w:val="bottom"/>
            <w:hideMark/>
          </w:tcPr>
          <w:p w:rsidR="00D77BDC" w:rsidRPr="00EE4CF2" w:rsidRDefault="00D77BDC" w:rsidP="00AD56F3">
            <w:pPr>
              <w:pStyle w:val="SingleTxtG"/>
              <w:suppressAutoHyphens w:val="0"/>
              <w:spacing w:before="40" w:after="40" w:line="220" w:lineRule="exact"/>
              <w:ind w:left="0" w:right="113"/>
              <w:jc w:val="right"/>
              <w:rPr>
                <w:bCs/>
                <w:sz w:val="18"/>
                <w:lang w:val="en-US"/>
              </w:rPr>
            </w:pPr>
            <w:r w:rsidRPr="00EE4CF2">
              <w:rPr>
                <w:bCs/>
                <w:sz w:val="18"/>
                <w:lang w:val="en-US"/>
              </w:rPr>
              <w:t>89%</w:t>
            </w:r>
          </w:p>
        </w:tc>
        <w:tc>
          <w:tcPr>
            <w:tcW w:w="709" w:type="dxa"/>
            <w:shd w:val="clear" w:color="auto" w:fill="auto"/>
            <w:noWrap/>
            <w:vAlign w:val="bottom"/>
            <w:hideMark/>
          </w:tcPr>
          <w:p w:rsidR="00D77BDC" w:rsidRPr="00EE4CF2" w:rsidRDefault="00D77BDC" w:rsidP="00AD56F3">
            <w:pPr>
              <w:pStyle w:val="SingleTxtG"/>
              <w:suppressAutoHyphens w:val="0"/>
              <w:spacing w:before="40" w:after="40" w:line="220" w:lineRule="exact"/>
              <w:ind w:left="0" w:right="113"/>
              <w:jc w:val="right"/>
              <w:rPr>
                <w:bCs/>
                <w:sz w:val="18"/>
                <w:lang w:val="en-US"/>
              </w:rPr>
            </w:pPr>
            <w:r w:rsidRPr="00EE4CF2">
              <w:rPr>
                <w:bCs/>
                <w:sz w:val="18"/>
                <w:lang w:val="en-US"/>
              </w:rPr>
              <w:t>89%</w:t>
            </w:r>
          </w:p>
        </w:tc>
        <w:tc>
          <w:tcPr>
            <w:tcW w:w="849" w:type="dxa"/>
            <w:shd w:val="clear" w:color="auto" w:fill="auto"/>
            <w:noWrap/>
            <w:vAlign w:val="bottom"/>
            <w:hideMark/>
          </w:tcPr>
          <w:p w:rsidR="00D77BDC" w:rsidRPr="00EE4CF2" w:rsidRDefault="00D77BDC" w:rsidP="00AD56F3">
            <w:pPr>
              <w:pStyle w:val="SingleTxtG"/>
              <w:suppressAutoHyphens w:val="0"/>
              <w:spacing w:before="40" w:after="40" w:line="220" w:lineRule="exact"/>
              <w:ind w:left="0" w:right="113"/>
              <w:jc w:val="right"/>
              <w:rPr>
                <w:bCs/>
                <w:sz w:val="18"/>
                <w:lang w:val="en-US"/>
              </w:rPr>
            </w:pPr>
            <w:r w:rsidRPr="00EE4CF2">
              <w:rPr>
                <w:bCs/>
                <w:sz w:val="18"/>
                <w:lang w:val="en-US"/>
              </w:rPr>
              <w:t>87%</w:t>
            </w:r>
          </w:p>
        </w:tc>
      </w:tr>
      <w:tr w:rsidR="00430F10" w:rsidRPr="00EE4CF2" w:rsidTr="00430F10">
        <w:tc>
          <w:tcPr>
            <w:tcW w:w="3969" w:type="dxa"/>
            <w:shd w:val="clear" w:color="auto" w:fill="auto"/>
            <w:vAlign w:val="bottom"/>
          </w:tcPr>
          <w:p w:rsidR="00D77BDC" w:rsidRPr="00EE4CF2" w:rsidRDefault="00D77BDC" w:rsidP="003977E1">
            <w:pPr>
              <w:pStyle w:val="SingleTxtG"/>
              <w:suppressAutoHyphens w:val="0"/>
              <w:spacing w:before="40" w:after="40" w:line="220" w:lineRule="exact"/>
              <w:ind w:left="0" w:right="0"/>
              <w:jc w:val="left"/>
              <w:rPr>
                <w:sz w:val="18"/>
                <w:lang w:val="en-US"/>
              </w:rPr>
            </w:pPr>
            <w:r w:rsidRPr="00EE4CF2">
              <w:rPr>
                <w:bCs/>
                <w:sz w:val="18"/>
                <w:lang w:val="en-US"/>
              </w:rPr>
              <w:t xml:space="preserve">Total Revenue </w:t>
            </w:r>
            <w:proofErr w:type="spellStart"/>
            <w:r w:rsidRPr="00EE4CF2">
              <w:rPr>
                <w:bCs/>
                <w:sz w:val="18"/>
                <w:lang w:val="en-US"/>
              </w:rPr>
              <w:t>incl</w:t>
            </w:r>
            <w:proofErr w:type="spellEnd"/>
            <w:r w:rsidRPr="00EE4CF2">
              <w:rPr>
                <w:bCs/>
                <w:sz w:val="18"/>
                <w:lang w:val="en-US"/>
              </w:rPr>
              <w:t xml:space="preserve"> taxes, grants, social contributions</w:t>
            </w:r>
          </w:p>
        </w:tc>
        <w:tc>
          <w:tcPr>
            <w:tcW w:w="993" w:type="dxa"/>
            <w:shd w:val="clear" w:color="auto" w:fill="auto"/>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proofErr w:type="spellStart"/>
            <w:r w:rsidRPr="00EE4CF2">
              <w:rPr>
                <w:sz w:val="18"/>
                <w:lang w:val="en-US"/>
              </w:rPr>
              <w:t>Rs</w:t>
            </w:r>
            <w:proofErr w:type="spellEnd"/>
            <w:r w:rsidRPr="00EE4CF2">
              <w:rPr>
                <w:sz w:val="18"/>
                <w:lang w:val="en-US"/>
              </w:rPr>
              <w:t xml:space="preserve"> million</w:t>
            </w:r>
          </w:p>
        </w:tc>
        <w:tc>
          <w:tcPr>
            <w:tcW w:w="850" w:type="dxa"/>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88</w:t>
            </w:r>
            <w:r w:rsidR="00430F10">
              <w:rPr>
                <w:sz w:val="18"/>
                <w:lang w:val="en-US"/>
              </w:rPr>
              <w:t xml:space="preserve"> </w:t>
            </w:r>
            <w:r w:rsidRPr="00EE4CF2">
              <w:rPr>
                <w:sz w:val="18"/>
                <w:lang w:val="en-US"/>
              </w:rPr>
              <w:t>262</w:t>
            </w:r>
          </w:p>
        </w:tc>
        <w:tc>
          <w:tcPr>
            <w:tcW w:w="709" w:type="dxa"/>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94</w:t>
            </w:r>
            <w:r w:rsidR="00430F10">
              <w:rPr>
                <w:sz w:val="18"/>
                <w:lang w:val="en-US"/>
              </w:rPr>
              <w:t xml:space="preserve"> </w:t>
            </w:r>
            <w:r w:rsidRPr="00EE4CF2">
              <w:rPr>
                <w:sz w:val="18"/>
                <w:lang w:val="en-US"/>
              </w:rPr>
              <w:t>101</w:t>
            </w:r>
          </w:p>
        </w:tc>
        <w:tc>
          <w:tcPr>
            <w:tcW w:w="849" w:type="dxa"/>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105</w:t>
            </w:r>
            <w:r w:rsidR="00430F10">
              <w:rPr>
                <w:sz w:val="18"/>
                <w:lang w:val="en-US"/>
              </w:rPr>
              <w:t xml:space="preserve"> </w:t>
            </w:r>
            <w:r w:rsidRPr="00EE4CF2">
              <w:rPr>
                <w:sz w:val="18"/>
                <w:lang w:val="en-US"/>
              </w:rPr>
              <w:t>584</w:t>
            </w:r>
          </w:p>
        </w:tc>
      </w:tr>
      <w:tr w:rsidR="00430F10" w:rsidRPr="00EE4CF2" w:rsidTr="00430F10">
        <w:tc>
          <w:tcPr>
            <w:tcW w:w="3969" w:type="dxa"/>
            <w:shd w:val="clear" w:color="auto" w:fill="auto"/>
            <w:vAlign w:val="bottom"/>
          </w:tcPr>
          <w:p w:rsidR="00D77BDC" w:rsidRPr="00EE4CF2" w:rsidRDefault="00D77BDC" w:rsidP="003977E1">
            <w:pPr>
              <w:pStyle w:val="SingleTxtG"/>
              <w:suppressAutoHyphens w:val="0"/>
              <w:spacing w:before="40" w:after="40" w:line="220" w:lineRule="exact"/>
              <w:ind w:left="0" w:right="0"/>
              <w:jc w:val="left"/>
              <w:rPr>
                <w:sz w:val="18"/>
                <w:lang w:val="en-US"/>
              </w:rPr>
            </w:pPr>
            <w:r w:rsidRPr="00EE4CF2">
              <w:rPr>
                <w:bCs/>
                <w:sz w:val="18"/>
                <w:lang w:val="en-US"/>
              </w:rPr>
              <w:t>Tax revenue</w:t>
            </w:r>
          </w:p>
        </w:tc>
        <w:tc>
          <w:tcPr>
            <w:tcW w:w="993" w:type="dxa"/>
            <w:shd w:val="clear" w:color="auto" w:fill="auto"/>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proofErr w:type="spellStart"/>
            <w:r w:rsidRPr="00EE4CF2">
              <w:rPr>
                <w:sz w:val="18"/>
                <w:lang w:val="en-US"/>
              </w:rPr>
              <w:t>Rs</w:t>
            </w:r>
            <w:proofErr w:type="spellEnd"/>
            <w:r w:rsidRPr="00EE4CF2">
              <w:rPr>
                <w:sz w:val="18"/>
                <w:lang w:val="en-US"/>
              </w:rPr>
              <w:t xml:space="preserve"> million</w:t>
            </w:r>
          </w:p>
        </w:tc>
        <w:tc>
          <w:tcPr>
            <w:tcW w:w="850" w:type="dxa"/>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78</w:t>
            </w:r>
            <w:r w:rsidR="00430F10">
              <w:rPr>
                <w:sz w:val="18"/>
                <w:lang w:val="en-US"/>
              </w:rPr>
              <w:t xml:space="preserve"> </w:t>
            </w:r>
            <w:r w:rsidRPr="00EE4CF2">
              <w:rPr>
                <w:sz w:val="18"/>
                <w:lang w:val="en-US"/>
              </w:rPr>
              <w:t xml:space="preserve">223 </w:t>
            </w:r>
          </w:p>
        </w:tc>
        <w:tc>
          <w:tcPr>
            <w:tcW w:w="709" w:type="dxa"/>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84</w:t>
            </w:r>
            <w:r w:rsidR="00430F10">
              <w:rPr>
                <w:sz w:val="18"/>
                <w:lang w:val="en-US"/>
              </w:rPr>
              <w:t xml:space="preserve"> </w:t>
            </w:r>
            <w:r w:rsidRPr="00EE4CF2">
              <w:rPr>
                <w:sz w:val="18"/>
                <w:lang w:val="en-US"/>
              </w:rPr>
              <w:t xml:space="preserve">148 </w:t>
            </w:r>
          </w:p>
        </w:tc>
        <w:tc>
          <w:tcPr>
            <w:tcW w:w="849" w:type="dxa"/>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91</w:t>
            </w:r>
            <w:r w:rsidR="00430F10">
              <w:rPr>
                <w:sz w:val="18"/>
                <w:lang w:val="en-US"/>
              </w:rPr>
              <w:t xml:space="preserve"> </w:t>
            </w:r>
            <w:r w:rsidRPr="00EE4CF2">
              <w:rPr>
                <w:sz w:val="18"/>
                <w:lang w:val="en-US"/>
              </w:rPr>
              <w:t>496</w:t>
            </w:r>
          </w:p>
        </w:tc>
      </w:tr>
      <w:tr w:rsidR="00430F10" w:rsidRPr="00EE4CF2" w:rsidTr="00430F10">
        <w:tc>
          <w:tcPr>
            <w:tcW w:w="3969"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left"/>
              <w:rPr>
                <w:sz w:val="18"/>
                <w:lang w:val="en-US"/>
              </w:rPr>
            </w:pPr>
            <w:r w:rsidRPr="00EE4CF2">
              <w:rPr>
                <w:bCs/>
                <w:sz w:val="18"/>
                <w:lang w:val="en-US"/>
              </w:rPr>
              <w:t>GDP at MP</w:t>
            </w:r>
          </w:p>
        </w:tc>
        <w:tc>
          <w:tcPr>
            <w:tcW w:w="993" w:type="dxa"/>
            <w:tcBorders>
              <w:bottom w:val="single" w:sz="12" w:space="0" w:color="auto"/>
            </w:tcBorders>
            <w:shd w:val="clear" w:color="auto" w:fill="auto"/>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proofErr w:type="spellStart"/>
            <w:r w:rsidRPr="00EE4CF2">
              <w:rPr>
                <w:sz w:val="18"/>
                <w:lang w:val="en-US"/>
              </w:rPr>
              <w:t>Rs</w:t>
            </w:r>
            <w:proofErr w:type="spellEnd"/>
            <w:r w:rsidRPr="00EE4CF2">
              <w:rPr>
                <w:sz w:val="18"/>
                <w:lang w:val="en-US"/>
              </w:rPr>
              <w:t xml:space="preserve"> million</w:t>
            </w:r>
          </w:p>
        </w:tc>
        <w:tc>
          <w:tcPr>
            <w:tcW w:w="850" w:type="dxa"/>
            <w:tcBorders>
              <w:bottom w:val="single" w:sz="12" w:space="0" w:color="auto"/>
            </w:tcBorders>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422</w:t>
            </w:r>
            <w:r w:rsidR="00430F10">
              <w:rPr>
                <w:sz w:val="18"/>
                <w:lang w:val="en-US"/>
              </w:rPr>
              <w:t xml:space="preserve"> </w:t>
            </w:r>
            <w:r w:rsidRPr="00EE4CF2">
              <w:rPr>
                <w:sz w:val="18"/>
                <w:lang w:val="en-US"/>
              </w:rPr>
              <w:t>083</w:t>
            </w:r>
          </w:p>
        </w:tc>
        <w:tc>
          <w:tcPr>
            <w:tcW w:w="709" w:type="dxa"/>
            <w:tcBorders>
              <w:bottom w:val="single" w:sz="12" w:space="0" w:color="auto"/>
            </w:tcBorders>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447</w:t>
            </w:r>
            <w:r w:rsidR="00430F10">
              <w:rPr>
                <w:sz w:val="18"/>
                <w:lang w:val="en-US"/>
              </w:rPr>
              <w:t xml:space="preserve"> </w:t>
            </w:r>
            <w:r w:rsidRPr="00EE4CF2">
              <w:rPr>
                <w:sz w:val="18"/>
                <w:lang w:val="en-US"/>
              </w:rPr>
              <w:t>721</w:t>
            </w:r>
          </w:p>
        </w:tc>
        <w:tc>
          <w:tcPr>
            <w:tcW w:w="849" w:type="dxa"/>
            <w:tcBorders>
              <w:bottom w:val="single" w:sz="12" w:space="0" w:color="auto"/>
            </w:tcBorders>
            <w:shd w:val="clear" w:color="auto" w:fill="auto"/>
            <w:noWrap/>
            <w:vAlign w:val="bottom"/>
          </w:tcPr>
          <w:p w:rsidR="00D77BDC" w:rsidRPr="00EE4CF2" w:rsidRDefault="00D77BDC" w:rsidP="00AD56F3">
            <w:pPr>
              <w:pStyle w:val="SingleTxtG"/>
              <w:suppressAutoHyphens w:val="0"/>
              <w:spacing w:before="40" w:after="40" w:line="220" w:lineRule="exact"/>
              <w:ind w:left="0" w:right="113"/>
              <w:jc w:val="right"/>
              <w:rPr>
                <w:sz w:val="18"/>
                <w:lang w:val="en-US"/>
              </w:rPr>
            </w:pPr>
            <w:r w:rsidRPr="00EE4CF2">
              <w:rPr>
                <w:sz w:val="18"/>
                <w:lang w:val="en-US"/>
              </w:rPr>
              <w:t>476</w:t>
            </w:r>
            <w:r w:rsidR="00430F10">
              <w:rPr>
                <w:sz w:val="18"/>
                <w:lang w:val="en-US"/>
              </w:rPr>
              <w:t xml:space="preserve"> </w:t>
            </w:r>
            <w:r w:rsidRPr="00EE4CF2">
              <w:rPr>
                <w:sz w:val="18"/>
                <w:lang w:val="en-US"/>
              </w:rPr>
              <w:t>300</w:t>
            </w:r>
          </w:p>
        </w:tc>
      </w:tr>
    </w:tbl>
    <w:p w:rsidR="00D77BDC" w:rsidRPr="00EE4CF2" w:rsidRDefault="00D77BDC" w:rsidP="00D77BDC">
      <w:pPr>
        <w:pStyle w:val="SingleTxtG"/>
        <w:ind w:firstLine="170"/>
        <w:rPr>
          <w:bCs/>
          <w:i/>
          <w:lang w:val="en-US"/>
        </w:rPr>
      </w:pPr>
      <w:r w:rsidRPr="00EE4CF2">
        <w:rPr>
          <w:bCs/>
          <w:i/>
          <w:iCs/>
          <w:sz w:val="18"/>
          <w:lang w:val="en-US"/>
        </w:rPr>
        <w:t xml:space="preserve">Source: </w:t>
      </w:r>
      <w:r w:rsidRPr="00EE4CF2">
        <w:rPr>
          <w:bCs/>
          <w:iCs/>
          <w:sz w:val="18"/>
          <w:lang w:val="en-US"/>
        </w:rPr>
        <w:t>Annual Report of the Treasury</w:t>
      </w:r>
      <w:r w:rsidRPr="00EE4CF2">
        <w:rPr>
          <w:bCs/>
          <w:i/>
          <w:iCs/>
          <w:sz w:val="18"/>
          <w:lang w:val="en-US"/>
        </w:rPr>
        <w:t>.</w:t>
      </w:r>
    </w:p>
    <w:p w:rsidR="00D77BDC" w:rsidRPr="00EE4CF2" w:rsidRDefault="00D77BDC" w:rsidP="00D77BDC">
      <w:pPr>
        <w:pStyle w:val="H23G"/>
        <w:rPr>
          <w:lang w:val="en-US"/>
        </w:rPr>
      </w:pPr>
      <w:r w:rsidRPr="00EE4CF2">
        <w:rPr>
          <w:lang w:val="en-US"/>
        </w:rPr>
        <w:lastRenderedPageBreak/>
        <w:tab/>
        <w:t>(c)</w:t>
      </w:r>
      <w:r w:rsidRPr="00EE4CF2">
        <w:rPr>
          <w:lang w:val="en-US"/>
        </w:rPr>
        <w:tab/>
        <w:t>The breakdown of the public budget allocated to social spending during the reporting cycle (education, food, health, social security, water and sanitation and housing) is hereunder</w:t>
      </w:r>
    </w:p>
    <w:p w:rsidR="00D77BDC" w:rsidRPr="00EE4CF2" w:rsidRDefault="00D77BDC" w:rsidP="00D77BDC">
      <w:pPr>
        <w:pStyle w:val="Heading1"/>
        <w:spacing w:after="120"/>
        <w:rPr>
          <w:b/>
          <w:lang w:val="en-US"/>
        </w:rPr>
      </w:pPr>
      <w:r w:rsidRPr="00EE4CF2">
        <w:rPr>
          <w:lang w:val="en-US"/>
        </w:rPr>
        <w:t>Table 4</w:t>
      </w:r>
      <w:r w:rsidRPr="00EE4CF2">
        <w:rPr>
          <w:b/>
          <w:lang w:val="en-US"/>
        </w:rPr>
        <w:br/>
        <w:t>Breakdown of Public Budget</w:t>
      </w:r>
    </w:p>
    <w:tbl>
      <w:tblPr>
        <w:tblW w:w="8505" w:type="dxa"/>
        <w:tblInd w:w="1134" w:type="dxa"/>
        <w:tblLayout w:type="fixed"/>
        <w:tblCellMar>
          <w:left w:w="0" w:type="dxa"/>
          <w:right w:w="0" w:type="dxa"/>
        </w:tblCellMar>
        <w:tblLook w:val="04A0" w:firstRow="1" w:lastRow="0" w:firstColumn="1" w:lastColumn="0" w:noHBand="0" w:noVBand="1"/>
      </w:tblPr>
      <w:tblGrid>
        <w:gridCol w:w="1985"/>
        <w:gridCol w:w="1086"/>
        <w:gridCol w:w="1087"/>
        <w:gridCol w:w="1087"/>
        <w:gridCol w:w="1086"/>
        <w:gridCol w:w="1087"/>
        <w:gridCol w:w="1087"/>
      </w:tblGrid>
      <w:tr w:rsidR="00D77BDC" w:rsidRPr="00EE4CF2" w:rsidTr="005F3068">
        <w:trPr>
          <w:tblHeader/>
        </w:trPr>
        <w:tc>
          <w:tcPr>
            <w:tcW w:w="1985" w:type="dxa"/>
            <w:tcBorders>
              <w:top w:val="single" w:sz="4" w:space="0" w:color="auto"/>
              <w:bottom w:val="single" w:sz="12" w:space="0" w:color="auto"/>
            </w:tcBorders>
            <w:shd w:val="clear" w:color="auto" w:fill="auto"/>
            <w:noWrap/>
            <w:vAlign w:val="bottom"/>
            <w:hideMark/>
          </w:tcPr>
          <w:p w:rsidR="00D77BDC" w:rsidRPr="00EE4CF2" w:rsidRDefault="00D77BDC" w:rsidP="003977E1">
            <w:pPr>
              <w:suppressAutoHyphens w:val="0"/>
              <w:spacing w:before="80" w:after="80" w:line="200" w:lineRule="exact"/>
              <w:rPr>
                <w:i/>
                <w:sz w:val="16"/>
                <w:lang w:val="en-US"/>
              </w:rPr>
            </w:pPr>
          </w:p>
        </w:tc>
        <w:tc>
          <w:tcPr>
            <w:tcW w:w="1086" w:type="dxa"/>
            <w:tcBorders>
              <w:top w:val="single" w:sz="4" w:space="0" w:color="auto"/>
              <w:bottom w:val="single" w:sz="12" w:space="0" w:color="auto"/>
            </w:tcBorders>
            <w:shd w:val="clear" w:color="auto" w:fill="auto"/>
            <w:vAlign w:val="bottom"/>
            <w:hideMark/>
          </w:tcPr>
          <w:p w:rsidR="00D77BDC" w:rsidRPr="00EE4CF2" w:rsidRDefault="00D77BDC" w:rsidP="003977E1">
            <w:pPr>
              <w:suppressAutoHyphens w:val="0"/>
              <w:spacing w:before="80" w:after="80" w:line="200" w:lineRule="exact"/>
              <w:jc w:val="right"/>
              <w:rPr>
                <w:bCs/>
                <w:i/>
                <w:sz w:val="16"/>
                <w:lang w:val="en-US"/>
              </w:rPr>
            </w:pPr>
            <w:r w:rsidRPr="00EE4CF2">
              <w:rPr>
                <w:bCs/>
                <w:i/>
                <w:sz w:val="16"/>
                <w:lang w:val="en-US"/>
              </w:rPr>
              <w:t>Budget 2015/16 (</w:t>
            </w:r>
            <w:proofErr w:type="spellStart"/>
            <w:r w:rsidRPr="00EE4CF2">
              <w:rPr>
                <w:bCs/>
                <w:i/>
                <w:sz w:val="16"/>
                <w:lang w:val="en-US"/>
              </w:rPr>
              <w:t>RsM</w:t>
            </w:r>
            <w:proofErr w:type="spellEnd"/>
            <w:r w:rsidRPr="00EE4CF2">
              <w:rPr>
                <w:bCs/>
                <w:i/>
                <w:sz w:val="16"/>
                <w:lang w:val="en-US"/>
              </w:rPr>
              <w:t>)</w:t>
            </w:r>
          </w:p>
        </w:tc>
        <w:tc>
          <w:tcPr>
            <w:tcW w:w="1087" w:type="dxa"/>
            <w:tcBorders>
              <w:top w:val="single" w:sz="4" w:space="0" w:color="auto"/>
              <w:bottom w:val="single" w:sz="12" w:space="0" w:color="auto"/>
            </w:tcBorders>
            <w:shd w:val="clear" w:color="auto" w:fill="auto"/>
            <w:vAlign w:val="bottom"/>
            <w:hideMark/>
          </w:tcPr>
          <w:p w:rsidR="00D77BDC" w:rsidRPr="00EE4CF2" w:rsidRDefault="00D77BDC" w:rsidP="003977E1">
            <w:pPr>
              <w:suppressAutoHyphens w:val="0"/>
              <w:spacing w:before="80" w:after="80" w:line="200" w:lineRule="exact"/>
              <w:jc w:val="right"/>
              <w:rPr>
                <w:bCs/>
                <w:i/>
                <w:sz w:val="16"/>
                <w:lang w:val="en-US"/>
              </w:rPr>
            </w:pPr>
            <w:r w:rsidRPr="00EE4CF2">
              <w:rPr>
                <w:bCs/>
                <w:i/>
                <w:sz w:val="16"/>
                <w:lang w:val="en-US"/>
              </w:rPr>
              <w:t>Actual 2015/16 (</w:t>
            </w:r>
            <w:proofErr w:type="spellStart"/>
            <w:r w:rsidRPr="00EE4CF2">
              <w:rPr>
                <w:bCs/>
                <w:i/>
                <w:sz w:val="16"/>
                <w:lang w:val="en-US"/>
              </w:rPr>
              <w:t>RsM</w:t>
            </w:r>
            <w:proofErr w:type="spellEnd"/>
            <w:r w:rsidRPr="00EE4CF2">
              <w:rPr>
                <w:bCs/>
                <w:i/>
                <w:sz w:val="16"/>
                <w:lang w:val="en-US"/>
              </w:rPr>
              <w:t>)</w:t>
            </w:r>
          </w:p>
        </w:tc>
        <w:tc>
          <w:tcPr>
            <w:tcW w:w="1087" w:type="dxa"/>
            <w:tcBorders>
              <w:top w:val="single" w:sz="4" w:space="0" w:color="auto"/>
              <w:bottom w:val="single" w:sz="12" w:space="0" w:color="auto"/>
            </w:tcBorders>
            <w:shd w:val="clear" w:color="auto" w:fill="auto"/>
            <w:vAlign w:val="bottom"/>
            <w:hideMark/>
          </w:tcPr>
          <w:p w:rsidR="00D77BDC" w:rsidRPr="00EE4CF2" w:rsidRDefault="00D77BDC" w:rsidP="003977E1">
            <w:pPr>
              <w:suppressAutoHyphens w:val="0"/>
              <w:spacing w:before="80" w:after="80" w:line="200" w:lineRule="exact"/>
              <w:jc w:val="right"/>
              <w:rPr>
                <w:bCs/>
                <w:i/>
                <w:sz w:val="16"/>
                <w:lang w:val="en-US"/>
              </w:rPr>
            </w:pPr>
            <w:r w:rsidRPr="00EE4CF2">
              <w:rPr>
                <w:bCs/>
                <w:i/>
                <w:sz w:val="16"/>
                <w:lang w:val="en-US"/>
              </w:rPr>
              <w:t>Budget 2016/17 (</w:t>
            </w:r>
            <w:proofErr w:type="spellStart"/>
            <w:r w:rsidRPr="00EE4CF2">
              <w:rPr>
                <w:bCs/>
                <w:i/>
                <w:sz w:val="16"/>
                <w:lang w:val="en-US"/>
              </w:rPr>
              <w:t>RsM</w:t>
            </w:r>
            <w:proofErr w:type="spellEnd"/>
            <w:r w:rsidRPr="00EE4CF2">
              <w:rPr>
                <w:bCs/>
                <w:i/>
                <w:sz w:val="16"/>
                <w:lang w:val="en-US"/>
              </w:rPr>
              <w:t>)</w:t>
            </w:r>
          </w:p>
        </w:tc>
        <w:tc>
          <w:tcPr>
            <w:tcW w:w="1086" w:type="dxa"/>
            <w:tcBorders>
              <w:top w:val="single" w:sz="4" w:space="0" w:color="auto"/>
              <w:bottom w:val="single" w:sz="12" w:space="0" w:color="auto"/>
            </w:tcBorders>
            <w:shd w:val="clear" w:color="auto" w:fill="auto"/>
            <w:vAlign w:val="bottom"/>
            <w:hideMark/>
          </w:tcPr>
          <w:p w:rsidR="00D77BDC" w:rsidRPr="00EE4CF2" w:rsidRDefault="00D77BDC" w:rsidP="003977E1">
            <w:pPr>
              <w:suppressAutoHyphens w:val="0"/>
              <w:spacing w:before="80" w:after="80" w:line="200" w:lineRule="exact"/>
              <w:jc w:val="right"/>
              <w:rPr>
                <w:bCs/>
                <w:i/>
                <w:sz w:val="16"/>
                <w:lang w:val="en-US"/>
              </w:rPr>
            </w:pPr>
            <w:r w:rsidRPr="00EE4CF2">
              <w:rPr>
                <w:bCs/>
                <w:i/>
                <w:sz w:val="16"/>
                <w:lang w:val="en-US"/>
              </w:rPr>
              <w:t>Actual 2016/17 (</w:t>
            </w:r>
            <w:proofErr w:type="spellStart"/>
            <w:r w:rsidRPr="00EE4CF2">
              <w:rPr>
                <w:bCs/>
                <w:i/>
                <w:sz w:val="16"/>
                <w:lang w:val="en-US"/>
              </w:rPr>
              <w:t>RsM</w:t>
            </w:r>
            <w:proofErr w:type="spellEnd"/>
            <w:r w:rsidRPr="00EE4CF2">
              <w:rPr>
                <w:bCs/>
                <w:i/>
                <w:sz w:val="16"/>
                <w:lang w:val="en-US"/>
              </w:rPr>
              <w:t>)</w:t>
            </w:r>
          </w:p>
        </w:tc>
        <w:tc>
          <w:tcPr>
            <w:tcW w:w="1087" w:type="dxa"/>
            <w:tcBorders>
              <w:top w:val="single" w:sz="4" w:space="0" w:color="auto"/>
              <w:bottom w:val="single" w:sz="12" w:space="0" w:color="auto"/>
            </w:tcBorders>
            <w:shd w:val="clear" w:color="auto" w:fill="auto"/>
            <w:vAlign w:val="bottom"/>
            <w:hideMark/>
          </w:tcPr>
          <w:p w:rsidR="00D77BDC" w:rsidRPr="00EE4CF2" w:rsidRDefault="00D77BDC" w:rsidP="003977E1">
            <w:pPr>
              <w:suppressAutoHyphens w:val="0"/>
              <w:spacing w:before="80" w:after="80" w:line="200" w:lineRule="exact"/>
              <w:jc w:val="right"/>
              <w:rPr>
                <w:bCs/>
                <w:i/>
                <w:sz w:val="16"/>
                <w:lang w:val="en-US"/>
              </w:rPr>
            </w:pPr>
            <w:r w:rsidRPr="00EE4CF2">
              <w:rPr>
                <w:bCs/>
                <w:i/>
                <w:sz w:val="16"/>
                <w:lang w:val="en-US"/>
              </w:rPr>
              <w:t>Budget 2017/18 (</w:t>
            </w:r>
            <w:proofErr w:type="spellStart"/>
            <w:r w:rsidRPr="00EE4CF2">
              <w:rPr>
                <w:bCs/>
                <w:i/>
                <w:sz w:val="16"/>
                <w:lang w:val="en-US"/>
              </w:rPr>
              <w:t>RsM</w:t>
            </w:r>
            <w:proofErr w:type="spellEnd"/>
            <w:r w:rsidRPr="00EE4CF2">
              <w:rPr>
                <w:bCs/>
                <w:i/>
                <w:sz w:val="16"/>
                <w:lang w:val="en-US"/>
              </w:rPr>
              <w:t>)</w:t>
            </w:r>
          </w:p>
        </w:tc>
        <w:tc>
          <w:tcPr>
            <w:tcW w:w="1087" w:type="dxa"/>
            <w:tcBorders>
              <w:top w:val="single" w:sz="4" w:space="0" w:color="auto"/>
              <w:bottom w:val="single" w:sz="12" w:space="0" w:color="auto"/>
            </w:tcBorders>
            <w:shd w:val="clear" w:color="auto" w:fill="auto"/>
            <w:noWrap/>
            <w:vAlign w:val="bottom"/>
            <w:hideMark/>
          </w:tcPr>
          <w:p w:rsidR="00D77BDC" w:rsidRPr="00EE4CF2" w:rsidRDefault="00D77BDC" w:rsidP="003977E1">
            <w:pPr>
              <w:suppressAutoHyphens w:val="0"/>
              <w:spacing w:before="80" w:after="80" w:line="200" w:lineRule="exact"/>
              <w:jc w:val="right"/>
              <w:rPr>
                <w:bCs/>
                <w:i/>
                <w:sz w:val="16"/>
                <w:lang w:val="en-US"/>
              </w:rPr>
            </w:pPr>
            <w:r w:rsidRPr="00EE4CF2">
              <w:rPr>
                <w:bCs/>
                <w:i/>
                <w:sz w:val="16"/>
                <w:lang w:val="en-US"/>
              </w:rPr>
              <w:t>Actual 2017/18 (</w:t>
            </w:r>
            <w:proofErr w:type="spellStart"/>
            <w:r w:rsidRPr="00EE4CF2">
              <w:rPr>
                <w:bCs/>
                <w:i/>
                <w:sz w:val="16"/>
                <w:lang w:val="en-US"/>
              </w:rPr>
              <w:t>RsM</w:t>
            </w:r>
            <w:proofErr w:type="spellEnd"/>
            <w:r w:rsidRPr="00EE4CF2">
              <w:rPr>
                <w:bCs/>
                <w:i/>
                <w:sz w:val="16"/>
                <w:lang w:val="en-US"/>
              </w:rPr>
              <w:t>)</w:t>
            </w:r>
          </w:p>
        </w:tc>
      </w:tr>
      <w:tr w:rsidR="00D77BDC" w:rsidRPr="00EE4CF2" w:rsidTr="005F3068">
        <w:tc>
          <w:tcPr>
            <w:tcW w:w="1985" w:type="dxa"/>
            <w:shd w:val="clear" w:color="auto" w:fill="auto"/>
            <w:noWrap/>
            <w:hideMark/>
          </w:tcPr>
          <w:p w:rsidR="00D77BDC" w:rsidRPr="00EE4CF2" w:rsidRDefault="00D77BDC" w:rsidP="003977E1">
            <w:pPr>
              <w:suppressAutoHyphens w:val="0"/>
              <w:spacing w:before="40" w:after="40" w:line="220" w:lineRule="exact"/>
              <w:rPr>
                <w:bCs/>
                <w:sz w:val="18"/>
                <w:lang w:val="en-US"/>
              </w:rPr>
            </w:pPr>
            <w:r w:rsidRPr="00EE4CF2">
              <w:rPr>
                <w:bCs/>
                <w:sz w:val="18"/>
                <w:lang w:val="en-US"/>
              </w:rPr>
              <w:t>Ministry of Education, HR,</w:t>
            </w:r>
            <w:r w:rsidR="0027502A">
              <w:rPr>
                <w:bCs/>
                <w:sz w:val="18"/>
                <w:lang w:val="en-US"/>
              </w:rPr>
              <w:t xml:space="preserve"> </w:t>
            </w:r>
            <w:r w:rsidRPr="00EE4CF2">
              <w:rPr>
                <w:bCs/>
                <w:sz w:val="18"/>
                <w:lang w:val="en-US"/>
              </w:rPr>
              <w:t>TE</w:t>
            </w:r>
            <w:r w:rsidR="0027502A">
              <w:rPr>
                <w:bCs/>
                <w:sz w:val="18"/>
                <w:lang w:val="en-US"/>
              </w:rPr>
              <w:t xml:space="preserve"> </w:t>
            </w:r>
            <w:r w:rsidRPr="00EE4CF2">
              <w:rPr>
                <w:bCs/>
                <w:sz w:val="18"/>
                <w:lang w:val="en-US"/>
              </w:rPr>
              <w:t>&amp;</w:t>
            </w:r>
            <w:r w:rsidR="0027502A">
              <w:rPr>
                <w:bCs/>
                <w:sz w:val="18"/>
                <w:lang w:val="en-US"/>
              </w:rPr>
              <w:t xml:space="preserve"> </w:t>
            </w:r>
            <w:r w:rsidRPr="00EE4CF2">
              <w:rPr>
                <w:bCs/>
                <w:sz w:val="18"/>
                <w:lang w:val="en-US"/>
              </w:rPr>
              <w:t>SR</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14</w:t>
            </w:r>
            <w:r w:rsidR="00DF4586">
              <w:rPr>
                <w:sz w:val="18"/>
                <w:lang w:val="en-US"/>
              </w:rPr>
              <w:t xml:space="preserve"> </w:t>
            </w:r>
            <w:r w:rsidRPr="00EE4CF2">
              <w:rPr>
                <w:sz w:val="18"/>
                <w:lang w:val="en-US"/>
              </w:rPr>
              <w:t>725</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14</w:t>
            </w:r>
            <w:r w:rsidR="00DF4586">
              <w:rPr>
                <w:sz w:val="18"/>
                <w:lang w:val="en-US"/>
              </w:rPr>
              <w:t xml:space="preserve"> </w:t>
            </w:r>
            <w:r w:rsidRPr="00EE4CF2">
              <w:rPr>
                <w:sz w:val="18"/>
                <w:lang w:val="en-US"/>
              </w:rPr>
              <w:t>507</w:t>
            </w:r>
            <w:r w:rsidR="00DF4586">
              <w:rPr>
                <w:sz w:val="18"/>
                <w:lang w:val="en-US"/>
              </w:rPr>
              <w:t xml:space="preserve"> </w:t>
            </w:r>
            <w:r w:rsidRPr="00EE4CF2">
              <w:rPr>
                <w:sz w:val="18"/>
                <w:lang w:val="en-US"/>
              </w:rPr>
              <w:t>673</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16</w:t>
            </w:r>
            <w:r w:rsidR="00DF4586">
              <w:rPr>
                <w:sz w:val="18"/>
                <w:lang w:val="en-US"/>
              </w:rPr>
              <w:t xml:space="preserve"> </w:t>
            </w:r>
            <w:r w:rsidRPr="00EE4CF2">
              <w:rPr>
                <w:sz w:val="18"/>
                <w:lang w:val="en-US"/>
              </w:rPr>
              <w:t>109</w:t>
            </w:r>
            <w:r w:rsidR="00DF4586">
              <w:rPr>
                <w:sz w:val="18"/>
                <w:lang w:val="en-US"/>
              </w:rPr>
              <w:t xml:space="preserve"> </w:t>
            </w:r>
            <w:r w:rsidRPr="00EE4CF2">
              <w:rPr>
                <w:sz w:val="18"/>
                <w:lang w:val="en-US"/>
              </w:rPr>
              <w:t>000</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15</w:t>
            </w:r>
            <w:r w:rsidR="00DF4586">
              <w:rPr>
                <w:sz w:val="18"/>
                <w:lang w:val="en-US"/>
              </w:rPr>
              <w:t xml:space="preserve"> </w:t>
            </w:r>
            <w:r w:rsidRPr="00EE4CF2">
              <w:rPr>
                <w:sz w:val="18"/>
                <w:lang w:val="en-US"/>
              </w:rPr>
              <w:t>346</w:t>
            </w:r>
            <w:r w:rsidR="00DF4586">
              <w:rPr>
                <w:sz w:val="18"/>
                <w:lang w:val="en-US"/>
              </w:rPr>
              <w:t xml:space="preserve"> </w:t>
            </w:r>
            <w:r w:rsidRPr="00EE4CF2">
              <w:rPr>
                <w:sz w:val="18"/>
                <w:lang w:val="en-US"/>
              </w:rPr>
              <w:t>219</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16</w:t>
            </w:r>
            <w:r w:rsidR="00DF4586">
              <w:rPr>
                <w:sz w:val="18"/>
                <w:lang w:val="en-US"/>
              </w:rPr>
              <w:t xml:space="preserve"> </w:t>
            </w:r>
            <w:r w:rsidRPr="00EE4CF2">
              <w:rPr>
                <w:sz w:val="18"/>
                <w:lang w:val="en-US"/>
              </w:rPr>
              <w:t>600</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15</w:t>
            </w:r>
            <w:r w:rsidR="00DF4586">
              <w:rPr>
                <w:sz w:val="18"/>
                <w:lang w:val="en-US"/>
              </w:rPr>
              <w:t xml:space="preserve"> </w:t>
            </w:r>
            <w:r w:rsidRPr="00EE4CF2">
              <w:rPr>
                <w:sz w:val="18"/>
                <w:lang w:val="en-US"/>
              </w:rPr>
              <w:t>766</w:t>
            </w:r>
            <w:r w:rsidR="00DF4586">
              <w:rPr>
                <w:sz w:val="18"/>
                <w:lang w:val="en-US"/>
              </w:rPr>
              <w:t xml:space="preserve"> </w:t>
            </w:r>
            <w:r w:rsidRPr="00EE4CF2">
              <w:rPr>
                <w:sz w:val="18"/>
                <w:lang w:val="en-US"/>
              </w:rPr>
              <w:t>988</w:t>
            </w:r>
          </w:p>
        </w:tc>
      </w:tr>
      <w:tr w:rsidR="00D77BDC" w:rsidRPr="00EE4CF2" w:rsidTr="005F3068">
        <w:tc>
          <w:tcPr>
            <w:tcW w:w="1985" w:type="dxa"/>
            <w:shd w:val="clear" w:color="auto" w:fill="auto"/>
            <w:hideMark/>
          </w:tcPr>
          <w:p w:rsidR="00D77BDC" w:rsidRPr="00EE4CF2" w:rsidRDefault="00D77BDC" w:rsidP="003977E1">
            <w:pPr>
              <w:suppressAutoHyphens w:val="0"/>
              <w:spacing w:before="40" w:after="40" w:line="220" w:lineRule="exact"/>
              <w:rPr>
                <w:bCs/>
                <w:sz w:val="18"/>
                <w:lang w:val="en-US"/>
              </w:rPr>
            </w:pPr>
            <w:r w:rsidRPr="00EE4CF2">
              <w:rPr>
                <w:bCs/>
                <w:sz w:val="18"/>
                <w:lang w:val="en-US"/>
              </w:rPr>
              <w:t>Ministry of Agro-Industry</w:t>
            </w:r>
            <w:r w:rsidR="0027502A">
              <w:rPr>
                <w:bCs/>
                <w:sz w:val="18"/>
                <w:lang w:val="en-US"/>
              </w:rPr>
              <w:t xml:space="preserve"> </w:t>
            </w:r>
            <w:r w:rsidRPr="00EE4CF2">
              <w:rPr>
                <w:bCs/>
                <w:sz w:val="18"/>
                <w:lang w:val="en-US"/>
              </w:rPr>
              <w:t>&amp;</w:t>
            </w:r>
            <w:r w:rsidR="0027502A">
              <w:rPr>
                <w:bCs/>
                <w:sz w:val="18"/>
                <w:lang w:val="en-US"/>
              </w:rPr>
              <w:t xml:space="preserve"> </w:t>
            </w:r>
            <w:r w:rsidRPr="00EE4CF2">
              <w:rPr>
                <w:bCs/>
                <w:sz w:val="18"/>
                <w:lang w:val="en-US"/>
              </w:rPr>
              <w:t>Food Security</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458</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260</w:t>
            </w:r>
            <w:r w:rsidR="00DF4586">
              <w:rPr>
                <w:sz w:val="18"/>
                <w:lang w:val="en-US"/>
              </w:rPr>
              <w:t xml:space="preserve"> </w:t>
            </w:r>
            <w:r w:rsidRPr="00EE4CF2">
              <w:rPr>
                <w:sz w:val="18"/>
                <w:lang w:val="en-US"/>
              </w:rPr>
              <w:t>248</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611</w:t>
            </w:r>
            <w:r w:rsidR="00DF4586">
              <w:rPr>
                <w:sz w:val="18"/>
                <w:lang w:val="en-US"/>
              </w:rPr>
              <w:t xml:space="preserve"> </w:t>
            </w:r>
            <w:r w:rsidRPr="00EE4CF2">
              <w:rPr>
                <w:sz w:val="18"/>
                <w:lang w:val="en-US"/>
              </w:rPr>
              <w:t>000</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290</w:t>
            </w:r>
            <w:r w:rsidR="00DF4586">
              <w:rPr>
                <w:sz w:val="18"/>
                <w:lang w:val="en-US"/>
              </w:rPr>
              <w:t xml:space="preserve"> </w:t>
            </w:r>
            <w:r w:rsidRPr="00EE4CF2">
              <w:rPr>
                <w:sz w:val="18"/>
                <w:lang w:val="en-US"/>
              </w:rPr>
              <w:t>767</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592</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246</w:t>
            </w:r>
            <w:r w:rsidR="00DF4586">
              <w:rPr>
                <w:sz w:val="18"/>
                <w:lang w:val="en-US"/>
              </w:rPr>
              <w:t xml:space="preserve"> </w:t>
            </w:r>
            <w:r w:rsidRPr="00EE4CF2">
              <w:rPr>
                <w:sz w:val="18"/>
                <w:lang w:val="en-US"/>
              </w:rPr>
              <w:t>025</w:t>
            </w:r>
          </w:p>
        </w:tc>
      </w:tr>
      <w:tr w:rsidR="00D77BDC" w:rsidRPr="00EE4CF2" w:rsidTr="005F3068">
        <w:tc>
          <w:tcPr>
            <w:tcW w:w="1985" w:type="dxa"/>
            <w:shd w:val="clear" w:color="auto" w:fill="auto"/>
            <w:hideMark/>
          </w:tcPr>
          <w:p w:rsidR="00D77BDC" w:rsidRPr="00EE4CF2" w:rsidRDefault="00D77BDC" w:rsidP="003977E1">
            <w:pPr>
              <w:suppressAutoHyphens w:val="0"/>
              <w:spacing w:before="40" w:after="40" w:line="220" w:lineRule="exact"/>
              <w:rPr>
                <w:bCs/>
                <w:sz w:val="18"/>
                <w:lang w:val="en-US"/>
              </w:rPr>
            </w:pPr>
            <w:r w:rsidRPr="00EE4CF2">
              <w:rPr>
                <w:bCs/>
                <w:sz w:val="18"/>
                <w:lang w:val="en-US"/>
              </w:rPr>
              <w:t>Ministry of Health</w:t>
            </w:r>
            <w:r w:rsidR="0027502A">
              <w:rPr>
                <w:bCs/>
                <w:sz w:val="18"/>
                <w:lang w:val="en-US"/>
              </w:rPr>
              <w:t xml:space="preserve"> </w:t>
            </w:r>
            <w:r w:rsidRPr="00EE4CF2">
              <w:rPr>
                <w:bCs/>
                <w:sz w:val="18"/>
                <w:lang w:val="en-US"/>
              </w:rPr>
              <w:t>&amp;</w:t>
            </w:r>
            <w:r w:rsidR="0027502A">
              <w:rPr>
                <w:bCs/>
                <w:sz w:val="18"/>
                <w:lang w:val="en-US"/>
              </w:rPr>
              <w:t xml:space="preserve"> </w:t>
            </w:r>
            <w:r w:rsidRPr="00EE4CF2">
              <w:rPr>
                <w:bCs/>
                <w:sz w:val="18"/>
                <w:lang w:val="en-US"/>
              </w:rPr>
              <w:t>Quality of Life</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9</w:t>
            </w:r>
            <w:r w:rsidR="00DF4586">
              <w:rPr>
                <w:sz w:val="18"/>
                <w:lang w:val="en-US"/>
              </w:rPr>
              <w:t xml:space="preserve"> </w:t>
            </w:r>
            <w:r w:rsidRPr="00EE4CF2">
              <w:rPr>
                <w:sz w:val="18"/>
                <w:lang w:val="en-US"/>
              </w:rPr>
              <w:t>720</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9</w:t>
            </w:r>
            <w:r w:rsidR="00DF4586">
              <w:rPr>
                <w:sz w:val="18"/>
                <w:lang w:val="en-US"/>
              </w:rPr>
              <w:t xml:space="preserve"> </w:t>
            </w:r>
            <w:r w:rsidRPr="00EE4CF2">
              <w:rPr>
                <w:sz w:val="18"/>
                <w:lang w:val="en-US"/>
              </w:rPr>
              <w:t>685</w:t>
            </w:r>
            <w:r w:rsidR="00DF4586">
              <w:rPr>
                <w:sz w:val="18"/>
                <w:lang w:val="en-US"/>
              </w:rPr>
              <w:t xml:space="preserve"> </w:t>
            </w:r>
            <w:r w:rsidRPr="00EE4CF2">
              <w:rPr>
                <w:sz w:val="18"/>
                <w:lang w:val="en-US"/>
              </w:rPr>
              <w:t>953</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10</w:t>
            </w:r>
            <w:r w:rsidR="00DF4586">
              <w:rPr>
                <w:sz w:val="18"/>
                <w:lang w:val="en-US"/>
              </w:rPr>
              <w:t xml:space="preserve"> </w:t>
            </w:r>
            <w:r w:rsidRPr="00EE4CF2">
              <w:rPr>
                <w:sz w:val="18"/>
                <w:lang w:val="en-US"/>
              </w:rPr>
              <w:t>900</w:t>
            </w:r>
            <w:r w:rsidR="00DF4586">
              <w:rPr>
                <w:sz w:val="18"/>
                <w:lang w:val="en-US"/>
              </w:rPr>
              <w:t xml:space="preserve"> </w:t>
            </w:r>
            <w:r w:rsidRPr="00EE4CF2">
              <w:rPr>
                <w:sz w:val="18"/>
                <w:lang w:val="en-US"/>
              </w:rPr>
              <w:t>000</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10</w:t>
            </w:r>
            <w:r w:rsidR="00DF4586">
              <w:rPr>
                <w:sz w:val="18"/>
                <w:lang w:val="en-US"/>
              </w:rPr>
              <w:t xml:space="preserve"> </w:t>
            </w:r>
            <w:r w:rsidRPr="00EE4CF2">
              <w:rPr>
                <w:sz w:val="18"/>
                <w:lang w:val="en-US"/>
              </w:rPr>
              <w:t>741</w:t>
            </w:r>
            <w:r w:rsidR="00DF4586">
              <w:rPr>
                <w:sz w:val="18"/>
                <w:lang w:val="en-US"/>
              </w:rPr>
              <w:t xml:space="preserve"> </w:t>
            </w:r>
            <w:r w:rsidRPr="00EE4CF2">
              <w:rPr>
                <w:sz w:val="18"/>
                <w:lang w:val="en-US"/>
              </w:rPr>
              <w:t>574</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11</w:t>
            </w:r>
            <w:r w:rsidR="00DF4586">
              <w:rPr>
                <w:sz w:val="18"/>
                <w:lang w:val="en-US"/>
              </w:rPr>
              <w:t xml:space="preserve"> </w:t>
            </w:r>
            <w:r w:rsidRPr="00EE4CF2">
              <w:rPr>
                <w:sz w:val="18"/>
                <w:lang w:val="en-US"/>
              </w:rPr>
              <w:t>672</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11</w:t>
            </w:r>
            <w:r w:rsidR="00DF4586">
              <w:rPr>
                <w:sz w:val="18"/>
                <w:lang w:val="en-US"/>
              </w:rPr>
              <w:t xml:space="preserve"> </w:t>
            </w:r>
            <w:r w:rsidRPr="00EE4CF2">
              <w:rPr>
                <w:sz w:val="18"/>
                <w:lang w:val="en-US"/>
              </w:rPr>
              <w:t>097</w:t>
            </w:r>
            <w:r w:rsidR="00DF4586">
              <w:rPr>
                <w:sz w:val="18"/>
                <w:lang w:val="en-US"/>
              </w:rPr>
              <w:t xml:space="preserve"> </w:t>
            </w:r>
            <w:r w:rsidRPr="00EE4CF2">
              <w:rPr>
                <w:sz w:val="18"/>
                <w:lang w:val="en-US"/>
              </w:rPr>
              <w:t>560</w:t>
            </w:r>
          </w:p>
        </w:tc>
      </w:tr>
      <w:tr w:rsidR="00D77BDC" w:rsidRPr="00EE4CF2" w:rsidTr="005F3068">
        <w:tc>
          <w:tcPr>
            <w:tcW w:w="1985" w:type="dxa"/>
            <w:shd w:val="clear" w:color="auto" w:fill="auto"/>
            <w:hideMark/>
          </w:tcPr>
          <w:p w:rsidR="00D77BDC" w:rsidRPr="00EE4CF2" w:rsidRDefault="00D77BDC" w:rsidP="003977E1">
            <w:pPr>
              <w:suppressAutoHyphens w:val="0"/>
              <w:spacing w:before="40" w:after="40" w:line="220" w:lineRule="exact"/>
              <w:rPr>
                <w:bCs/>
                <w:sz w:val="18"/>
                <w:lang w:val="en-US"/>
              </w:rPr>
            </w:pPr>
            <w:r w:rsidRPr="00EE4CF2">
              <w:rPr>
                <w:bCs/>
                <w:sz w:val="18"/>
                <w:lang w:val="en-US"/>
              </w:rPr>
              <w:t>Ministry of Social Security and National Solidarity</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18730000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19</w:t>
            </w:r>
            <w:r w:rsidR="00DF4586">
              <w:rPr>
                <w:sz w:val="18"/>
                <w:lang w:val="en-US"/>
              </w:rPr>
              <w:t xml:space="preserve"> </w:t>
            </w:r>
            <w:r w:rsidRPr="00EE4CF2">
              <w:rPr>
                <w:sz w:val="18"/>
                <w:lang w:val="en-US"/>
              </w:rPr>
              <w:t>833</w:t>
            </w:r>
            <w:r w:rsidR="00DF4586">
              <w:rPr>
                <w:sz w:val="18"/>
                <w:lang w:val="en-US"/>
              </w:rPr>
              <w:t xml:space="preserve"> </w:t>
            </w:r>
            <w:r w:rsidRPr="00EE4CF2">
              <w:rPr>
                <w:sz w:val="18"/>
                <w:lang w:val="en-US"/>
              </w:rPr>
              <w:t>821</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21</w:t>
            </w:r>
            <w:r w:rsidR="00DF4586">
              <w:rPr>
                <w:sz w:val="18"/>
                <w:lang w:val="en-US"/>
              </w:rPr>
              <w:t xml:space="preserve"> </w:t>
            </w:r>
            <w:r w:rsidRPr="00EE4CF2">
              <w:rPr>
                <w:sz w:val="18"/>
                <w:lang w:val="en-US"/>
              </w:rPr>
              <w:t>235</w:t>
            </w:r>
            <w:r w:rsidR="00DF4586">
              <w:rPr>
                <w:sz w:val="18"/>
                <w:lang w:val="en-US"/>
              </w:rPr>
              <w:t xml:space="preserve"> </w:t>
            </w:r>
            <w:r w:rsidRPr="00EE4CF2">
              <w:rPr>
                <w:sz w:val="18"/>
                <w:lang w:val="en-US"/>
              </w:rPr>
              <w:t>000</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21</w:t>
            </w:r>
            <w:r w:rsidR="00DF4586">
              <w:rPr>
                <w:sz w:val="18"/>
                <w:lang w:val="en-US"/>
              </w:rPr>
              <w:t xml:space="preserve"> </w:t>
            </w:r>
            <w:r w:rsidRPr="00EE4CF2">
              <w:rPr>
                <w:sz w:val="18"/>
                <w:lang w:val="en-US"/>
              </w:rPr>
              <w:t>264</w:t>
            </w:r>
            <w:r w:rsidR="00DF4586">
              <w:rPr>
                <w:sz w:val="18"/>
                <w:lang w:val="en-US"/>
              </w:rPr>
              <w:t xml:space="preserve"> </w:t>
            </w:r>
            <w:r w:rsidRPr="00EE4CF2">
              <w:rPr>
                <w:sz w:val="18"/>
                <w:lang w:val="en-US"/>
              </w:rPr>
              <w:t>645</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22</w:t>
            </w:r>
            <w:r w:rsidR="00DF4586">
              <w:rPr>
                <w:sz w:val="18"/>
                <w:lang w:val="en-US"/>
              </w:rPr>
              <w:t xml:space="preserve"> </w:t>
            </w:r>
            <w:r w:rsidRPr="00EE4CF2">
              <w:rPr>
                <w:sz w:val="18"/>
                <w:lang w:val="en-US"/>
              </w:rPr>
              <w:t>780</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22</w:t>
            </w:r>
            <w:r w:rsidR="00DF4586">
              <w:rPr>
                <w:sz w:val="18"/>
                <w:lang w:val="en-US"/>
              </w:rPr>
              <w:t xml:space="preserve"> </w:t>
            </w:r>
            <w:r w:rsidRPr="00EE4CF2">
              <w:rPr>
                <w:sz w:val="18"/>
                <w:lang w:val="en-US"/>
              </w:rPr>
              <w:t>374</w:t>
            </w:r>
            <w:r w:rsidR="00DF4586">
              <w:rPr>
                <w:sz w:val="18"/>
                <w:lang w:val="en-US"/>
              </w:rPr>
              <w:t xml:space="preserve"> </w:t>
            </w:r>
            <w:r w:rsidRPr="00EE4CF2">
              <w:rPr>
                <w:sz w:val="18"/>
                <w:lang w:val="en-US"/>
              </w:rPr>
              <w:t>500</w:t>
            </w:r>
          </w:p>
        </w:tc>
      </w:tr>
      <w:tr w:rsidR="009235F0" w:rsidRPr="00EE4CF2" w:rsidTr="003977E1">
        <w:tc>
          <w:tcPr>
            <w:tcW w:w="8505" w:type="dxa"/>
            <w:gridSpan w:val="7"/>
            <w:shd w:val="clear" w:color="auto" w:fill="auto"/>
            <w:hideMark/>
          </w:tcPr>
          <w:p w:rsidR="009235F0" w:rsidRPr="00EE4CF2" w:rsidRDefault="009235F0" w:rsidP="009235F0">
            <w:pPr>
              <w:suppressAutoHyphens w:val="0"/>
              <w:spacing w:before="40" w:after="40" w:line="220" w:lineRule="exact"/>
              <w:rPr>
                <w:sz w:val="18"/>
                <w:lang w:val="en-US"/>
              </w:rPr>
            </w:pPr>
            <w:r w:rsidRPr="00EE4CF2">
              <w:rPr>
                <w:bCs/>
                <w:sz w:val="18"/>
                <w:lang w:val="en-US"/>
              </w:rPr>
              <w:t xml:space="preserve">Ministry of Public Utilities </w:t>
            </w:r>
          </w:p>
        </w:tc>
      </w:tr>
      <w:tr w:rsidR="00D77BDC" w:rsidRPr="00EE4CF2" w:rsidTr="005F3068">
        <w:tc>
          <w:tcPr>
            <w:tcW w:w="1985" w:type="dxa"/>
            <w:shd w:val="clear" w:color="auto" w:fill="auto"/>
            <w:noWrap/>
            <w:hideMark/>
          </w:tcPr>
          <w:p w:rsidR="00D77BDC" w:rsidRPr="00EE4CF2" w:rsidRDefault="00D77BDC" w:rsidP="003977E1">
            <w:pPr>
              <w:suppressAutoHyphens w:val="0"/>
              <w:spacing w:before="40" w:after="40" w:line="220" w:lineRule="exact"/>
              <w:rPr>
                <w:iCs/>
                <w:sz w:val="18"/>
                <w:lang w:val="en-US"/>
              </w:rPr>
            </w:pPr>
            <w:proofErr w:type="spellStart"/>
            <w:r w:rsidRPr="00EE4CF2">
              <w:rPr>
                <w:iCs/>
                <w:sz w:val="18"/>
                <w:lang w:val="en-US"/>
              </w:rPr>
              <w:t>i</w:t>
            </w:r>
            <w:proofErr w:type="spellEnd"/>
            <w:r w:rsidRPr="00EE4CF2">
              <w:rPr>
                <w:iCs/>
                <w:sz w:val="18"/>
                <w:lang w:val="en-US"/>
              </w:rPr>
              <w:t>. General</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59</w:t>
            </w:r>
            <w:r w:rsidR="00DF4586">
              <w:rPr>
                <w:sz w:val="18"/>
                <w:lang w:val="en-US"/>
              </w:rPr>
              <w:t xml:space="preserve"> </w:t>
            </w:r>
            <w:r w:rsidRPr="00EE4CF2">
              <w:rPr>
                <w:sz w:val="18"/>
                <w:lang w:val="en-US"/>
              </w:rPr>
              <w:t>700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20</w:t>
            </w:r>
            <w:r w:rsidR="00DF4586">
              <w:rPr>
                <w:sz w:val="18"/>
                <w:lang w:val="en-US"/>
              </w:rPr>
              <w:t xml:space="preserve"> </w:t>
            </w:r>
            <w:r w:rsidRPr="00EE4CF2">
              <w:rPr>
                <w:sz w:val="18"/>
                <w:lang w:val="en-US"/>
              </w:rPr>
              <w:t>243</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60</w:t>
            </w:r>
            <w:r w:rsidR="00DF4586">
              <w:rPr>
                <w:sz w:val="18"/>
                <w:lang w:val="en-US"/>
              </w:rPr>
              <w:t xml:space="preserve"> </w:t>
            </w:r>
            <w:r w:rsidRPr="00EE4CF2">
              <w:rPr>
                <w:sz w:val="18"/>
                <w:lang w:val="en-US"/>
              </w:rPr>
              <w:t>650</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52</w:t>
            </w:r>
            <w:r w:rsidR="00DF4586">
              <w:rPr>
                <w:sz w:val="18"/>
                <w:lang w:val="en-US"/>
              </w:rPr>
              <w:t xml:space="preserve"> </w:t>
            </w:r>
            <w:r w:rsidRPr="00EE4CF2">
              <w:rPr>
                <w:sz w:val="18"/>
                <w:lang w:val="en-US"/>
              </w:rPr>
              <w:t>137</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82</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75</w:t>
            </w:r>
            <w:r w:rsidR="00DF4586">
              <w:rPr>
                <w:sz w:val="18"/>
                <w:lang w:val="en-US"/>
              </w:rPr>
              <w:t xml:space="preserve"> </w:t>
            </w:r>
            <w:r w:rsidRPr="00EE4CF2">
              <w:rPr>
                <w:sz w:val="18"/>
                <w:lang w:val="en-US"/>
              </w:rPr>
              <w:t>923</w:t>
            </w:r>
          </w:p>
        </w:tc>
      </w:tr>
      <w:tr w:rsidR="00D77BDC" w:rsidRPr="00EE4CF2" w:rsidTr="005F3068">
        <w:tc>
          <w:tcPr>
            <w:tcW w:w="1985" w:type="dxa"/>
            <w:shd w:val="clear" w:color="auto" w:fill="auto"/>
            <w:noWrap/>
            <w:hideMark/>
          </w:tcPr>
          <w:p w:rsidR="00D77BDC" w:rsidRPr="00EE4CF2" w:rsidRDefault="00D77BDC" w:rsidP="003977E1">
            <w:pPr>
              <w:suppressAutoHyphens w:val="0"/>
              <w:spacing w:before="40" w:after="40" w:line="220" w:lineRule="exact"/>
              <w:rPr>
                <w:iCs/>
                <w:sz w:val="18"/>
                <w:lang w:val="en-US"/>
              </w:rPr>
            </w:pPr>
            <w:r w:rsidRPr="00EE4CF2">
              <w:rPr>
                <w:iCs/>
                <w:sz w:val="18"/>
                <w:lang w:val="en-US"/>
              </w:rPr>
              <w:t>ii. Water services</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 xml:space="preserve">1928930 </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w:t>
            </w:r>
            <w:r w:rsidR="00DF4586">
              <w:rPr>
                <w:sz w:val="18"/>
                <w:lang w:val="en-US"/>
              </w:rPr>
              <w:t xml:space="preserve"> </w:t>
            </w:r>
            <w:r w:rsidRPr="00EE4CF2">
              <w:rPr>
                <w:sz w:val="18"/>
                <w:lang w:val="en-US"/>
              </w:rPr>
              <w:t>361</w:t>
            </w:r>
            <w:r w:rsidR="00DF4586">
              <w:rPr>
                <w:sz w:val="18"/>
                <w:lang w:val="en-US"/>
              </w:rPr>
              <w:t xml:space="preserve"> </w:t>
            </w:r>
            <w:r w:rsidRPr="00EE4CF2">
              <w:rPr>
                <w:sz w:val="18"/>
                <w:lang w:val="en-US"/>
              </w:rPr>
              <w:t>422</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w:t>
            </w:r>
            <w:r w:rsidR="00DF4586">
              <w:rPr>
                <w:sz w:val="18"/>
                <w:lang w:val="en-US"/>
              </w:rPr>
              <w:t xml:space="preserve"> </w:t>
            </w:r>
            <w:r w:rsidRPr="00EE4CF2">
              <w:rPr>
                <w:sz w:val="18"/>
                <w:lang w:val="en-US"/>
              </w:rPr>
              <w:t>690</w:t>
            </w:r>
            <w:r w:rsidR="00DF4586">
              <w:rPr>
                <w:sz w:val="18"/>
                <w:lang w:val="en-US"/>
              </w:rPr>
              <w:t xml:space="preserve"> </w:t>
            </w:r>
            <w:r w:rsidRPr="00EE4CF2">
              <w:rPr>
                <w:sz w:val="18"/>
                <w:lang w:val="en-US"/>
              </w:rPr>
              <w:t>600</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813</w:t>
            </w:r>
            <w:r w:rsidR="00DF4586">
              <w:rPr>
                <w:sz w:val="18"/>
                <w:lang w:val="en-US"/>
              </w:rPr>
              <w:t xml:space="preserve"> </w:t>
            </w:r>
            <w:r w:rsidRPr="00EE4CF2">
              <w:rPr>
                <w:sz w:val="18"/>
                <w:lang w:val="en-US"/>
              </w:rPr>
              <w:t>955</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3</w:t>
            </w:r>
            <w:r w:rsidR="00DF4586">
              <w:rPr>
                <w:sz w:val="18"/>
                <w:lang w:val="en-US"/>
              </w:rPr>
              <w:t xml:space="preserve"> </w:t>
            </w:r>
            <w:r w:rsidRPr="00EE4CF2">
              <w:rPr>
                <w:sz w:val="18"/>
                <w:lang w:val="en-US"/>
              </w:rPr>
              <w:t>033</w:t>
            </w:r>
            <w:r w:rsidR="00DF4586">
              <w:rPr>
                <w:sz w:val="18"/>
                <w:lang w:val="en-US"/>
              </w:rPr>
              <w:t xml:space="preserve"> </w:t>
            </w:r>
            <w:r w:rsidRPr="00EE4CF2">
              <w:rPr>
                <w:sz w:val="18"/>
                <w:lang w:val="en-US"/>
              </w:rPr>
              <w:t>900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062</w:t>
            </w:r>
            <w:r w:rsidR="00DF4586">
              <w:rPr>
                <w:sz w:val="18"/>
                <w:lang w:val="en-US"/>
              </w:rPr>
              <w:t xml:space="preserve"> </w:t>
            </w:r>
            <w:r w:rsidRPr="00EE4CF2">
              <w:rPr>
                <w:sz w:val="18"/>
                <w:lang w:val="en-US"/>
              </w:rPr>
              <w:t>817</w:t>
            </w:r>
          </w:p>
        </w:tc>
      </w:tr>
      <w:tr w:rsidR="00D77BDC" w:rsidRPr="00EE4CF2" w:rsidTr="005F3068">
        <w:tc>
          <w:tcPr>
            <w:tcW w:w="1985" w:type="dxa"/>
            <w:shd w:val="clear" w:color="auto" w:fill="auto"/>
            <w:noWrap/>
            <w:hideMark/>
          </w:tcPr>
          <w:p w:rsidR="00D77BDC" w:rsidRPr="00EE4CF2" w:rsidRDefault="00D77BDC" w:rsidP="003977E1">
            <w:pPr>
              <w:suppressAutoHyphens w:val="0"/>
              <w:spacing w:before="40" w:after="40" w:line="220" w:lineRule="exact"/>
              <w:rPr>
                <w:iCs/>
                <w:sz w:val="18"/>
                <w:lang w:val="en-US"/>
              </w:rPr>
            </w:pPr>
            <w:r w:rsidRPr="00EE4CF2">
              <w:rPr>
                <w:iCs/>
                <w:sz w:val="18"/>
                <w:lang w:val="en-US"/>
              </w:rPr>
              <w:t>iii. Wastewater services</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w:t>
            </w:r>
            <w:r w:rsidR="00DF4586">
              <w:rPr>
                <w:sz w:val="18"/>
                <w:lang w:val="en-US"/>
              </w:rPr>
              <w:t xml:space="preserve"> </w:t>
            </w:r>
            <w:r w:rsidRPr="00EE4CF2">
              <w:rPr>
                <w:sz w:val="18"/>
                <w:lang w:val="en-US"/>
              </w:rPr>
              <w:t>057</w:t>
            </w:r>
            <w:r w:rsidR="00DF4586">
              <w:rPr>
                <w:sz w:val="18"/>
                <w:lang w:val="en-US"/>
              </w:rPr>
              <w:t xml:space="preserve"> </w:t>
            </w:r>
            <w:r w:rsidRPr="00EE4CF2">
              <w:rPr>
                <w:sz w:val="18"/>
                <w:lang w:val="en-US"/>
              </w:rPr>
              <w:t>750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403</w:t>
            </w:r>
            <w:r w:rsidR="00DF4586">
              <w:rPr>
                <w:sz w:val="18"/>
                <w:lang w:val="en-US"/>
              </w:rPr>
              <w:t xml:space="preserve"> </w:t>
            </w:r>
            <w:r w:rsidRPr="00EE4CF2">
              <w:rPr>
                <w:sz w:val="18"/>
                <w:lang w:val="en-US"/>
              </w:rPr>
              <w:t>483</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w:t>
            </w:r>
            <w:r w:rsidR="00DF4586">
              <w:rPr>
                <w:sz w:val="18"/>
                <w:lang w:val="en-US"/>
              </w:rPr>
              <w:t xml:space="preserve"> </w:t>
            </w:r>
            <w:r w:rsidRPr="00EE4CF2">
              <w:rPr>
                <w:sz w:val="18"/>
                <w:lang w:val="en-US"/>
              </w:rPr>
              <w:t>059</w:t>
            </w:r>
            <w:r w:rsidR="00DF4586">
              <w:rPr>
                <w:sz w:val="18"/>
                <w:lang w:val="en-US"/>
              </w:rPr>
              <w:t xml:space="preserve"> </w:t>
            </w:r>
            <w:r w:rsidRPr="00EE4CF2">
              <w:rPr>
                <w:sz w:val="18"/>
                <w:lang w:val="en-US"/>
              </w:rPr>
              <w:t>920</w:t>
            </w:r>
          </w:p>
        </w:tc>
        <w:tc>
          <w:tcPr>
            <w:tcW w:w="1086"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538</w:t>
            </w:r>
            <w:r w:rsidR="00DF4586">
              <w:rPr>
                <w:sz w:val="18"/>
                <w:lang w:val="en-US"/>
              </w:rPr>
              <w:t xml:space="preserve"> </w:t>
            </w:r>
            <w:r w:rsidRPr="00EE4CF2">
              <w:rPr>
                <w:sz w:val="18"/>
                <w:lang w:val="en-US"/>
              </w:rPr>
              <w:t>348</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w:t>
            </w:r>
            <w:r w:rsidR="00DF4586">
              <w:rPr>
                <w:sz w:val="18"/>
                <w:lang w:val="en-US"/>
              </w:rPr>
              <w:t xml:space="preserve"> </w:t>
            </w:r>
            <w:r w:rsidRPr="00EE4CF2">
              <w:rPr>
                <w:sz w:val="18"/>
                <w:lang w:val="en-US"/>
              </w:rPr>
              <w:t>205</w:t>
            </w:r>
            <w:r w:rsidR="00DF4586">
              <w:rPr>
                <w:sz w:val="18"/>
                <w:lang w:val="en-US"/>
              </w:rPr>
              <w:t xml:space="preserve"> </w:t>
            </w:r>
            <w:r w:rsidRPr="00EE4CF2">
              <w:rPr>
                <w:sz w:val="18"/>
                <w:lang w:val="en-US"/>
              </w:rPr>
              <w:t>000</w:t>
            </w:r>
          </w:p>
        </w:tc>
        <w:tc>
          <w:tcPr>
            <w:tcW w:w="1087" w:type="dxa"/>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365</w:t>
            </w:r>
            <w:r w:rsidR="00DF4586">
              <w:rPr>
                <w:sz w:val="18"/>
                <w:lang w:val="en-US"/>
              </w:rPr>
              <w:t xml:space="preserve"> </w:t>
            </w:r>
            <w:r w:rsidRPr="00EE4CF2">
              <w:rPr>
                <w:sz w:val="18"/>
                <w:lang w:val="en-US"/>
              </w:rPr>
              <w:t>006</w:t>
            </w:r>
          </w:p>
        </w:tc>
      </w:tr>
      <w:tr w:rsidR="00D77BDC" w:rsidRPr="00EE4CF2" w:rsidTr="005F3068">
        <w:tc>
          <w:tcPr>
            <w:tcW w:w="1985" w:type="dxa"/>
            <w:tcBorders>
              <w:bottom w:val="single" w:sz="4" w:space="0" w:color="auto"/>
            </w:tcBorders>
            <w:shd w:val="clear" w:color="auto" w:fill="auto"/>
            <w:noWrap/>
            <w:hideMark/>
          </w:tcPr>
          <w:p w:rsidR="00D77BDC" w:rsidRPr="00EE4CF2" w:rsidRDefault="00D77BDC" w:rsidP="003977E1">
            <w:pPr>
              <w:suppressAutoHyphens w:val="0"/>
              <w:spacing w:before="40" w:after="40" w:line="220" w:lineRule="exact"/>
              <w:rPr>
                <w:bCs/>
                <w:sz w:val="18"/>
                <w:lang w:val="en-US"/>
              </w:rPr>
            </w:pPr>
            <w:r w:rsidRPr="00EE4CF2">
              <w:rPr>
                <w:bCs/>
                <w:sz w:val="18"/>
                <w:lang w:val="en-US"/>
              </w:rPr>
              <w:t>Ministry of Housing and Lands</w:t>
            </w:r>
          </w:p>
        </w:tc>
        <w:tc>
          <w:tcPr>
            <w:tcW w:w="1086" w:type="dxa"/>
            <w:tcBorders>
              <w:bottom w:val="single" w:sz="4" w:space="0" w:color="auto"/>
            </w:tcBorders>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w:t>
            </w:r>
            <w:r w:rsidR="00DF4586">
              <w:rPr>
                <w:sz w:val="18"/>
                <w:lang w:val="en-US"/>
              </w:rPr>
              <w:t xml:space="preserve"> </w:t>
            </w:r>
            <w:r w:rsidRPr="00EE4CF2">
              <w:rPr>
                <w:sz w:val="18"/>
                <w:lang w:val="en-US"/>
              </w:rPr>
              <w:t>800</w:t>
            </w:r>
            <w:r w:rsidR="00DF4586">
              <w:rPr>
                <w:sz w:val="18"/>
                <w:lang w:val="en-US"/>
              </w:rPr>
              <w:t xml:space="preserve"> </w:t>
            </w:r>
            <w:r w:rsidRPr="00EE4CF2">
              <w:rPr>
                <w:sz w:val="18"/>
                <w:lang w:val="en-US"/>
              </w:rPr>
              <w:t>000</w:t>
            </w:r>
          </w:p>
        </w:tc>
        <w:tc>
          <w:tcPr>
            <w:tcW w:w="1087" w:type="dxa"/>
            <w:tcBorders>
              <w:bottom w:val="single" w:sz="4" w:space="0" w:color="auto"/>
            </w:tcBorders>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1</w:t>
            </w:r>
            <w:r w:rsidR="00DF4586">
              <w:rPr>
                <w:sz w:val="18"/>
                <w:lang w:val="en-US"/>
              </w:rPr>
              <w:t xml:space="preserve"> </w:t>
            </w:r>
            <w:r w:rsidRPr="00EE4CF2">
              <w:rPr>
                <w:sz w:val="18"/>
                <w:lang w:val="en-US"/>
              </w:rPr>
              <w:t>759</w:t>
            </w:r>
            <w:r w:rsidR="00DF4586">
              <w:rPr>
                <w:sz w:val="18"/>
                <w:lang w:val="en-US"/>
              </w:rPr>
              <w:t xml:space="preserve"> </w:t>
            </w:r>
            <w:r w:rsidRPr="00EE4CF2">
              <w:rPr>
                <w:sz w:val="18"/>
                <w:lang w:val="en-US"/>
              </w:rPr>
              <w:t>688</w:t>
            </w:r>
          </w:p>
        </w:tc>
        <w:tc>
          <w:tcPr>
            <w:tcW w:w="1087" w:type="dxa"/>
            <w:tcBorders>
              <w:bottom w:val="single" w:sz="4" w:space="0" w:color="auto"/>
            </w:tcBorders>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262</w:t>
            </w:r>
            <w:r w:rsidR="00DF4586">
              <w:rPr>
                <w:sz w:val="18"/>
                <w:lang w:val="en-US"/>
              </w:rPr>
              <w:t xml:space="preserve"> </w:t>
            </w:r>
            <w:r w:rsidRPr="00EE4CF2">
              <w:rPr>
                <w:sz w:val="18"/>
                <w:lang w:val="en-US"/>
              </w:rPr>
              <w:t>000</w:t>
            </w:r>
          </w:p>
        </w:tc>
        <w:tc>
          <w:tcPr>
            <w:tcW w:w="1086" w:type="dxa"/>
            <w:tcBorders>
              <w:bottom w:val="single" w:sz="4" w:space="0" w:color="auto"/>
            </w:tcBorders>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176</w:t>
            </w:r>
            <w:r w:rsidR="00DF4586">
              <w:rPr>
                <w:sz w:val="18"/>
                <w:lang w:val="en-US"/>
              </w:rPr>
              <w:t xml:space="preserve"> </w:t>
            </w:r>
            <w:r w:rsidRPr="00EE4CF2">
              <w:rPr>
                <w:sz w:val="18"/>
                <w:lang w:val="en-US"/>
              </w:rPr>
              <w:t>368</w:t>
            </w:r>
          </w:p>
        </w:tc>
        <w:tc>
          <w:tcPr>
            <w:tcW w:w="1087" w:type="dxa"/>
            <w:tcBorders>
              <w:bottom w:val="single" w:sz="4" w:space="0" w:color="auto"/>
            </w:tcBorders>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162</w:t>
            </w:r>
            <w:r w:rsidR="00DF4586">
              <w:rPr>
                <w:sz w:val="18"/>
                <w:lang w:val="en-US"/>
              </w:rPr>
              <w:t xml:space="preserve"> </w:t>
            </w:r>
            <w:r w:rsidRPr="00EE4CF2">
              <w:rPr>
                <w:sz w:val="18"/>
                <w:lang w:val="en-US"/>
              </w:rPr>
              <w:t>000</w:t>
            </w:r>
          </w:p>
        </w:tc>
        <w:tc>
          <w:tcPr>
            <w:tcW w:w="1087" w:type="dxa"/>
            <w:tcBorders>
              <w:bottom w:val="single" w:sz="4" w:space="0" w:color="auto"/>
            </w:tcBorders>
            <w:shd w:val="clear" w:color="auto" w:fill="auto"/>
            <w:noWrap/>
            <w:vAlign w:val="bottom"/>
            <w:hideMark/>
          </w:tcPr>
          <w:p w:rsidR="00D77BDC" w:rsidRPr="00EE4CF2" w:rsidRDefault="00D77BDC" w:rsidP="003977E1">
            <w:pPr>
              <w:suppressAutoHyphens w:val="0"/>
              <w:spacing w:before="40" w:after="40" w:line="220" w:lineRule="exact"/>
              <w:jc w:val="right"/>
              <w:rPr>
                <w:sz w:val="18"/>
                <w:lang w:val="en-US"/>
              </w:rPr>
            </w:pPr>
            <w:r w:rsidRPr="00EE4CF2">
              <w:rPr>
                <w:sz w:val="18"/>
                <w:lang w:val="en-US"/>
              </w:rPr>
              <w:t>2</w:t>
            </w:r>
            <w:r w:rsidR="00DF4586">
              <w:rPr>
                <w:sz w:val="18"/>
                <w:lang w:val="en-US"/>
              </w:rPr>
              <w:t xml:space="preserve"> </w:t>
            </w:r>
            <w:r w:rsidRPr="00EE4CF2">
              <w:rPr>
                <w:sz w:val="18"/>
                <w:lang w:val="en-US"/>
              </w:rPr>
              <w:t>084</w:t>
            </w:r>
            <w:r w:rsidR="00DF4586">
              <w:rPr>
                <w:sz w:val="18"/>
                <w:lang w:val="en-US"/>
              </w:rPr>
              <w:t xml:space="preserve"> </w:t>
            </w:r>
            <w:r w:rsidRPr="00EE4CF2">
              <w:rPr>
                <w:sz w:val="18"/>
                <w:lang w:val="en-US"/>
              </w:rPr>
              <w:t>718</w:t>
            </w:r>
          </w:p>
        </w:tc>
      </w:tr>
      <w:tr w:rsidR="00D77BDC" w:rsidRPr="00EE4CF2" w:rsidTr="005F3068">
        <w:tc>
          <w:tcPr>
            <w:tcW w:w="1985" w:type="dxa"/>
            <w:tcBorders>
              <w:top w:val="single" w:sz="4" w:space="0" w:color="auto"/>
              <w:bottom w:val="single" w:sz="12" w:space="0" w:color="auto"/>
            </w:tcBorders>
            <w:shd w:val="clear" w:color="auto" w:fill="auto"/>
            <w:noWrap/>
            <w:hideMark/>
          </w:tcPr>
          <w:p w:rsidR="00D77BDC" w:rsidRPr="00EE4CF2" w:rsidRDefault="00D77BDC" w:rsidP="003977E1">
            <w:pPr>
              <w:suppressAutoHyphens w:val="0"/>
              <w:spacing w:before="80" w:after="80" w:line="220" w:lineRule="exact"/>
              <w:ind w:left="283"/>
              <w:rPr>
                <w:b/>
                <w:bCs/>
                <w:sz w:val="18"/>
                <w:lang w:val="en-US"/>
              </w:rPr>
            </w:pPr>
            <w:r w:rsidRPr="00EE4CF2">
              <w:rPr>
                <w:b/>
                <w:bCs/>
                <w:sz w:val="18"/>
                <w:lang w:val="en-US"/>
              </w:rPr>
              <w:t>Total</w:t>
            </w:r>
          </w:p>
        </w:tc>
        <w:tc>
          <w:tcPr>
            <w:tcW w:w="1086" w:type="dxa"/>
            <w:tcBorders>
              <w:top w:val="single" w:sz="4" w:space="0" w:color="auto"/>
              <w:bottom w:val="single" w:sz="12" w:space="0" w:color="auto"/>
            </w:tcBorders>
            <w:shd w:val="clear" w:color="auto" w:fill="auto"/>
            <w:noWrap/>
            <w:vAlign w:val="bottom"/>
            <w:hideMark/>
          </w:tcPr>
          <w:p w:rsidR="00D77BDC" w:rsidRPr="00EE4CF2" w:rsidRDefault="00D77BDC" w:rsidP="003977E1">
            <w:pPr>
              <w:suppressAutoHyphens w:val="0"/>
              <w:spacing w:before="80" w:after="80" w:line="220" w:lineRule="exact"/>
              <w:jc w:val="right"/>
              <w:rPr>
                <w:b/>
                <w:bCs/>
                <w:sz w:val="18"/>
                <w:lang w:val="en-US"/>
              </w:rPr>
            </w:pPr>
            <w:r w:rsidRPr="00EE4CF2">
              <w:rPr>
                <w:b/>
                <w:bCs/>
                <w:sz w:val="18"/>
                <w:lang w:val="en-US"/>
              </w:rPr>
              <w:t>29</w:t>
            </w:r>
            <w:r w:rsidR="00DF4586">
              <w:rPr>
                <w:b/>
                <w:bCs/>
                <w:sz w:val="18"/>
                <w:lang w:val="en-US"/>
              </w:rPr>
              <w:t xml:space="preserve"> </w:t>
            </w:r>
            <w:r w:rsidRPr="00EE4CF2">
              <w:rPr>
                <w:b/>
                <w:bCs/>
                <w:sz w:val="18"/>
                <w:lang w:val="en-US"/>
              </w:rPr>
              <w:t>820</w:t>
            </w:r>
            <w:r w:rsidR="00DF4586">
              <w:rPr>
                <w:b/>
                <w:bCs/>
                <w:sz w:val="18"/>
                <w:lang w:val="en-US"/>
              </w:rPr>
              <w:t xml:space="preserve"> </w:t>
            </w:r>
            <w:r w:rsidRPr="00EE4CF2">
              <w:rPr>
                <w:b/>
                <w:bCs/>
                <w:sz w:val="18"/>
                <w:lang w:val="en-US"/>
              </w:rPr>
              <w:t>450</w:t>
            </w:r>
          </w:p>
        </w:tc>
        <w:tc>
          <w:tcPr>
            <w:tcW w:w="1087" w:type="dxa"/>
            <w:tcBorders>
              <w:top w:val="single" w:sz="4" w:space="0" w:color="auto"/>
              <w:bottom w:val="single" w:sz="12" w:space="0" w:color="auto"/>
            </w:tcBorders>
            <w:shd w:val="clear" w:color="auto" w:fill="auto"/>
            <w:noWrap/>
            <w:vAlign w:val="bottom"/>
            <w:hideMark/>
          </w:tcPr>
          <w:p w:rsidR="00D77BDC" w:rsidRPr="00EE4CF2" w:rsidRDefault="00D77BDC" w:rsidP="003977E1">
            <w:pPr>
              <w:suppressAutoHyphens w:val="0"/>
              <w:spacing w:before="80" w:after="80" w:line="220" w:lineRule="exact"/>
              <w:jc w:val="right"/>
              <w:rPr>
                <w:b/>
                <w:bCs/>
                <w:sz w:val="18"/>
                <w:lang w:val="en-US"/>
              </w:rPr>
            </w:pPr>
            <w:r w:rsidRPr="00EE4CF2">
              <w:rPr>
                <w:b/>
                <w:bCs/>
                <w:sz w:val="18"/>
                <w:lang w:val="en-US"/>
              </w:rPr>
              <w:t>49</w:t>
            </w:r>
            <w:r w:rsidR="00DF4586">
              <w:rPr>
                <w:b/>
                <w:bCs/>
                <w:sz w:val="18"/>
                <w:lang w:val="en-US"/>
              </w:rPr>
              <w:t xml:space="preserve"> </w:t>
            </w:r>
            <w:r w:rsidRPr="00EE4CF2">
              <w:rPr>
                <w:b/>
                <w:bCs/>
                <w:sz w:val="18"/>
                <w:lang w:val="en-US"/>
              </w:rPr>
              <w:t>832</w:t>
            </w:r>
            <w:r w:rsidR="00DF4586">
              <w:rPr>
                <w:b/>
                <w:bCs/>
                <w:sz w:val="18"/>
                <w:lang w:val="en-US"/>
              </w:rPr>
              <w:t xml:space="preserve"> </w:t>
            </w:r>
            <w:r w:rsidRPr="00EE4CF2">
              <w:rPr>
                <w:b/>
                <w:bCs/>
                <w:sz w:val="18"/>
                <w:lang w:val="en-US"/>
              </w:rPr>
              <w:t>531</w:t>
            </w:r>
          </w:p>
        </w:tc>
        <w:tc>
          <w:tcPr>
            <w:tcW w:w="1087" w:type="dxa"/>
            <w:tcBorders>
              <w:top w:val="single" w:sz="4" w:space="0" w:color="auto"/>
              <w:bottom w:val="single" w:sz="12" w:space="0" w:color="auto"/>
            </w:tcBorders>
            <w:shd w:val="clear" w:color="auto" w:fill="auto"/>
            <w:noWrap/>
            <w:vAlign w:val="bottom"/>
            <w:hideMark/>
          </w:tcPr>
          <w:p w:rsidR="00D77BDC" w:rsidRPr="00EE4CF2" w:rsidRDefault="00D77BDC" w:rsidP="003977E1">
            <w:pPr>
              <w:suppressAutoHyphens w:val="0"/>
              <w:spacing w:before="80" w:after="80" w:line="220" w:lineRule="exact"/>
              <w:jc w:val="right"/>
              <w:rPr>
                <w:b/>
                <w:bCs/>
                <w:sz w:val="18"/>
                <w:lang w:val="en-US"/>
              </w:rPr>
            </w:pPr>
            <w:r w:rsidRPr="00EE4CF2">
              <w:rPr>
                <w:b/>
                <w:bCs/>
                <w:sz w:val="18"/>
                <w:lang w:val="en-US"/>
              </w:rPr>
              <w:t>55</w:t>
            </w:r>
            <w:r w:rsidR="00DF4586">
              <w:rPr>
                <w:b/>
                <w:bCs/>
                <w:sz w:val="18"/>
                <w:lang w:val="en-US"/>
              </w:rPr>
              <w:t xml:space="preserve"> </w:t>
            </w:r>
            <w:r w:rsidRPr="00EE4CF2">
              <w:rPr>
                <w:b/>
                <w:bCs/>
                <w:sz w:val="18"/>
                <w:lang w:val="en-US"/>
              </w:rPr>
              <w:t>928</w:t>
            </w:r>
            <w:r w:rsidR="00DF4586">
              <w:rPr>
                <w:b/>
                <w:bCs/>
                <w:sz w:val="18"/>
                <w:lang w:val="en-US"/>
              </w:rPr>
              <w:t xml:space="preserve"> </w:t>
            </w:r>
            <w:r w:rsidRPr="00EE4CF2">
              <w:rPr>
                <w:b/>
                <w:bCs/>
                <w:sz w:val="18"/>
                <w:lang w:val="en-US"/>
              </w:rPr>
              <w:t>170</w:t>
            </w:r>
          </w:p>
        </w:tc>
        <w:tc>
          <w:tcPr>
            <w:tcW w:w="1086" w:type="dxa"/>
            <w:tcBorders>
              <w:top w:val="single" w:sz="4" w:space="0" w:color="auto"/>
              <w:bottom w:val="single" w:sz="12" w:space="0" w:color="auto"/>
            </w:tcBorders>
            <w:shd w:val="clear" w:color="auto" w:fill="auto"/>
            <w:noWrap/>
            <w:vAlign w:val="bottom"/>
            <w:hideMark/>
          </w:tcPr>
          <w:p w:rsidR="00D77BDC" w:rsidRPr="00EE4CF2" w:rsidRDefault="00D77BDC" w:rsidP="003977E1">
            <w:pPr>
              <w:suppressAutoHyphens w:val="0"/>
              <w:spacing w:before="80" w:after="80" w:line="220" w:lineRule="exact"/>
              <w:jc w:val="right"/>
              <w:rPr>
                <w:b/>
                <w:bCs/>
                <w:sz w:val="18"/>
                <w:lang w:val="en-US"/>
              </w:rPr>
            </w:pPr>
            <w:r w:rsidRPr="00EE4CF2">
              <w:rPr>
                <w:b/>
                <w:bCs/>
                <w:sz w:val="18"/>
                <w:lang w:val="en-US"/>
              </w:rPr>
              <w:t>53</w:t>
            </w:r>
            <w:r w:rsidR="00DF4586">
              <w:rPr>
                <w:b/>
                <w:bCs/>
                <w:sz w:val="18"/>
                <w:lang w:val="en-US"/>
              </w:rPr>
              <w:t xml:space="preserve"> </w:t>
            </w:r>
            <w:r w:rsidRPr="00EE4CF2">
              <w:rPr>
                <w:b/>
                <w:bCs/>
                <w:sz w:val="18"/>
                <w:lang w:val="en-US"/>
              </w:rPr>
              <w:t>224</w:t>
            </w:r>
            <w:r w:rsidR="00DF4586">
              <w:rPr>
                <w:b/>
                <w:bCs/>
                <w:sz w:val="18"/>
                <w:lang w:val="en-US"/>
              </w:rPr>
              <w:t xml:space="preserve"> </w:t>
            </w:r>
            <w:r w:rsidRPr="00EE4CF2">
              <w:rPr>
                <w:b/>
                <w:bCs/>
                <w:sz w:val="18"/>
                <w:lang w:val="en-US"/>
              </w:rPr>
              <w:t>013</w:t>
            </w:r>
          </w:p>
        </w:tc>
        <w:tc>
          <w:tcPr>
            <w:tcW w:w="1087" w:type="dxa"/>
            <w:tcBorders>
              <w:top w:val="single" w:sz="4" w:space="0" w:color="auto"/>
              <w:bottom w:val="single" w:sz="12" w:space="0" w:color="auto"/>
            </w:tcBorders>
            <w:shd w:val="clear" w:color="auto" w:fill="auto"/>
            <w:noWrap/>
            <w:vAlign w:val="bottom"/>
            <w:hideMark/>
          </w:tcPr>
          <w:p w:rsidR="00D77BDC" w:rsidRPr="00EE4CF2" w:rsidRDefault="00D77BDC" w:rsidP="003977E1">
            <w:pPr>
              <w:suppressAutoHyphens w:val="0"/>
              <w:spacing w:before="80" w:after="80" w:line="220" w:lineRule="exact"/>
              <w:jc w:val="right"/>
              <w:rPr>
                <w:b/>
                <w:bCs/>
                <w:sz w:val="18"/>
                <w:lang w:val="en-US"/>
              </w:rPr>
            </w:pPr>
            <w:r w:rsidRPr="00EE4CF2">
              <w:rPr>
                <w:b/>
                <w:bCs/>
                <w:sz w:val="18"/>
                <w:lang w:val="en-US"/>
              </w:rPr>
              <w:t>60</w:t>
            </w:r>
            <w:r w:rsidR="00DF4586">
              <w:rPr>
                <w:b/>
                <w:bCs/>
                <w:sz w:val="18"/>
                <w:lang w:val="en-US"/>
              </w:rPr>
              <w:t xml:space="preserve"> </w:t>
            </w:r>
            <w:r w:rsidRPr="00EE4CF2">
              <w:rPr>
                <w:b/>
                <w:bCs/>
                <w:sz w:val="18"/>
                <w:lang w:val="en-US"/>
              </w:rPr>
              <w:t>126</w:t>
            </w:r>
            <w:r w:rsidR="00DF4586">
              <w:rPr>
                <w:b/>
                <w:bCs/>
                <w:sz w:val="18"/>
                <w:lang w:val="en-US"/>
              </w:rPr>
              <w:t xml:space="preserve"> </w:t>
            </w:r>
            <w:r w:rsidRPr="00EE4CF2">
              <w:rPr>
                <w:b/>
                <w:bCs/>
                <w:sz w:val="18"/>
                <w:lang w:val="en-US"/>
              </w:rPr>
              <w:t>900</w:t>
            </w:r>
          </w:p>
        </w:tc>
        <w:tc>
          <w:tcPr>
            <w:tcW w:w="1087" w:type="dxa"/>
            <w:tcBorders>
              <w:top w:val="single" w:sz="4" w:space="0" w:color="auto"/>
              <w:bottom w:val="single" w:sz="12" w:space="0" w:color="auto"/>
            </w:tcBorders>
            <w:shd w:val="clear" w:color="auto" w:fill="auto"/>
            <w:noWrap/>
            <w:vAlign w:val="bottom"/>
            <w:hideMark/>
          </w:tcPr>
          <w:p w:rsidR="00D77BDC" w:rsidRPr="00EE4CF2" w:rsidRDefault="00D77BDC" w:rsidP="003977E1">
            <w:pPr>
              <w:suppressAutoHyphens w:val="0"/>
              <w:spacing w:before="80" w:after="80" w:line="220" w:lineRule="exact"/>
              <w:jc w:val="right"/>
              <w:rPr>
                <w:b/>
                <w:bCs/>
                <w:sz w:val="18"/>
                <w:lang w:val="en-US"/>
              </w:rPr>
            </w:pPr>
            <w:r w:rsidRPr="00EE4CF2">
              <w:rPr>
                <w:b/>
                <w:bCs/>
                <w:sz w:val="18"/>
                <w:lang w:val="en-US"/>
              </w:rPr>
              <w:t>56</w:t>
            </w:r>
            <w:r w:rsidR="00DF4586">
              <w:rPr>
                <w:b/>
                <w:bCs/>
                <w:sz w:val="18"/>
                <w:lang w:val="en-US"/>
              </w:rPr>
              <w:t xml:space="preserve"> </w:t>
            </w:r>
            <w:r w:rsidRPr="00EE4CF2">
              <w:rPr>
                <w:b/>
                <w:bCs/>
                <w:sz w:val="18"/>
                <w:lang w:val="en-US"/>
              </w:rPr>
              <w:t>073</w:t>
            </w:r>
            <w:r w:rsidR="00DF4586">
              <w:rPr>
                <w:b/>
                <w:bCs/>
                <w:sz w:val="18"/>
                <w:lang w:val="en-US"/>
              </w:rPr>
              <w:t xml:space="preserve"> </w:t>
            </w:r>
            <w:r w:rsidRPr="00EE4CF2">
              <w:rPr>
                <w:b/>
                <w:bCs/>
                <w:sz w:val="18"/>
                <w:lang w:val="en-US"/>
              </w:rPr>
              <w:t>537</w:t>
            </w:r>
          </w:p>
        </w:tc>
      </w:tr>
    </w:tbl>
    <w:p w:rsidR="00D77BDC" w:rsidRPr="00EE4CF2" w:rsidRDefault="00D77BDC" w:rsidP="00D77BDC">
      <w:pPr>
        <w:pStyle w:val="SingleTxtG"/>
        <w:spacing w:before="120"/>
        <w:ind w:firstLine="170"/>
        <w:rPr>
          <w:i/>
          <w:lang w:val="en-US"/>
        </w:rPr>
      </w:pPr>
      <w:r w:rsidRPr="00EE4CF2">
        <w:rPr>
          <w:i/>
          <w:sz w:val="18"/>
          <w:lang w:val="en-US"/>
        </w:rPr>
        <w:t xml:space="preserve">Source:  </w:t>
      </w:r>
      <w:r w:rsidRPr="00EE4CF2">
        <w:rPr>
          <w:sz w:val="18"/>
          <w:lang w:val="en-US"/>
        </w:rPr>
        <w:t>Ministry of Finance and Economic Development.</w:t>
      </w:r>
    </w:p>
    <w:p w:rsidR="00D77BDC" w:rsidRPr="00EE4CF2" w:rsidRDefault="00D77BDC" w:rsidP="00D77BDC">
      <w:pPr>
        <w:pStyle w:val="H1G"/>
        <w:rPr>
          <w:lang w:val="en-US"/>
        </w:rPr>
      </w:pPr>
      <w:r w:rsidRPr="00EE4CF2">
        <w:rPr>
          <w:lang w:val="en-US"/>
        </w:rPr>
        <w:tab/>
      </w:r>
      <w:r w:rsidRPr="00EE4CF2">
        <w:rPr>
          <w:lang w:val="en-US"/>
        </w:rPr>
        <w:tab/>
        <w:t>Question 5</w:t>
      </w:r>
    </w:p>
    <w:p w:rsidR="00D77BDC" w:rsidRPr="00EE4CF2" w:rsidRDefault="00D77BDC" w:rsidP="00D77BDC">
      <w:pPr>
        <w:pStyle w:val="SingleTxtG"/>
        <w:rPr>
          <w:lang w:val="en-US"/>
        </w:rPr>
      </w:pPr>
      <w:r w:rsidRPr="00EE4CF2">
        <w:rPr>
          <w:lang w:val="en-US"/>
        </w:rPr>
        <w:t>16.</w:t>
      </w:r>
      <w:r w:rsidRPr="00EE4CF2">
        <w:rPr>
          <w:lang w:val="en-US"/>
        </w:rPr>
        <w:tab/>
        <w:t xml:space="preserve">The National Corporate Social Responsibility (CSR) Foundation (NCSRF) was set up in December 2016 to allocate CSR funds to NGOs to enable them to undertake </w:t>
      </w:r>
      <w:proofErr w:type="spellStart"/>
      <w:r w:rsidRPr="00EE4CF2">
        <w:rPr>
          <w:lang w:val="en-US"/>
        </w:rPr>
        <w:t>programmes</w:t>
      </w:r>
      <w:proofErr w:type="spellEnd"/>
      <w:r w:rsidRPr="00EE4CF2">
        <w:rPr>
          <w:lang w:val="en-US"/>
        </w:rPr>
        <w:t xml:space="preserve"> and projects for the benefit of targeted vulnerable groups in ten priority areas, most of which are directly related to poverty alleviation. </w:t>
      </w:r>
    </w:p>
    <w:p w:rsidR="00D77BDC" w:rsidRPr="00EE4CF2" w:rsidRDefault="00D77BDC" w:rsidP="00D77BDC">
      <w:pPr>
        <w:pStyle w:val="SingleTxtG"/>
      </w:pPr>
      <w:r w:rsidRPr="00EE4CF2">
        <w:t>17.</w:t>
      </w:r>
      <w:r w:rsidRPr="00EE4CF2">
        <w:tab/>
      </w:r>
      <w:r w:rsidRPr="00EE4CF2">
        <w:rPr>
          <w:lang w:val="en-US"/>
        </w:rPr>
        <w:t>In 2017</w:t>
      </w:r>
      <w:r w:rsidRPr="00EE4CF2">
        <w:t xml:space="preserve">, the National CSR Foundation had approved 231 projects from 173 NGOs for a total amount of RS 203 Million. </w:t>
      </w:r>
    </w:p>
    <w:p w:rsidR="00D77BDC" w:rsidRPr="00EE4CF2" w:rsidRDefault="00D77BDC" w:rsidP="00D77BDC">
      <w:pPr>
        <w:pStyle w:val="Bullet1G"/>
        <w:numPr>
          <w:ilvl w:val="0"/>
          <w:numId w:val="0"/>
        </w:numPr>
        <w:tabs>
          <w:tab w:val="left" w:pos="1701"/>
        </w:tabs>
        <w:ind w:left="1701" w:hanging="170"/>
      </w:pPr>
      <w:r w:rsidRPr="00EE4CF2">
        <w:t>•</w:t>
      </w:r>
      <w:r w:rsidRPr="00EE4CF2">
        <w:tab/>
        <w:t>The annual statistical data on the number and proportion of participating corporates and the amount raised is not available at the NCSRF.</w:t>
      </w:r>
    </w:p>
    <w:p w:rsidR="00D77BDC" w:rsidRPr="00EE4CF2" w:rsidRDefault="00D77BDC" w:rsidP="00D77BDC">
      <w:pPr>
        <w:pStyle w:val="Bullet1G"/>
        <w:numPr>
          <w:ilvl w:val="0"/>
          <w:numId w:val="0"/>
        </w:numPr>
        <w:tabs>
          <w:tab w:val="left" w:pos="1701"/>
        </w:tabs>
        <w:ind w:left="1701" w:hanging="170"/>
      </w:pPr>
      <w:r w:rsidRPr="00EE4CF2">
        <w:t>•</w:t>
      </w:r>
      <w:r w:rsidRPr="00EE4CF2">
        <w:tab/>
        <w:t>As per the law, CSR Funds collected by the Mauritius Revenue Authority are remitted to the NCRSF through the Accountant General. This represents at least 50% of CSR funds of companies.</w:t>
      </w:r>
    </w:p>
    <w:p w:rsidR="00D77BDC" w:rsidRPr="00EE4CF2" w:rsidRDefault="00D77BDC" w:rsidP="00D77BDC">
      <w:pPr>
        <w:pStyle w:val="Bullet1G"/>
        <w:numPr>
          <w:ilvl w:val="0"/>
          <w:numId w:val="0"/>
        </w:numPr>
        <w:tabs>
          <w:tab w:val="left" w:pos="1701"/>
        </w:tabs>
        <w:ind w:left="1701" w:hanging="170"/>
      </w:pPr>
      <w:r w:rsidRPr="00EE4CF2">
        <w:t>•</w:t>
      </w:r>
      <w:r w:rsidRPr="00EE4CF2">
        <w:tab/>
        <w:t xml:space="preserve">During the period 1 January 2017 to 30 June 2018, the NCSRF has received </w:t>
      </w:r>
      <w:proofErr w:type="spellStart"/>
      <w:r w:rsidRPr="00EE4CF2">
        <w:t>Rs</w:t>
      </w:r>
      <w:proofErr w:type="spellEnd"/>
      <w:r w:rsidRPr="00EE4CF2">
        <w:t xml:space="preserve"> 675.9m and as at date, an amount of </w:t>
      </w:r>
      <w:proofErr w:type="spellStart"/>
      <w:r w:rsidRPr="00EE4CF2">
        <w:t>Rs</w:t>
      </w:r>
      <w:proofErr w:type="spellEnd"/>
      <w:r w:rsidRPr="00EE4CF2">
        <w:t xml:space="preserve"> 214.8m has been spent. The remaining amount has been committed for the General and special call for proposals during the financial year 2018/2019.</w:t>
      </w:r>
    </w:p>
    <w:p w:rsidR="00D77BDC" w:rsidRPr="00EE4CF2" w:rsidRDefault="00D77BDC" w:rsidP="00D77BDC">
      <w:pPr>
        <w:pStyle w:val="H1G"/>
        <w:rPr>
          <w:lang w:val="en-US"/>
        </w:rPr>
      </w:pPr>
      <w:r w:rsidRPr="00EE4CF2">
        <w:rPr>
          <w:lang w:val="en-US"/>
        </w:rPr>
        <w:tab/>
      </w:r>
      <w:r w:rsidRPr="00EE4CF2">
        <w:rPr>
          <w:lang w:val="en-US"/>
        </w:rPr>
        <w:tab/>
        <w:t>Question 6</w:t>
      </w:r>
    </w:p>
    <w:p w:rsidR="00D77BDC" w:rsidRPr="00EE4CF2" w:rsidRDefault="00D77BDC" w:rsidP="00D77BDC">
      <w:pPr>
        <w:pStyle w:val="SingleTxtG"/>
      </w:pPr>
      <w:r w:rsidRPr="00EE4CF2">
        <w:t>18.</w:t>
      </w:r>
      <w:r w:rsidRPr="00EE4CF2">
        <w:tab/>
        <w:t>Statistics on corruption and the practice of bribery in the public and private sectors, in terms of number of complaints on alleged corruption cases made to the ICAC is hereunder:</w:t>
      </w:r>
    </w:p>
    <w:p w:rsidR="00D77BDC" w:rsidRPr="00EE4CF2" w:rsidRDefault="00D77BDC" w:rsidP="001623CA">
      <w:pPr>
        <w:pStyle w:val="Heading1"/>
        <w:keepNext/>
        <w:keepLines/>
        <w:spacing w:after="120"/>
        <w:rPr>
          <w:b/>
        </w:rPr>
      </w:pPr>
      <w:r w:rsidRPr="00EE4CF2">
        <w:lastRenderedPageBreak/>
        <w:t xml:space="preserve">Table 5 </w:t>
      </w:r>
      <w:r w:rsidRPr="00EE4CF2">
        <w:rPr>
          <w:b/>
        </w:rPr>
        <w:br/>
        <w:t>Number of corruption complaints in public and private sector</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738"/>
        <w:gridCol w:w="896"/>
        <w:gridCol w:w="895"/>
        <w:gridCol w:w="895"/>
        <w:gridCol w:w="895"/>
        <w:gridCol w:w="895"/>
        <w:gridCol w:w="1022"/>
      </w:tblGrid>
      <w:tr w:rsidR="00D77BDC" w:rsidRPr="00EE4CF2" w:rsidTr="003977E1">
        <w:trPr>
          <w:tblHeader/>
        </w:trPr>
        <w:tc>
          <w:tcPr>
            <w:tcW w:w="1134" w:type="dxa"/>
            <w:tcBorders>
              <w:top w:val="single" w:sz="4" w:space="0" w:color="auto"/>
              <w:bottom w:val="single" w:sz="12" w:space="0" w:color="auto"/>
            </w:tcBorders>
            <w:shd w:val="clear" w:color="auto" w:fill="auto"/>
            <w:vAlign w:val="bottom"/>
          </w:tcPr>
          <w:p w:rsidR="00D77BDC" w:rsidRPr="00EE4CF2" w:rsidRDefault="00D77BDC" w:rsidP="001623CA">
            <w:pPr>
              <w:pStyle w:val="SingleTxtG"/>
              <w:keepNext/>
              <w:keepLines/>
              <w:suppressAutoHyphens w:val="0"/>
              <w:spacing w:before="80" w:after="80" w:line="200" w:lineRule="exact"/>
              <w:ind w:left="0" w:right="0"/>
              <w:jc w:val="left"/>
              <w:rPr>
                <w:i/>
                <w:sz w:val="16"/>
              </w:rPr>
            </w:pPr>
          </w:p>
        </w:tc>
        <w:tc>
          <w:tcPr>
            <w:tcW w:w="738" w:type="dxa"/>
            <w:tcBorders>
              <w:top w:val="single" w:sz="4" w:space="0" w:color="auto"/>
              <w:bottom w:val="single" w:sz="12" w:space="0" w:color="auto"/>
            </w:tcBorders>
            <w:shd w:val="clear" w:color="auto" w:fill="auto"/>
            <w:vAlign w:val="bottom"/>
          </w:tcPr>
          <w:p w:rsidR="00D77BDC" w:rsidRPr="00EE4CF2" w:rsidRDefault="00D77BDC" w:rsidP="001623CA">
            <w:pPr>
              <w:pStyle w:val="SingleTxtG"/>
              <w:keepNext/>
              <w:keepLines/>
              <w:suppressAutoHyphens w:val="0"/>
              <w:spacing w:before="80" w:after="80" w:line="200" w:lineRule="exact"/>
              <w:ind w:left="0" w:right="0"/>
              <w:jc w:val="right"/>
              <w:rPr>
                <w:i/>
                <w:sz w:val="16"/>
              </w:rPr>
            </w:pPr>
            <w:r w:rsidRPr="00EE4CF2">
              <w:rPr>
                <w:i/>
                <w:sz w:val="16"/>
              </w:rPr>
              <w:t>2012</w:t>
            </w:r>
          </w:p>
        </w:tc>
        <w:tc>
          <w:tcPr>
            <w:tcW w:w="896" w:type="dxa"/>
            <w:tcBorders>
              <w:top w:val="single" w:sz="4" w:space="0" w:color="auto"/>
              <w:bottom w:val="single" w:sz="12" w:space="0" w:color="auto"/>
            </w:tcBorders>
            <w:shd w:val="clear" w:color="auto" w:fill="auto"/>
            <w:vAlign w:val="bottom"/>
          </w:tcPr>
          <w:p w:rsidR="00D77BDC" w:rsidRPr="00EE4CF2" w:rsidRDefault="00D77BDC" w:rsidP="001623CA">
            <w:pPr>
              <w:pStyle w:val="SingleTxtG"/>
              <w:keepNext/>
              <w:keepLines/>
              <w:suppressAutoHyphens w:val="0"/>
              <w:spacing w:before="80" w:after="80" w:line="200" w:lineRule="exact"/>
              <w:ind w:left="0" w:right="0"/>
              <w:jc w:val="right"/>
              <w:rPr>
                <w:i/>
                <w:sz w:val="16"/>
              </w:rPr>
            </w:pPr>
            <w:r w:rsidRPr="00EE4CF2">
              <w:rPr>
                <w:i/>
                <w:sz w:val="16"/>
              </w:rPr>
              <w:t>2013</w:t>
            </w:r>
          </w:p>
        </w:tc>
        <w:tc>
          <w:tcPr>
            <w:tcW w:w="895" w:type="dxa"/>
            <w:tcBorders>
              <w:top w:val="single" w:sz="4" w:space="0" w:color="auto"/>
              <w:bottom w:val="single" w:sz="12" w:space="0" w:color="auto"/>
            </w:tcBorders>
            <w:shd w:val="clear" w:color="auto" w:fill="auto"/>
            <w:vAlign w:val="bottom"/>
          </w:tcPr>
          <w:p w:rsidR="00D77BDC" w:rsidRPr="00EE4CF2" w:rsidRDefault="00D77BDC" w:rsidP="001623CA">
            <w:pPr>
              <w:pStyle w:val="SingleTxtG"/>
              <w:keepNext/>
              <w:keepLines/>
              <w:suppressAutoHyphens w:val="0"/>
              <w:spacing w:before="80" w:after="80" w:line="200" w:lineRule="exact"/>
              <w:ind w:left="0" w:right="0"/>
              <w:jc w:val="right"/>
              <w:rPr>
                <w:i/>
                <w:sz w:val="16"/>
              </w:rPr>
            </w:pPr>
            <w:r w:rsidRPr="00EE4CF2">
              <w:rPr>
                <w:i/>
                <w:sz w:val="16"/>
              </w:rPr>
              <w:t>2014</w:t>
            </w:r>
          </w:p>
        </w:tc>
        <w:tc>
          <w:tcPr>
            <w:tcW w:w="895" w:type="dxa"/>
            <w:tcBorders>
              <w:top w:val="single" w:sz="4" w:space="0" w:color="auto"/>
              <w:bottom w:val="single" w:sz="12" w:space="0" w:color="auto"/>
            </w:tcBorders>
            <w:shd w:val="clear" w:color="auto" w:fill="auto"/>
            <w:vAlign w:val="bottom"/>
          </w:tcPr>
          <w:p w:rsidR="00D77BDC" w:rsidRPr="00EE4CF2" w:rsidRDefault="00D77BDC" w:rsidP="001623CA">
            <w:pPr>
              <w:pStyle w:val="SingleTxtG"/>
              <w:keepNext/>
              <w:keepLines/>
              <w:suppressAutoHyphens w:val="0"/>
              <w:spacing w:before="80" w:after="80" w:line="200" w:lineRule="exact"/>
              <w:ind w:left="0" w:right="0"/>
              <w:jc w:val="right"/>
              <w:rPr>
                <w:i/>
                <w:sz w:val="16"/>
              </w:rPr>
            </w:pPr>
            <w:r w:rsidRPr="00EE4CF2">
              <w:rPr>
                <w:i/>
                <w:sz w:val="16"/>
              </w:rPr>
              <w:t>2015</w:t>
            </w:r>
          </w:p>
        </w:tc>
        <w:tc>
          <w:tcPr>
            <w:tcW w:w="895" w:type="dxa"/>
            <w:tcBorders>
              <w:top w:val="single" w:sz="4" w:space="0" w:color="auto"/>
              <w:bottom w:val="single" w:sz="12" w:space="0" w:color="auto"/>
            </w:tcBorders>
            <w:shd w:val="clear" w:color="auto" w:fill="auto"/>
            <w:vAlign w:val="bottom"/>
          </w:tcPr>
          <w:p w:rsidR="00D77BDC" w:rsidRPr="00EE4CF2" w:rsidRDefault="00D77BDC" w:rsidP="001623CA">
            <w:pPr>
              <w:pStyle w:val="SingleTxtG"/>
              <w:keepNext/>
              <w:keepLines/>
              <w:suppressAutoHyphens w:val="0"/>
              <w:spacing w:before="80" w:after="80" w:line="200" w:lineRule="exact"/>
              <w:ind w:left="0" w:right="0"/>
              <w:jc w:val="right"/>
              <w:rPr>
                <w:i/>
                <w:sz w:val="16"/>
              </w:rPr>
            </w:pPr>
            <w:r w:rsidRPr="00EE4CF2">
              <w:rPr>
                <w:i/>
                <w:sz w:val="16"/>
              </w:rPr>
              <w:t>2016</w:t>
            </w:r>
          </w:p>
        </w:tc>
        <w:tc>
          <w:tcPr>
            <w:tcW w:w="895" w:type="dxa"/>
            <w:tcBorders>
              <w:top w:val="single" w:sz="4" w:space="0" w:color="auto"/>
              <w:bottom w:val="single" w:sz="12" w:space="0" w:color="auto"/>
            </w:tcBorders>
            <w:shd w:val="clear" w:color="auto" w:fill="auto"/>
            <w:vAlign w:val="bottom"/>
          </w:tcPr>
          <w:p w:rsidR="00D77BDC" w:rsidRPr="00EE4CF2" w:rsidRDefault="00D77BDC" w:rsidP="001623CA">
            <w:pPr>
              <w:pStyle w:val="SingleTxtG"/>
              <w:keepNext/>
              <w:keepLines/>
              <w:suppressAutoHyphens w:val="0"/>
              <w:spacing w:before="80" w:after="80" w:line="200" w:lineRule="exact"/>
              <w:ind w:left="0" w:right="0"/>
              <w:jc w:val="right"/>
              <w:rPr>
                <w:i/>
                <w:sz w:val="16"/>
              </w:rPr>
            </w:pPr>
            <w:r w:rsidRPr="00EE4CF2">
              <w:rPr>
                <w:i/>
                <w:sz w:val="16"/>
              </w:rPr>
              <w:t>2017</w:t>
            </w:r>
          </w:p>
        </w:tc>
        <w:tc>
          <w:tcPr>
            <w:tcW w:w="1022" w:type="dxa"/>
            <w:tcBorders>
              <w:top w:val="single" w:sz="4" w:space="0" w:color="auto"/>
              <w:bottom w:val="single" w:sz="12" w:space="0" w:color="auto"/>
            </w:tcBorders>
            <w:shd w:val="clear" w:color="auto" w:fill="auto"/>
            <w:vAlign w:val="bottom"/>
          </w:tcPr>
          <w:p w:rsidR="00D77BDC" w:rsidRPr="00EE4CF2" w:rsidRDefault="00D77BDC" w:rsidP="001623CA">
            <w:pPr>
              <w:pStyle w:val="SingleTxtG"/>
              <w:keepNext/>
              <w:keepLines/>
              <w:suppressAutoHyphens w:val="0"/>
              <w:spacing w:before="80" w:after="80" w:line="200" w:lineRule="exact"/>
              <w:ind w:left="0" w:right="0"/>
              <w:jc w:val="right"/>
              <w:rPr>
                <w:i/>
                <w:sz w:val="16"/>
              </w:rPr>
            </w:pPr>
            <w:r w:rsidRPr="00EE4CF2">
              <w:rPr>
                <w:i/>
                <w:sz w:val="16"/>
              </w:rPr>
              <w:t>2018(30 June)</w:t>
            </w:r>
          </w:p>
        </w:tc>
      </w:tr>
      <w:tr w:rsidR="00D77BDC" w:rsidRPr="00EE4CF2" w:rsidTr="003977E1">
        <w:tc>
          <w:tcPr>
            <w:tcW w:w="1134" w:type="dxa"/>
            <w:tcBorders>
              <w:top w:val="single" w:sz="12" w:space="0" w:color="auto"/>
            </w:tcBorders>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Public sector</w:t>
            </w:r>
          </w:p>
        </w:tc>
        <w:tc>
          <w:tcPr>
            <w:tcW w:w="738"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670</w:t>
            </w:r>
          </w:p>
        </w:tc>
        <w:tc>
          <w:tcPr>
            <w:tcW w:w="896"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574</w:t>
            </w:r>
          </w:p>
        </w:tc>
        <w:tc>
          <w:tcPr>
            <w:tcW w:w="895"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433</w:t>
            </w:r>
          </w:p>
        </w:tc>
        <w:tc>
          <w:tcPr>
            <w:tcW w:w="895"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342</w:t>
            </w:r>
          </w:p>
        </w:tc>
        <w:tc>
          <w:tcPr>
            <w:tcW w:w="895"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378</w:t>
            </w:r>
          </w:p>
        </w:tc>
        <w:tc>
          <w:tcPr>
            <w:tcW w:w="895"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418</w:t>
            </w:r>
          </w:p>
        </w:tc>
        <w:tc>
          <w:tcPr>
            <w:tcW w:w="1022"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144</w:t>
            </w:r>
          </w:p>
        </w:tc>
      </w:tr>
      <w:tr w:rsidR="00D77BDC" w:rsidRPr="00EE4CF2" w:rsidTr="003977E1">
        <w:tc>
          <w:tcPr>
            <w:tcW w:w="1134" w:type="dxa"/>
            <w:tcBorders>
              <w:bottom w:val="single" w:sz="12" w:space="0" w:color="auto"/>
            </w:tcBorders>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Private sector</w:t>
            </w:r>
          </w:p>
        </w:tc>
        <w:tc>
          <w:tcPr>
            <w:tcW w:w="738"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147</w:t>
            </w:r>
          </w:p>
        </w:tc>
        <w:tc>
          <w:tcPr>
            <w:tcW w:w="896"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172</w:t>
            </w:r>
          </w:p>
        </w:tc>
        <w:tc>
          <w:tcPr>
            <w:tcW w:w="895"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108</w:t>
            </w:r>
          </w:p>
        </w:tc>
        <w:tc>
          <w:tcPr>
            <w:tcW w:w="895"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47</w:t>
            </w:r>
          </w:p>
        </w:tc>
        <w:tc>
          <w:tcPr>
            <w:tcW w:w="895"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56</w:t>
            </w:r>
          </w:p>
        </w:tc>
        <w:tc>
          <w:tcPr>
            <w:tcW w:w="895"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78</w:t>
            </w:r>
          </w:p>
        </w:tc>
        <w:tc>
          <w:tcPr>
            <w:tcW w:w="1022"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25</w:t>
            </w:r>
          </w:p>
        </w:tc>
      </w:tr>
    </w:tbl>
    <w:p w:rsidR="00D77BDC" w:rsidRPr="00EE4CF2" w:rsidRDefault="00D77BDC" w:rsidP="00D77BDC">
      <w:pPr>
        <w:pStyle w:val="SingleTxtG"/>
        <w:spacing w:before="240"/>
      </w:pPr>
      <w:r w:rsidRPr="00EE4CF2">
        <w:t>19.</w:t>
      </w:r>
      <w:r w:rsidRPr="00EE4CF2">
        <w:tab/>
        <w:t>Statistics on corruption and the practice of bribery in the public sector involving high level officials, in terms of complaints of alleged corruption cases made to the ICAC is hereunder:</w:t>
      </w:r>
    </w:p>
    <w:p w:rsidR="00D77BDC" w:rsidRPr="00EE4CF2" w:rsidRDefault="00D77BDC" w:rsidP="00D77BDC">
      <w:pPr>
        <w:pStyle w:val="Heading1"/>
        <w:spacing w:after="120"/>
        <w:rPr>
          <w:b/>
        </w:rPr>
      </w:pPr>
      <w:r w:rsidRPr="00EE4CF2">
        <w:t>Table 6</w:t>
      </w:r>
      <w:r w:rsidRPr="00EE4CF2">
        <w:rPr>
          <w:b/>
        </w:rPr>
        <w:br/>
        <w:t>Number of complaints targeting high level officials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901"/>
        <w:gridCol w:w="905"/>
        <w:gridCol w:w="906"/>
        <w:gridCol w:w="906"/>
        <w:gridCol w:w="906"/>
        <w:gridCol w:w="906"/>
        <w:gridCol w:w="906"/>
        <w:gridCol w:w="1034"/>
      </w:tblGrid>
      <w:tr w:rsidR="00D77BDC" w:rsidRPr="00EE4CF2" w:rsidTr="003977E1">
        <w:trPr>
          <w:tblHeader/>
        </w:trPr>
        <w:tc>
          <w:tcPr>
            <w:tcW w:w="1177" w:type="dxa"/>
            <w:shd w:val="clear" w:color="auto" w:fill="auto"/>
            <w:vAlign w:val="bottom"/>
          </w:tcPr>
          <w:p w:rsidR="00D77BDC" w:rsidRPr="00EE4CF2" w:rsidRDefault="00D77BDC" w:rsidP="003977E1">
            <w:pPr>
              <w:pStyle w:val="SingleTxtG"/>
              <w:suppressAutoHyphens w:val="0"/>
              <w:spacing w:before="80" w:after="80" w:line="200" w:lineRule="exact"/>
              <w:ind w:left="0" w:right="0"/>
              <w:jc w:val="left"/>
              <w:rPr>
                <w:i/>
                <w:sz w:val="16"/>
              </w:rPr>
            </w:pPr>
            <w:r w:rsidRPr="00EE4CF2">
              <w:rPr>
                <w:i/>
                <w:sz w:val="16"/>
              </w:rPr>
              <w:t>Year</w:t>
            </w:r>
          </w:p>
        </w:tc>
        <w:tc>
          <w:tcPr>
            <w:tcW w:w="1184" w:type="dxa"/>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2012</w:t>
            </w:r>
          </w:p>
        </w:tc>
        <w:tc>
          <w:tcPr>
            <w:tcW w:w="1185" w:type="dxa"/>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2013</w:t>
            </w:r>
          </w:p>
        </w:tc>
        <w:tc>
          <w:tcPr>
            <w:tcW w:w="1185" w:type="dxa"/>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2014</w:t>
            </w:r>
          </w:p>
        </w:tc>
        <w:tc>
          <w:tcPr>
            <w:tcW w:w="1185" w:type="dxa"/>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2015</w:t>
            </w:r>
          </w:p>
        </w:tc>
        <w:tc>
          <w:tcPr>
            <w:tcW w:w="1185" w:type="dxa"/>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2016</w:t>
            </w:r>
          </w:p>
        </w:tc>
        <w:tc>
          <w:tcPr>
            <w:tcW w:w="1185" w:type="dxa"/>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2017</w:t>
            </w:r>
          </w:p>
        </w:tc>
        <w:tc>
          <w:tcPr>
            <w:tcW w:w="1353" w:type="dxa"/>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2018(30 June)</w:t>
            </w:r>
          </w:p>
        </w:tc>
      </w:tr>
      <w:tr w:rsidR="00D77BDC" w:rsidRPr="00EE4CF2" w:rsidTr="003977E1">
        <w:tc>
          <w:tcPr>
            <w:tcW w:w="1177" w:type="dxa"/>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No.</w:t>
            </w:r>
          </w:p>
        </w:tc>
        <w:tc>
          <w:tcPr>
            <w:tcW w:w="1184"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123</w:t>
            </w:r>
          </w:p>
        </w:tc>
        <w:tc>
          <w:tcPr>
            <w:tcW w:w="1185"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69</w:t>
            </w:r>
          </w:p>
        </w:tc>
        <w:tc>
          <w:tcPr>
            <w:tcW w:w="1185"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52</w:t>
            </w:r>
          </w:p>
        </w:tc>
        <w:tc>
          <w:tcPr>
            <w:tcW w:w="1185"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40</w:t>
            </w:r>
          </w:p>
        </w:tc>
        <w:tc>
          <w:tcPr>
            <w:tcW w:w="1185"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46</w:t>
            </w:r>
          </w:p>
        </w:tc>
        <w:tc>
          <w:tcPr>
            <w:tcW w:w="1185"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56</w:t>
            </w:r>
          </w:p>
        </w:tc>
        <w:tc>
          <w:tcPr>
            <w:tcW w:w="1353"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19</w:t>
            </w:r>
          </w:p>
        </w:tc>
      </w:tr>
    </w:tbl>
    <w:p w:rsidR="00D77BDC" w:rsidRPr="00EE4CF2" w:rsidRDefault="00D77BDC" w:rsidP="00B515BC">
      <w:pPr>
        <w:pStyle w:val="SingleTxtG"/>
        <w:spacing w:before="240"/>
      </w:pPr>
      <w:r w:rsidRPr="00EE4CF2">
        <w:t>20.</w:t>
      </w:r>
      <w:r w:rsidRPr="00EE4CF2">
        <w:tab/>
        <w:t xml:space="preserve">The statistics below relate to the number of cases submitted to the Office of Director of public Prosecution (DPP) by the Independent Commission against Corruption for advice pursuant to section 47(6) of the Prevention of Corruption Act (the-Act): </w:t>
      </w:r>
    </w:p>
    <w:p w:rsidR="00D77BDC" w:rsidRPr="00EE4CF2" w:rsidRDefault="00D77BDC" w:rsidP="00D77BDC">
      <w:pPr>
        <w:pStyle w:val="Heading1"/>
        <w:spacing w:after="120"/>
        <w:rPr>
          <w:b/>
        </w:rPr>
      </w:pPr>
      <w:r w:rsidRPr="00EE4CF2">
        <w:t xml:space="preserve">Table 7 </w:t>
      </w:r>
      <w:r w:rsidRPr="00EE4CF2">
        <w:rPr>
          <w:b/>
        </w:rPr>
        <w:br/>
        <w:t>Number of Cases referred to DPP</w:t>
      </w:r>
    </w:p>
    <w:tbl>
      <w:tblPr>
        <w:tblW w:w="7370" w:type="dxa"/>
        <w:tblInd w:w="1134" w:type="dxa"/>
        <w:tblLayout w:type="fixed"/>
        <w:tblCellMar>
          <w:left w:w="0" w:type="dxa"/>
          <w:right w:w="0" w:type="dxa"/>
        </w:tblCellMar>
        <w:tblLook w:val="0000" w:firstRow="0" w:lastRow="0" w:firstColumn="0" w:lastColumn="0" w:noHBand="0" w:noVBand="0"/>
      </w:tblPr>
      <w:tblGrid>
        <w:gridCol w:w="1478"/>
        <w:gridCol w:w="3767"/>
        <w:gridCol w:w="1249"/>
        <w:gridCol w:w="876"/>
      </w:tblGrid>
      <w:tr w:rsidR="00D77BDC" w:rsidRPr="00EE4CF2" w:rsidTr="003977E1">
        <w:trPr>
          <w:tblHeader/>
        </w:trPr>
        <w:tc>
          <w:tcPr>
            <w:tcW w:w="1478" w:type="dxa"/>
            <w:tcBorders>
              <w:top w:val="single" w:sz="4" w:space="0" w:color="auto"/>
              <w:bottom w:val="single" w:sz="12" w:space="0" w:color="auto"/>
            </w:tcBorders>
            <w:shd w:val="clear" w:color="auto" w:fill="auto"/>
            <w:vAlign w:val="bottom"/>
          </w:tcPr>
          <w:p w:rsidR="00D77BDC" w:rsidRPr="00EE4CF2" w:rsidRDefault="00D77BDC" w:rsidP="003977E1">
            <w:pPr>
              <w:pStyle w:val="SingleTxtG"/>
              <w:suppressAutoHyphens w:val="0"/>
              <w:spacing w:before="80" w:after="80" w:line="200" w:lineRule="exact"/>
              <w:ind w:left="0" w:right="0"/>
              <w:jc w:val="left"/>
              <w:rPr>
                <w:i/>
                <w:sz w:val="16"/>
              </w:rPr>
            </w:pPr>
          </w:p>
        </w:tc>
        <w:tc>
          <w:tcPr>
            <w:tcW w:w="3767" w:type="dxa"/>
            <w:tcBorders>
              <w:top w:val="single" w:sz="4" w:space="0" w:color="auto"/>
              <w:bottom w:val="single" w:sz="12" w:space="0" w:color="auto"/>
            </w:tcBorders>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Number of Cases referred to DPP</w:t>
            </w:r>
          </w:p>
        </w:tc>
        <w:tc>
          <w:tcPr>
            <w:tcW w:w="1249" w:type="dxa"/>
            <w:tcBorders>
              <w:top w:val="single" w:sz="4" w:space="0" w:color="auto"/>
              <w:bottom w:val="single" w:sz="12" w:space="0" w:color="auto"/>
            </w:tcBorders>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 xml:space="preserve">2016 </w:t>
            </w:r>
          </w:p>
        </w:tc>
        <w:tc>
          <w:tcPr>
            <w:tcW w:w="876" w:type="dxa"/>
            <w:tcBorders>
              <w:top w:val="single" w:sz="4" w:space="0" w:color="auto"/>
              <w:bottom w:val="single" w:sz="12" w:space="0" w:color="auto"/>
            </w:tcBorders>
            <w:shd w:val="clear" w:color="auto" w:fill="auto"/>
            <w:vAlign w:val="bottom"/>
          </w:tcPr>
          <w:p w:rsidR="00D77BDC" w:rsidRPr="00EE4CF2" w:rsidRDefault="00D77BDC" w:rsidP="003977E1">
            <w:pPr>
              <w:pStyle w:val="SingleTxtG"/>
              <w:suppressAutoHyphens w:val="0"/>
              <w:spacing w:before="80" w:after="80" w:line="200" w:lineRule="exact"/>
              <w:ind w:left="0" w:right="0"/>
              <w:jc w:val="right"/>
              <w:rPr>
                <w:i/>
                <w:sz w:val="16"/>
              </w:rPr>
            </w:pPr>
            <w:r w:rsidRPr="00EE4CF2">
              <w:rPr>
                <w:i/>
                <w:sz w:val="16"/>
              </w:rPr>
              <w:t xml:space="preserve">2017 </w:t>
            </w:r>
          </w:p>
        </w:tc>
      </w:tr>
      <w:tr w:rsidR="00D77BDC" w:rsidRPr="00EE4CF2" w:rsidTr="003977E1">
        <w:tc>
          <w:tcPr>
            <w:tcW w:w="5245" w:type="dxa"/>
            <w:gridSpan w:val="2"/>
            <w:tcBorders>
              <w:top w:val="single" w:sz="12" w:space="0" w:color="auto"/>
            </w:tcBorders>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 xml:space="preserve">No. of cases submitted by ICAC </w:t>
            </w:r>
          </w:p>
        </w:tc>
        <w:tc>
          <w:tcPr>
            <w:tcW w:w="1249"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 xml:space="preserve">85 </w:t>
            </w:r>
          </w:p>
        </w:tc>
        <w:tc>
          <w:tcPr>
            <w:tcW w:w="876" w:type="dxa"/>
            <w:tcBorders>
              <w:top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 xml:space="preserve">76 </w:t>
            </w:r>
          </w:p>
        </w:tc>
      </w:tr>
      <w:tr w:rsidR="00D77BDC" w:rsidRPr="00EE4CF2" w:rsidTr="003977E1">
        <w:tc>
          <w:tcPr>
            <w:tcW w:w="5245" w:type="dxa"/>
            <w:gridSpan w:val="2"/>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 xml:space="preserve">No. of cases in which Prosecution has been advised </w:t>
            </w:r>
          </w:p>
        </w:tc>
        <w:tc>
          <w:tcPr>
            <w:tcW w:w="1249"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 xml:space="preserve">28 </w:t>
            </w:r>
          </w:p>
        </w:tc>
        <w:tc>
          <w:tcPr>
            <w:tcW w:w="876" w:type="dxa"/>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 xml:space="preserve">15 </w:t>
            </w:r>
          </w:p>
        </w:tc>
      </w:tr>
      <w:tr w:rsidR="00D77BDC" w:rsidRPr="00EE4CF2" w:rsidTr="003977E1">
        <w:tc>
          <w:tcPr>
            <w:tcW w:w="5245" w:type="dxa"/>
            <w:gridSpan w:val="2"/>
            <w:tcBorders>
              <w:bottom w:val="single" w:sz="12" w:space="0" w:color="auto"/>
            </w:tcBorders>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No. of cases in which No Further Action has been advised</w:t>
            </w:r>
          </w:p>
        </w:tc>
        <w:tc>
          <w:tcPr>
            <w:tcW w:w="1249"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 xml:space="preserve">57 </w:t>
            </w:r>
          </w:p>
        </w:tc>
        <w:tc>
          <w:tcPr>
            <w:tcW w:w="876" w:type="dxa"/>
            <w:tcBorders>
              <w:bottom w:val="single" w:sz="12" w:space="0" w:color="auto"/>
            </w:tcBorders>
            <w:shd w:val="clear" w:color="auto" w:fill="auto"/>
            <w:vAlign w:val="bottom"/>
          </w:tcPr>
          <w:p w:rsidR="00D77BDC" w:rsidRPr="00EE4CF2" w:rsidRDefault="00D77BDC" w:rsidP="003977E1">
            <w:pPr>
              <w:pStyle w:val="SingleTxtG"/>
              <w:suppressAutoHyphens w:val="0"/>
              <w:spacing w:before="40" w:after="40" w:line="220" w:lineRule="exact"/>
              <w:ind w:left="0" w:right="0"/>
              <w:jc w:val="right"/>
              <w:rPr>
                <w:sz w:val="18"/>
              </w:rPr>
            </w:pPr>
            <w:r w:rsidRPr="00EE4CF2">
              <w:rPr>
                <w:sz w:val="18"/>
              </w:rPr>
              <w:t xml:space="preserve">61 </w:t>
            </w:r>
          </w:p>
        </w:tc>
      </w:tr>
    </w:tbl>
    <w:p w:rsidR="00D77BDC" w:rsidRPr="00EE4CF2" w:rsidRDefault="00D77BDC" w:rsidP="00D77BDC">
      <w:pPr>
        <w:pStyle w:val="SingleTxtG"/>
        <w:spacing w:before="240"/>
      </w:pPr>
      <w:r w:rsidRPr="00EE4CF2">
        <w:t>21.</w:t>
      </w:r>
      <w:r w:rsidRPr="00EE4CF2">
        <w:tab/>
        <w:t>The Statistics on different types of penalties/sanctions imposed on perpetrators of corruption including bribery on a yearly basis is hereunder:</w:t>
      </w:r>
    </w:p>
    <w:p w:rsidR="00D77BDC" w:rsidRPr="00EE4CF2" w:rsidRDefault="00D77BDC" w:rsidP="00D77BDC">
      <w:pPr>
        <w:pStyle w:val="Heading1"/>
        <w:spacing w:after="120"/>
        <w:rPr>
          <w:b/>
        </w:rPr>
      </w:pPr>
      <w:r w:rsidRPr="00EE4CF2">
        <w:t xml:space="preserve">Table 8 </w:t>
      </w:r>
      <w:r w:rsidRPr="00EE4CF2">
        <w:rPr>
          <w:b/>
        </w:rPr>
        <w:br/>
        <w:t xml:space="preserve">Penalties imposed on perpetrators of corruption including bribery </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749"/>
        <w:gridCol w:w="749"/>
        <w:gridCol w:w="749"/>
        <w:gridCol w:w="749"/>
        <w:gridCol w:w="749"/>
        <w:gridCol w:w="749"/>
        <w:gridCol w:w="749"/>
      </w:tblGrid>
      <w:tr w:rsidR="00D77BDC" w:rsidRPr="00EE4CF2" w:rsidTr="00302765">
        <w:trPr>
          <w:tblHeader/>
        </w:trPr>
        <w:tc>
          <w:tcPr>
            <w:tcW w:w="2127" w:type="dxa"/>
            <w:tcBorders>
              <w:top w:val="single" w:sz="4" w:space="0" w:color="auto"/>
              <w:bottom w:val="single" w:sz="12" w:space="0" w:color="auto"/>
            </w:tcBorders>
            <w:shd w:val="clear" w:color="auto" w:fill="auto"/>
            <w:vAlign w:val="bottom"/>
          </w:tcPr>
          <w:p w:rsidR="00D77BDC" w:rsidRPr="00EE4CF2" w:rsidRDefault="00D77BDC" w:rsidP="003977E1">
            <w:pPr>
              <w:pStyle w:val="SingleTxtG"/>
              <w:suppressAutoHyphens w:val="0"/>
              <w:spacing w:before="80" w:after="80" w:line="200" w:lineRule="exact"/>
              <w:ind w:left="0" w:right="0"/>
              <w:jc w:val="left"/>
              <w:rPr>
                <w:i/>
                <w:spacing w:val="4"/>
                <w:w w:val="103"/>
                <w:kern w:val="14"/>
                <w:sz w:val="16"/>
              </w:rPr>
            </w:pPr>
            <w:r w:rsidRPr="00EE4CF2">
              <w:rPr>
                <w:i/>
                <w:spacing w:val="4"/>
                <w:w w:val="103"/>
                <w:kern w:val="14"/>
                <w:sz w:val="16"/>
              </w:rPr>
              <w:t>Penalties</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00" w:lineRule="exact"/>
              <w:ind w:left="0" w:right="113"/>
              <w:jc w:val="right"/>
              <w:rPr>
                <w:i/>
                <w:spacing w:val="4"/>
                <w:w w:val="103"/>
                <w:kern w:val="14"/>
                <w:sz w:val="16"/>
              </w:rPr>
            </w:pPr>
            <w:r w:rsidRPr="00EE4CF2">
              <w:rPr>
                <w:i/>
                <w:spacing w:val="4"/>
                <w:w w:val="103"/>
                <w:kern w:val="14"/>
                <w:sz w:val="16"/>
              </w:rPr>
              <w:t>2012</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00" w:lineRule="exact"/>
              <w:ind w:left="0" w:right="113"/>
              <w:jc w:val="right"/>
              <w:rPr>
                <w:i/>
                <w:spacing w:val="4"/>
                <w:w w:val="103"/>
                <w:kern w:val="14"/>
                <w:sz w:val="16"/>
              </w:rPr>
            </w:pPr>
            <w:r w:rsidRPr="00EE4CF2">
              <w:rPr>
                <w:i/>
                <w:spacing w:val="4"/>
                <w:w w:val="103"/>
                <w:kern w:val="14"/>
                <w:sz w:val="16"/>
              </w:rPr>
              <w:t>2013</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00" w:lineRule="exact"/>
              <w:ind w:left="0" w:right="113"/>
              <w:jc w:val="right"/>
              <w:rPr>
                <w:i/>
                <w:spacing w:val="4"/>
                <w:w w:val="103"/>
                <w:kern w:val="14"/>
                <w:sz w:val="16"/>
              </w:rPr>
            </w:pPr>
            <w:r w:rsidRPr="00EE4CF2">
              <w:rPr>
                <w:i/>
                <w:spacing w:val="4"/>
                <w:w w:val="103"/>
                <w:kern w:val="14"/>
                <w:sz w:val="16"/>
              </w:rPr>
              <w:t>2014</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00" w:lineRule="exact"/>
              <w:ind w:left="0" w:right="113"/>
              <w:jc w:val="right"/>
              <w:rPr>
                <w:i/>
                <w:spacing w:val="4"/>
                <w:w w:val="103"/>
                <w:kern w:val="14"/>
                <w:sz w:val="16"/>
              </w:rPr>
            </w:pPr>
            <w:r w:rsidRPr="00EE4CF2">
              <w:rPr>
                <w:i/>
                <w:spacing w:val="4"/>
                <w:w w:val="103"/>
                <w:kern w:val="14"/>
                <w:sz w:val="16"/>
              </w:rPr>
              <w:t>2015</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00" w:lineRule="exact"/>
              <w:ind w:left="0" w:right="113"/>
              <w:jc w:val="right"/>
              <w:rPr>
                <w:i/>
                <w:spacing w:val="4"/>
                <w:w w:val="103"/>
                <w:kern w:val="14"/>
                <w:sz w:val="16"/>
              </w:rPr>
            </w:pPr>
            <w:r w:rsidRPr="00EE4CF2">
              <w:rPr>
                <w:i/>
                <w:spacing w:val="4"/>
                <w:w w:val="103"/>
                <w:kern w:val="14"/>
                <w:sz w:val="16"/>
              </w:rPr>
              <w:t>2016</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00" w:lineRule="exact"/>
              <w:ind w:left="0" w:right="113"/>
              <w:jc w:val="right"/>
              <w:rPr>
                <w:i/>
                <w:spacing w:val="4"/>
                <w:w w:val="103"/>
                <w:kern w:val="14"/>
                <w:sz w:val="16"/>
              </w:rPr>
            </w:pPr>
            <w:r w:rsidRPr="00EE4CF2">
              <w:rPr>
                <w:i/>
                <w:spacing w:val="4"/>
                <w:w w:val="103"/>
                <w:kern w:val="14"/>
                <w:sz w:val="16"/>
              </w:rPr>
              <w:t>2017</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00" w:lineRule="exact"/>
              <w:ind w:left="0" w:right="113"/>
              <w:jc w:val="right"/>
              <w:rPr>
                <w:i/>
                <w:spacing w:val="4"/>
                <w:w w:val="103"/>
                <w:kern w:val="14"/>
                <w:sz w:val="16"/>
              </w:rPr>
            </w:pPr>
            <w:r w:rsidRPr="00EE4CF2">
              <w:rPr>
                <w:i/>
                <w:spacing w:val="4"/>
                <w:w w:val="103"/>
                <w:kern w:val="14"/>
                <w:sz w:val="16"/>
              </w:rPr>
              <w:t>2018</w:t>
            </w:r>
          </w:p>
        </w:tc>
      </w:tr>
      <w:tr w:rsidR="00D77BDC" w:rsidRPr="00EE4CF2" w:rsidTr="00302765">
        <w:tc>
          <w:tcPr>
            <w:tcW w:w="2127" w:type="dxa"/>
            <w:tcBorders>
              <w:top w:val="single" w:sz="12" w:space="0" w:color="auto"/>
            </w:tcBorders>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Community Service Order</w:t>
            </w:r>
          </w:p>
        </w:tc>
        <w:tc>
          <w:tcPr>
            <w:tcW w:w="749" w:type="dxa"/>
            <w:tcBorders>
              <w:top w:val="single" w:sz="12"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4</w:t>
            </w:r>
          </w:p>
        </w:tc>
        <w:tc>
          <w:tcPr>
            <w:tcW w:w="749" w:type="dxa"/>
            <w:tcBorders>
              <w:top w:val="single" w:sz="12"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3</w:t>
            </w:r>
          </w:p>
        </w:tc>
        <w:tc>
          <w:tcPr>
            <w:tcW w:w="749" w:type="dxa"/>
            <w:tcBorders>
              <w:top w:val="single" w:sz="12"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2</w:t>
            </w:r>
          </w:p>
        </w:tc>
        <w:tc>
          <w:tcPr>
            <w:tcW w:w="749" w:type="dxa"/>
            <w:tcBorders>
              <w:top w:val="single" w:sz="12"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3</w:t>
            </w:r>
          </w:p>
        </w:tc>
        <w:tc>
          <w:tcPr>
            <w:tcW w:w="749" w:type="dxa"/>
            <w:tcBorders>
              <w:top w:val="single" w:sz="12"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6</w:t>
            </w:r>
          </w:p>
        </w:tc>
        <w:tc>
          <w:tcPr>
            <w:tcW w:w="749" w:type="dxa"/>
            <w:tcBorders>
              <w:top w:val="single" w:sz="12"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5</w:t>
            </w:r>
          </w:p>
        </w:tc>
        <w:tc>
          <w:tcPr>
            <w:tcW w:w="749" w:type="dxa"/>
            <w:tcBorders>
              <w:top w:val="single" w:sz="12"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1</w:t>
            </w:r>
          </w:p>
        </w:tc>
      </w:tr>
      <w:tr w:rsidR="00D77BDC" w:rsidRPr="00EE4CF2" w:rsidTr="00302765">
        <w:tc>
          <w:tcPr>
            <w:tcW w:w="2127" w:type="dxa"/>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Imprisonment</w:t>
            </w:r>
          </w:p>
        </w:tc>
        <w:tc>
          <w:tcPr>
            <w:tcW w:w="749" w:type="dxa"/>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3</w:t>
            </w:r>
          </w:p>
        </w:tc>
        <w:tc>
          <w:tcPr>
            <w:tcW w:w="749" w:type="dxa"/>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2</w:t>
            </w:r>
          </w:p>
        </w:tc>
        <w:tc>
          <w:tcPr>
            <w:tcW w:w="749" w:type="dxa"/>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2</w:t>
            </w:r>
          </w:p>
        </w:tc>
        <w:tc>
          <w:tcPr>
            <w:tcW w:w="749" w:type="dxa"/>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1</w:t>
            </w:r>
          </w:p>
        </w:tc>
        <w:tc>
          <w:tcPr>
            <w:tcW w:w="749" w:type="dxa"/>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10</w:t>
            </w:r>
          </w:p>
        </w:tc>
        <w:tc>
          <w:tcPr>
            <w:tcW w:w="749" w:type="dxa"/>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2</w:t>
            </w:r>
          </w:p>
        </w:tc>
        <w:tc>
          <w:tcPr>
            <w:tcW w:w="749" w:type="dxa"/>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1</w:t>
            </w:r>
          </w:p>
        </w:tc>
      </w:tr>
      <w:tr w:rsidR="00D77BDC" w:rsidRPr="00EE4CF2" w:rsidTr="00302765">
        <w:tc>
          <w:tcPr>
            <w:tcW w:w="2127" w:type="dxa"/>
            <w:tcBorders>
              <w:bottom w:val="single" w:sz="4" w:space="0" w:color="auto"/>
            </w:tcBorders>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Conditional Discharge</w:t>
            </w:r>
          </w:p>
        </w:tc>
        <w:tc>
          <w:tcPr>
            <w:tcW w:w="749" w:type="dxa"/>
            <w:tcBorders>
              <w:bottom w:val="single" w:sz="4"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0</w:t>
            </w:r>
          </w:p>
        </w:tc>
        <w:tc>
          <w:tcPr>
            <w:tcW w:w="749" w:type="dxa"/>
            <w:tcBorders>
              <w:bottom w:val="single" w:sz="4"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2</w:t>
            </w:r>
          </w:p>
        </w:tc>
        <w:tc>
          <w:tcPr>
            <w:tcW w:w="749" w:type="dxa"/>
            <w:tcBorders>
              <w:bottom w:val="single" w:sz="4"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1</w:t>
            </w:r>
          </w:p>
        </w:tc>
        <w:tc>
          <w:tcPr>
            <w:tcW w:w="749" w:type="dxa"/>
            <w:tcBorders>
              <w:bottom w:val="single" w:sz="4"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5</w:t>
            </w:r>
          </w:p>
        </w:tc>
        <w:tc>
          <w:tcPr>
            <w:tcW w:w="749" w:type="dxa"/>
            <w:tcBorders>
              <w:bottom w:val="single" w:sz="4"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1</w:t>
            </w:r>
          </w:p>
        </w:tc>
        <w:tc>
          <w:tcPr>
            <w:tcW w:w="749" w:type="dxa"/>
            <w:tcBorders>
              <w:bottom w:val="single" w:sz="4"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2</w:t>
            </w:r>
          </w:p>
        </w:tc>
        <w:tc>
          <w:tcPr>
            <w:tcW w:w="749" w:type="dxa"/>
            <w:tcBorders>
              <w:bottom w:val="single" w:sz="4" w:space="0" w:color="auto"/>
            </w:tcBorders>
            <w:shd w:val="clear" w:color="auto" w:fill="auto"/>
            <w:vAlign w:val="bottom"/>
          </w:tcPr>
          <w:p w:rsidR="00D77BDC" w:rsidRPr="00EE4CF2" w:rsidRDefault="00D77BDC" w:rsidP="00302765">
            <w:pPr>
              <w:pStyle w:val="SingleTxtG"/>
              <w:suppressAutoHyphens w:val="0"/>
              <w:spacing w:before="40" w:after="40" w:line="220" w:lineRule="exact"/>
              <w:ind w:left="0" w:right="113"/>
              <w:jc w:val="right"/>
              <w:rPr>
                <w:sz w:val="18"/>
              </w:rPr>
            </w:pPr>
            <w:r w:rsidRPr="00EE4CF2">
              <w:rPr>
                <w:sz w:val="18"/>
              </w:rPr>
              <w:t>0</w:t>
            </w:r>
          </w:p>
        </w:tc>
      </w:tr>
      <w:tr w:rsidR="00D77BDC" w:rsidRPr="00EE4CF2" w:rsidTr="00302765">
        <w:tc>
          <w:tcPr>
            <w:tcW w:w="2127" w:type="dxa"/>
            <w:tcBorders>
              <w:top w:val="single" w:sz="4" w:space="0" w:color="auto"/>
              <w:bottom w:val="single" w:sz="12" w:space="0" w:color="auto"/>
            </w:tcBorders>
            <w:shd w:val="clear" w:color="auto" w:fill="auto"/>
          </w:tcPr>
          <w:p w:rsidR="00D77BDC" w:rsidRPr="00EE4CF2" w:rsidRDefault="00D77BDC" w:rsidP="003977E1">
            <w:pPr>
              <w:pStyle w:val="SingleTxtG"/>
              <w:suppressAutoHyphens w:val="0"/>
              <w:spacing w:before="80" w:after="80" w:line="220" w:lineRule="exact"/>
              <w:ind w:left="283" w:right="0"/>
              <w:jc w:val="left"/>
              <w:rPr>
                <w:b/>
                <w:sz w:val="18"/>
              </w:rPr>
            </w:pPr>
            <w:r w:rsidRPr="00EE4CF2">
              <w:rPr>
                <w:b/>
                <w:sz w:val="18"/>
              </w:rPr>
              <w:t>Total</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20" w:lineRule="exact"/>
              <w:ind w:left="0" w:right="113"/>
              <w:jc w:val="right"/>
              <w:rPr>
                <w:b/>
                <w:sz w:val="18"/>
              </w:rPr>
            </w:pPr>
            <w:r w:rsidRPr="00EE4CF2">
              <w:rPr>
                <w:b/>
                <w:sz w:val="18"/>
              </w:rPr>
              <w:t>7</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20" w:lineRule="exact"/>
              <w:ind w:left="0" w:right="113"/>
              <w:jc w:val="right"/>
              <w:rPr>
                <w:b/>
                <w:sz w:val="18"/>
              </w:rPr>
            </w:pPr>
            <w:r w:rsidRPr="00EE4CF2">
              <w:rPr>
                <w:b/>
                <w:sz w:val="18"/>
              </w:rPr>
              <w:t>7</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20" w:lineRule="exact"/>
              <w:ind w:left="0" w:right="113"/>
              <w:jc w:val="right"/>
              <w:rPr>
                <w:b/>
                <w:sz w:val="18"/>
              </w:rPr>
            </w:pPr>
            <w:r w:rsidRPr="00EE4CF2">
              <w:rPr>
                <w:b/>
                <w:sz w:val="18"/>
              </w:rPr>
              <w:t>5</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20" w:lineRule="exact"/>
              <w:ind w:left="0" w:right="113"/>
              <w:jc w:val="right"/>
              <w:rPr>
                <w:b/>
                <w:sz w:val="18"/>
              </w:rPr>
            </w:pPr>
            <w:r w:rsidRPr="00EE4CF2">
              <w:rPr>
                <w:b/>
                <w:sz w:val="18"/>
              </w:rPr>
              <w:t>9</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20" w:lineRule="exact"/>
              <w:ind w:left="0" w:right="113"/>
              <w:jc w:val="right"/>
              <w:rPr>
                <w:b/>
                <w:sz w:val="18"/>
              </w:rPr>
            </w:pPr>
            <w:r w:rsidRPr="00EE4CF2">
              <w:rPr>
                <w:b/>
                <w:sz w:val="18"/>
              </w:rPr>
              <w:t>17</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20" w:lineRule="exact"/>
              <w:ind w:left="0" w:right="113"/>
              <w:jc w:val="right"/>
              <w:rPr>
                <w:b/>
                <w:sz w:val="18"/>
              </w:rPr>
            </w:pPr>
            <w:r w:rsidRPr="00EE4CF2">
              <w:rPr>
                <w:b/>
                <w:sz w:val="18"/>
              </w:rPr>
              <w:t>9</w:t>
            </w:r>
          </w:p>
        </w:tc>
        <w:tc>
          <w:tcPr>
            <w:tcW w:w="749" w:type="dxa"/>
            <w:tcBorders>
              <w:top w:val="single" w:sz="4" w:space="0" w:color="auto"/>
              <w:bottom w:val="single" w:sz="12" w:space="0" w:color="auto"/>
            </w:tcBorders>
            <w:shd w:val="clear" w:color="auto" w:fill="auto"/>
            <w:vAlign w:val="bottom"/>
          </w:tcPr>
          <w:p w:rsidR="00D77BDC" w:rsidRPr="00EE4CF2" w:rsidRDefault="00D77BDC" w:rsidP="00302765">
            <w:pPr>
              <w:pStyle w:val="SingleTxtG"/>
              <w:suppressAutoHyphens w:val="0"/>
              <w:spacing w:before="80" w:after="80" w:line="220" w:lineRule="exact"/>
              <w:ind w:left="0" w:right="113"/>
              <w:jc w:val="right"/>
              <w:rPr>
                <w:b/>
                <w:sz w:val="18"/>
              </w:rPr>
            </w:pPr>
            <w:r w:rsidRPr="00EE4CF2">
              <w:rPr>
                <w:b/>
                <w:sz w:val="18"/>
              </w:rPr>
              <w:t>2</w:t>
            </w:r>
          </w:p>
        </w:tc>
      </w:tr>
    </w:tbl>
    <w:p w:rsidR="00D77BDC" w:rsidRPr="00EE4CF2" w:rsidRDefault="00D77BDC" w:rsidP="00D77BDC">
      <w:pPr>
        <w:pStyle w:val="SingleTxtG"/>
        <w:spacing w:before="240"/>
      </w:pPr>
      <w:r w:rsidRPr="00EE4CF2">
        <w:t>22.</w:t>
      </w:r>
      <w:r w:rsidRPr="00EE4CF2">
        <w:tab/>
        <w:t>The Relevant Legislative framework strengthening the combat against Corruption are:</w:t>
      </w:r>
    </w:p>
    <w:p w:rsidR="00D77BDC" w:rsidRPr="00EE4CF2" w:rsidRDefault="00D77BDC" w:rsidP="00D77BDC">
      <w:pPr>
        <w:pStyle w:val="H4G"/>
      </w:pPr>
      <w:r w:rsidRPr="00EE4CF2">
        <w:tab/>
        <w:t>(a)</w:t>
      </w:r>
      <w:r w:rsidRPr="00EE4CF2">
        <w:tab/>
        <w:t>The Good Governance and Integrity Reporting Act 2015 (GGIR)</w:t>
      </w:r>
    </w:p>
    <w:p w:rsidR="00D77BDC" w:rsidRPr="00EE4CF2" w:rsidRDefault="00D77BDC" w:rsidP="00D77BDC">
      <w:pPr>
        <w:pStyle w:val="SingleTxtG"/>
      </w:pPr>
      <w:r w:rsidRPr="00EE4CF2">
        <w:t>23.</w:t>
      </w:r>
      <w:r w:rsidRPr="00EE4CF2">
        <w:tab/>
        <w:t xml:space="preserve">It came into operation on 01.01.16 and is a positive step towards strengthening the framework legislation to combat corruption effectively by providing a civil, non-conviction based procedure to recover unexplained wealth, by using Unexplained Wealth Orders. </w:t>
      </w:r>
    </w:p>
    <w:p w:rsidR="00D77BDC" w:rsidRPr="00EE4CF2" w:rsidRDefault="00D77BDC" w:rsidP="00D77BDC">
      <w:pPr>
        <w:pStyle w:val="SingleTxtG"/>
      </w:pPr>
      <w:r w:rsidRPr="00EE4CF2">
        <w:t>24.</w:t>
      </w:r>
      <w:r w:rsidRPr="00EE4CF2">
        <w:tab/>
        <w:t xml:space="preserve">This law seeks to circumvent the proven difficulties in obtaining a conviction based asset forfeiture following a criminal conviction before a criminal court of law after due process of law. GGIR allows the State to apply for an Unexplained Wealth Order by way of civil proceedings in an action where the burden is on the Respondent to account satisfactorily for the unexplained wealth in question on a balance of probabilities. </w:t>
      </w:r>
    </w:p>
    <w:p w:rsidR="00D77BDC" w:rsidRPr="00EE4CF2" w:rsidRDefault="00D77BDC" w:rsidP="00D77BDC">
      <w:pPr>
        <w:pStyle w:val="SingleTxtG"/>
      </w:pPr>
      <w:r w:rsidRPr="00EE4CF2">
        <w:t>25.</w:t>
      </w:r>
      <w:r w:rsidRPr="00EE4CF2">
        <w:tab/>
        <w:t xml:space="preserve">Section19(1) of GGIR provides that the property recovered as a result of the Unexplained Wealth Order be used, inter alia, for the alleviation of poverty. This objective </w:t>
      </w:r>
      <w:r w:rsidRPr="00EE4CF2">
        <w:lastRenderedPageBreak/>
        <w:t xml:space="preserve">is in direct line with Article 2(1) of the International Covenant on Economic Social Cultural Rights as regards taking steps towards progressive realisation of rights in the Covenant such as Right to adequate standard of living under article 11 of the Covenant. GGIR provides the much needed financial means by confiscating illicit wealth and redistributing it in the society so as to be able to provide adequate food, clothing and housing. </w:t>
      </w:r>
    </w:p>
    <w:p w:rsidR="00D77BDC" w:rsidRPr="00EE4CF2" w:rsidRDefault="00D77BDC" w:rsidP="00D77BDC">
      <w:pPr>
        <w:pStyle w:val="H4G"/>
      </w:pPr>
      <w:r w:rsidRPr="00EE4CF2">
        <w:tab/>
        <w:t>(b)</w:t>
      </w:r>
      <w:r w:rsidRPr="00EE4CF2">
        <w:tab/>
        <w:t>Amendment to the Prevention of Corruption Act (POCA)</w:t>
      </w:r>
    </w:p>
    <w:p w:rsidR="00D77BDC" w:rsidRPr="00EE4CF2" w:rsidRDefault="00D77BDC" w:rsidP="00D77BDC">
      <w:pPr>
        <w:pStyle w:val="SingleTxtG"/>
      </w:pPr>
      <w:r w:rsidRPr="00EE4CF2">
        <w:t>26.</w:t>
      </w:r>
      <w:r w:rsidRPr="00EE4CF2">
        <w:tab/>
        <w:t>Sections 81(4) and (5) of the POCA were amended in August 2018 to provide for:</w:t>
      </w:r>
    </w:p>
    <w:p w:rsidR="00D77BDC" w:rsidRPr="00EE4CF2" w:rsidRDefault="00D77BDC" w:rsidP="00D77BDC">
      <w:pPr>
        <w:pStyle w:val="Bullet1G"/>
        <w:numPr>
          <w:ilvl w:val="0"/>
          <w:numId w:val="0"/>
        </w:numPr>
        <w:tabs>
          <w:tab w:val="left" w:pos="1701"/>
        </w:tabs>
        <w:ind w:left="1701" w:hanging="170"/>
      </w:pPr>
      <w:r w:rsidRPr="00EE4CF2">
        <w:t>•</w:t>
      </w:r>
      <w:r w:rsidRPr="00EE4CF2">
        <w:tab/>
        <w:t>The Director-General to disclose to the investigatory authorities, the Financial Intelligence Unit and supervisory authorities such information as he considers necessary in the public interest; and</w:t>
      </w:r>
    </w:p>
    <w:p w:rsidR="00D77BDC" w:rsidRPr="00EE4CF2" w:rsidRDefault="00D77BDC" w:rsidP="00D77BDC">
      <w:pPr>
        <w:pStyle w:val="Bullet1G"/>
        <w:numPr>
          <w:ilvl w:val="0"/>
          <w:numId w:val="0"/>
        </w:numPr>
        <w:tabs>
          <w:tab w:val="left" w:pos="1701"/>
        </w:tabs>
        <w:ind w:left="1701" w:hanging="170"/>
      </w:pPr>
      <w:r w:rsidRPr="00EE4CF2">
        <w:t>•</w:t>
      </w:r>
      <w:r w:rsidRPr="00EE4CF2">
        <w:tab/>
        <w:t>The communication of information, other than the source of the information, for the purpose of an investigation, by the Director-General, to an agency in Mauritius or abroad in order to assist an investigation into a money laundering or any other offence. The Act previously required the concurrence of the Director of Public Prosecutions prior to communicating any information to an agency for the purpose of an investigation.</w:t>
      </w:r>
    </w:p>
    <w:p w:rsidR="00D77BDC" w:rsidRPr="00EE4CF2" w:rsidRDefault="00D77BDC" w:rsidP="00D77BDC">
      <w:pPr>
        <w:pStyle w:val="H1G"/>
        <w:rPr>
          <w:lang w:val="en-US"/>
        </w:rPr>
      </w:pPr>
      <w:r w:rsidRPr="00EE4CF2">
        <w:rPr>
          <w:lang w:val="en-US"/>
        </w:rPr>
        <w:tab/>
      </w:r>
      <w:r w:rsidRPr="00EE4CF2">
        <w:rPr>
          <w:lang w:val="en-US"/>
        </w:rPr>
        <w:tab/>
        <w:t xml:space="preserve">Non-discrimination (art. 2 (2)) </w:t>
      </w:r>
    </w:p>
    <w:p w:rsidR="00D77BDC" w:rsidRPr="00EE4CF2" w:rsidRDefault="00D77BDC" w:rsidP="00D77BDC">
      <w:pPr>
        <w:pStyle w:val="H1G"/>
        <w:rPr>
          <w:lang w:val="en-US"/>
        </w:rPr>
      </w:pPr>
      <w:r w:rsidRPr="00EE4CF2">
        <w:rPr>
          <w:lang w:val="en-US"/>
        </w:rPr>
        <w:tab/>
      </w:r>
      <w:r w:rsidRPr="00EE4CF2">
        <w:rPr>
          <w:lang w:val="en-US"/>
        </w:rPr>
        <w:tab/>
        <w:t>Question 7</w:t>
      </w:r>
    </w:p>
    <w:p w:rsidR="00D77BDC" w:rsidRPr="00EE4CF2" w:rsidRDefault="00D77BDC" w:rsidP="00D77BDC">
      <w:pPr>
        <w:pStyle w:val="SingleTxtG"/>
        <w:rPr>
          <w:lang w:val="en-US"/>
        </w:rPr>
      </w:pPr>
      <w:r w:rsidRPr="00EE4CF2">
        <w:rPr>
          <w:lang w:val="en-US"/>
        </w:rPr>
        <w:t>27.</w:t>
      </w:r>
      <w:r w:rsidRPr="00EE4CF2">
        <w:rPr>
          <w:lang w:val="en-US"/>
        </w:rPr>
        <w:tab/>
        <w:t xml:space="preserve">The Equal Opportunities Commission (EOC) was set up on 24 April 2012. Under the Equal Opportunities Act, a direct or indirect discrimination is a less </w:t>
      </w:r>
      <w:proofErr w:type="spellStart"/>
      <w:r w:rsidRPr="00EE4CF2">
        <w:rPr>
          <w:lang w:val="en-US"/>
        </w:rPr>
        <w:t>favourable</w:t>
      </w:r>
      <w:proofErr w:type="spellEnd"/>
      <w:r w:rsidRPr="00EE4CF2">
        <w:rPr>
          <w:lang w:val="en-US"/>
        </w:rPr>
        <w:t xml:space="preserve"> treatment on the basis of status. The definition of </w:t>
      </w:r>
      <w:r w:rsidR="00D92267">
        <w:rPr>
          <w:lang w:val="en-US"/>
        </w:rPr>
        <w:t>“</w:t>
      </w:r>
      <w:r w:rsidRPr="00EE4CF2">
        <w:rPr>
          <w:lang w:val="en-US"/>
        </w:rPr>
        <w:t>status</w:t>
      </w:r>
      <w:r w:rsidR="00D92267">
        <w:rPr>
          <w:lang w:val="en-US"/>
        </w:rPr>
        <w:t>”</w:t>
      </w:r>
      <w:r w:rsidRPr="00EE4CF2">
        <w:rPr>
          <w:lang w:val="en-US"/>
        </w:rPr>
        <w:t xml:space="preserve"> includes caste, ethnic origin, </w:t>
      </w:r>
      <w:proofErr w:type="spellStart"/>
      <w:r w:rsidRPr="00EE4CF2">
        <w:rPr>
          <w:lang w:val="en-US"/>
        </w:rPr>
        <w:t>colour</w:t>
      </w:r>
      <w:proofErr w:type="spellEnd"/>
      <w:r w:rsidRPr="00EE4CF2">
        <w:rPr>
          <w:lang w:val="en-US"/>
        </w:rPr>
        <w:t>, creed, place of origin and race thereby further buttressing the safeguards against all forms of racial discrimination but does not include specifically language.</w:t>
      </w:r>
    </w:p>
    <w:p w:rsidR="00D77BDC" w:rsidRPr="00EE4CF2" w:rsidRDefault="00D77BDC" w:rsidP="00D77BDC">
      <w:pPr>
        <w:pStyle w:val="SingleTxtG"/>
        <w:rPr>
          <w:lang w:val="en-US"/>
        </w:rPr>
      </w:pPr>
      <w:r w:rsidRPr="00EE4CF2">
        <w:rPr>
          <w:lang w:val="en-US"/>
        </w:rPr>
        <w:t>28.</w:t>
      </w:r>
      <w:r w:rsidRPr="00EE4CF2">
        <w:rPr>
          <w:lang w:val="en-US"/>
        </w:rPr>
        <w:tab/>
        <w:t>The Equal Opportunities Act was amended in 2017 to provide for the prohibition of discrimination in employment on the grounds of a person</w:t>
      </w:r>
      <w:r w:rsidR="00D92267">
        <w:rPr>
          <w:lang w:val="en-US"/>
        </w:rPr>
        <w:t>’</w:t>
      </w:r>
      <w:r w:rsidRPr="00EE4CF2">
        <w:rPr>
          <w:lang w:val="en-US"/>
        </w:rPr>
        <w:t>s criminal record, both at recruitment and promotion level, where a person</w:t>
      </w:r>
      <w:r w:rsidR="00D92267">
        <w:rPr>
          <w:lang w:val="en-US"/>
        </w:rPr>
        <w:t>’</w:t>
      </w:r>
      <w:r w:rsidRPr="00EE4CF2">
        <w:rPr>
          <w:lang w:val="en-US"/>
        </w:rPr>
        <w:t>s criminal record is not relevant to the nature of the employment for which that person is being considered. The burden of proof, that a discrimination on ground of criminal records is relevant, has been put on the employer.</w:t>
      </w:r>
    </w:p>
    <w:p w:rsidR="00D77BDC" w:rsidRPr="00EE4CF2" w:rsidRDefault="00D77BDC" w:rsidP="00D77BDC">
      <w:pPr>
        <w:pStyle w:val="SingleTxtG"/>
        <w:rPr>
          <w:lang w:val="en-US"/>
        </w:rPr>
      </w:pPr>
      <w:r w:rsidRPr="00EE4CF2">
        <w:rPr>
          <w:lang w:val="en-US"/>
        </w:rPr>
        <w:t>29.</w:t>
      </w:r>
      <w:r w:rsidRPr="00EE4CF2">
        <w:rPr>
          <w:lang w:val="en-US"/>
        </w:rPr>
        <w:tab/>
        <w:t xml:space="preserve">The Equal Opportunities Commission not only examines and investigates into complaints referred to it but it equally investigates </w:t>
      </w:r>
      <w:proofErr w:type="spellStart"/>
      <w:r w:rsidRPr="00EE4CF2">
        <w:rPr>
          <w:lang w:val="en-US"/>
        </w:rPr>
        <w:t>proprio</w:t>
      </w:r>
      <w:proofErr w:type="spellEnd"/>
      <w:r w:rsidRPr="00EE4CF2">
        <w:rPr>
          <w:lang w:val="en-US"/>
        </w:rPr>
        <w:t xml:space="preserve"> </w:t>
      </w:r>
      <w:proofErr w:type="spellStart"/>
      <w:r w:rsidRPr="00EE4CF2">
        <w:rPr>
          <w:lang w:val="en-US"/>
        </w:rPr>
        <w:t>motu</w:t>
      </w:r>
      <w:proofErr w:type="spellEnd"/>
      <w:r w:rsidRPr="00EE4CF2">
        <w:rPr>
          <w:lang w:val="en-US"/>
        </w:rPr>
        <w:t xml:space="preserve"> into cases where it believes that an act of discrimination may have been or may be committed. The Equal Opportunities Commission is mandated to receive complaints from both the Private and the Public Sector. </w:t>
      </w:r>
    </w:p>
    <w:p w:rsidR="00D77BDC" w:rsidRPr="00EE4CF2" w:rsidRDefault="00D77BDC" w:rsidP="00D77BDC">
      <w:pPr>
        <w:pStyle w:val="SingleTxtG"/>
        <w:rPr>
          <w:lang w:val="en-US"/>
        </w:rPr>
      </w:pPr>
      <w:r w:rsidRPr="00EE4CF2">
        <w:rPr>
          <w:lang w:val="en-US"/>
        </w:rPr>
        <w:t>30.</w:t>
      </w:r>
      <w:r w:rsidRPr="00EE4CF2">
        <w:rPr>
          <w:lang w:val="en-US"/>
        </w:rPr>
        <w:tab/>
        <w:t xml:space="preserve">Furthermore, the Equal Opportunities Commission has published guidelines and codes of conduct for all employers be it from the public or private sector in view of the implementation of an equal opportunity policy by all employers, a mandatory requirement under the Equal Opportunities Act. </w:t>
      </w:r>
    </w:p>
    <w:p w:rsidR="00D77BDC" w:rsidRPr="00EE4CF2" w:rsidRDefault="00D77BDC" w:rsidP="00D77BDC">
      <w:pPr>
        <w:pStyle w:val="SingleTxtG"/>
        <w:rPr>
          <w:lang w:val="en-US"/>
        </w:rPr>
      </w:pPr>
      <w:r w:rsidRPr="00EE4CF2">
        <w:rPr>
          <w:lang w:val="en-US"/>
        </w:rPr>
        <w:t>31.</w:t>
      </w:r>
      <w:r w:rsidRPr="00EE4CF2">
        <w:rPr>
          <w:lang w:val="en-US"/>
        </w:rPr>
        <w:tab/>
        <w:t xml:space="preserve">This Equal Opportunity Policy aims at ensuring transparency and good governance in the running of organizations and secure a merit-only based system within which the criteria for selection, promotion, recruitment, training and employment at large are talent, competence and willingness to work, thus promoting the spirit of meritocracy and thereby satisfying the aspirations of the population for an equitable, fair and just society. </w:t>
      </w:r>
    </w:p>
    <w:p w:rsidR="00D77BDC" w:rsidRPr="00EE4CF2" w:rsidRDefault="00D77BDC" w:rsidP="00D77BDC">
      <w:pPr>
        <w:pStyle w:val="SingleTxtG"/>
      </w:pPr>
      <w:r w:rsidRPr="00EE4CF2">
        <w:t>32.</w:t>
      </w:r>
      <w:r w:rsidRPr="00EE4CF2">
        <w:tab/>
      </w:r>
      <w:r w:rsidRPr="00EE4CF2">
        <w:rPr>
          <w:lang w:val="en-US"/>
        </w:rPr>
        <w:t>The statistics</w:t>
      </w:r>
      <w:r w:rsidRPr="00EE4CF2">
        <w:t xml:space="preserve"> on complaints received at the EOC (May 2012 to 31 October 2018) is at Annex 1.</w:t>
      </w:r>
    </w:p>
    <w:p w:rsidR="00D77BDC" w:rsidRPr="00EE4CF2" w:rsidRDefault="00D77BDC" w:rsidP="00D77BDC">
      <w:pPr>
        <w:pStyle w:val="H1G"/>
        <w:rPr>
          <w:lang w:val="en-US"/>
        </w:rPr>
      </w:pPr>
      <w:r w:rsidRPr="00EE4CF2">
        <w:rPr>
          <w:lang w:val="en-US"/>
        </w:rPr>
        <w:lastRenderedPageBreak/>
        <w:tab/>
      </w:r>
      <w:r w:rsidRPr="00EE4CF2">
        <w:rPr>
          <w:lang w:val="en-US"/>
        </w:rPr>
        <w:tab/>
        <w:t>Question 8</w:t>
      </w:r>
    </w:p>
    <w:p w:rsidR="00D77BDC" w:rsidRPr="00EE4CF2" w:rsidRDefault="00D77BDC" w:rsidP="00D77BDC">
      <w:pPr>
        <w:pStyle w:val="SingleTxtG"/>
        <w:rPr>
          <w:lang w:val="en-US"/>
        </w:rPr>
      </w:pPr>
      <w:r w:rsidRPr="00EE4CF2">
        <w:rPr>
          <w:lang w:val="en-US"/>
        </w:rPr>
        <w:t>33.</w:t>
      </w:r>
      <w:r w:rsidRPr="00EE4CF2">
        <w:rPr>
          <w:lang w:val="en-US"/>
        </w:rPr>
        <w:tab/>
        <w:t>Several policy measures and legislative measures have been taken over the years, in several fields, in order to provide suitable environment and facilities for person with disabilities. These are listed at Annex 2.</w:t>
      </w:r>
    </w:p>
    <w:p w:rsidR="00D77BDC" w:rsidRPr="00EE4CF2" w:rsidRDefault="00D77BDC" w:rsidP="00D77BDC">
      <w:pPr>
        <w:pStyle w:val="SingleTxtG"/>
      </w:pPr>
      <w:r w:rsidRPr="00EE4CF2">
        <w:t>34.</w:t>
      </w:r>
      <w:r w:rsidRPr="00EE4CF2">
        <w:tab/>
      </w:r>
      <w:r w:rsidRPr="00EE4CF2">
        <w:rPr>
          <w:lang w:val="en-US"/>
        </w:rPr>
        <w:t>The Special</w:t>
      </w:r>
      <w:r w:rsidRPr="00EE4CF2">
        <w:t xml:space="preserve"> Education Needs Authority Bill has been passed by the National Assembly which Bill makes a strong case for the establishment of a Special Education Need Authority. As regards the Disability Bill, it has been held in abeyance by Government in view of several constitutional, legal, technical and financial implications contained therein. It has been decided that such implications are to be carefully studied and an action plan be drafted to implement the provisos, after discussions with all the stakeholders and with the cost, technical and legal implications and timelines included.</w:t>
      </w:r>
    </w:p>
    <w:p w:rsidR="00D77BDC" w:rsidRPr="00EE4CF2" w:rsidRDefault="00D77BDC" w:rsidP="00D77BDC">
      <w:pPr>
        <w:pStyle w:val="H1G"/>
      </w:pPr>
      <w:r w:rsidRPr="00EE4CF2">
        <w:rPr>
          <w:lang w:val="en-US"/>
        </w:rPr>
        <w:tab/>
      </w:r>
      <w:r w:rsidRPr="00EE4CF2">
        <w:rPr>
          <w:lang w:val="en-US"/>
        </w:rPr>
        <w:tab/>
        <w:t>Equal rights of men and women (art. 3)</w:t>
      </w:r>
    </w:p>
    <w:p w:rsidR="00D77BDC" w:rsidRPr="00EE4CF2" w:rsidRDefault="00D77BDC" w:rsidP="00D77BDC">
      <w:pPr>
        <w:pStyle w:val="H1G"/>
        <w:rPr>
          <w:lang w:val="en-US"/>
        </w:rPr>
      </w:pPr>
      <w:r w:rsidRPr="00EE4CF2">
        <w:rPr>
          <w:lang w:val="en-US"/>
        </w:rPr>
        <w:tab/>
      </w:r>
      <w:r w:rsidRPr="00EE4CF2">
        <w:rPr>
          <w:lang w:val="en-US"/>
        </w:rPr>
        <w:tab/>
        <w:t>Question 9</w:t>
      </w:r>
    </w:p>
    <w:p w:rsidR="00D77BDC" w:rsidRPr="00EE4CF2" w:rsidRDefault="00D77BDC" w:rsidP="00D77BDC">
      <w:pPr>
        <w:pStyle w:val="SingleTxtG"/>
        <w:rPr>
          <w:lang w:val="en-US"/>
        </w:rPr>
      </w:pPr>
      <w:r w:rsidRPr="00EE4CF2">
        <w:rPr>
          <w:lang w:val="en-US"/>
        </w:rPr>
        <w:t>35.</w:t>
      </w:r>
      <w:r w:rsidRPr="00EE4CF2">
        <w:rPr>
          <w:lang w:val="en-US"/>
        </w:rPr>
        <w:tab/>
        <w:t>The patriarchal attitudes and gender role stereotypes are gradually diminishing in Mauritius. It is quite common now to see women at the forefront of various sectors of activities being it construction, transport, and other various jobs which were originally deemed to be reserved for men.</w:t>
      </w:r>
    </w:p>
    <w:p w:rsidR="00D77BDC" w:rsidRPr="00EE4CF2" w:rsidRDefault="00D77BDC" w:rsidP="00D77BDC">
      <w:pPr>
        <w:pStyle w:val="SingleTxtG"/>
        <w:rPr>
          <w:lang w:val="en-US"/>
        </w:rPr>
      </w:pPr>
      <w:r w:rsidRPr="00EE4CF2">
        <w:rPr>
          <w:lang w:val="en-US"/>
        </w:rPr>
        <w:t>36.</w:t>
      </w:r>
      <w:r w:rsidRPr="00EE4CF2">
        <w:rPr>
          <w:lang w:val="en-US"/>
        </w:rPr>
        <w:tab/>
        <w:t xml:space="preserve">There has been a marked increase in the number of women participating in the last general elections. Out of 726 candidates who stood for election, there were 127 women, as compared to 58 only in 2010. In the National Assembly in Mauritius, we have presently 7 elected women members (out of a total of 69 seats) and in the Rodrigues Regional Assembly, 3 elected members (out of a total of 17 seats). It is to be noted that in both Assemblies, lady-Speakers preside. </w:t>
      </w:r>
    </w:p>
    <w:p w:rsidR="00D77BDC" w:rsidRPr="00EE4CF2" w:rsidRDefault="00D77BDC" w:rsidP="00D77BDC">
      <w:pPr>
        <w:pStyle w:val="SingleTxtG"/>
        <w:rPr>
          <w:lang w:val="en-US"/>
        </w:rPr>
      </w:pPr>
      <w:r w:rsidRPr="00EE4CF2">
        <w:rPr>
          <w:lang w:val="en-US"/>
        </w:rPr>
        <w:t>37.</w:t>
      </w:r>
      <w:r w:rsidRPr="00EE4CF2">
        <w:rPr>
          <w:lang w:val="en-US"/>
        </w:rPr>
        <w:tab/>
        <w:t xml:space="preserve">Amendments were brought to the Rodrigues Regional Assembly Act, through the Rodrigues Regional Assembly (Amendment) Act 2016. Concurrently, an amendment was brought to the Constitution to make provision for a minimum number of candidates for election to the Rodrigues Regional Assembly to be of a particular sex, with a view to ensuring adequate representation of each sex in the Rodrigues Regional Assembly. </w:t>
      </w:r>
    </w:p>
    <w:p w:rsidR="00D77BDC" w:rsidRPr="00EE4CF2" w:rsidRDefault="00D77BDC" w:rsidP="00D77BDC">
      <w:pPr>
        <w:pStyle w:val="SingleTxtG"/>
        <w:rPr>
          <w:lang w:val="en-US"/>
        </w:rPr>
      </w:pPr>
      <w:r w:rsidRPr="00EE4CF2">
        <w:rPr>
          <w:lang w:val="en-US"/>
        </w:rPr>
        <w:t>38.</w:t>
      </w:r>
      <w:r w:rsidRPr="00EE4CF2">
        <w:rPr>
          <w:lang w:val="en-US"/>
        </w:rPr>
        <w:tab/>
        <w:t>Moreover, as regards municipal elections, the Local Government Act was amended in 2015 to provide for every group representing more than 2 candidates at an election of a Municipal City or Town Council, to ensure that not more than two thirds of the group</w:t>
      </w:r>
      <w:r w:rsidR="00D92267">
        <w:rPr>
          <w:lang w:val="en-US"/>
        </w:rPr>
        <w:t>’</w:t>
      </w:r>
      <w:r w:rsidRPr="00EE4CF2">
        <w:rPr>
          <w:lang w:val="en-US"/>
        </w:rPr>
        <w:t>s candidates for election to that council are of the same sex.</w:t>
      </w:r>
    </w:p>
    <w:p w:rsidR="00D77BDC" w:rsidRPr="00EE4CF2" w:rsidRDefault="00D77BDC" w:rsidP="00D77BDC">
      <w:pPr>
        <w:pStyle w:val="SingleTxtG"/>
        <w:rPr>
          <w:lang w:val="en-US"/>
        </w:rPr>
      </w:pPr>
      <w:r w:rsidRPr="00EE4CF2">
        <w:rPr>
          <w:lang w:val="en-US"/>
        </w:rPr>
        <w:t>39.</w:t>
      </w:r>
      <w:r w:rsidRPr="00EE4CF2">
        <w:rPr>
          <w:lang w:val="en-US"/>
        </w:rPr>
        <w:tab/>
        <w:t>The proportion of women in the most senior positions in decision making in the Public Service has increased from 20% in 1997 to 37% in 2017 in Mauritius.</w:t>
      </w:r>
    </w:p>
    <w:p w:rsidR="00D77BDC" w:rsidRPr="00EE4CF2" w:rsidRDefault="00D77BDC" w:rsidP="00D77BDC">
      <w:pPr>
        <w:pStyle w:val="SingleTxtG"/>
        <w:rPr>
          <w:lang w:val="en-US"/>
        </w:rPr>
      </w:pPr>
      <w:r w:rsidRPr="00EE4CF2">
        <w:rPr>
          <w:lang w:val="en-US"/>
        </w:rPr>
        <w:t>40.</w:t>
      </w:r>
      <w:r w:rsidRPr="00EE4CF2">
        <w:rPr>
          <w:lang w:val="en-US"/>
        </w:rPr>
        <w:tab/>
        <w:t xml:space="preserve">As regards the private sector, the National Code of Corporate Governance highlights that all organizations should have directors from both genders as members of the board. All boards are encouraged to have a non-discriminatory policy that covers its senior governance positions, including disability, gender, sexual orientation, gender alignment, race, religion and belief and age. </w:t>
      </w:r>
    </w:p>
    <w:p w:rsidR="00D77BDC" w:rsidRPr="00EE4CF2" w:rsidRDefault="00D77BDC" w:rsidP="00D77BDC">
      <w:pPr>
        <w:pStyle w:val="SingleTxtG"/>
        <w:rPr>
          <w:lang w:val="en-US"/>
        </w:rPr>
      </w:pPr>
      <w:r w:rsidRPr="00EE4CF2">
        <w:rPr>
          <w:lang w:val="en-US"/>
        </w:rPr>
        <w:t>41.</w:t>
      </w:r>
      <w:r w:rsidRPr="00EE4CF2">
        <w:rPr>
          <w:lang w:val="en-US"/>
        </w:rPr>
        <w:tab/>
        <w:t xml:space="preserve">The Gender Unit is conducting on monthly awareness sessions on the concept of gender equality with young men and boys (students), men and women from all walks of life including professionals from the private sector. Similarly, sensitization and capacity building </w:t>
      </w:r>
      <w:proofErr w:type="spellStart"/>
      <w:r w:rsidRPr="00EE4CF2">
        <w:rPr>
          <w:lang w:val="en-US"/>
        </w:rPr>
        <w:t>programmes</w:t>
      </w:r>
      <w:proofErr w:type="spellEnd"/>
      <w:r w:rsidRPr="00EE4CF2">
        <w:rPr>
          <w:lang w:val="en-US"/>
        </w:rPr>
        <w:t xml:space="preserve"> are being conducted with new recruits of the public sector, technical and administrative cadres, Police and Prison Officers. This is an on-going process and several information and educational tools have been developed to innovate awareness raising strategies. With the support of the Commonwealth of Learning, interactive DVDs were produced in 2011 and these are still used in awareness campaigns; one of which deals with addressing gender inequality and discrimination based on sex. At national level, the Ministry of Gender Equality, Child Development and Family Welfare has made use of billboards and public buses to sensitize the public on gender equality.</w:t>
      </w:r>
    </w:p>
    <w:p w:rsidR="00D77BDC" w:rsidRPr="00EE4CF2" w:rsidRDefault="00D77BDC" w:rsidP="00D77BDC">
      <w:pPr>
        <w:pStyle w:val="SingleTxtG"/>
        <w:rPr>
          <w:lang w:val="en-US"/>
        </w:rPr>
      </w:pPr>
      <w:r w:rsidRPr="00EE4CF2">
        <w:rPr>
          <w:lang w:val="en-US"/>
        </w:rPr>
        <w:lastRenderedPageBreak/>
        <w:t>42.</w:t>
      </w:r>
      <w:r w:rsidRPr="00EE4CF2">
        <w:rPr>
          <w:lang w:val="en-US"/>
        </w:rPr>
        <w:tab/>
        <w:t xml:space="preserve">Section 20 of the Employment Rights Act provides that both men and women are to be treated equally at the workplace with regards to the payment of remuneration. </w:t>
      </w:r>
    </w:p>
    <w:p w:rsidR="00D77BDC" w:rsidRPr="00EE4CF2" w:rsidRDefault="00D77BDC" w:rsidP="00D77BDC">
      <w:pPr>
        <w:pStyle w:val="SingleTxtG"/>
      </w:pPr>
      <w:r w:rsidRPr="00EE4CF2">
        <w:t>43.</w:t>
      </w:r>
      <w:r w:rsidRPr="00EE4CF2">
        <w:tab/>
      </w:r>
      <w:r w:rsidRPr="00EE4CF2">
        <w:rPr>
          <w:lang w:val="en-US"/>
        </w:rPr>
        <w:t xml:space="preserve">The National Women Council Bill was passed in the National Assembly in May 2016, repealing </w:t>
      </w:r>
      <w:proofErr w:type="spellStart"/>
      <w:r w:rsidRPr="00EE4CF2">
        <w:rPr>
          <w:lang w:val="en-US"/>
        </w:rPr>
        <w:t>th</w:t>
      </w:r>
      <w:proofErr w:type="spellEnd"/>
      <w:r w:rsidRPr="00EE4CF2">
        <w:t>e National Women</w:t>
      </w:r>
      <w:r w:rsidR="00D92267">
        <w:t>’</w:t>
      </w:r>
      <w:r w:rsidRPr="00EE4CF2">
        <w:t>s Council Act 1985. It was proclaimed on 07 March 2018 and came into operation on 08 March 2018. The objects of the Council according to the new Act are to:</w:t>
      </w:r>
    </w:p>
    <w:p w:rsidR="00D77BDC" w:rsidRPr="00EE4CF2" w:rsidRDefault="00C62593" w:rsidP="00C62593">
      <w:pPr>
        <w:pStyle w:val="SingleTxtG"/>
      </w:pPr>
      <w:r>
        <w:tab/>
      </w:r>
      <w:r w:rsidR="00D77BDC" w:rsidRPr="00EE4CF2">
        <w:t>(a)</w:t>
      </w:r>
      <w:r w:rsidR="00D77BDC" w:rsidRPr="00EE4CF2">
        <w:tab/>
        <w:t>Promote women</w:t>
      </w:r>
      <w:r w:rsidR="00D92267">
        <w:t>’</w:t>
      </w:r>
      <w:r w:rsidR="00D77BDC" w:rsidRPr="00EE4CF2">
        <w:t>s empowerment and gender equality;</w:t>
      </w:r>
    </w:p>
    <w:p w:rsidR="00D77BDC" w:rsidRPr="00EE4CF2" w:rsidRDefault="00C62593" w:rsidP="00C62593">
      <w:pPr>
        <w:pStyle w:val="SingleTxtG"/>
      </w:pPr>
      <w:r>
        <w:tab/>
      </w:r>
      <w:r w:rsidR="00D77BDC" w:rsidRPr="00EE4CF2">
        <w:t>(b)</w:t>
      </w:r>
      <w:r w:rsidR="00D77BDC" w:rsidRPr="00EE4CF2">
        <w:tab/>
        <w:t>Ensure and promote the active participation of women in the social, economic and political fields in order to further their overall empowerment; and</w:t>
      </w:r>
    </w:p>
    <w:p w:rsidR="00D77BDC" w:rsidRPr="00EE4CF2" w:rsidRDefault="00C62593" w:rsidP="00C62593">
      <w:pPr>
        <w:pStyle w:val="SingleTxtG"/>
      </w:pPr>
      <w:r>
        <w:tab/>
      </w:r>
      <w:r w:rsidR="00D77BDC" w:rsidRPr="00EE4CF2">
        <w:t>(c)</w:t>
      </w:r>
      <w:r w:rsidR="00D77BDC" w:rsidRPr="00EE4CF2">
        <w:tab/>
        <w:t>Provide a platform for women to voice their needs, concerns and aspirations.</w:t>
      </w:r>
    </w:p>
    <w:p w:rsidR="00D77BDC" w:rsidRPr="00EE4CF2" w:rsidRDefault="00D77BDC" w:rsidP="00D77BDC">
      <w:pPr>
        <w:pStyle w:val="SingleTxtG"/>
      </w:pPr>
      <w:r w:rsidRPr="00EE4CF2">
        <w:t>44.</w:t>
      </w:r>
      <w:r w:rsidRPr="00EE4CF2">
        <w:tab/>
        <w:t>During the period January to June 2018, the NWC has empowered around 28,000 women through trainings and sensitization campaigns on Social, Economic and Political areas as shown in the table below:</w:t>
      </w:r>
    </w:p>
    <w:p w:rsidR="00D77BDC" w:rsidRPr="00EE4CF2" w:rsidRDefault="00D77BDC" w:rsidP="00D77BDC">
      <w:pPr>
        <w:pStyle w:val="Heading1"/>
        <w:spacing w:after="120"/>
        <w:rPr>
          <w:b/>
        </w:rPr>
      </w:pPr>
      <w:r w:rsidRPr="00EE4CF2">
        <w:t>Table 9</w:t>
      </w:r>
      <w:r w:rsidRPr="00EE4CF2">
        <w:rPr>
          <w:b/>
        </w:rPr>
        <w:br/>
        <w:t>Training and Sensitisation by the NWC</w:t>
      </w:r>
    </w:p>
    <w:tbl>
      <w:tblPr>
        <w:tblW w:w="7370" w:type="dxa"/>
        <w:tblInd w:w="1134" w:type="dxa"/>
        <w:tblLayout w:type="fixed"/>
        <w:tblCellMar>
          <w:left w:w="0" w:type="dxa"/>
          <w:right w:w="0" w:type="dxa"/>
        </w:tblCellMar>
        <w:tblLook w:val="04A0" w:firstRow="1" w:lastRow="0" w:firstColumn="1" w:lastColumn="0" w:noHBand="0" w:noVBand="1"/>
      </w:tblPr>
      <w:tblGrid>
        <w:gridCol w:w="1831"/>
        <w:gridCol w:w="3109"/>
        <w:gridCol w:w="2430"/>
      </w:tblGrid>
      <w:tr w:rsidR="00D77BDC" w:rsidRPr="00EE4CF2" w:rsidTr="003977E1">
        <w:trPr>
          <w:tblHeader/>
        </w:trPr>
        <w:tc>
          <w:tcPr>
            <w:tcW w:w="1831" w:type="dxa"/>
            <w:tcBorders>
              <w:top w:val="single" w:sz="4" w:space="0" w:color="auto"/>
              <w:bottom w:val="single" w:sz="12" w:space="0" w:color="auto"/>
            </w:tcBorders>
            <w:shd w:val="clear" w:color="auto" w:fill="auto"/>
            <w:vAlign w:val="bottom"/>
          </w:tcPr>
          <w:p w:rsidR="00D77BDC" w:rsidRPr="00EE4CF2" w:rsidRDefault="00D77BDC" w:rsidP="003977E1">
            <w:pPr>
              <w:pStyle w:val="SingleTxtG"/>
              <w:suppressAutoHyphens w:val="0"/>
              <w:spacing w:before="80" w:after="80" w:line="200" w:lineRule="exact"/>
              <w:ind w:left="0" w:right="0"/>
              <w:jc w:val="left"/>
              <w:rPr>
                <w:i/>
                <w:sz w:val="16"/>
              </w:rPr>
            </w:pPr>
            <w:r w:rsidRPr="00EE4CF2">
              <w:rPr>
                <w:i/>
                <w:sz w:val="16"/>
              </w:rPr>
              <w:t>Sn</w:t>
            </w:r>
          </w:p>
        </w:tc>
        <w:tc>
          <w:tcPr>
            <w:tcW w:w="3109" w:type="dxa"/>
            <w:tcBorders>
              <w:top w:val="single" w:sz="4" w:space="0" w:color="auto"/>
              <w:bottom w:val="single" w:sz="12" w:space="0" w:color="auto"/>
            </w:tcBorders>
            <w:shd w:val="clear" w:color="auto" w:fill="auto"/>
            <w:vAlign w:val="bottom"/>
          </w:tcPr>
          <w:p w:rsidR="00D77BDC" w:rsidRPr="00EE4CF2" w:rsidRDefault="00D77BDC" w:rsidP="00D22AC3">
            <w:pPr>
              <w:pStyle w:val="SingleTxtG"/>
              <w:suppressAutoHyphens w:val="0"/>
              <w:spacing w:before="80" w:after="80" w:line="200" w:lineRule="exact"/>
              <w:ind w:left="0" w:right="113"/>
              <w:jc w:val="left"/>
              <w:rPr>
                <w:i/>
                <w:sz w:val="16"/>
              </w:rPr>
            </w:pPr>
            <w:r w:rsidRPr="00EE4CF2">
              <w:rPr>
                <w:i/>
                <w:sz w:val="16"/>
              </w:rPr>
              <w:t>Areas of Women</w:t>
            </w:r>
            <w:r w:rsidR="00D92267">
              <w:rPr>
                <w:i/>
                <w:sz w:val="16"/>
              </w:rPr>
              <w:t>’</w:t>
            </w:r>
            <w:r w:rsidRPr="00EE4CF2">
              <w:rPr>
                <w:i/>
                <w:sz w:val="16"/>
              </w:rPr>
              <w:t>s Empowerment</w:t>
            </w:r>
          </w:p>
        </w:tc>
        <w:tc>
          <w:tcPr>
            <w:tcW w:w="2430" w:type="dxa"/>
            <w:tcBorders>
              <w:top w:val="single" w:sz="4" w:space="0" w:color="auto"/>
              <w:bottom w:val="single" w:sz="12" w:space="0" w:color="auto"/>
            </w:tcBorders>
            <w:shd w:val="clear" w:color="auto" w:fill="auto"/>
            <w:vAlign w:val="bottom"/>
          </w:tcPr>
          <w:p w:rsidR="00D77BDC" w:rsidRPr="00EE4CF2" w:rsidRDefault="00D77BDC" w:rsidP="00855300">
            <w:pPr>
              <w:pStyle w:val="SingleTxtG"/>
              <w:suppressAutoHyphens w:val="0"/>
              <w:spacing w:before="80" w:after="80" w:line="200" w:lineRule="exact"/>
              <w:ind w:left="0" w:right="113"/>
              <w:jc w:val="right"/>
              <w:rPr>
                <w:i/>
                <w:sz w:val="16"/>
              </w:rPr>
            </w:pPr>
            <w:r w:rsidRPr="00EE4CF2">
              <w:rPr>
                <w:i/>
                <w:sz w:val="16"/>
              </w:rPr>
              <w:t>January to May 2018</w:t>
            </w:r>
          </w:p>
        </w:tc>
      </w:tr>
      <w:tr w:rsidR="00D77BDC" w:rsidRPr="00EE4CF2" w:rsidTr="003977E1">
        <w:tc>
          <w:tcPr>
            <w:tcW w:w="1831" w:type="dxa"/>
            <w:tcBorders>
              <w:top w:val="single" w:sz="12" w:space="0" w:color="auto"/>
            </w:tcBorders>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1</w:t>
            </w:r>
          </w:p>
        </w:tc>
        <w:tc>
          <w:tcPr>
            <w:tcW w:w="3109" w:type="dxa"/>
            <w:tcBorders>
              <w:top w:val="single" w:sz="12" w:space="0" w:color="auto"/>
            </w:tcBorders>
            <w:shd w:val="clear" w:color="auto" w:fill="auto"/>
            <w:vAlign w:val="bottom"/>
          </w:tcPr>
          <w:p w:rsidR="00D77BDC" w:rsidRPr="00EE4CF2" w:rsidRDefault="00D77BDC" w:rsidP="00D22AC3">
            <w:pPr>
              <w:pStyle w:val="SingleTxtG"/>
              <w:suppressAutoHyphens w:val="0"/>
              <w:spacing w:before="40" w:after="40" w:line="220" w:lineRule="exact"/>
              <w:ind w:left="0" w:right="113"/>
              <w:jc w:val="left"/>
              <w:rPr>
                <w:sz w:val="18"/>
              </w:rPr>
            </w:pPr>
            <w:r w:rsidRPr="00EE4CF2">
              <w:rPr>
                <w:sz w:val="18"/>
              </w:rPr>
              <w:t>Social</w:t>
            </w:r>
          </w:p>
        </w:tc>
        <w:tc>
          <w:tcPr>
            <w:tcW w:w="2430" w:type="dxa"/>
            <w:tcBorders>
              <w:top w:val="single" w:sz="12" w:space="0" w:color="auto"/>
            </w:tcBorders>
            <w:shd w:val="clear" w:color="auto" w:fill="auto"/>
            <w:vAlign w:val="bottom"/>
          </w:tcPr>
          <w:p w:rsidR="00D77BDC" w:rsidRPr="00EE4CF2" w:rsidRDefault="00D77BDC" w:rsidP="00855300">
            <w:pPr>
              <w:pStyle w:val="SingleTxtG"/>
              <w:suppressAutoHyphens w:val="0"/>
              <w:spacing w:before="40" w:after="40" w:line="220" w:lineRule="exact"/>
              <w:ind w:left="0" w:right="113"/>
              <w:jc w:val="right"/>
              <w:rPr>
                <w:sz w:val="18"/>
              </w:rPr>
            </w:pPr>
            <w:r w:rsidRPr="00EE4CF2">
              <w:rPr>
                <w:sz w:val="18"/>
              </w:rPr>
              <w:t>23</w:t>
            </w:r>
            <w:r w:rsidR="00855300">
              <w:rPr>
                <w:sz w:val="18"/>
              </w:rPr>
              <w:t xml:space="preserve"> </w:t>
            </w:r>
            <w:r w:rsidRPr="00EE4CF2">
              <w:rPr>
                <w:sz w:val="18"/>
              </w:rPr>
              <w:t>764</w:t>
            </w:r>
          </w:p>
        </w:tc>
      </w:tr>
      <w:tr w:rsidR="00D77BDC" w:rsidRPr="00EE4CF2" w:rsidTr="003977E1">
        <w:tc>
          <w:tcPr>
            <w:tcW w:w="1831" w:type="dxa"/>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2</w:t>
            </w:r>
          </w:p>
        </w:tc>
        <w:tc>
          <w:tcPr>
            <w:tcW w:w="3109" w:type="dxa"/>
            <w:shd w:val="clear" w:color="auto" w:fill="auto"/>
            <w:vAlign w:val="bottom"/>
          </w:tcPr>
          <w:p w:rsidR="00D77BDC" w:rsidRPr="00EE4CF2" w:rsidRDefault="00D77BDC" w:rsidP="00D22AC3">
            <w:pPr>
              <w:pStyle w:val="SingleTxtG"/>
              <w:suppressAutoHyphens w:val="0"/>
              <w:spacing w:before="40" w:after="40" w:line="220" w:lineRule="exact"/>
              <w:ind w:left="0" w:right="113"/>
              <w:jc w:val="left"/>
              <w:rPr>
                <w:sz w:val="18"/>
              </w:rPr>
            </w:pPr>
            <w:r w:rsidRPr="00EE4CF2">
              <w:rPr>
                <w:sz w:val="18"/>
              </w:rPr>
              <w:t>Economic</w:t>
            </w:r>
          </w:p>
        </w:tc>
        <w:tc>
          <w:tcPr>
            <w:tcW w:w="2430" w:type="dxa"/>
            <w:shd w:val="clear" w:color="auto" w:fill="auto"/>
            <w:vAlign w:val="bottom"/>
          </w:tcPr>
          <w:p w:rsidR="00D77BDC" w:rsidRPr="00EE4CF2" w:rsidRDefault="00D77BDC" w:rsidP="00855300">
            <w:pPr>
              <w:pStyle w:val="SingleTxtG"/>
              <w:suppressAutoHyphens w:val="0"/>
              <w:spacing w:before="40" w:after="40" w:line="220" w:lineRule="exact"/>
              <w:ind w:left="0" w:right="113"/>
              <w:jc w:val="right"/>
              <w:rPr>
                <w:sz w:val="18"/>
              </w:rPr>
            </w:pPr>
            <w:r w:rsidRPr="00EE4CF2">
              <w:rPr>
                <w:sz w:val="18"/>
              </w:rPr>
              <w:t>4</w:t>
            </w:r>
            <w:r w:rsidR="00855300">
              <w:rPr>
                <w:sz w:val="18"/>
              </w:rPr>
              <w:t xml:space="preserve"> </w:t>
            </w:r>
            <w:r w:rsidRPr="00EE4CF2">
              <w:rPr>
                <w:sz w:val="18"/>
              </w:rPr>
              <w:t>731</w:t>
            </w:r>
          </w:p>
        </w:tc>
      </w:tr>
      <w:tr w:rsidR="00D77BDC" w:rsidRPr="00EE4CF2" w:rsidTr="003977E1">
        <w:tc>
          <w:tcPr>
            <w:tcW w:w="1831" w:type="dxa"/>
            <w:tcBorders>
              <w:bottom w:val="single" w:sz="12" w:space="0" w:color="auto"/>
            </w:tcBorders>
            <w:shd w:val="clear" w:color="auto" w:fill="auto"/>
          </w:tcPr>
          <w:p w:rsidR="00D77BDC" w:rsidRPr="00EE4CF2" w:rsidRDefault="00D77BDC" w:rsidP="003977E1">
            <w:pPr>
              <w:pStyle w:val="SingleTxtG"/>
              <w:suppressAutoHyphens w:val="0"/>
              <w:spacing w:before="40" w:after="40" w:line="220" w:lineRule="exact"/>
              <w:ind w:left="0" w:right="0"/>
              <w:jc w:val="left"/>
              <w:rPr>
                <w:sz w:val="18"/>
              </w:rPr>
            </w:pPr>
            <w:r w:rsidRPr="00EE4CF2">
              <w:rPr>
                <w:sz w:val="18"/>
              </w:rPr>
              <w:t>3</w:t>
            </w:r>
          </w:p>
        </w:tc>
        <w:tc>
          <w:tcPr>
            <w:tcW w:w="3109" w:type="dxa"/>
            <w:tcBorders>
              <w:bottom w:val="single" w:sz="12" w:space="0" w:color="auto"/>
            </w:tcBorders>
            <w:shd w:val="clear" w:color="auto" w:fill="auto"/>
            <w:vAlign w:val="bottom"/>
          </w:tcPr>
          <w:p w:rsidR="00D77BDC" w:rsidRPr="00EE4CF2" w:rsidRDefault="00D77BDC" w:rsidP="00D22AC3">
            <w:pPr>
              <w:pStyle w:val="SingleTxtG"/>
              <w:suppressAutoHyphens w:val="0"/>
              <w:spacing w:before="40" w:after="40" w:line="220" w:lineRule="exact"/>
              <w:ind w:left="0" w:right="113"/>
              <w:jc w:val="left"/>
              <w:rPr>
                <w:sz w:val="18"/>
              </w:rPr>
            </w:pPr>
            <w:r w:rsidRPr="00EE4CF2">
              <w:rPr>
                <w:sz w:val="18"/>
              </w:rPr>
              <w:t>Political</w:t>
            </w:r>
          </w:p>
        </w:tc>
        <w:tc>
          <w:tcPr>
            <w:tcW w:w="2430" w:type="dxa"/>
            <w:tcBorders>
              <w:bottom w:val="single" w:sz="12" w:space="0" w:color="auto"/>
            </w:tcBorders>
            <w:shd w:val="clear" w:color="auto" w:fill="auto"/>
            <w:vAlign w:val="bottom"/>
          </w:tcPr>
          <w:p w:rsidR="00D77BDC" w:rsidRPr="00EE4CF2" w:rsidRDefault="00D77BDC" w:rsidP="00855300">
            <w:pPr>
              <w:pStyle w:val="SingleTxtG"/>
              <w:suppressAutoHyphens w:val="0"/>
              <w:spacing w:before="40" w:after="40" w:line="220" w:lineRule="exact"/>
              <w:ind w:left="0" w:right="113"/>
              <w:jc w:val="right"/>
              <w:rPr>
                <w:sz w:val="18"/>
              </w:rPr>
            </w:pPr>
            <w:r w:rsidRPr="00EE4CF2">
              <w:rPr>
                <w:sz w:val="18"/>
              </w:rPr>
              <w:t>274</w:t>
            </w:r>
          </w:p>
        </w:tc>
      </w:tr>
    </w:tbl>
    <w:p w:rsidR="00D77BDC" w:rsidRPr="00EE4CF2" w:rsidRDefault="00D77BDC" w:rsidP="00D77BDC">
      <w:pPr>
        <w:pStyle w:val="SingleTxtG"/>
        <w:spacing w:before="240"/>
        <w:rPr>
          <w:lang w:val="en-US"/>
        </w:rPr>
      </w:pPr>
      <w:r w:rsidRPr="00EE4CF2">
        <w:rPr>
          <w:lang w:val="en-US"/>
        </w:rPr>
        <w:t>45.</w:t>
      </w:r>
      <w:r w:rsidRPr="00EE4CF2">
        <w:rPr>
          <w:lang w:val="en-US"/>
        </w:rPr>
        <w:tab/>
        <w:t xml:space="preserve">A Gender Equality Bill is being </w:t>
      </w:r>
      <w:proofErr w:type="spellStart"/>
      <w:r w:rsidRPr="00EE4CF2">
        <w:rPr>
          <w:lang w:val="en-US"/>
        </w:rPr>
        <w:t>finalised</w:t>
      </w:r>
      <w:proofErr w:type="spellEnd"/>
      <w:r w:rsidRPr="00EE4CF2">
        <w:rPr>
          <w:lang w:val="en-US"/>
        </w:rPr>
        <w:t xml:space="preserve"> based on local prevailing circumstances, and will provide further protection against gender-based discriminatory practices in various areas such as employment, education, health, family and marriage. </w:t>
      </w:r>
    </w:p>
    <w:p w:rsidR="00D77BDC" w:rsidRPr="00EE4CF2" w:rsidRDefault="00D77BDC" w:rsidP="00D77BDC">
      <w:pPr>
        <w:pStyle w:val="SingleTxtG"/>
      </w:pPr>
      <w:r w:rsidRPr="00EE4CF2">
        <w:t>46.</w:t>
      </w:r>
      <w:r w:rsidRPr="00EE4CF2">
        <w:tab/>
      </w:r>
      <w:r w:rsidRPr="00EE4CF2">
        <w:rPr>
          <w:lang w:val="en-US"/>
        </w:rPr>
        <w:t>Moreover, a better representation of women in the National Assembly, is being envisaged. Currently</w:t>
      </w:r>
      <w:r w:rsidRPr="00EE4CF2">
        <w:t>, out of the 69 Members of the National Assembly, eight (8) are women (i.e. 11.6%) two of whom are Ministers. To ensure a better gender representation so as to guarantee an enhanced representation of women in the National Assembly, Government has recently circulated a proposal for Electoral Reforms in September 2018 amongst which, there is a recommendation for a gender-neutral formula of at least one third of the candidates be of the same sex for each party or party alliance, both from the First Past the Post and the Proportional Representation List.</w:t>
      </w:r>
    </w:p>
    <w:p w:rsidR="00D77BDC" w:rsidRPr="00EE4CF2" w:rsidRDefault="00D77BDC" w:rsidP="00D77BDC">
      <w:pPr>
        <w:pStyle w:val="H1G"/>
        <w:rPr>
          <w:lang w:val="en-US"/>
        </w:rPr>
      </w:pPr>
      <w:r w:rsidRPr="00EE4CF2">
        <w:rPr>
          <w:lang w:val="en-US"/>
        </w:rPr>
        <w:tab/>
      </w:r>
      <w:r w:rsidRPr="00EE4CF2">
        <w:rPr>
          <w:lang w:val="en-US"/>
        </w:rPr>
        <w:tab/>
        <w:t xml:space="preserve">Right to work (art. 6) </w:t>
      </w:r>
    </w:p>
    <w:p w:rsidR="00D77BDC" w:rsidRPr="00EE4CF2" w:rsidRDefault="00D77BDC" w:rsidP="00D77BDC">
      <w:pPr>
        <w:pStyle w:val="H1G"/>
        <w:rPr>
          <w:lang w:val="en-US"/>
        </w:rPr>
      </w:pPr>
      <w:r w:rsidRPr="00EE4CF2">
        <w:rPr>
          <w:lang w:val="en-US"/>
        </w:rPr>
        <w:tab/>
      </w:r>
      <w:r w:rsidRPr="00EE4CF2">
        <w:rPr>
          <w:lang w:val="en-US"/>
        </w:rPr>
        <w:tab/>
        <w:t>Question 10</w:t>
      </w:r>
    </w:p>
    <w:p w:rsidR="00D77BDC" w:rsidRPr="00EE4CF2" w:rsidRDefault="00D77BDC" w:rsidP="00D77BDC">
      <w:pPr>
        <w:pStyle w:val="SingleTxtG"/>
        <w:rPr>
          <w:lang w:val="en-US"/>
        </w:rPr>
      </w:pPr>
      <w:r w:rsidRPr="00EE4CF2">
        <w:rPr>
          <w:lang w:val="en-US"/>
        </w:rPr>
        <w:t>47.</w:t>
      </w:r>
      <w:r w:rsidRPr="00EE4CF2">
        <w:rPr>
          <w:lang w:val="en-US"/>
        </w:rPr>
        <w:tab/>
        <w:t xml:space="preserve">Some 20,600 youth have been placed in employment from 2013 to June 2018 through the Youth Employment </w:t>
      </w:r>
      <w:proofErr w:type="spellStart"/>
      <w:r w:rsidRPr="00EE4CF2">
        <w:rPr>
          <w:lang w:val="en-US"/>
        </w:rPr>
        <w:t>Programme</w:t>
      </w:r>
      <w:proofErr w:type="spellEnd"/>
      <w:r w:rsidRPr="00EE4CF2">
        <w:rPr>
          <w:lang w:val="en-US"/>
        </w:rPr>
        <w:t xml:space="preserve">. The monthly stipend paid to trainees vary from </w:t>
      </w:r>
      <w:proofErr w:type="spellStart"/>
      <w:r w:rsidRPr="00EE4CF2">
        <w:rPr>
          <w:lang w:val="en-US"/>
        </w:rPr>
        <w:t>Rs</w:t>
      </w:r>
      <w:proofErr w:type="spellEnd"/>
      <w:r w:rsidRPr="00EE4CF2">
        <w:rPr>
          <w:lang w:val="en-US"/>
        </w:rPr>
        <w:t xml:space="preserve"> 8000 to </w:t>
      </w:r>
      <w:proofErr w:type="spellStart"/>
      <w:r w:rsidRPr="00EE4CF2">
        <w:rPr>
          <w:lang w:val="en-US"/>
        </w:rPr>
        <w:t>Rs</w:t>
      </w:r>
      <w:proofErr w:type="spellEnd"/>
      <w:r w:rsidRPr="00EE4CF2">
        <w:rPr>
          <w:lang w:val="en-US"/>
        </w:rPr>
        <w:t xml:space="preserve"> 15000, depending upon their qualifications. Moreover, a SME Employment Scheme for unemployed graduates was introduced this year and it targets some 1000 graduates. </w:t>
      </w:r>
    </w:p>
    <w:p w:rsidR="00D77BDC" w:rsidRPr="00EE4CF2" w:rsidRDefault="00D77BDC" w:rsidP="00D77BDC">
      <w:pPr>
        <w:pStyle w:val="SingleTxtG"/>
        <w:rPr>
          <w:lang w:val="en-US"/>
        </w:rPr>
      </w:pPr>
      <w:r w:rsidRPr="00EE4CF2">
        <w:rPr>
          <w:lang w:val="en-US"/>
        </w:rPr>
        <w:t>48.</w:t>
      </w:r>
      <w:r w:rsidRPr="00EE4CF2">
        <w:rPr>
          <w:lang w:val="en-US"/>
        </w:rPr>
        <w:tab/>
        <w:t xml:space="preserve">Statistics and impact concerning placement of unemployed youth under the Youth Empowerment </w:t>
      </w:r>
      <w:proofErr w:type="spellStart"/>
      <w:r w:rsidRPr="00EE4CF2">
        <w:rPr>
          <w:lang w:val="en-US"/>
        </w:rPr>
        <w:t>Programme</w:t>
      </w:r>
      <w:proofErr w:type="spellEnd"/>
      <w:r w:rsidRPr="00EE4CF2">
        <w:rPr>
          <w:lang w:val="en-US"/>
        </w:rPr>
        <w:t xml:space="preserve"> as at 30 September 2018 is at Annex 3.</w:t>
      </w:r>
    </w:p>
    <w:p w:rsidR="00D77BDC" w:rsidRPr="00EE4CF2" w:rsidRDefault="00D77BDC" w:rsidP="00D77BDC">
      <w:pPr>
        <w:pStyle w:val="SingleTxtG"/>
      </w:pPr>
      <w:r w:rsidRPr="00EE4CF2">
        <w:t>49.</w:t>
      </w:r>
      <w:r w:rsidRPr="00EE4CF2">
        <w:tab/>
      </w:r>
      <w:r w:rsidRPr="00EE4CF2">
        <w:rPr>
          <w:lang w:val="en-US"/>
        </w:rPr>
        <w:t>Government</w:t>
      </w:r>
      <w:r w:rsidRPr="00EE4CF2">
        <w:t xml:space="preserve"> has come forth with the notion of </w:t>
      </w:r>
      <w:r w:rsidR="00D92267">
        <w:t>“</w:t>
      </w:r>
      <w:r w:rsidRPr="00EE4CF2">
        <w:t>work from home</w:t>
      </w:r>
      <w:r w:rsidR="00D92267">
        <w:t>”</w:t>
      </w:r>
      <w:r w:rsidRPr="00EE4CF2">
        <w:t xml:space="preserve"> in our work culture with a view to:</w:t>
      </w:r>
    </w:p>
    <w:p w:rsidR="00D77BDC" w:rsidRPr="00EE4CF2" w:rsidRDefault="00D77BDC" w:rsidP="00D77BDC">
      <w:pPr>
        <w:pStyle w:val="Bullet1G"/>
        <w:numPr>
          <w:ilvl w:val="0"/>
          <w:numId w:val="0"/>
        </w:numPr>
        <w:tabs>
          <w:tab w:val="left" w:pos="1701"/>
        </w:tabs>
        <w:ind w:left="1701" w:hanging="170"/>
      </w:pPr>
      <w:r w:rsidRPr="00EE4CF2">
        <w:t>•</w:t>
      </w:r>
      <w:r w:rsidRPr="00EE4CF2">
        <w:tab/>
        <w:t>Better supporting young working mothers, particularly, to fulfil their family obligations and to further facilitating their integration in the labour market; and</w:t>
      </w:r>
    </w:p>
    <w:p w:rsidR="00D77BDC" w:rsidRPr="00EE4CF2" w:rsidRDefault="00D77BDC" w:rsidP="00D77BDC">
      <w:pPr>
        <w:pStyle w:val="Bullet1G"/>
        <w:numPr>
          <w:ilvl w:val="0"/>
          <w:numId w:val="0"/>
        </w:numPr>
        <w:tabs>
          <w:tab w:val="left" w:pos="1701"/>
        </w:tabs>
        <w:ind w:left="1701" w:hanging="170"/>
      </w:pPr>
      <w:r w:rsidRPr="00EE4CF2">
        <w:t>•</w:t>
      </w:r>
      <w:r w:rsidRPr="00EE4CF2">
        <w:tab/>
        <w:t>Opening up new avenues and opportunities for work among young persons, other than at the traditional workplace, especially with the increasing advent of technological innovations.</w:t>
      </w:r>
    </w:p>
    <w:p w:rsidR="00D77BDC" w:rsidRPr="00EE4CF2" w:rsidRDefault="00D77BDC" w:rsidP="00D77BDC">
      <w:pPr>
        <w:pStyle w:val="SingleTxtG"/>
        <w:rPr>
          <w:lang w:val="en-US"/>
        </w:rPr>
      </w:pPr>
      <w:r w:rsidRPr="00EE4CF2">
        <w:rPr>
          <w:lang w:val="en-US"/>
        </w:rPr>
        <w:lastRenderedPageBreak/>
        <w:t>50.</w:t>
      </w:r>
      <w:r w:rsidRPr="00EE4CF2">
        <w:rPr>
          <w:lang w:val="en-US"/>
        </w:rPr>
        <w:tab/>
        <w:t xml:space="preserve">Section 5 of the Employment Rights Act 2008 has recently been amended by the Economic and Finance (Miscellaneous Provisions) Act, No. 11 of 2018whereby </w:t>
      </w:r>
      <w:r w:rsidR="00D92267">
        <w:rPr>
          <w:lang w:val="en-US"/>
        </w:rPr>
        <w:t>“</w:t>
      </w:r>
      <w:r w:rsidRPr="00EE4CF2">
        <w:rPr>
          <w:lang w:val="en-US"/>
        </w:rPr>
        <w:t>work from home</w:t>
      </w:r>
      <w:r w:rsidR="00D92267">
        <w:rPr>
          <w:lang w:val="en-US"/>
        </w:rPr>
        <w:t>”</w:t>
      </w:r>
      <w:r w:rsidRPr="00EE4CF2">
        <w:rPr>
          <w:lang w:val="en-US"/>
        </w:rPr>
        <w:t xml:space="preserve"> has been set up within a legal framework that class of workers has now been brought under the ambit and protection of the </w:t>
      </w:r>
      <w:proofErr w:type="spellStart"/>
      <w:r w:rsidRPr="00EE4CF2">
        <w:rPr>
          <w:lang w:val="en-US"/>
        </w:rPr>
        <w:t>labour</w:t>
      </w:r>
      <w:proofErr w:type="spellEnd"/>
      <w:r w:rsidRPr="00EE4CF2">
        <w:rPr>
          <w:lang w:val="en-US"/>
        </w:rPr>
        <w:t xml:space="preserve"> legislation.</w:t>
      </w:r>
    </w:p>
    <w:p w:rsidR="00D77BDC" w:rsidRPr="00EE4CF2" w:rsidRDefault="00D77BDC" w:rsidP="00D77BDC">
      <w:pPr>
        <w:pStyle w:val="SingleTxtG"/>
        <w:rPr>
          <w:lang w:val="en-US"/>
        </w:rPr>
      </w:pPr>
      <w:r w:rsidRPr="00EE4CF2">
        <w:rPr>
          <w:lang w:val="en-US"/>
        </w:rPr>
        <w:t>51.</w:t>
      </w:r>
      <w:r w:rsidRPr="00EE4CF2">
        <w:rPr>
          <w:lang w:val="en-US"/>
        </w:rPr>
        <w:tab/>
        <w:t>Section 13 of the Training and Employment of the Disabled Persons Act 1996, makes provision for any enterprise, public or private having 35 or major employees to employ disabled persons up to at least 3% of its workforce and for a Hearing Committee whereby non-compliant employers are sanctioned.</w:t>
      </w:r>
    </w:p>
    <w:p w:rsidR="00D77BDC" w:rsidRPr="00EE4CF2" w:rsidRDefault="00D77BDC" w:rsidP="00D77BDC">
      <w:pPr>
        <w:pStyle w:val="SingleTxtG"/>
      </w:pPr>
      <w:r w:rsidRPr="00EE4CF2">
        <w:t>52.</w:t>
      </w:r>
      <w:r w:rsidRPr="00EE4CF2">
        <w:tab/>
      </w:r>
      <w:proofErr w:type="spellStart"/>
      <w:r w:rsidRPr="00EE4CF2">
        <w:rPr>
          <w:lang w:val="en-US"/>
        </w:rPr>
        <w:t>Disab</w:t>
      </w:r>
      <w:proofErr w:type="spellEnd"/>
      <w:r w:rsidRPr="00EE4CF2">
        <w:t>led persons have not been able to integrate the world of work as envisaged under the law.</w:t>
      </w:r>
    </w:p>
    <w:p w:rsidR="00D77BDC" w:rsidRPr="00EE4CF2" w:rsidRDefault="00D77BDC" w:rsidP="00D77BDC">
      <w:pPr>
        <w:pStyle w:val="H1G"/>
        <w:rPr>
          <w:lang w:val="en-US"/>
        </w:rPr>
      </w:pPr>
      <w:r w:rsidRPr="00EE4CF2">
        <w:rPr>
          <w:lang w:val="en-US"/>
        </w:rPr>
        <w:tab/>
      </w:r>
      <w:r w:rsidRPr="00EE4CF2">
        <w:rPr>
          <w:lang w:val="en-US"/>
        </w:rPr>
        <w:tab/>
        <w:t xml:space="preserve">Right to just and </w:t>
      </w:r>
      <w:proofErr w:type="spellStart"/>
      <w:r w:rsidRPr="00EE4CF2">
        <w:rPr>
          <w:lang w:val="en-US"/>
        </w:rPr>
        <w:t>favourable</w:t>
      </w:r>
      <w:proofErr w:type="spellEnd"/>
      <w:r w:rsidRPr="00EE4CF2">
        <w:rPr>
          <w:lang w:val="en-US"/>
        </w:rPr>
        <w:t xml:space="preserve"> conditions of work (art. 7)</w:t>
      </w:r>
    </w:p>
    <w:p w:rsidR="00D77BDC" w:rsidRPr="00EE4CF2" w:rsidRDefault="00D77BDC" w:rsidP="00D77BDC">
      <w:pPr>
        <w:pStyle w:val="H1G"/>
        <w:rPr>
          <w:lang w:val="en-US"/>
        </w:rPr>
      </w:pPr>
      <w:r w:rsidRPr="00EE4CF2">
        <w:rPr>
          <w:lang w:val="en-US"/>
        </w:rPr>
        <w:tab/>
      </w:r>
      <w:r w:rsidRPr="00EE4CF2">
        <w:rPr>
          <w:lang w:val="en-US"/>
        </w:rPr>
        <w:tab/>
        <w:t>Question 11</w:t>
      </w:r>
    </w:p>
    <w:p w:rsidR="00D77BDC" w:rsidRPr="00EE4CF2" w:rsidRDefault="00D77BDC" w:rsidP="0085364E">
      <w:pPr>
        <w:pStyle w:val="SingleTxtG"/>
        <w:rPr>
          <w:lang w:val="en-US"/>
        </w:rPr>
      </w:pPr>
      <w:r w:rsidRPr="00EE4CF2">
        <w:rPr>
          <w:lang w:val="en-US"/>
        </w:rPr>
        <w:t>53.</w:t>
      </w:r>
      <w:r w:rsidRPr="00EE4CF2">
        <w:rPr>
          <w:lang w:val="en-US"/>
        </w:rPr>
        <w:tab/>
        <w:t>A national minimum wage is a reality since January 2018. The National Minimum Wage Regulations 2017 (GN No. 1 of 2018), made under the National Wage Consultative Council Act, provides that the national minimum wage of every full time worker shall be 8,140 rupees per month. Part-time workers are entitled to same on a pro</w:t>
      </w:r>
      <w:r w:rsidR="0085364E">
        <w:rPr>
          <w:lang w:val="en-US"/>
        </w:rPr>
        <w:t xml:space="preserve"> </w:t>
      </w:r>
      <w:r w:rsidRPr="00EE4CF2">
        <w:rPr>
          <w:lang w:val="en-US"/>
        </w:rPr>
        <w:t>rata basis.</w:t>
      </w:r>
    </w:p>
    <w:p w:rsidR="00D77BDC" w:rsidRPr="00EE4CF2" w:rsidRDefault="00D77BDC" w:rsidP="00D77BDC">
      <w:pPr>
        <w:pStyle w:val="SingleTxtG"/>
        <w:rPr>
          <w:lang w:val="en-US"/>
        </w:rPr>
      </w:pPr>
      <w:r w:rsidRPr="00EE4CF2">
        <w:rPr>
          <w:lang w:val="en-US"/>
        </w:rPr>
        <w:t>54.</w:t>
      </w:r>
      <w:r w:rsidRPr="00EE4CF2">
        <w:rPr>
          <w:lang w:val="en-US"/>
        </w:rPr>
        <w:tab/>
        <w:t xml:space="preserve">As per statistics for period February to end of September 2018 the Ministry had carried out 5,843 inspections out of which 5,388 visits were mainly effected to ensure compliance with the national minimum wage. It was observed that 5,306 undertakings inspected (98.48%) were complying with the provisions of the National Minimum Wage Regulations 2017. Non-compliant employers were requested to take remedial actions regarding the payment of the national minimum wage. </w:t>
      </w:r>
    </w:p>
    <w:p w:rsidR="00D77BDC" w:rsidRPr="00EE4CF2" w:rsidRDefault="00D77BDC" w:rsidP="00D77BDC">
      <w:pPr>
        <w:pStyle w:val="SingleTxtG"/>
        <w:rPr>
          <w:lang w:val="en-US"/>
        </w:rPr>
      </w:pPr>
      <w:r w:rsidRPr="00EE4CF2">
        <w:rPr>
          <w:lang w:val="en-US"/>
        </w:rPr>
        <w:t>55.</w:t>
      </w:r>
      <w:r w:rsidRPr="00EE4CF2">
        <w:rPr>
          <w:lang w:val="en-US"/>
        </w:rPr>
        <w:tab/>
        <w:t>The National Remuneration Board (NRB), set up under section 90 of the Employment Relations Act 2008 (</w:t>
      </w:r>
      <w:proofErr w:type="spellStart"/>
      <w:r w:rsidRPr="00EE4CF2">
        <w:rPr>
          <w:lang w:val="en-US"/>
        </w:rPr>
        <w:t>EReA</w:t>
      </w:r>
      <w:proofErr w:type="spellEnd"/>
      <w:r w:rsidRPr="00EE4CF2">
        <w:rPr>
          <w:lang w:val="en-US"/>
        </w:rPr>
        <w:t xml:space="preserve">), is responsible for making recommendations on minimum remuneration and other terms and conditions of employment for workers in the private sector. While reviewing Remuneration Regulations, it remains guided by the principles outlined at section 97 of the </w:t>
      </w:r>
      <w:proofErr w:type="spellStart"/>
      <w:r w:rsidRPr="00EE4CF2">
        <w:rPr>
          <w:lang w:val="en-US"/>
        </w:rPr>
        <w:t>EReA</w:t>
      </w:r>
      <w:proofErr w:type="spellEnd"/>
      <w:r w:rsidRPr="00EE4CF2">
        <w:rPr>
          <w:lang w:val="en-US"/>
        </w:rPr>
        <w:t>.</w:t>
      </w:r>
    </w:p>
    <w:p w:rsidR="00D77BDC" w:rsidRPr="00EE4CF2" w:rsidRDefault="00D77BDC" w:rsidP="00D77BDC">
      <w:pPr>
        <w:pStyle w:val="SingleTxtG"/>
        <w:rPr>
          <w:lang w:val="en-US"/>
        </w:rPr>
      </w:pPr>
      <w:r w:rsidRPr="00EE4CF2">
        <w:rPr>
          <w:lang w:val="en-US"/>
        </w:rPr>
        <w:t>56.</w:t>
      </w:r>
      <w:r w:rsidRPr="00EE4CF2">
        <w:rPr>
          <w:lang w:val="en-US"/>
        </w:rPr>
        <w:tab/>
        <w:t>Section 4 of the Employment Rights Act 2008, (</w:t>
      </w:r>
      <w:proofErr w:type="spellStart"/>
      <w:r w:rsidRPr="00EE4CF2">
        <w:rPr>
          <w:lang w:val="en-US"/>
        </w:rPr>
        <w:t>ERiA</w:t>
      </w:r>
      <w:proofErr w:type="spellEnd"/>
      <w:r w:rsidRPr="00EE4CF2">
        <w:rPr>
          <w:lang w:val="en-US"/>
        </w:rPr>
        <w:t xml:space="preserve">) provides necessary safeguards and protection regarding </w:t>
      </w:r>
      <w:proofErr w:type="spellStart"/>
      <w:r w:rsidRPr="00EE4CF2">
        <w:rPr>
          <w:lang w:val="en-US"/>
        </w:rPr>
        <w:t>labour</w:t>
      </w:r>
      <w:proofErr w:type="spellEnd"/>
      <w:r w:rsidRPr="00EE4CF2">
        <w:rPr>
          <w:lang w:val="en-US"/>
        </w:rPr>
        <w:t xml:space="preserve"> rights, indistinctively and indiscriminately to all workers as well as to ensure the application of the principle of equality between men and women including persons with disabilities. </w:t>
      </w:r>
    </w:p>
    <w:p w:rsidR="00D77BDC" w:rsidRPr="00EE4CF2" w:rsidRDefault="00D77BDC" w:rsidP="00D77BDC">
      <w:pPr>
        <w:pStyle w:val="SingleTxtG"/>
        <w:rPr>
          <w:lang w:val="en-US"/>
        </w:rPr>
      </w:pPr>
      <w:r w:rsidRPr="00EE4CF2">
        <w:rPr>
          <w:lang w:val="en-US"/>
        </w:rPr>
        <w:t>57.</w:t>
      </w:r>
      <w:r w:rsidRPr="00EE4CF2">
        <w:rPr>
          <w:lang w:val="en-US"/>
        </w:rPr>
        <w:tab/>
        <w:t xml:space="preserve">Section 4 of the </w:t>
      </w:r>
      <w:proofErr w:type="spellStart"/>
      <w:r w:rsidRPr="00EE4CF2">
        <w:t>ERiA</w:t>
      </w:r>
      <w:proofErr w:type="spellEnd"/>
      <w:r w:rsidRPr="00EE4CF2">
        <w:rPr>
          <w:lang w:val="en-US"/>
        </w:rPr>
        <w:t xml:space="preserve"> reads as follows:</w:t>
      </w:r>
    </w:p>
    <w:p w:rsidR="00D77BDC" w:rsidRPr="00EE4CF2" w:rsidRDefault="00D77BDC" w:rsidP="00D77BDC">
      <w:pPr>
        <w:pStyle w:val="Bullet1G"/>
        <w:numPr>
          <w:ilvl w:val="0"/>
          <w:numId w:val="0"/>
        </w:numPr>
        <w:tabs>
          <w:tab w:val="left" w:pos="1701"/>
        </w:tabs>
        <w:ind w:left="1701" w:hanging="170"/>
      </w:pPr>
      <w:r w:rsidRPr="00EE4CF2">
        <w:t>•</w:t>
      </w:r>
      <w:r w:rsidRPr="00EE4CF2">
        <w:tab/>
        <w:t>No worker shall be treated in a discriminatory manner by his employer in his employment or occupation;</w:t>
      </w:r>
    </w:p>
    <w:p w:rsidR="00D77BDC" w:rsidRPr="00EE4CF2" w:rsidRDefault="00D77BDC" w:rsidP="00D77BDC">
      <w:pPr>
        <w:pStyle w:val="Bullet1G"/>
        <w:numPr>
          <w:ilvl w:val="0"/>
          <w:numId w:val="0"/>
        </w:numPr>
        <w:tabs>
          <w:tab w:val="left" w:pos="1701"/>
        </w:tabs>
        <w:ind w:left="1701" w:hanging="170"/>
      </w:pPr>
      <w:r w:rsidRPr="00EE4CF2">
        <w:t>•</w:t>
      </w:r>
      <w:r w:rsidRPr="00EE4CF2">
        <w:tab/>
        <w:t>No person shall be treated in a discriminatory manner by a prospective employer in respect of access to employment or occupation.</w:t>
      </w:r>
    </w:p>
    <w:p w:rsidR="00D77BDC" w:rsidRPr="00EE4CF2" w:rsidRDefault="00D77BDC" w:rsidP="00D77BDC">
      <w:pPr>
        <w:pStyle w:val="SingleTxtG"/>
        <w:rPr>
          <w:lang w:val="en-US"/>
        </w:rPr>
      </w:pPr>
      <w:r w:rsidRPr="00EE4CF2">
        <w:rPr>
          <w:lang w:val="en-US"/>
        </w:rPr>
        <w:t>58.</w:t>
      </w:r>
      <w:r w:rsidRPr="00EE4CF2">
        <w:rPr>
          <w:lang w:val="en-US"/>
        </w:rPr>
        <w:tab/>
        <w:t xml:space="preserve">In so far as is consistent with the contextual evolution of the sectors of activity, ensures that wage determination, job appellations and classifications are based on the principle of </w:t>
      </w:r>
      <w:r w:rsidR="00D92267">
        <w:rPr>
          <w:lang w:val="en-US"/>
        </w:rPr>
        <w:t>“</w:t>
      </w:r>
      <w:r w:rsidRPr="00EE4CF2">
        <w:rPr>
          <w:lang w:val="en-US"/>
        </w:rPr>
        <w:t>equal remuneration for work of equal value</w:t>
      </w:r>
      <w:r w:rsidR="00D92267">
        <w:rPr>
          <w:lang w:val="en-US"/>
        </w:rPr>
        <w:t>”</w:t>
      </w:r>
      <w:r w:rsidRPr="00EE4CF2">
        <w:rPr>
          <w:lang w:val="en-US"/>
        </w:rPr>
        <w:t>, as outlined in ILO Convention No. 100. In that respect wages of workers employed in different sectors of economic activities and presently covered under a specific Remuneration Regulations have generally been determined having regards to non-discriminatory factors/criteria including among others nature of work to be performed, degree of skill required, capacity and qualification.</w:t>
      </w:r>
    </w:p>
    <w:p w:rsidR="00D77BDC" w:rsidRPr="00EE4CF2" w:rsidRDefault="00D77BDC" w:rsidP="00D77BDC">
      <w:pPr>
        <w:pStyle w:val="SingleTxtG"/>
        <w:rPr>
          <w:lang w:val="en-US"/>
        </w:rPr>
      </w:pPr>
      <w:r w:rsidRPr="00EE4CF2">
        <w:rPr>
          <w:lang w:val="en-US"/>
        </w:rPr>
        <w:t>59.</w:t>
      </w:r>
      <w:r w:rsidRPr="00EE4CF2">
        <w:rPr>
          <w:lang w:val="en-US"/>
        </w:rPr>
        <w:tab/>
        <w:t xml:space="preserve">As regards the assertion that the current minimum wages are applied differently, depending on sex, age and disability in some sectors, including the sugar, tea and salt-manufacturing industries, it is to be noted that differential rates in Remuneration Regulations applicable in agricultural sectors, notably in the Sugar (Agricultural Workers) and Tea Industry are rather based on the inherent requirements of the jobs and as such should not be viewed as being discriminatory. They actually correspond to differences in the work performed in terms of tasks allocated, which is generally much lesser for female </w:t>
      </w:r>
      <w:r w:rsidRPr="00EE4CF2">
        <w:rPr>
          <w:lang w:val="en-US"/>
        </w:rPr>
        <w:lastRenderedPageBreak/>
        <w:t>workers as compared to their male counterparts. Such differences in the work performed are further reinforced by statutory limitations on assignment of tasks to women in those sectors.</w:t>
      </w:r>
    </w:p>
    <w:p w:rsidR="00D77BDC" w:rsidRPr="00EE4CF2" w:rsidRDefault="00D77BDC" w:rsidP="00D77BDC">
      <w:pPr>
        <w:pStyle w:val="SingleTxtG"/>
        <w:rPr>
          <w:lang w:val="en-US"/>
        </w:rPr>
      </w:pPr>
      <w:r w:rsidRPr="00EE4CF2">
        <w:rPr>
          <w:lang w:val="en-US"/>
        </w:rPr>
        <w:t>60.</w:t>
      </w:r>
      <w:r w:rsidRPr="00EE4CF2">
        <w:rPr>
          <w:lang w:val="en-US"/>
        </w:rPr>
        <w:tab/>
        <w:t>With regards to differential rates between male and female workers in the Salt-Manufacturing Industry, with effect from 01 December 2016, the basic wages of female workers has been realigned at par with that of male workers (Government Notice No. 273 of 2016).</w:t>
      </w:r>
    </w:p>
    <w:p w:rsidR="00D77BDC" w:rsidRPr="00EE4CF2" w:rsidRDefault="00D77BDC" w:rsidP="00D77BDC">
      <w:pPr>
        <w:pStyle w:val="H1G"/>
        <w:rPr>
          <w:lang w:val="en-US"/>
        </w:rPr>
      </w:pPr>
      <w:r w:rsidRPr="00EE4CF2">
        <w:rPr>
          <w:lang w:val="en-US"/>
        </w:rPr>
        <w:tab/>
      </w:r>
      <w:r w:rsidRPr="00EE4CF2">
        <w:rPr>
          <w:lang w:val="en-US"/>
        </w:rPr>
        <w:tab/>
        <w:t>Question 12</w:t>
      </w:r>
    </w:p>
    <w:p w:rsidR="00D77BDC" w:rsidRPr="00EE4CF2" w:rsidRDefault="00D77BDC" w:rsidP="00D77BDC">
      <w:pPr>
        <w:pStyle w:val="SingleTxtG"/>
        <w:rPr>
          <w:lang w:val="en-US"/>
        </w:rPr>
      </w:pPr>
      <w:r w:rsidRPr="00EE4CF2">
        <w:rPr>
          <w:lang w:val="en-US"/>
        </w:rPr>
        <w:t>61.</w:t>
      </w:r>
      <w:r w:rsidRPr="00EE4CF2">
        <w:rPr>
          <w:lang w:val="en-US"/>
        </w:rPr>
        <w:tab/>
        <w:t xml:space="preserve">With a view to, inter alia, better supporting young working mothers, particularly, to fulfill their family obligations and to further facilitating their integration in the </w:t>
      </w:r>
      <w:proofErr w:type="spellStart"/>
      <w:r w:rsidRPr="00EE4CF2">
        <w:rPr>
          <w:lang w:val="en-US"/>
        </w:rPr>
        <w:t>labour</w:t>
      </w:r>
      <w:proofErr w:type="spellEnd"/>
      <w:r w:rsidRPr="00EE4CF2">
        <w:rPr>
          <w:lang w:val="en-US"/>
        </w:rPr>
        <w:t xml:space="preserve"> market, the notion of </w:t>
      </w:r>
      <w:r w:rsidR="00D92267">
        <w:rPr>
          <w:lang w:val="en-US"/>
        </w:rPr>
        <w:t>“</w:t>
      </w:r>
      <w:r w:rsidRPr="00EE4CF2">
        <w:rPr>
          <w:lang w:val="en-US"/>
        </w:rPr>
        <w:t>work from home</w:t>
      </w:r>
      <w:r w:rsidR="00D92267">
        <w:rPr>
          <w:lang w:val="en-US"/>
        </w:rPr>
        <w:t>”</w:t>
      </w:r>
      <w:r w:rsidRPr="00EE4CF2">
        <w:rPr>
          <w:lang w:val="en-US"/>
        </w:rPr>
        <w:t xml:space="preserve"> has been introduced in the work culture. The Finance (Miscellaneous Provisions) Act, No. 11 of 2018, has amended the </w:t>
      </w:r>
      <w:proofErr w:type="spellStart"/>
      <w:r w:rsidRPr="00EE4CF2">
        <w:rPr>
          <w:lang w:val="en-US"/>
        </w:rPr>
        <w:t>ERiA</w:t>
      </w:r>
      <w:proofErr w:type="spellEnd"/>
      <w:r w:rsidRPr="00EE4CF2">
        <w:rPr>
          <w:lang w:val="en-US"/>
        </w:rPr>
        <w:t xml:space="preserve"> to introduce the notion of </w:t>
      </w:r>
      <w:r w:rsidR="00D92267">
        <w:rPr>
          <w:lang w:val="en-US"/>
        </w:rPr>
        <w:t>“</w:t>
      </w:r>
      <w:r w:rsidRPr="00EE4CF2">
        <w:rPr>
          <w:lang w:val="en-US"/>
        </w:rPr>
        <w:t>work from home</w:t>
      </w:r>
      <w:r w:rsidR="00D92267">
        <w:rPr>
          <w:lang w:val="en-US"/>
        </w:rPr>
        <w:t>”</w:t>
      </w:r>
      <w:r w:rsidRPr="00EE4CF2">
        <w:rPr>
          <w:lang w:val="en-US"/>
        </w:rPr>
        <w:t xml:space="preserve">. In so doing the </w:t>
      </w:r>
      <w:r w:rsidR="00D92267">
        <w:rPr>
          <w:lang w:val="en-US"/>
        </w:rPr>
        <w:t>“</w:t>
      </w:r>
      <w:r w:rsidRPr="00EE4CF2">
        <w:rPr>
          <w:lang w:val="en-US"/>
        </w:rPr>
        <w:t>work from home</w:t>
      </w:r>
      <w:r w:rsidR="00D92267">
        <w:rPr>
          <w:lang w:val="en-US"/>
        </w:rPr>
        <w:t>”</w:t>
      </w:r>
      <w:r w:rsidRPr="00EE4CF2">
        <w:rPr>
          <w:lang w:val="en-US"/>
        </w:rPr>
        <w:t xml:space="preserve"> has been set up within a legal framework and that class of atypical workers has now been brought under the ambit and protection of the </w:t>
      </w:r>
      <w:proofErr w:type="spellStart"/>
      <w:r w:rsidRPr="00EE4CF2">
        <w:rPr>
          <w:lang w:val="en-US"/>
        </w:rPr>
        <w:t>labour</w:t>
      </w:r>
      <w:proofErr w:type="spellEnd"/>
      <w:r w:rsidRPr="00EE4CF2">
        <w:rPr>
          <w:lang w:val="en-US"/>
        </w:rPr>
        <w:t xml:space="preserve"> legislation.</w:t>
      </w:r>
    </w:p>
    <w:p w:rsidR="00D77BDC" w:rsidRPr="00EE4CF2" w:rsidRDefault="00D77BDC" w:rsidP="00D77BDC">
      <w:pPr>
        <w:pStyle w:val="SingleTxtG"/>
        <w:rPr>
          <w:lang w:val="en-US"/>
        </w:rPr>
      </w:pPr>
      <w:r w:rsidRPr="00EE4CF2">
        <w:rPr>
          <w:lang w:val="en-US"/>
        </w:rPr>
        <w:t>62.</w:t>
      </w:r>
      <w:r w:rsidRPr="00EE4CF2">
        <w:rPr>
          <w:lang w:val="en-US"/>
        </w:rPr>
        <w:tab/>
        <w:t>Section 4 of the Employment Rights Act 2008, (</w:t>
      </w:r>
      <w:proofErr w:type="spellStart"/>
      <w:r w:rsidRPr="00EE4CF2">
        <w:rPr>
          <w:lang w:val="en-US"/>
        </w:rPr>
        <w:t>ERiA</w:t>
      </w:r>
      <w:proofErr w:type="spellEnd"/>
      <w:r w:rsidRPr="00EE4CF2">
        <w:rPr>
          <w:lang w:val="en-US"/>
        </w:rPr>
        <w:t xml:space="preserve">) provides necessary safeguards and protection regarding </w:t>
      </w:r>
      <w:proofErr w:type="spellStart"/>
      <w:r w:rsidRPr="00EE4CF2">
        <w:rPr>
          <w:lang w:val="en-US"/>
        </w:rPr>
        <w:t>labour</w:t>
      </w:r>
      <w:proofErr w:type="spellEnd"/>
      <w:r w:rsidRPr="00EE4CF2">
        <w:rPr>
          <w:lang w:val="en-US"/>
        </w:rPr>
        <w:t xml:space="preserve"> rights, indistinctively and indiscriminately to all workers as well as to ensure the application of the principle of equality between men and women. Section 4 of the </w:t>
      </w:r>
      <w:proofErr w:type="spellStart"/>
      <w:r w:rsidRPr="00EE4CF2">
        <w:rPr>
          <w:lang w:val="en-US"/>
        </w:rPr>
        <w:t>ERiA</w:t>
      </w:r>
      <w:proofErr w:type="spellEnd"/>
      <w:r w:rsidRPr="00EE4CF2">
        <w:rPr>
          <w:lang w:val="en-US"/>
        </w:rPr>
        <w:t>, inter alia, reads as follows:</w:t>
      </w:r>
    </w:p>
    <w:p w:rsidR="00D77BDC" w:rsidRPr="00EE4CF2" w:rsidRDefault="00D77BDC" w:rsidP="00D77BDC">
      <w:pPr>
        <w:pStyle w:val="Bullet1G"/>
        <w:numPr>
          <w:ilvl w:val="0"/>
          <w:numId w:val="0"/>
        </w:numPr>
        <w:tabs>
          <w:tab w:val="left" w:pos="1701"/>
        </w:tabs>
        <w:ind w:left="1701" w:hanging="170"/>
      </w:pPr>
      <w:r w:rsidRPr="00EE4CF2">
        <w:t>•</w:t>
      </w:r>
      <w:r w:rsidRPr="00EE4CF2">
        <w:tab/>
        <w:t>No worker shall be treated in a discriminatory manner by his employer in his employment or occupation;</w:t>
      </w:r>
    </w:p>
    <w:p w:rsidR="00D77BDC" w:rsidRPr="00EE4CF2" w:rsidRDefault="00D77BDC" w:rsidP="00D77BDC">
      <w:pPr>
        <w:pStyle w:val="Bullet1G"/>
        <w:numPr>
          <w:ilvl w:val="0"/>
          <w:numId w:val="0"/>
        </w:numPr>
        <w:tabs>
          <w:tab w:val="left" w:pos="1701"/>
        </w:tabs>
        <w:ind w:left="1701" w:hanging="170"/>
      </w:pPr>
      <w:r w:rsidRPr="00EE4CF2">
        <w:t>•</w:t>
      </w:r>
      <w:r w:rsidRPr="00EE4CF2">
        <w:tab/>
        <w:t>No person shall be treated in a discriminatory manner by a prospective employer in respect of access to employment or occupation.</w:t>
      </w:r>
    </w:p>
    <w:p w:rsidR="00D77BDC" w:rsidRPr="00EE4CF2" w:rsidRDefault="00D77BDC" w:rsidP="00D77BDC">
      <w:pPr>
        <w:pStyle w:val="SingleTxtG"/>
        <w:rPr>
          <w:lang w:val="en-US"/>
        </w:rPr>
      </w:pPr>
      <w:r w:rsidRPr="00EE4CF2">
        <w:rPr>
          <w:lang w:val="en-US"/>
        </w:rPr>
        <w:t>63.</w:t>
      </w:r>
      <w:r w:rsidRPr="00EE4CF2">
        <w:rPr>
          <w:lang w:val="en-US"/>
        </w:rPr>
        <w:tab/>
        <w:t xml:space="preserve">Furthermore, section 20(1) of the </w:t>
      </w:r>
      <w:proofErr w:type="spellStart"/>
      <w:r w:rsidRPr="00EE4CF2">
        <w:rPr>
          <w:lang w:val="en-US"/>
        </w:rPr>
        <w:t>ERiA</w:t>
      </w:r>
      <w:proofErr w:type="spellEnd"/>
      <w:r w:rsidRPr="00EE4CF2">
        <w:rPr>
          <w:lang w:val="en-US"/>
        </w:rPr>
        <w:t xml:space="preserve"> provides that both men and women should be treated equally at the workplace with regards to the payment of remuneration.</w:t>
      </w:r>
    </w:p>
    <w:p w:rsidR="00D77BDC" w:rsidRPr="00EE4CF2" w:rsidRDefault="00D92267" w:rsidP="00D77BDC">
      <w:pPr>
        <w:pStyle w:val="SingleTxtG"/>
        <w:ind w:left="1701"/>
      </w:pPr>
      <w:r>
        <w:t>“</w:t>
      </w:r>
      <w:r w:rsidR="00D77BDC" w:rsidRPr="00EE4CF2">
        <w:t>Every employer shall ensure that the remuneration of any worker shall not be less favourable than that of another worker performing work of equal value</w:t>
      </w:r>
      <w:r w:rsidR="00F10374">
        <w:t>.</w:t>
      </w:r>
      <w:r>
        <w:t>”</w:t>
      </w:r>
    </w:p>
    <w:p w:rsidR="00D77BDC" w:rsidRPr="00EE4CF2" w:rsidRDefault="00D77BDC" w:rsidP="00D77BDC">
      <w:pPr>
        <w:pStyle w:val="SingleTxtG"/>
        <w:rPr>
          <w:lang w:val="en-US"/>
        </w:rPr>
      </w:pPr>
      <w:r w:rsidRPr="00EE4CF2">
        <w:rPr>
          <w:lang w:val="en-US"/>
        </w:rPr>
        <w:t>64.</w:t>
      </w:r>
      <w:r w:rsidRPr="00EE4CF2">
        <w:rPr>
          <w:lang w:val="en-US"/>
        </w:rPr>
        <w:tab/>
        <w:t>Wages and conditions of employment of workers employed in different sectors of economic activities and presently covered under a specific Remuneration Regulations have generally been determined having regards to non-discriminatory factors/criteria including among others nature of work to be performed, degree of skill required, capacity and qualification.</w:t>
      </w:r>
    </w:p>
    <w:p w:rsidR="00D77BDC" w:rsidRPr="00EE4CF2" w:rsidRDefault="00D77BDC" w:rsidP="00D77BDC">
      <w:pPr>
        <w:pStyle w:val="SingleTxtG"/>
        <w:rPr>
          <w:lang w:val="en-US"/>
        </w:rPr>
      </w:pPr>
      <w:r w:rsidRPr="00EE4CF2">
        <w:rPr>
          <w:lang w:val="en-US"/>
        </w:rPr>
        <w:t>65.</w:t>
      </w:r>
      <w:r w:rsidRPr="00EE4CF2">
        <w:rPr>
          <w:lang w:val="en-US"/>
        </w:rPr>
        <w:tab/>
        <w:t>A national minimum wage was introduced in January 2018 to ensure that all worker are being paid above the poverty line, thereby reducing the gap with the highest paid workers.</w:t>
      </w:r>
    </w:p>
    <w:p w:rsidR="00D77BDC" w:rsidRPr="00EE4CF2" w:rsidRDefault="00D77BDC" w:rsidP="00D77BDC">
      <w:pPr>
        <w:pStyle w:val="SingleTxtG"/>
        <w:rPr>
          <w:lang w:val="en-US"/>
        </w:rPr>
      </w:pPr>
      <w:r w:rsidRPr="00EE4CF2">
        <w:rPr>
          <w:lang w:val="en-US"/>
        </w:rPr>
        <w:t>66.</w:t>
      </w:r>
      <w:r w:rsidRPr="00EE4CF2">
        <w:rPr>
          <w:lang w:val="en-US"/>
        </w:rPr>
        <w:tab/>
        <w:t xml:space="preserve">Among the services offered by the Inspection and Enforcement Section (IES) of the Ministry of </w:t>
      </w:r>
      <w:proofErr w:type="spellStart"/>
      <w:r w:rsidRPr="00EE4CF2">
        <w:rPr>
          <w:lang w:val="en-US"/>
        </w:rPr>
        <w:t>Labour</w:t>
      </w:r>
      <w:proofErr w:type="spellEnd"/>
      <w:r w:rsidRPr="00EE4CF2">
        <w:rPr>
          <w:lang w:val="en-US"/>
        </w:rPr>
        <w:t xml:space="preserve">, Industrial Relations and Employment (MLIRET) is a well-established complaint handling mechanism whereby any workers can report any grievances/complaints arising out of their employment to the </w:t>
      </w:r>
      <w:proofErr w:type="spellStart"/>
      <w:r w:rsidRPr="00EE4CF2">
        <w:rPr>
          <w:lang w:val="en-US"/>
        </w:rPr>
        <w:t>Labour</w:t>
      </w:r>
      <w:proofErr w:type="spellEnd"/>
      <w:r w:rsidRPr="00EE4CF2">
        <w:rPr>
          <w:lang w:val="en-US"/>
        </w:rPr>
        <w:t xml:space="preserve"> and Industrial Relations Officers posted in the 17 regional </w:t>
      </w:r>
      <w:proofErr w:type="spellStart"/>
      <w:r w:rsidRPr="00EE4CF2">
        <w:rPr>
          <w:lang w:val="en-US"/>
        </w:rPr>
        <w:t>labour</w:t>
      </w:r>
      <w:proofErr w:type="spellEnd"/>
      <w:r w:rsidRPr="00EE4CF2">
        <w:rPr>
          <w:lang w:val="en-US"/>
        </w:rPr>
        <w:t xml:space="preserve"> offices of the IES scattered over the island.</w:t>
      </w:r>
    </w:p>
    <w:p w:rsidR="00D77BDC" w:rsidRPr="00EE4CF2" w:rsidRDefault="00D77BDC" w:rsidP="00D77BDC">
      <w:pPr>
        <w:pStyle w:val="SingleTxtG"/>
        <w:rPr>
          <w:lang w:val="en-US"/>
        </w:rPr>
      </w:pPr>
      <w:r w:rsidRPr="00EE4CF2">
        <w:rPr>
          <w:lang w:val="en-US"/>
        </w:rPr>
        <w:t>67.</w:t>
      </w:r>
      <w:r w:rsidRPr="00EE4CF2">
        <w:rPr>
          <w:lang w:val="en-US"/>
        </w:rPr>
        <w:tab/>
        <w:t>No case in breach of section 20 was detected or else reported at the level of the IES during period January 2017 to June 2018. (Annex 4).</w:t>
      </w:r>
    </w:p>
    <w:p w:rsidR="00D77BDC" w:rsidRPr="00EE4CF2" w:rsidRDefault="00D77BDC" w:rsidP="00D77BDC">
      <w:pPr>
        <w:pStyle w:val="H1G"/>
        <w:rPr>
          <w:lang w:val="en-US"/>
        </w:rPr>
      </w:pPr>
      <w:r w:rsidRPr="00EE4CF2">
        <w:rPr>
          <w:lang w:val="en-US"/>
        </w:rPr>
        <w:tab/>
      </w:r>
      <w:r w:rsidRPr="00EE4CF2">
        <w:rPr>
          <w:lang w:val="en-US"/>
        </w:rPr>
        <w:tab/>
        <w:t>Question 13</w:t>
      </w:r>
    </w:p>
    <w:p w:rsidR="00D77BDC" w:rsidRPr="00EE4CF2" w:rsidRDefault="00D77BDC" w:rsidP="00D77BDC">
      <w:pPr>
        <w:pStyle w:val="SingleTxtG"/>
        <w:rPr>
          <w:lang w:val="en-US"/>
        </w:rPr>
      </w:pPr>
      <w:r w:rsidRPr="00EE4CF2">
        <w:rPr>
          <w:lang w:val="en-US"/>
        </w:rPr>
        <w:t>68.</w:t>
      </w:r>
      <w:r w:rsidRPr="00EE4CF2">
        <w:rPr>
          <w:lang w:val="en-US"/>
        </w:rPr>
        <w:tab/>
        <w:t xml:space="preserve">Actual inspections at workplaces of domestic workers by officers of the </w:t>
      </w:r>
      <w:proofErr w:type="spellStart"/>
      <w:r w:rsidRPr="00EE4CF2">
        <w:rPr>
          <w:lang w:val="en-US"/>
        </w:rPr>
        <w:t>Labour</w:t>
      </w:r>
      <w:proofErr w:type="spellEnd"/>
      <w:r w:rsidRPr="00EE4CF2">
        <w:rPr>
          <w:lang w:val="en-US"/>
        </w:rPr>
        <w:t xml:space="preserve"> and Industrial Relations and the Occupational Safety and Health Divisions of the Ministry are hindered by the fact that such workplaces are private premises, access to which requires the consent of the employer, as guaranteed in section 9 of our Constitution.</w:t>
      </w:r>
    </w:p>
    <w:p w:rsidR="00D77BDC" w:rsidRPr="00EE4CF2" w:rsidRDefault="00D77BDC" w:rsidP="00D77BDC">
      <w:pPr>
        <w:pStyle w:val="SingleTxtG"/>
        <w:rPr>
          <w:lang w:val="en-US"/>
        </w:rPr>
      </w:pPr>
      <w:r w:rsidRPr="00EE4CF2">
        <w:rPr>
          <w:lang w:val="en-US"/>
        </w:rPr>
        <w:lastRenderedPageBreak/>
        <w:t>69.</w:t>
      </w:r>
      <w:r w:rsidRPr="00EE4CF2">
        <w:rPr>
          <w:lang w:val="en-US"/>
        </w:rPr>
        <w:tab/>
        <w:t xml:space="preserve">Under the Occupational and Health Safety Act (OSHA), the Permanent Secretary has the power to: </w:t>
      </w:r>
    </w:p>
    <w:p w:rsidR="00D77BDC" w:rsidRPr="00EE4CF2" w:rsidRDefault="00B87267" w:rsidP="00B87267">
      <w:pPr>
        <w:pStyle w:val="SingleTxtG"/>
        <w:rPr>
          <w:lang w:val="en-US"/>
        </w:rPr>
      </w:pPr>
      <w:r>
        <w:rPr>
          <w:lang w:val="en-US"/>
        </w:rPr>
        <w:tab/>
      </w:r>
      <w:r w:rsidR="00D77BDC" w:rsidRPr="00EE4CF2">
        <w:rPr>
          <w:lang w:val="en-US"/>
        </w:rPr>
        <w:t>(a)</w:t>
      </w:r>
      <w:r w:rsidR="00D77BDC" w:rsidRPr="00EE4CF2">
        <w:rPr>
          <w:lang w:val="en-US"/>
        </w:rPr>
        <w:tab/>
        <w:t>Enter premises used solely for residential purposes to conduct such inspections, examination and investigation as may be necessary with the permission of the occupier; and</w:t>
      </w:r>
    </w:p>
    <w:p w:rsidR="00D77BDC" w:rsidRPr="00EE4CF2" w:rsidRDefault="00B87267" w:rsidP="00B87267">
      <w:pPr>
        <w:pStyle w:val="SingleTxtG"/>
        <w:rPr>
          <w:lang w:val="en-US"/>
        </w:rPr>
      </w:pPr>
      <w:r>
        <w:rPr>
          <w:lang w:val="en-US"/>
        </w:rPr>
        <w:tab/>
      </w:r>
      <w:r w:rsidR="00D77BDC" w:rsidRPr="00EE4CF2">
        <w:rPr>
          <w:lang w:val="en-US"/>
        </w:rPr>
        <w:t>(b)</w:t>
      </w:r>
      <w:r w:rsidR="00D77BDC" w:rsidRPr="00EE4CF2">
        <w:rPr>
          <w:lang w:val="en-US"/>
        </w:rPr>
        <w:tab/>
        <w:t>Enter any building used as lodging accommodation for employees in order to make such inspection or investigation as may be necessary, with the consent of the head of the undertaking and such consent cannot be unnecessarily withheld.</w:t>
      </w:r>
    </w:p>
    <w:p w:rsidR="00D77BDC" w:rsidRPr="00EE4CF2" w:rsidRDefault="00D77BDC" w:rsidP="00D77BDC">
      <w:pPr>
        <w:pStyle w:val="SingleTxtG"/>
        <w:rPr>
          <w:lang w:val="en-US"/>
        </w:rPr>
      </w:pPr>
      <w:r w:rsidRPr="00EE4CF2">
        <w:rPr>
          <w:lang w:val="en-US"/>
        </w:rPr>
        <w:t>70.</w:t>
      </w:r>
      <w:r w:rsidRPr="00EE4CF2">
        <w:rPr>
          <w:lang w:val="en-US"/>
        </w:rPr>
        <w:tab/>
        <w:t>Somehow, in the absence of the employer</w:t>
      </w:r>
      <w:r w:rsidR="00D92267">
        <w:rPr>
          <w:lang w:val="en-US"/>
        </w:rPr>
        <w:t>’</w:t>
      </w:r>
      <w:r w:rsidRPr="00EE4CF2">
        <w:rPr>
          <w:lang w:val="en-US"/>
        </w:rPr>
        <w:t>s consent to grant access to his premises for the purpose of inspection or investigation with a view to ascertaining compliance with the law, the Permanent Secretary of MLIRET has the power:</w:t>
      </w:r>
    </w:p>
    <w:p w:rsidR="00D77BDC" w:rsidRPr="00EE4CF2" w:rsidRDefault="00D77BDC" w:rsidP="0070260E">
      <w:pPr>
        <w:pStyle w:val="SingleTxtG"/>
        <w:ind w:left="1701"/>
        <w:rPr>
          <w:lang w:val="en-US"/>
        </w:rPr>
      </w:pPr>
      <w:r w:rsidRPr="00EE4CF2">
        <w:rPr>
          <w:lang w:val="en-US"/>
        </w:rPr>
        <w:t>(</w:t>
      </w:r>
      <w:proofErr w:type="spellStart"/>
      <w:r w:rsidRPr="00EE4CF2">
        <w:rPr>
          <w:lang w:val="en-US"/>
        </w:rPr>
        <w:t>i</w:t>
      </w:r>
      <w:proofErr w:type="spellEnd"/>
      <w:r w:rsidRPr="00EE4CF2">
        <w:rPr>
          <w:lang w:val="en-US"/>
        </w:rPr>
        <w:t>)</w:t>
      </w:r>
      <w:r w:rsidRPr="00EE4CF2">
        <w:rPr>
          <w:lang w:val="en-US"/>
        </w:rPr>
        <w:tab/>
        <w:t xml:space="preserve">Under the </w:t>
      </w:r>
      <w:proofErr w:type="spellStart"/>
      <w:r w:rsidRPr="00EE4CF2">
        <w:rPr>
          <w:lang w:val="en-US"/>
        </w:rPr>
        <w:t>ERiA</w:t>
      </w:r>
      <w:proofErr w:type="spellEnd"/>
      <w:r w:rsidRPr="00EE4CF2">
        <w:rPr>
          <w:lang w:val="en-US"/>
        </w:rPr>
        <w:t xml:space="preserve"> 2008 to require the employer to produce records and other documents relating to terms and conditions of employment; or to request the employer to submit in writing information pertaining to remuneration, terms and conditions of employment, and particulars of employment of the worker; or still to summon the employer where a breach of the law is suspected or enquiry into a reported dispute is necessary;</w:t>
      </w:r>
    </w:p>
    <w:p w:rsidR="00D77BDC" w:rsidRPr="00EE4CF2" w:rsidRDefault="00D77BDC" w:rsidP="0070260E">
      <w:pPr>
        <w:pStyle w:val="SingleTxtG"/>
        <w:ind w:left="1701"/>
        <w:rPr>
          <w:lang w:val="en-US"/>
        </w:rPr>
      </w:pPr>
      <w:r w:rsidRPr="00EE4CF2">
        <w:rPr>
          <w:lang w:val="en-US"/>
        </w:rPr>
        <w:t>(ii)</w:t>
      </w:r>
      <w:r w:rsidRPr="00EE4CF2">
        <w:rPr>
          <w:lang w:val="en-US"/>
        </w:rPr>
        <w:tab/>
        <w:t>Under the OSHA, to summon an employer or any person liable to give any information relevant to any inspection, examination and investigation.</w:t>
      </w:r>
    </w:p>
    <w:p w:rsidR="00D77BDC" w:rsidRPr="00EE4CF2" w:rsidRDefault="00D77BDC" w:rsidP="00D77BDC">
      <w:pPr>
        <w:pStyle w:val="SingleTxtG"/>
        <w:rPr>
          <w:lang w:val="en-US"/>
        </w:rPr>
      </w:pPr>
      <w:r w:rsidRPr="00EE4CF2">
        <w:rPr>
          <w:lang w:val="en-US"/>
        </w:rPr>
        <w:t>71.</w:t>
      </w:r>
      <w:r w:rsidRPr="00EE4CF2">
        <w:rPr>
          <w:lang w:val="en-US"/>
        </w:rPr>
        <w:tab/>
        <w:t xml:space="preserve">Statistics for period 2012 to June 2018 regarding the number and type of complaints reported by domestic workers at our various </w:t>
      </w:r>
      <w:proofErr w:type="spellStart"/>
      <w:r w:rsidRPr="00EE4CF2">
        <w:rPr>
          <w:lang w:val="en-US"/>
        </w:rPr>
        <w:t>labour</w:t>
      </w:r>
      <w:proofErr w:type="spellEnd"/>
      <w:r w:rsidRPr="00EE4CF2">
        <w:rPr>
          <w:lang w:val="en-US"/>
        </w:rPr>
        <w:t xml:space="preserve"> offices (Annex 5) reveal that other than cases of termination of employment the Ministry had also been enquiring into issues related to infringement of terms and conditions of employment of domestic workers as well.</w:t>
      </w:r>
    </w:p>
    <w:p w:rsidR="00D77BDC" w:rsidRPr="00EE4CF2" w:rsidRDefault="00D77BDC" w:rsidP="00D77BDC">
      <w:pPr>
        <w:pStyle w:val="SingleTxtG"/>
        <w:rPr>
          <w:lang w:val="en-US"/>
        </w:rPr>
      </w:pPr>
      <w:r w:rsidRPr="00EE4CF2">
        <w:rPr>
          <w:lang w:val="en-US"/>
        </w:rPr>
        <w:t>72.</w:t>
      </w:r>
      <w:r w:rsidRPr="00EE4CF2">
        <w:rPr>
          <w:lang w:val="en-US"/>
        </w:rPr>
        <w:tab/>
        <w:t xml:space="preserve">As a matter of procedure, with regards to any complaint made by workers and registered in the records (Occurrence Book) of the Ministry, at the various </w:t>
      </w:r>
      <w:proofErr w:type="spellStart"/>
      <w:r w:rsidRPr="00EE4CF2">
        <w:rPr>
          <w:lang w:val="en-US"/>
        </w:rPr>
        <w:t>labour</w:t>
      </w:r>
      <w:proofErr w:type="spellEnd"/>
      <w:r w:rsidRPr="00EE4CF2">
        <w:rPr>
          <w:lang w:val="en-US"/>
        </w:rPr>
        <w:t xml:space="preserve"> offices over the island, a </w:t>
      </w:r>
      <w:r w:rsidR="00D92267">
        <w:rPr>
          <w:lang w:val="en-US"/>
        </w:rPr>
        <w:t>“</w:t>
      </w:r>
      <w:r w:rsidRPr="00EE4CF2">
        <w:rPr>
          <w:lang w:val="en-US"/>
        </w:rPr>
        <w:t>Request Note</w:t>
      </w:r>
      <w:r w:rsidR="00D92267">
        <w:rPr>
          <w:lang w:val="en-US"/>
        </w:rPr>
        <w:t>”</w:t>
      </w:r>
      <w:r w:rsidRPr="00EE4CF2">
        <w:rPr>
          <w:lang w:val="en-US"/>
        </w:rPr>
        <w:t xml:space="preserve"> (RN) is issued by the </w:t>
      </w:r>
      <w:proofErr w:type="spellStart"/>
      <w:r w:rsidRPr="00EE4CF2">
        <w:rPr>
          <w:lang w:val="en-US"/>
        </w:rPr>
        <w:t>Labour</w:t>
      </w:r>
      <w:proofErr w:type="spellEnd"/>
      <w:r w:rsidRPr="00EE4CF2">
        <w:rPr>
          <w:lang w:val="en-US"/>
        </w:rPr>
        <w:t xml:space="preserve"> and Industrial Relations Officer, in charge of the office, and sent by Registered post to employers to whom the complaints relate, convening the latter to a meeting at the </w:t>
      </w:r>
      <w:proofErr w:type="spellStart"/>
      <w:r w:rsidRPr="00EE4CF2">
        <w:rPr>
          <w:lang w:val="en-US"/>
        </w:rPr>
        <w:t>labour</w:t>
      </w:r>
      <w:proofErr w:type="spellEnd"/>
      <w:r w:rsidRPr="00EE4CF2">
        <w:rPr>
          <w:lang w:val="en-US"/>
        </w:rPr>
        <w:t xml:space="preserve"> office with a view to thrash out and disposed of the complaint as deemed appropriate. Thus, as per statistics provided with regards to the number of complaints/yearly made by domestic workers for period 2012 to June 2018 (Annex 4), such number of RNs has effectively been issued. An entry is accordingly made in the Occurrence Book (OB) of the </w:t>
      </w:r>
      <w:proofErr w:type="spellStart"/>
      <w:r w:rsidRPr="00EE4CF2">
        <w:rPr>
          <w:lang w:val="en-US"/>
        </w:rPr>
        <w:t>labour</w:t>
      </w:r>
      <w:proofErr w:type="spellEnd"/>
      <w:r w:rsidRPr="00EE4CF2">
        <w:rPr>
          <w:lang w:val="en-US"/>
        </w:rPr>
        <w:t xml:space="preserve"> office.</w:t>
      </w:r>
    </w:p>
    <w:p w:rsidR="00D77BDC" w:rsidRPr="00EE4CF2" w:rsidRDefault="00D77BDC" w:rsidP="00D77BDC">
      <w:pPr>
        <w:pStyle w:val="SingleTxtG"/>
        <w:rPr>
          <w:lang w:val="en-US"/>
        </w:rPr>
      </w:pPr>
      <w:r w:rsidRPr="00EE4CF2">
        <w:rPr>
          <w:lang w:val="en-US"/>
        </w:rPr>
        <w:t>73.</w:t>
      </w:r>
      <w:r w:rsidRPr="00EE4CF2">
        <w:rPr>
          <w:lang w:val="en-US"/>
        </w:rPr>
        <w:tab/>
        <w:t xml:space="preserve">It is to be noted that a number of employers have, without any plausible reasons or excuse, continuously failed to attend to the request (RN) of the Ministry. In such circumstances a </w:t>
      </w:r>
      <w:r w:rsidR="00D92267">
        <w:rPr>
          <w:lang w:val="en-US"/>
        </w:rPr>
        <w:t>“</w:t>
      </w:r>
      <w:r w:rsidRPr="00EE4CF2">
        <w:rPr>
          <w:lang w:val="en-US"/>
        </w:rPr>
        <w:t>Summon</w:t>
      </w:r>
      <w:r w:rsidR="00D92267">
        <w:rPr>
          <w:lang w:val="en-US"/>
        </w:rPr>
        <w:t>”</w:t>
      </w:r>
      <w:r w:rsidRPr="00EE4CF2">
        <w:rPr>
          <w:lang w:val="en-US"/>
        </w:rPr>
        <w:t xml:space="preserve"> has been issued under the authority of the Permanent Secretary and signed by the Senior </w:t>
      </w:r>
      <w:proofErr w:type="spellStart"/>
      <w:r w:rsidRPr="00EE4CF2">
        <w:rPr>
          <w:lang w:val="en-US"/>
        </w:rPr>
        <w:t>Labour</w:t>
      </w:r>
      <w:proofErr w:type="spellEnd"/>
      <w:r w:rsidRPr="00EE4CF2">
        <w:rPr>
          <w:lang w:val="en-US"/>
        </w:rPr>
        <w:t xml:space="preserve"> and Industrial Relations Officer of the </w:t>
      </w:r>
      <w:proofErr w:type="spellStart"/>
      <w:r w:rsidRPr="00EE4CF2">
        <w:rPr>
          <w:lang w:val="en-US"/>
        </w:rPr>
        <w:t>labour</w:t>
      </w:r>
      <w:proofErr w:type="spellEnd"/>
      <w:r w:rsidRPr="00EE4CF2">
        <w:rPr>
          <w:lang w:val="en-US"/>
        </w:rPr>
        <w:t xml:space="preserve"> office convening the above employers once more to the </w:t>
      </w:r>
      <w:proofErr w:type="spellStart"/>
      <w:r w:rsidRPr="00EE4CF2">
        <w:rPr>
          <w:lang w:val="en-US"/>
        </w:rPr>
        <w:t>labour</w:t>
      </w:r>
      <w:proofErr w:type="spellEnd"/>
      <w:r w:rsidRPr="00EE4CF2">
        <w:rPr>
          <w:lang w:val="en-US"/>
        </w:rPr>
        <w:t xml:space="preserve"> office while requesting them to produce required documents and other information relevant to the complaints made by workers. These employers were further warned that failure on their part to comply with the present notice may render them liable to prosecution. Similarly an entry is made in the OB of the </w:t>
      </w:r>
      <w:proofErr w:type="spellStart"/>
      <w:r w:rsidRPr="00EE4CF2">
        <w:rPr>
          <w:lang w:val="en-US"/>
        </w:rPr>
        <w:t>labour</w:t>
      </w:r>
      <w:proofErr w:type="spellEnd"/>
      <w:r w:rsidRPr="00EE4CF2">
        <w:rPr>
          <w:lang w:val="en-US"/>
        </w:rPr>
        <w:t xml:space="preserve"> office.</w:t>
      </w:r>
    </w:p>
    <w:p w:rsidR="00D77BDC" w:rsidRPr="00EE4CF2" w:rsidRDefault="00D77BDC" w:rsidP="00D77BDC">
      <w:pPr>
        <w:pStyle w:val="SingleTxtG"/>
        <w:rPr>
          <w:lang w:val="en-US"/>
        </w:rPr>
      </w:pPr>
      <w:r w:rsidRPr="00EE4CF2">
        <w:rPr>
          <w:lang w:val="en-US"/>
        </w:rPr>
        <w:t>74.</w:t>
      </w:r>
      <w:r w:rsidRPr="00EE4CF2">
        <w:rPr>
          <w:lang w:val="en-US"/>
        </w:rPr>
        <w:tab/>
        <w:t>Somehow no statistics are kept or else compiled with regards to either the RNs or Summons issued. The only statistics that are kept with regards to Summons issued referred to those cases that are processed for Court action (criminal), where the employers concerned have altogether failed to attend to the requirement of the written notice (Summons).</w:t>
      </w:r>
    </w:p>
    <w:p w:rsidR="00D77BDC" w:rsidRPr="00EE4CF2" w:rsidRDefault="00D77BDC" w:rsidP="00D77BDC">
      <w:pPr>
        <w:pStyle w:val="H1G"/>
        <w:rPr>
          <w:lang w:val="en-US"/>
        </w:rPr>
      </w:pPr>
      <w:r w:rsidRPr="00EE4CF2">
        <w:rPr>
          <w:lang w:val="en-US"/>
        </w:rPr>
        <w:tab/>
      </w:r>
      <w:r w:rsidRPr="00EE4CF2">
        <w:rPr>
          <w:lang w:val="en-US"/>
        </w:rPr>
        <w:tab/>
        <w:t>Question 14</w:t>
      </w:r>
    </w:p>
    <w:p w:rsidR="00D77BDC" w:rsidRPr="00EE4CF2" w:rsidRDefault="00D77BDC" w:rsidP="00D77BDC">
      <w:pPr>
        <w:pStyle w:val="SingleTxtG"/>
        <w:rPr>
          <w:lang w:val="en-US"/>
        </w:rPr>
      </w:pPr>
      <w:r w:rsidRPr="00EE4CF2">
        <w:rPr>
          <w:lang w:val="en-US"/>
        </w:rPr>
        <w:t>75.</w:t>
      </w:r>
      <w:r w:rsidRPr="00EE4CF2">
        <w:rPr>
          <w:lang w:val="en-US"/>
        </w:rPr>
        <w:tab/>
        <w:t xml:space="preserve">Statistics at Annex 6 show the number of inspections/enquiries carried out both with respect to migrant and local workers as well as the amount of money recovered on behalf of the workers concerned, following detection of cases of infringements of terms and conditions of employment of workers at the workplaces. </w:t>
      </w:r>
    </w:p>
    <w:p w:rsidR="00D77BDC" w:rsidRPr="00EE4CF2" w:rsidRDefault="00D77BDC" w:rsidP="00FB2403">
      <w:pPr>
        <w:pStyle w:val="SingleTxtG"/>
        <w:rPr>
          <w:lang w:val="en-US"/>
        </w:rPr>
      </w:pPr>
      <w:r w:rsidRPr="00EE4CF2">
        <w:rPr>
          <w:lang w:val="en-US"/>
        </w:rPr>
        <w:lastRenderedPageBreak/>
        <w:t>76.</w:t>
      </w:r>
      <w:r w:rsidRPr="00EE4CF2">
        <w:rPr>
          <w:lang w:val="en-US"/>
        </w:rPr>
        <w:tab/>
        <w:t xml:space="preserve">Cases reported to and which have not been resolved at the level of the regional </w:t>
      </w:r>
      <w:proofErr w:type="spellStart"/>
      <w:r w:rsidRPr="00EE4CF2">
        <w:rPr>
          <w:lang w:val="en-US"/>
        </w:rPr>
        <w:t>labour</w:t>
      </w:r>
      <w:proofErr w:type="spellEnd"/>
      <w:r w:rsidRPr="00EE4CF2">
        <w:rPr>
          <w:lang w:val="en-US"/>
        </w:rPr>
        <w:t xml:space="preserve"> offices of the IES are subsequently referred to the Industrial Court to claim compensation for cases of wrongful termination of employment or for remuneration due to workers as appropriate. Other cases are also referred to the Industrial Court for criminal action against those employers who have breached provisions of relevant legislation or have failed to take appropriate remedial actions as may have been required of them. The tables hereunder provide statistics for the period January</w:t>
      </w:r>
      <w:r w:rsidR="00FB2403">
        <w:rPr>
          <w:lang w:val="en-US"/>
        </w:rPr>
        <w:t>–</w:t>
      </w:r>
      <w:r w:rsidRPr="00EE4CF2">
        <w:rPr>
          <w:lang w:val="en-US"/>
        </w:rPr>
        <w:t>December 2017 and January to May 2018, regarding the number of cases dealt with in Chambers, Open Court as well as amount of fines imposed by the Industrial Court upon conviction of defaulting employers:</w:t>
      </w:r>
    </w:p>
    <w:p w:rsidR="00D77BDC" w:rsidRPr="00EE4CF2" w:rsidRDefault="00D77BDC" w:rsidP="00D77BDC">
      <w:pPr>
        <w:pStyle w:val="Heading1"/>
        <w:spacing w:after="120"/>
        <w:rPr>
          <w:b/>
          <w:lang w:val="en-US"/>
        </w:rPr>
      </w:pPr>
      <w:r w:rsidRPr="00EE4CF2">
        <w:rPr>
          <w:lang w:val="en-US"/>
        </w:rPr>
        <w:t>Table 10(a)</w:t>
      </w:r>
      <w:r w:rsidRPr="00EE4CF2">
        <w:rPr>
          <w:b/>
          <w:lang w:val="en-US"/>
        </w:rPr>
        <w:br/>
        <w:t>Cases dealt with at the level of the Industrial Court Year 2017</w:t>
      </w:r>
    </w:p>
    <w:tbl>
      <w:tblPr>
        <w:tblW w:w="7370" w:type="dxa"/>
        <w:tblInd w:w="1134" w:type="dxa"/>
        <w:tblLayout w:type="fixed"/>
        <w:tblCellMar>
          <w:left w:w="0" w:type="dxa"/>
          <w:right w:w="0" w:type="dxa"/>
        </w:tblCellMar>
        <w:tblLook w:val="04A0" w:firstRow="1" w:lastRow="0" w:firstColumn="1" w:lastColumn="0" w:noHBand="0" w:noVBand="1"/>
      </w:tblPr>
      <w:tblGrid>
        <w:gridCol w:w="1534"/>
        <w:gridCol w:w="1481"/>
        <w:gridCol w:w="1805"/>
        <w:gridCol w:w="1163"/>
        <w:gridCol w:w="1387"/>
      </w:tblGrid>
      <w:tr w:rsidR="00D77BDC" w:rsidRPr="00EE4CF2" w:rsidTr="003977E1">
        <w:trPr>
          <w:tblHeader/>
        </w:trPr>
        <w:tc>
          <w:tcPr>
            <w:tcW w:w="1534"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left"/>
              <w:rPr>
                <w:i/>
                <w:sz w:val="16"/>
                <w:lang w:val="en-US"/>
              </w:rPr>
            </w:pPr>
          </w:p>
        </w:tc>
        <w:tc>
          <w:tcPr>
            <w:tcW w:w="1481"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right"/>
              <w:rPr>
                <w:bCs/>
                <w:i/>
                <w:sz w:val="16"/>
                <w:lang w:val="en-US"/>
              </w:rPr>
            </w:pPr>
            <w:r w:rsidRPr="00EE4CF2">
              <w:rPr>
                <w:bCs/>
                <w:i/>
                <w:sz w:val="16"/>
                <w:lang w:val="en-US"/>
              </w:rPr>
              <w:t>Cases Disposed</w:t>
            </w:r>
          </w:p>
        </w:tc>
        <w:tc>
          <w:tcPr>
            <w:tcW w:w="1805"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right"/>
              <w:rPr>
                <w:bCs/>
                <w:i/>
                <w:sz w:val="16"/>
                <w:lang w:val="en-US"/>
              </w:rPr>
            </w:pPr>
            <w:r w:rsidRPr="00EE4CF2">
              <w:rPr>
                <w:bCs/>
                <w:i/>
                <w:sz w:val="16"/>
                <w:lang w:val="en-US"/>
              </w:rPr>
              <w:t>Amount Recovered (</w:t>
            </w:r>
            <w:proofErr w:type="spellStart"/>
            <w:r w:rsidRPr="00EE4CF2">
              <w:rPr>
                <w:bCs/>
                <w:i/>
                <w:sz w:val="16"/>
                <w:lang w:val="en-US"/>
              </w:rPr>
              <w:t>Rs</w:t>
            </w:r>
            <w:proofErr w:type="spellEnd"/>
            <w:r w:rsidRPr="00EE4CF2">
              <w:rPr>
                <w:bCs/>
                <w:i/>
                <w:sz w:val="16"/>
                <w:lang w:val="en-US"/>
              </w:rPr>
              <w:t>)</w:t>
            </w:r>
          </w:p>
        </w:tc>
        <w:tc>
          <w:tcPr>
            <w:tcW w:w="1163"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right"/>
              <w:rPr>
                <w:bCs/>
                <w:i/>
                <w:sz w:val="16"/>
                <w:lang w:val="en-US"/>
              </w:rPr>
            </w:pPr>
            <w:r w:rsidRPr="00EE4CF2">
              <w:rPr>
                <w:bCs/>
                <w:i/>
                <w:sz w:val="16"/>
                <w:lang w:val="en-US"/>
              </w:rPr>
              <w:t>Fine (</w:t>
            </w:r>
            <w:proofErr w:type="spellStart"/>
            <w:r w:rsidRPr="00EE4CF2">
              <w:rPr>
                <w:bCs/>
                <w:i/>
                <w:sz w:val="16"/>
                <w:lang w:val="en-US"/>
              </w:rPr>
              <w:t>Rs</w:t>
            </w:r>
            <w:proofErr w:type="spellEnd"/>
            <w:r w:rsidRPr="00EE4CF2">
              <w:rPr>
                <w:bCs/>
                <w:i/>
                <w:sz w:val="16"/>
                <w:lang w:val="en-US"/>
              </w:rPr>
              <w:t>)</w:t>
            </w:r>
          </w:p>
        </w:tc>
        <w:tc>
          <w:tcPr>
            <w:tcW w:w="1387"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right"/>
              <w:rPr>
                <w:bCs/>
                <w:i/>
                <w:sz w:val="16"/>
                <w:lang w:val="en-US"/>
              </w:rPr>
            </w:pPr>
            <w:r w:rsidRPr="00EE4CF2">
              <w:rPr>
                <w:bCs/>
                <w:i/>
                <w:sz w:val="16"/>
                <w:lang w:val="en-US"/>
              </w:rPr>
              <w:t>Cost (</w:t>
            </w:r>
            <w:proofErr w:type="spellStart"/>
            <w:r w:rsidRPr="00EE4CF2">
              <w:rPr>
                <w:bCs/>
                <w:i/>
                <w:sz w:val="16"/>
                <w:lang w:val="en-US"/>
              </w:rPr>
              <w:t>Rs</w:t>
            </w:r>
            <w:proofErr w:type="spellEnd"/>
            <w:r w:rsidRPr="00EE4CF2">
              <w:rPr>
                <w:bCs/>
                <w:i/>
                <w:sz w:val="16"/>
                <w:lang w:val="en-US"/>
              </w:rPr>
              <w:t>)</w:t>
            </w:r>
          </w:p>
        </w:tc>
      </w:tr>
      <w:tr w:rsidR="00D77BDC" w:rsidRPr="00EE4CF2" w:rsidTr="003977E1">
        <w:tc>
          <w:tcPr>
            <w:tcW w:w="1534" w:type="dxa"/>
            <w:tcBorders>
              <w:top w:val="single" w:sz="12" w:space="0" w:color="auto"/>
            </w:tcBorders>
            <w:shd w:val="clear" w:color="auto" w:fill="auto"/>
            <w:noWrap/>
            <w:hideMark/>
          </w:tcPr>
          <w:p w:rsidR="00D77BDC" w:rsidRPr="00EE4CF2" w:rsidRDefault="00D77BDC" w:rsidP="003977E1">
            <w:pPr>
              <w:pStyle w:val="SingleTxtG"/>
              <w:suppressAutoHyphens w:val="0"/>
              <w:spacing w:before="40" w:after="40" w:line="220" w:lineRule="exact"/>
              <w:ind w:left="0" w:right="0"/>
              <w:jc w:val="left"/>
              <w:rPr>
                <w:bCs/>
                <w:sz w:val="18"/>
                <w:lang w:val="en-US"/>
              </w:rPr>
            </w:pPr>
            <w:r w:rsidRPr="00EE4CF2">
              <w:rPr>
                <w:bCs/>
                <w:sz w:val="18"/>
                <w:lang w:val="en-US"/>
              </w:rPr>
              <w:t>Chambers</w:t>
            </w:r>
          </w:p>
        </w:tc>
        <w:tc>
          <w:tcPr>
            <w:tcW w:w="1481" w:type="dxa"/>
            <w:tcBorders>
              <w:top w:val="single" w:sz="12"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242</w:t>
            </w:r>
          </w:p>
        </w:tc>
        <w:tc>
          <w:tcPr>
            <w:tcW w:w="1805" w:type="dxa"/>
            <w:tcBorders>
              <w:top w:val="single" w:sz="12"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2</w:t>
            </w:r>
            <w:r w:rsidR="003977E1">
              <w:rPr>
                <w:sz w:val="18"/>
                <w:lang w:val="en-US"/>
              </w:rPr>
              <w:t xml:space="preserve"> </w:t>
            </w:r>
            <w:r w:rsidRPr="00EE4CF2">
              <w:rPr>
                <w:sz w:val="18"/>
                <w:lang w:val="en-US"/>
              </w:rPr>
              <w:t>054</w:t>
            </w:r>
            <w:r w:rsidR="003977E1">
              <w:rPr>
                <w:sz w:val="18"/>
                <w:lang w:val="en-US"/>
              </w:rPr>
              <w:t xml:space="preserve"> </w:t>
            </w:r>
            <w:r w:rsidRPr="00EE4CF2">
              <w:rPr>
                <w:sz w:val="18"/>
                <w:lang w:val="en-US"/>
              </w:rPr>
              <w:t>862</w:t>
            </w:r>
          </w:p>
        </w:tc>
        <w:tc>
          <w:tcPr>
            <w:tcW w:w="1163" w:type="dxa"/>
            <w:tcBorders>
              <w:top w:val="single" w:sz="12"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c>
          <w:tcPr>
            <w:tcW w:w="1387" w:type="dxa"/>
            <w:tcBorders>
              <w:top w:val="single" w:sz="12"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r>
      <w:tr w:rsidR="00D77BDC" w:rsidRPr="00EE4CF2" w:rsidTr="003977E1">
        <w:tc>
          <w:tcPr>
            <w:tcW w:w="1534" w:type="dxa"/>
            <w:shd w:val="clear" w:color="auto" w:fill="auto"/>
            <w:noWrap/>
            <w:hideMark/>
          </w:tcPr>
          <w:p w:rsidR="00D77BDC" w:rsidRPr="00EE4CF2" w:rsidRDefault="00D77BDC" w:rsidP="003977E1">
            <w:pPr>
              <w:pStyle w:val="SingleTxtG"/>
              <w:suppressAutoHyphens w:val="0"/>
              <w:spacing w:before="40" w:after="40" w:line="220" w:lineRule="exact"/>
              <w:ind w:left="0" w:right="0"/>
              <w:jc w:val="left"/>
              <w:rPr>
                <w:bCs/>
                <w:sz w:val="18"/>
                <w:lang w:val="en-US"/>
              </w:rPr>
            </w:pPr>
            <w:r w:rsidRPr="00EE4CF2">
              <w:rPr>
                <w:bCs/>
                <w:sz w:val="18"/>
                <w:lang w:val="en-US"/>
              </w:rPr>
              <w:t>Open Court</w:t>
            </w:r>
          </w:p>
        </w:tc>
        <w:tc>
          <w:tcPr>
            <w:tcW w:w="1481" w:type="dxa"/>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499</w:t>
            </w:r>
          </w:p>
        </w:tc>
        <w:tc>
          <w:tcPr>
            <w:tcW w:w="1805" w:type="dxa"/>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31</w:t>
            </w:r>
            <w:r w:rsidR="003977E1">
              <w:rPr>
                <w:sz w:val="18"/>
                <w:lang w:val="en-US"/>
              </w:rPr>
              <w:t xml:space="preserve"> </w:t>
            </w:r>
            <w:r w:rsidRPr="00EE4CF2">
              <w:rPr>
                <w:sz w:val="18"/>
                <w:lang w:val="en-US"/>
              </w:rPr>
              <w:t>762</w:t>
            </w:r>
            <w:r w:rsidR="003977E1">
              <w:rPr>
                <w:sz w:val="18"/>
                <w:lang w:val="en-US"/>
              </w:rPr>
              <w:t xml:space="preserve"> </w:t>
            </w:r>
            <w:r w:rsidRPr="00EE4CF2">
              <w:rPr>
                <w:sz w:val="18"/>
                <w:lang w:val="en-US"/>
              </w:rPr>
              <w:t>622</w:t>
            </w:r>
          </w:p>
        </w:tc>
        <w:tc>
          <w:tcPr>
            <w:tcW w:w="1163" w:type="dxa"/>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c>
          <w:tcPr>
            <w:tcW w:w="1387" w:type="dxa"/>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r>
      <w:tr w:rsidR="00D77BDC" w:rsidRPr="00EE4CF2" w:rsidTr="003977E1">
        <w:tc>
          <w:tcPr>
            <w:tcW w:w="1534" w:type="dxa"/>
            <w:tcBorders>
              <w:bottom w:val="single" w:sz="4" w:space="0" w:color="auto"/>
            </w:tcBorders>
            <w:shd w:val="clear" w:color="auto" w:fill="auto"/>
            <w:noWrap/>
            <w:hideMark/>
          </w:tcPr>
          <w:p w:rsidR="00D77BDC" w:rsidRPr="00EE4CF2" w:rsidRDefault="00D77BDC" w:rsidP="003977E1">
            <w:pPr>
              <w:pStyle w:val="SingleTxtG"/>
              <w:suppressAutoHyphens w:val="0"/>
              <w:spacing w:before="40" w:after="40" w:line="220" w:lineRule="exact"/>
              <w:ind w:left="0" w:right="0"/>
              <w:jc w:val="left"/>
              <w:rPr>
                <w:bCs/>
                <w:sz w:val="18"/>
                <w:lang w:val="en-US"/>
              </w:rPr>
            </w:pPr>
            <w:r w:rsidRPr="00EE4CF2">
              <w:rPr>
                <w:bCs/>
                <w:sz w:val="18"/>
                <w:lang w:val="en-US"/>
              </w:rPr>
              <w:t>Criminal</w:t>
            </w:r>
          </w:p>
        </w:tc>
        <w:tc>
          <w:tcPr>
            <w:tcW w:w="1481" w:type="dxa"/>
            <w:tcBorders>
              <w:bottom w:val="single" w:sz="4"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72</w:t>
            </w:r>
          </w:p>
        </w:tc>
        <w:tc>
          <w:tcPr>
            <w:tcW w:w="1805" w:type="dxa"/>
            <w:tcBorders>
              <w:bottom w:val="single" w:sz="4"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c>
          <w:tcPr>
            <w:tcW w:w="1163" w:type="dxa"/>
            <w:tcBorders>
              <w:bottom w:val="single" w:sz="4"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208</w:t>
            </w:r>
            <w:r w:rsidR="003977E1">
              <w:rPr>
                <w:sz w:val="18"/>
                <w:lang w:val="en-US"/>
              </w:rPr>
              <w:t xml:space="preserve"> </w:t>
            </w:r>
            <w:r w:rsidRPr="00EE4CF2">
              <w:rPr>
                <w:sz w:val="18"/>
                <w:lang w:val="en-US"/>
              </w:rPr>
              <w:t>600</w:t>
            </w:r>
          </w:p>
        </w:tc>
        <w:tc>
          <w:tcPr>
            <w:tcW w:w="1387" w:type="dxa"/>
            <w:tcBorders>
              <w:bottom w:val="single" w:sz="4"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11</w:t>
            </w:r>
            <w:r w:rsidR="003977E1">
              <w:rPr>
                <w:sz w:val="18"/>
                <w:lang w:val="en-US"/>
              </w:rPr>
              <w:t xml:space="preserve"> </w:t>
            </w:r>
            <w:r w:rsidRPr="00EE4CF2">
              <w:rPr>
                <w:sz w:val="18"/>
                <w:lang w:val="en-US"/>
              </w:rPr>
              <w:t>600</w:t>
            </w:r>
          </w:p>
        </w:tc>
      </w:tr>
      <w:tr w:rsidR="00D77BDC" w:rsidRPr="00EE4CF2" w:rsidTr="003977E1">
        <w:tc>
          <w:tcPr>
            <w:tcW w:w="1534" w:type="dxa"/>
            <w:tcBorders>
              <w:top w:val="single" w:sz="4" w:space="0" w:color="auto"/>
              <w:bottom w:val="single" w:sz="12" w:space="0" w:color="auto"/>
            </w:tcBorders>
            <w:shd w:val="clear" w:color="auto" w:fill="auto"/>
            <w:noWrap/>
            <w:hideMark/>
          </w:tcPr>
          <w:p w:rsidR="00D77BDC" w:rsidRPr="00EE4CF2" w:rsidRDefault="00D77BDC" w:rsidP="003977E1">
            <w:pPr>
              <w:pStyle w:val="SingleTxtG"/>
              <w:suppressAutoHyphens w:val="0"/>
              <w:spacing w:before="80" w:after="80" w:line="220" w:lineRule="exact"/>
              <w:ind w:left="283" w:right="0"/>
              <w:jc w:val="left"/>
              <w:rPr>
                <w:b/>
                <w:bCs/>
                <w:sz w:val="18"/>
                <w:lang w:val="en-US"/>
              </w:rPr>
            </w:pPr>
            <w:r w:rsidRPr="00EE4CF2">
              <w:rPr>
                <w:b/>
                <w:bCs/>
                <w:sz w:val="18"/>
                <w:lang w:val="en-US"/>
              </w:rPr>
              <w:t>Total</w:t>
            </w:r>
          </w:p>
        </w:tc>
        <w:tc>
          <w:tcPr>
            <w:tcW w:w="1481" w:type="dxa"/>
            <w:tcBorders>
              <w:top w:val="single" w:sz="4" w:space="0" w:color="auto"/>
              <w:bottom w:val="single" w:sz="12" w:space="0" w:color="auto"/>
            </w:tcBorders>
            <w:shd w:val="clear" w:color="auto" w:fill="auto"/>
            <w:noWrap/>
            <w:vAlign w:val="bottom"/>
            <w:hideMark/>
          </w:tcPr>
          <w:p w:rsidR="00D77BDC" w:rsidRPr="00EE4CF2" w:rsidRDefault="00D77BDC" w:rsidP="003977E1">
            <w:pPr>
              <w:pStyle w:val="SingleTxtG"/>
              <w:suppressAutoHyphens w:val="0"/>
              <w:spacing w:before="80" w:after="80" w:line="220" w:lineRule="exact"/>
              <w:ind w:left="0" w:right="0"/>
              <w:jc w:val="right"/>
              <w:rPr>
                <w:b/>
                <w:bCs/>
                <w:sz w:val="18"/>
                <w:lang w:val="en-US"/>
              </w:rPr>
            </w:pPr>
            <w:r w:rsidRPr="00EE4CF2">
              <w:rPr>
                <w:b/>
                <w:bCs/>
                <w:sz w:val="18"/>
                <w:lang w:val="en-US"/>
              </w:rPr>
              <w:t>813</w:t>
            </w:r>
          </w:p>
        </w:tc>
        <w:tc>
          <w:tcPr>
            <w:tcW w:w="1805" w:type="dxa"/>
            <w:tcBorders>
              <w:top w:val="single" w:sz="4" w:space="0" w:color="auto"/>
              <w:bottom w:val="single" w:sz="12" w:space="0" w:color="auto"/>
            </w:tcBorders>
            <w:shd w:val="clear" w:color="auto" w:fill="auto"/>
            <w:noWrap/>
            <w:vAlign w:val="bottom"/>
            <w:hideMark/>
          </w:tcPr>
          <w:p w:rsidR="00D77BDC" w:rsidRPr="00EE4CF2" w:rsidRDefault="00D77BDC" w:rsidP="003977E1">
            <w:pPr>
              <w:pStyle w:val="SingleTxtG"/>
              <w:suppressAutoHyphens w:val="0"/>
              <w:spacing w:before="80" w:after="80" w:line="220" w:lineRule="exact"/>
              <w:ind w:left="0" w:right="0"/>
              <w:jc w:val="right"/>
              <w:rPr>
                <w:b/>
                <w:bCs/>
                <w:sz w:val="18"/>
                <w:lang w:val="en-US"/>
              </w:rPr>
            </w:pPr>
            <w:r w:rsidRPr="00EE4CF2">
              <w:rPr>
                <w:b/>
                <w:bCs/>
                <w:sz w:val="18"/>
                <w:lang w:val="en-US"/>
              </w:rPr>
              <w:t>33</w:t>
            </w:r>
            <w:r w:rsidR="003977E1">
              <w:rPr>
                <w:b/>
                <w:bCs/>
                <w:sz w:val="18"/>
                <w:lang w:val="en-US"/>
              </w:rPr>
              <w:t xml:space="preserve"> </w:t>
            </w:r>
            <w:r w:rsidRPr="00EE4CF2">
              <w:rPr>
                <w:b/>
                <w:bCs/>
                <w:sz w:val="18"/>
                <w:lang w:val="en-US"/>
              </w:rPr>
              <w:t>817</w:t>
            </w:r>
            <w:r w:rsidR="003977E1">
              <w:rPr>
                <w:b/>
                <w:bCs/>
                <w:sz w:val="18"/>
                <w:lang w:val="en-US"/>
              </w:rPr>
              <w:t xml:space="preserve"> </w:t>
            </w:r>
            <w:r w:rsidRPr="00EE4CF2">
              <w:rPr>
                <w:b/>
                <w:bCs/>
                <w:sz w:val="18"/>
                <w:lang w:val="en-US"/>
              </w:rPr>
              <w:t>484</w:t>
            </w:r>
          </w:p>
        </w:tc>
        <w:tc>
          <w:tcPr>
            <w:tcW w:w="1163" w:type="dxa"/>
            <w:tcBorders>
              <w:top w:val="single" w:sz="4" w:space="0" w:color="auto"/>
              <w:bottom w:val="single" w:sz="12" w:space="0" w:color="auto"/>
            </w:tcBorders>
            <w:shd w:val="clear" w:color="auto" w:fill="auto"/>
            <w:noWrap/>
            <w:vAlign w:val="bottom"/>
            <w:hideMark/>
          </w:tcPr>
          <w:p w:rsidR="00D77BDC" w:rsidRPr="00EE4CF2" w:rsidRDefault="00D77BDC" w:rsidP="003977E1">
            <w:pPr>
              <w:pStyle w:val="SingleTxtG"/>
              <w:suppressAutoHyphens w:val="0"/>
              <w:spacing w:before="80" w:after="80" w:line="220" w:lineRule="exact"/>
              <w:ind w:left="0" w:right="0"/>
              <w:jc w:val="right"/>
              <w:rPr>
                <w:b/>
                <w:bCs/>
                <w:sz w:val="18"/>
                <w:lang w:val="en-US"/>
              </w:rPr>
            </w:pPr>
            <w:r w:rsidRPr="00EE4CF2">
              <w:rPr>
                <w:b/>
                <w:bCs/>
                <w:sz w:val="18"/>
                <w:lang w:val="en-US"/>
              </w:rPr>
              <w:t>208</w:t>
            </w:r>
            <w:r w:rsidR="003977E1">
              <w:rPr>
                <w:b/>
                <w:bCs/>
                <w:sz w:val="18"/>
                <w:lang w:val="en-US"/>
              </w:rPr>
              <w:t xml:space="preserve"> </w:t>
            </w:r>
            <w:r w:rsidRPr="00EE4CF2">
              <w:rPr>
                <w:b/>
                <w:bCs/>
                <w:sz w:val="18"/>
                <w:lang w:val="en-US"/>
              </w:rPr>
              <w:t>600</w:t>
            </w:r>
          </w:p>
        </w:tc>
        <w:tc>
          <w:tcPr>
            <w:tcW w:w="1387" w:type="dxa"/>
            <w:tcBorders>
              <w:top w:val="single" w:sz="4" w:space="0" w:color="auto"/>
              <w:bottom w:val="single" w:sz="12" w:space="0" w:color="auto"/>
            </w:tcBorders>
            <w:shd w:val="clear" w:color="auto" w:fill="auto"/>
            <w:noWrap/>
            <w:vAlign w:val="bottom"/>
            <w:hideMark/>
          </w:tcPr>
          <w:p w:rsidR="00D77BDC" w:rsidRPr="00EE4CF2" w:rsidRDefault="00D77BDC" w:rsidP="003977E1">
            <w:pPr>
              <w:pStyle w:val="SingleTxtG"/>
              <w:suppressAutoHyphens w:val="0"/>
              <w:spacing w:before="80" w:after="80" w:line="220" w:lineRule="exact"/>
              <w:ind w:left="0" w:right="0"/>
              <w:jc w:val="right"/>
              <w:rPr>
                <w:b/>
                <w:bCs/>
                <w:sz w:val="18"/>
                <w:lang w:val="en-US"/>
              </w:rPr>
            </w:pPr>
            <w:r w:rsidRPr="00EE4CF2">
              <w:rPr>
                <w:b/>
                <w:bCs/>
                <w:sz w:val="18"/>
                <w:lang w:val="en-US"/>
              </w:rPr>
              <w:t>11</w:t>
            </w:r>
            <w:r w:rsidR="003977E1">
              <w:rPr>
                <w:b/>
                <w:bCs/>
                <w:sz w:val="18"/>
                <w:lang w:val="en-US"/>
              </w:rPr>
              <w:t xml:space="preserve"> </w:t>
            </w:r>
            <w:r w:rsidRPr="00EE4CF2">
              <w:rPr>
                <w:b/>
                <w:bCs/>
                <w:sz w:val="18"/>
                <w:lang w:val="en-US"/>
              </w:rPr>
              <w:t>600</w:t>
            </w:r>
          </w:p>
        </w:tc>
      </w:tr>
    </w:tbl>
    <w:p w:rsidR="00D77BDC" w:rsidRPr="00EE4CF2" w:rsidRDefault="00D77BDC" w:rsidP="00D77BDC">
      <w:pPr>
        <w:pStyle w:val="Heading1"/>
        <w:spacing w:before="240" w:after="120"/>
        <w:rPr>
          <w:b/>
          <w:lang w:val="en-US"/>
        </w:rPr>
      </w:pPr>
      <w:r w:rsidRPr="00EE4CF2">
        <w:rPr>
          <w:lang w:val="en-US"/>
        </w:rPr>
        <w:t>Table 10(b)</w:t>
      </w:r>
      <w:r w:rsidRPr="00EE4CF2">
        <w:rPr>
          <w:b/>
          <w:lang w:val="en-US"/>
        </w:rPr>
        <w:br/>
        <w:t>Cases dealt with at the level of the Industrial Court Year 2018</w:t>
      </w:r>
    </w:p>
    <w:tbl>
      <w:tblPr>
        <w:tblW w:w="7370" w:type="dxa"/>
        <w:tblInd w:w="1134" w:type="dxa"/>
        <w:tblLayout w:type="fixed"/>
        <w:tblCellMar>
          <w:left w:w="0" w:type="dxa"/>
          <w:right w:w="0" w:type="dxa"/>
        </w:tblCellMar>
        <w:tblLook w:val="04A0" w:firstRow="1" w:lastRow="0" w:firstColumn="1" w:lastColumn="0" w:noHBand="0" w:noVBand="1"/>
      </w:tblPr>
      <w:tblGrid>
        <w:gridCol w:w="1545"/>
        <w:gridCol w:w="1489"/>
        <w:gridCol w:w="1786"/>
        <w:gridCol w:w="1199"/>
        <w:gridCol w:w="1351"/>
      </w:tblGrid>
      <w:tr w:rsidR="00D77BDC" w:rsidRPr="00EE4CF2" w:rsidTr="00D829DF">
        <w:trPr>
          <w:tblHeader/>
        </w:trPr>
        <w:tc>
          <w:tcPr>
            <w:tcW w:w="1545"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left"/>
              <w:rPr>
                <w:i/>
                <w:sz w:val="16"/>
                <w:lang w:val="en-US"/>
              </w:rPr>
            </w:pPr>
          </w:p>
        </w:tc>
        <w:tc>
          <w:tcPr>
            <w:tcW w:w="1489"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right"/>
              <w:rPr>
                <w:bCs/>
                <w:i/>
                <w:sz w:val="16"/>
                <w:lang w:val="en-US"/>
              </w:rPr>
            </w:pPr>
            <w:r w:rsidRPr="00EE4CF2">
              <w:rPr>
                <w:bCs/>
                <w:i/>
                <w:sz w:val="16"/>
                <w:lang w:val="en-US"/>
              </w:rPr>
              <w:t>Cases Disposed</w:t>
            </w:r>
          </w:p>
        </w:tc>
        <w:tc>
          <w:tcPr>
            <w:tcW w:w="1786"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right"/>
              <w:rPr>
                <w:bCs/>
                <w:i/>
                <w:sz w:val="16"/>
                <w:lang w:val="en-US"/>
              </w:rPr>
            </w:pPr>
            <w:r w:rsidRPr="00EE4CF2">
              <w:rPr>
                <w:bCs/>
                <w:i/>
                <w:sz w:val="16"/>
                <w:lang w:val="en-US"/>
              </w:rPr>
              <w:t>Amount Recovered (</w:t>
            </w:r>
            <w:proofErr w:type="spellStart"/>
            <w:r w:rsidRPr="00EE4CF2">
              <w:rPr>
                <w:bCs/>
                <w:i/>
                <w:sz w:val="16"/>
                <w:lang w:val="en-US"/>
              </w:rPr>
              <w:t>Rs</w:t>
            </w:r>
            <w:proofErr w:type="spellEnd"/>
            <w:r w:rsidRPr="00EE4CF2">
              <w:rPr>
                <w:bCs/>
                <w:i/>
                <w:sz w:val="16"/>
                <w:lang w:val="en-US"/>
              </w:rPr>
              <w:t>)</w:t>
            </w:r>
          </w:p>
        </w:tc>
        <w:tc>
          <w:tcPr>
            <w:tcW w:w="1199"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right"/>
              <w:rPr>
                <w:bCs/>
                <w:i/>
                <w:sz w:val="16"/>
                <w:lang w:val="en-US"/>
              </w:rPr>
            </w:pPr>
            <w:r w:rsidRPr="00EE4CF2">
              <w:rPr>
                <w:bCs/>
                <w:i/>
                <w:sz w:val="16"/>
                <w:lang w:val="en-US"/>
              </w:rPr>
              <w:t>Fine (</w:t>
            </w:r>
            <w:proofErr w:type="spellStart"/>
            <w:r w:rsidRPr="00EE4CF2">
              <w:rPr>
                <w:bCs/>
                <w:i/>
                <w:sz w:val="16"/>
                <w:lang w:val="en-US"/>
              </w:rPr>
              <w:t>Rs</w:t>
            </w:r>
            <w:proofErr w:type="spellEnd"/>
            <w:r w:rsidRPr="00EE4CF2">
              <w:rPr>
                <w:bCs/>
                <w:i/>
                <w:sz w:val="16"/>
                <w:lang w:val="en-US"/>
              </w:rPr>
              <w:t>)</w:t>
            </w:r>
          </w:p>
        </w:tc>
        <w:tc>
          <w:tcPr>
            <w:tcW w:w="1351" w:type="dxa"/>
            <w:tcBorders>
              <w:top w:val="single" w:sz="4" w:space="0" w:color="auto"/>
              <w:bottom w:val="single" w:sz="12" w:space="0" w:color="auto"/>
            </w:tcBorders>
            <w:shd w:val="clear" w:color="auto" w:fill="auto"/>
            <w:noWrap/>
            <w:vAlign w:val="bottom"/>
          </w:tcPr>
          <w:p w:rsidR="00D77BDC" w:rsidRPr="00EE4CF2" w:rsidRDefault="00D77BDC" w:rsidP="003977E1">
            <w:pPr>
              <w:pStyle w:val="SingleTxtG"/>
              <w:suppressAutoHyphens w:val="0"/>
              <w:spacing w:before="80" w:after="80" w:line="200" w:lineRule="exact"/>
              <w:ind w:left="0" w:right="0"/>
              <w:jc w:val="right"/>
              <w:rPr>
                <w:bCs/>
                <w:i/>
                <w:sz w:val="16"/>
                <w:lang w:val="en-US"/>
              </w:rPr>
            </w:pPr>
            <w:r w:rsidRPr="00EE4CF2">
              <w:rPr>
                <w:bCs/>
                <w:i/>
                <w:sz w:val="16"/>
                <w:lang w:val="en-US"/>
              </w:rPr>
              <w:t>Cost (</w:t>
            </w:r>
            <w:proofErr w:type="spellStart"/>
            <w:r w:rsidRPr="00EE4CF2">
              <w:rPr>
                <w:bCs/>
                <w:i/>
                <w:sz w:val="16"/>
                <w:lang w:val="en-US"/>
              </w:rPr>
              <w:t>Rs</w:t>
            </w:r>
            <w:proofErr w:type="spellEnd"/>
            <w:r w:rsidRPr="00EE4CF2">
              <w:rPr>
                <w:bCs/>
                <w:i/>
                <w:sz w:val="16"/>
                <w:lang w:val="en-US"/>
              </w:rPr>
              <w:t>)</w:t>
            </w:r>
          </w:p>
        </w:tc>
      </w:tr>
      <w:tr w:rsidR="00D77BDC" w:rsidRPr="00EE4CF2" w:rsidTr="00D829DF">
        <w:tc>
          <w:tcPr>
            <w:tcW w:w="1545" w:type="dxa"/>
            <w:tcBorders>
              <w:top w:val="single" w:sz="12" w:space="0" w:color="auto"/>
            </w:tcBorders>
            <w:shd w:val="clear" w:color="auto" w:fill="auto"/>
            <w:noWrap/>
            <w:hideMark/>
          </w:tcPr>
          <w:p w:rsidR="00D77BDC" w:rsidRPr="00EE4CF2" w:rsidRDefault="00D77BDC" w:rsidP="003977E1">
            <w:pPr>
              <w:pStyle w:val="SingleTxtG"/>
              <w:suppressAutoHyphens w:val="0"/>
              <w:spacing w:before="40" w:after="40" w:line="220" w:lineRule="exact"/>
              <w:ind w:left="0" w:right="0"/>
              <w:jc w:val="left"/>
              <w:rPr>
                <w:bCs/>
                <w:sz w:val="18"/>
                <w:lang w:val="en-US"/>
              </w:rPr>
            </w:pPr>
            <w:r w:rsidRPr="00EE4CF2">
              <w:rPr>
                <w:bCs/>
                <w:sz w:val="18"/>
                <w:lang w:val="en-US"/>
              </w:rPr>
              <w:t>Chambers</w:t>
            </w:r>
          </w:p>
        </w:tc>
        <w:tc>
          <w:tcPr>
            <w:tcW w:w="1489" w:type="dxa"/>
            <w:tcBorders>
              <w:top w:val="single" w:sz="12"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103</w:t>
            </w:r>
          </w:p>
        </w:tc>
        <w:tc>
          <w:tcPr>
            <w:tcW w:w="1786" w:type="dxa"/>
            <w:tcBorders>
              <w:top w:val="single" w:sz="12"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584</w:t>
            </w:r>
            <w:r w:rsidR="00D829DF">
              <w:rPr>
                <w:sz w:val="18"/>
                <w:lang w:val="en-US"/>
              </w:rPr>
              <w:t xml:space="preserve"> </w:t>
            </w:r>
            <w:r w:rsidRPr="00EE4CF2">
              <w:rPr>
                <w:sz w:val="18"/>
                <w:lang w:val="en-US"/>
              </w:rPr>
              <w:t>308</w:t>
            </w:r>
          </w:p>
        </w:tc>
        <w:tc>
          <w:tcPr>
            <w:tcW w:w="1199" w:type="dxa"/>
            <w:tcBorders>
              <w:top w:val="single" w:sz="12"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c>
          <w:tcPr>
            <w:tcW w:w="1351" w:type="dxa"/>
            <w:tcBorders>
              <w:top w:val="single" w:sz="12"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r>
      <w:tr w:rsidR="00D77BDC" w:rsidRPr="00EE4CF2" w:rsidTr="00D829DF">
        <w:tc>
          <w:tcPr>
            <w:tcW w:w="1545" w:type="dxa"/>
            <w:shd w:val="clear" w:color="auto" w:fill="auto"/>
            <w:noWrap/>
            <w:hideMark/>
          </w:tcPr>
          <w:p w:rsidR="00D77BDC" w:rsidRPr="00EE4CF2" w:rsidRDefault="00D77BDC" w:rsidP="003977E1">
            <w:pPr>
              <w:pStyle w:val="SingleTxtG"/>
              <w:suppressAutoHyphens w:val="0"/>
              <w:spacing w:before="40" w:after="40" w:line="220" w:lineRule="exact"/>
              <w:ind w:left="0" w:right="0"/>
              <w:jc w:val="left"/>
              <w:rPr>
                <w:bCs/>
                <w:sz w:val="18"/>
                <w:lang w:val="en-US"/>
              </w:rPr>
            </w:pPr>
            <w:r w:rsidRPr="00EE4CF2">
              <w:rPr>
                <w:bCs/>
                <w:sz w:val="18"/>
                <w:lang w:val="en-US"/>
              </w:rPr>
              <w:t>Open Court</w:t>
            </w:r>
          </w:p>
        </w:tc>
        <w:tc>
          <w:tcPr>
            <w:tcW w:w="1489" w:type="dxa"/>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234</w:t>
            </w:r>
          </w:p>
        </w:tc>
        <w:tc>
          <w:tcPr>
            <w:tcW w:w="1786" w:type="dxa"/>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15</w:t>
            </w:r>
            <w:r w:rsidR="00D829DF">
              <w:rPr>
                <w:sz w:val="18"/>
                <w:lang w:val="en-US"/>
              </w:rPr>
              <w:t xml:space="preserve"> </w:t>
            </w:r>
            <w:r w:rsidRPr="00EE4CF2">
              <w:rPr>
                <w:sz w:val="18"/>
                <w:lang w:val="en-US"/>
              </w:rPr>
              <w:t>465</w:t>
            </w:r>
            <w:r w:rsidR="00D829DF">
              <w:rPr>
                <w:sz w:val="18"/>
                <w:lang w:val="en-US"/>
              </w:rPr>
              <w:t xml:space="preserve"> </w:t>
            </w:r>
            <w:r w:rsidRPr="00EE4CF2">
              <w:rPr>
                <w:sz w:val="18"/>
                <w:lang w:val="en-US"/>
              </w:rPr>
              <w:t>937</w:t>
            </w:r>
          </w:p>
        </w:tc>
        <w:tc>
          <w:tcPr>
            <w:tcW w:w="1199" w:type="dxa"/>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c>
          <w:tcPr>
            <w:tcW w:w="1351" w:type="dxa"/>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r>
      <w:tr w:rsidR="00D77BDC" w:rsidRPr="00EE4CF2" w:rsidTr="00D829DF">
        <w:tc>
          <w:tcPr>
            <w:tcW w:w="1545" w:type="dxa"/>
            <w:tcBorders>
              <w:bottom w:val="single" w:sz="4" w:space="0" w:color="auto"/>
            </w:tcBorders>
            <w:shd w:val="clear" w:color="auto" w:fill="auto"/>
            <w:noWrap/>
            <w:hideMark/>
          </w:tcPr>
          <w:p w:rsidR="00D77BDC" w:rsidRPr="00EE4CF2" w:rsidRDefault="00D77BDC" w:rsidP="003977E1">
            <w:pPr>
              <w:pStyle w:val="SingleTxtG"/>
              <w:suppressAutoHyphens w:val="0"/>
              <w:spacing w:before="40" w:after="40" w:line="220" w:lineRule="exact"/>
              <w:ind w:left="0" w:right="0"/>
              <w:jc w:val="left"/>
              <w:rPr>
                <w:bCs/>
                <w:sz w:val="18"/>
                <w:lang w:val="en-US"/>
              </w:rPr>
            </w:pPr>
            <w:r w:rsidRPr="00EE4CF2">
              <w:rPr>
                <w:bCs/>
                <w:sz w:val="18"/>
                <w:lang w:val="en-US"/>
              </w:rPr>
              <w:t>Criminal</w:t>
            </w:r>
          </w:p>
        </w:tc>
        <w:tc>
          <w:tcPr>
            <w:tcW w:w="1489" w:type="dxa"/>
            <w:tcBorders>
              <w:bottom w:val="single" w:sz="4"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30</w:t>
            </w:r>
          </w:p>
        </w:tc>
        <w:tc>
          <w:tcPr>
            <w:tcW w:w="1786" w:type="dxa"/>
            <w:tcBorders>
              <w:bottom w:val="single" w:sz="4"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w:t>
            </w:r>
          </w:p>
        </w:tc>
        <w:tc>
          <w:tcPr>
            <w:tcW w:w="1199" w:type="dxa"/>
            <w:tcBorders>
              <w:bottom w:val="single" w:sz="4"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280</w:t>
            </w:r>
            <w:r w:rsidR="00D829DF">
              <w:rPr>
                <w:sz w:val="18"/>
                <w:lang w:val="en-US"/>
              </w:rPr>
              <w:t xml:space="preserve"> </w:t>
            </w:r>
            <w:r w:rsidRPr="00EE4CF2">
              <w:rPr>
                <w:sz w:val="18"/>
                <w:lang w:val="en-US"/>
              </w:rPr>
              <w:t>500</w:t>
            </w:r>
          </w:p>
        </w:tc>
        <w:tc>
          <w:tcPr>
            <w:tcW w:w="1351" w:type="dxa"/>
            <w:tcBorders>
              <w:bottom w:val="single" w:sz="4" w:space="0" w:color="auto"/>
            </w:tcBorders>
            <w:shd w:val="clear" w:color="auto" w:fill="auto"/>
            <w:noWrap/>
            <w:vAlign w:val="bottom"/>
            <w:hideMark/>
          </w:tcPr>
          <w:p w:rsidR="00D77BDC" w:rsidRPr="00EE4CF2" w:rsidRDefault="00D77BDC" w:rsidP="003977E1">
            <w:pPr>
              <w:pStyle w:val="SingleTxtG"/>
              <w:suppressAutoHyphens w:val="0"/>
              <w:spacing w:before="40" w:after="40" w:line="220" w:lineRule="exact"/>
              <w:ind w:left="0" w:right="0"/>
              <w:jc w:val="right"/>
              <w:rPr>
                <w:sz w:val="18"/>
                <w:lang w:val="en-US"/>
              </w:rPr>
            </w:pPr>
            <w:r w:rsidRPr="00EE4CF2">
              <w:rPr>
                <w:sz w:val="18"/>
                <w:lang w:val="en-US"/>
              </w:rPr>
              <w:t>4</w:t>
            </w:r>
            <w:r w:rsidR="00D829DF">
              <w:rPr>
                <w:sz w:val="18"/>
                <w:lang w:val="en-US"/>
              </w:rPr>
              <w:t xml:space="preserve"> </w:t>
            </w:r>
            <w:r w:rsidRPr="00EE4CF2">
              <w:rPr>
                <w:sz w:val="18"/>
                <w:lang w:val="en-US"/>
              </w:rPr>
              <w:t>600</w:t>
            </w:r>
          </w:p>
        </w:tc>
      </w:tr>
      <w:tr w:rsidR="00D77BDC" w:rsidRPr="00EE4CF2" w:rsidTr="00D829DF">
        <w:tc>
          <w:tcPr>
            <w:tcW w:w="1545" w:type="dxa"/>
            <w:tcBorders>
              <w:top w:val="single" w:sz="4" w:space="0" w:color="auto"/>
              <w:bottom w:val="single" w:sz="12" w:space="0" w:color="auto"/>
            </w:tcBorders>
            <w:shd w:val="clear" w:color="auto" w:fill="auto"/>
            <w:noWrap/>
            <w:hideMark/>
          </w:tcPr>
          <w:p w:rsidR="00D77BDC" w:rsidRPr="00EE4CF2" w:rsidRDefault="00D77BDC" w:rsidP="003977E1">
            <w:pPr>
              <w:pStyle w:val="SingleTxtG"/>
              <w:suppressAutoHyphens w:val="0"/>
              <w:spacing w:before="80" w:after="80" w:line="220" w:lineRule="exact"/>
              <w:ind w:left="283" w:right="0"/>
              <w:jc w:val="left"/>
              <w:rPr>
                <w:b/>
                <w:bCs/>
                <w:sz w:val="18"/>
                <w:lang w:val="en-US"/>
              </w:rPr>
            </w:pPr>
            <w:r w:rsidRPr="00EE4CF2">
              <w:rPr>
                <w:b/>
                <w:bCs/>
                <w:sz w:val="18"/>
                <w:lang w:val="en-US"/>
              </w:rPr>
              <w:t>Total</w:t>
            </w:r>
          </w:p>
        </w:tc>
        <w:tc>
          <w:tcPr>
            <w:tcW w:w="1489" w:type="dxa"/>
            <w:tcBorders>
              <w:top w:val="single" w:sz="4" w:space="0" w:color="auto"/>
              <w:bottom w:val="single" w:sz="12" w:space="0" w:color="auto"/>
            </w:tcBorders>
            <w:shd w:val="clear" w:color="auto" w:fill="auto"/>
            <w:noWrap/>
            <w:vAlign w:val="bottom"/>
            <w:hideMark/>
          </w:tcPr>
          <w:p w:rsidR="00D77BDC" w:rsidRPr="00EE4CF2" w:rsidRDefault="00D77BDC" w:rsidP="003977E1">
            <w:pPr>
              <w:pStyle w:val="SingleTxtG"/>
              <w:suppressAutoHyphens w:val="0"/>
              <w:spacing w:before="80" w:after="80" w:line="220" w:lineRule="exact"/>
              <w:ind w:left="0" w:right="0"/>
              <w:jc w:val="right"/>
              <w:rPr>
                <w:b/>
                <w:bCs/>
                <w:sz w:val="18"/>
                <w:lang w:val="en-US"/>
              </w:rPr>
            </w:pPr>
            <w:r w:rsidRPr="00EE4CF2">
              <w:rPr>
                <w:b/>
                <w:bCs/>
                <w:sz w:val="18"/>
                <w:lang w:val="en-US"/>
              </w:rPr>
              <w:t>367</w:t>
            </w:r>
          </w:p>
        </w:tc>
        <w:tc>
          <w:tcPr>
            <w:tcW w:w="1786" w:type="dxa"/>
            <w:tcBorders>
              <w:top w:val="single" w:sz="4" w:space="0" w:color="auto"/>
              <w:bottom w:val="single" w:sz="12" w:space="0" w:color="auto"/>
            </w:tcBorders>
            <w:shd w:val="clear" w:color="auto" w:fill="auto"/>
            <w:noWrap/>
            <w:vAlign w:val="bottom"/>
            <w:hideMark/>
          </w:tcPr>
          <w:p w:rsidR="00D77BDC" w:rsidRPr="00EE4CF2" w:rsidRDefault="00D77BDC" w:rsidP="003977E1">
            <w:pPr>
              <w:pStyle w:val="SingleTxtG"/>
              <w:suppressAutoHyphens w:val="0"/>
              <w:spacing w:before="80" w:after="80" w:line="220" w:lineRule="exact"/>
              <w:ind w:left="0" w:right="0"/>
              <w:jc w:val="right"/>
              <w:rPr>
                <w:b/>
                <w:bCs/>
                <w:sz w:val="18"/>
                <w:lang w:val="en-US"/>
              </w:rPr>
            </w:pPr>
            <w:r w:rsidRPr="00EE4CF2">
              <w:rPr>
                <w:b/>
                <w:bCs/>
                <w:sz w:val="18"/>
                <w:lang w:val="en-US"/>
              </w:rPr>
              <w:t>16</w:t>
            </w:r>
            <w:r w:rsidR="00D829DF">
              <w:rPr>
                <w:b/>
                <w:bCs/>
                <w:sz w:val="18"/>
                <w:lang w:val="en-US"/>
              </w:rPr>
              <w:t xml:space="preserve"> </w:t>
            </w:r>
            <w:r w:rsidRPr="00EE4CF2">
              <w:rPr>
                <w:b/>
                <w:bCs/>
                <w:sz w:val="18"/>
                <w:lang w:val="en-US"/>
              </w:rPr>
              <w:t>050</w:t>
            </w:r>
            <w:r w:rsidR="00D829DF">
              <w:rPr>
                <w:b/>
                <w:bCs/>
                <w:sz w:val="18"/>
                <w:lang w:val="en-US"/>
              </w:rPr>
              <w:t xml:space="preserve"> </w:t>
            </w:r>
            <w:r w:rsidRPr="00EE4CF2">
              <w:rPr>
                <w:b/>
                <w:bCs/>
                <w:sz w:val="18"/>
                <w:lang w:val="en-US"/>
              </w:rPr>
              <w:t>245</w:t>
            </w:r>
          </w:p>
        </w:tc>
        <w:tc>
          <w:tcPr>
            <w:tcW w:w="1199" w:type="dxa"/>
            <w:tcBorders>
              <w:top w:val="single" w:sz="4" w:space="0" w:color="auto"/>
              <w:bottom w:val="single" w:sz="12" w:space="0" w:color="auto"/>
            </w:tcBorders>
            <w:shd w:val="clear" w:color="auto" w:fill="auto"/>
            <w:noWrap/>
            <w:vAlign w:val="bottom"/>
            <w:hideMark/>
          </w:tcPr>
          <w:p w:rsidR="00D77BDC" w:rsidRPr="00EE4CF2" w:rsidRDefault="00D77BDC" w:rsidP="003977E1">
            <w:pPr>
              <w:pStyle w:val="SingleTxtG"/>
              <w:suppressAutoHyphens w:val="0"/>
              <w:spacing w:before="80" w:after="80" w:line="220" w:lineRule="exact"/>
              <w:ind w:left="0" w:right="0"/>
              <w:jc w:val="right"/>
              <w:rPr>
                <w:b/>
                <w:bCs/>
                <w:sz w:val="18"/>
                <w:lang w:val="en-US"/>
              </w:rPr>
            </w:pPr>
            <w:r w:rsidRPr="00EE4CF2">
              <w:rPr>
                <w:b/>
                <w:bCs/>
                <w:sz w:val="18"/>
                <w:lang w:val="en-US"/>
              </w:rPr>
              <w:t>280</w:t>
            </w:r>
            <w:r w:rsidR="00D829DF">
              <w:rPr>
                <w:b/>
                <w:bCs/>
                <w:sz w:val="18"/>
                <w:lang w:val="en-US"/>
              </w:rPr>
              <w:t xml:space="preserve"> </w:t>
            </w:r>
            <w:r w:rsidRPr="00EE4CF2">
              <w:rPr>
                <w:b/>
                <w:bCs/>
                <w:sz w:val="18"/>
                <w:lang w:val="en-US"/>
              </w:rPr>
              <w:t>500</w:t>
            </w:r>
          </w:p>
        </w:tc>
        <w:tc>
          <w:tcPr>
            <w:tcW w:w="1351" w:type="dxa"/>
            <w:tcBorders>
              <w:top w:val="single" w:sz="4" w:space="0" w:color="auto"/>
              <w:bottom w:val="single" w:sz="12" w:space="0" w:color="auto"/>
            </w:tcBorders>
            <w:shd w:val="clear" w:color="auto" w:fill="auto"/>
            <w:noWrap/>
            <w:vAlign w:val="bottom"/>
            <w:hideMark/>
          </w:tcPr>
          <w:p w:rsidR="00D77BDC" w:rsidRPr="00EE4CF2" w:rsidRDefault="00D77BDC" w:rsidP="003977E1">
            <w:pPr>
              <w:pStyle w:val="SingleTxtG"/>
              <w:suppressAutoHyphens w:val="0"/>
              <w:spacing w:before="80" w:after="80" w:line="220" w:lineRule="exact"/>
              <w:ind w:left="0" w:right="0"/>
              <w:jc w:val="right"/>
              <w:rPr>
                <w:b/>
                <w:bCs/>
                <w:sz w:val="18"/>
                <w:lang w:val="en-US"/>
              </w:rPr>
            </w:pPr>
            <w:r w:rsidRPr="00EE4CF2">
              <w:rPr>
                <w:b/>
                <w:bCs/>
                <w:sz w:val="18"/>
                <w:lang w:val="en-US"/>
              </w:rPr>
              <w:t>4</w:t>
            </w:r>
            <w:r w:rsidR="00D829DF">
              <w:rPr>
                <w:b/>
                <w:bCs/>
                <w:sz w:val="18"/>
                <w:lang w:val="en-US"/>
              </w:rPr>
              <w:t xml:space="preserve"> </w:t>
            </w:r>
            <w:r w:rsidRPr="00EE4CF2">
              <w:rPr>
                <w:b/>
                <w:bCs/>
                <w:sz w:val="18"/>
                <w:lang w:val="en-US"/>
              </w:rPr>
              <w:t>600</w:t>
            </w:r>
          </w:p>
        </w:tc>
      </w:tr>
    </w:tbl>
    <w:p w:rsidR="00D77BDC" w:rsidRPr="00EE4CF2" w:rsidRDefault="00D77BDC" w:rsidP="00D77BDC">
      <w:pPr>
        <w:pStyle w:val="SingleTxtG"/>
        <w:spacing w:before="240"/>
        <w:rPr>
          <w:lang w:val="en-US"/>
        </w:rPr>
      </w:pPr>
      <w:r w:rsidRPr="00EE4CF2">
        <w:rPr>
          <w:lang w:val="en-US"/>
        </w:rPr>
        <w:t>77.</w:t>
      </w:r>
      <w:r w:rsidRPr="00EE4CF2">
        <w:rPr>
          <w:lang w:val="en-US"/>
        </w:rPr>
        <w:tab/>
        <w:t xml:space="preserve">As from 2015 onwards, the </w:t>
      </w:r>
      <w:proofErr w:type="spellStart"/>
      <w:r w:rsidRPr="00EE4CF2">
        <w:rPr>
          <w:lang w:val="en-US"/>
        </w:rPr>
        <w:t>labour</w:t>
      </w:r>
      <w:proofErr w:type="spellEnd"/>
      <w:r w:rsidRPr="00EE4CF2">
        <w:rPr>
          <w:lang w:val="en-US"/>
        </w:rPr>
        <w:t xml:space="preserve"> inspectorate cadre has been reinforced. With a low figure of 27 </w:t>
      </w:r>
      <w:proofErr w:type="spellStart"/>
      <w:r w:rsidRPr="00EE4CF2">
        <w:rPr>
          <w:lang w:val="en-US"/>
        </w:rPr>
        <w:t>Labour</w:t>
      </w:r>
      <w:proofErr w:type="spellEnd"/>
      <w:r w:rsidRPr="00EE4CF2">
        <w:rPr>
          <w:lang w:val="en-US"/>
        </w:rPr>
        <w:t xml:space="preserve"> and Industrial Relations Officers (LIROs) in 2015, and subsequent recruitment thereafter brought the number of LIROs to 88 as at date. Table 11 shows the Statistics regarding the Number of </w:t>
      </w:r>
      <w:proofErr w:type="spellStart"/>
      <w:r w:rsidRPr="00EE4CF2">
        <w:rPr>
          <w:lang w:val="en-US"/>
        </w:rPr>
        <w:t>Labour</w:t>
      </w:r>
      <w:proofErr w:type="spellEnd"/>
      <w:r w:rsidRPr="00EE4CF2">
        <w:rPr>
          <w:lang w:val="en-US"/>
        </w:rPr>
        <w:t xml:space="preserve"> and Industrial Relations Officers:</w:t>
      </w:r>
    </w:p>
    <w:p w:rsidR="00D77BDC" w:rsidRPr="00EE4CF2" w:rsidRDefault="00D77BDC" w:rsidP="00D77BDC">
      <w:pPr>
        <w:pStyle w:val="Heading1"/>
        <w:spacing w:after="120"/>
        <w:rPr>
          <w:b/>
          <w:lang w:val="en-US"/>
        </w:rPr>
      </w:pPr>
      <w:r w:rsidRPr="00EE4CF2">
        <w:rPr>
          <w:lang w:val="en-US"/>
        </w:rPr>
        <w:t>Table 11</w:t>
      </w:r>
      <w:r w:rsidRPr="00EE4CF2">
        <w:rPr>
          <w:b/>
          <w:lang w:val="en-US"/>
        </w:rPr>
        <w:br/>
        <w:t xml:space="preserve">Number of </w:t>
      </w:r>
      <w:proofErr w:type="spellStart"/>
      <w:r w:rsidRPr="00EE4CF2">
        <w:rPr>
          <w:b/>
          <w:lang w:val="en-US"/>
        </w:rPr>
        <w:t>Labour</w:t>
      </w:r>
      <w:proofErr w:type="spellEnd"/>
      <w:r w:rsidRPr="00EE4CF2">
        <w:rPr>
          <w:b/>
          <w:lang w:val="en-US"/>
        </w:rPr>
        <w:t xml:space="preserve"> and Industrial Relations Officers</w:t>
      </w:r>
    </w:p>
    <w:tbl>
      <w:tblPr>
        <w:tblW w:w="7370" w:type="dxa"/>
        <w:tblInd w:w="1134" w:type="dxa"/>
        <w:tblLayout w:type="fixed"/>
        <w:tblCellMar>
          <w:left w:w="0" w:type="dxa"/>
          <w:right w:w="0" w:type="dxa"/>
        </w:tblCellMar>
        <w:tblLook w:val="04A0" w:firstRow="1" w:lastRow="0" w:firstColumn="1" w:lastColumn="0" w:noHBand="0" w:noVBand="1"/>
      </w:tblPr>
      <w:tblGrid>
        <w:gridCol w:w="1447"/>
        <w:gridCol w:w="1388"/>
        <w:gridCol w:w="1445"/>
        <w:gridCol w:w="1545"/>
        <w:gridCol w:w="1545"/>
      </w:tblGrid>
      <w:tr w:rsidR="002A39A3" w:rsidRPr="00EE4CF2" w:rsidTr="002A39A3">
        <w:trPr>
          <w:tblHeader/>
        </w:trPr>
        <w:tc>
          <w:tcPr>
            <w:tcW w:w="1447" w:type="dxa"/>
            <w:vMerge w:val="restart"/>
            <w:tcBorders>
              <w:top w:val="single" w:sz="4" w:space="0" w:color="auto"/>
            </w:tcBorders>
            <w:shd w:val="clear" w:color="auto" w:fill="auto"/>
            <w:vAlign w:val="bottom"/>
          </w:tcPr>
          <w:p w:rsidR="002A39A3" w:rsidRPr="00EE4CF2" w:rsidRDefault="002A39A3" w:rsidP="003977E1">
            <w:pPr>
              <w:pStyle w:val="SingleTxtG"/>
              <w:suppressAutoHyphens w:val="0"/>
              <w:spacing w:before="80" w:after="80" w:line="200" w:lineRule="exact"/>
              <w:ind w:left="0" w:right="0"/>
              <w:jc w:val="left"/>
              <w:rPr>
                <w:i/>
                <w:sz w:val="16"/>
                <w:lang w:val="en-US"/>
              </w:rPr>
            </w:pPr>
            <w:r w:rsidRPr="00EE4CF2">
              <w:rPr>
                <w:i/>
                <w:sz w:val="16"/>
                <w:lang w:val="en-US"/>
              </w:rPr>
              <w:t>Year</w:t>
            </w:r>
          </w:p>
        </w:tc>
        <w:tc>
          <w:tcPr>
            <w:tcW w:w="2833" w:type="dxa"/>
            <w:gridSpan w:val="2"/>
            <w:tcBorders>
              <w:top w:val="single" w:sz="4" w:space="0" w:color="auto"/>
              <w:bottom w:val="single" w:sz="4" w:space="0" w:color="auto"/>
            </w:tcBorders>
            <w:shd w:val="clear" w:color="auto" w:fill="auto"/>
            <w:vAlign w:val="bottom"/>
          </w:tcPr>
          <w:p w:rsidR="002A39A3" w:rsidRPr="00EE4CF2" w:rsidRDefault="002A39A3" w:rsidP="002A39A3">
            <w:pPr>
              <w:pStyle w:val="SingleTxtG"/>
              <w:suppressAutoHyphens w:val="0"/>
              <w:spacing w:before="80" w:after="80" w:line="200" w:lineRule="exact"/>
              <w:ind w:left="0" w:right="113"/>
              <w:jc w:val="center"/>
              <w:rPr>
                <w:i/>
                <w:sz w:val="16"/>
                <w:lang w:val="en-US"/>
              </w:rPr>
            </w:pPr>
            <w:r w:rsidRPr="00EE4CF2">
              <w:rPr>
                <w:i/>
                <w:sz w:val="16"/>
                <w:lang w:val="en-US"/>
              </w:rPr>
              <w:t>New recruits</w:t>
            </w:r>
          </w:p>
        </w:tc>
        <w:tc>
          <w:tcPr>
            <w:tcW w:w="1545" w:type="dxa"/>
            <w:vMerge w:val="restart"/>
            <w:tcBorders>
              <w:top w:val="single" w:sz="4" w:space="0" w:color="auto"/>
            </w:tcBorders>
            <w:shd w:val="clear" w:color="auto" w:fill="auto"/>
            <w:vAlign w:val="bottom"/>
          </w:tcPr>
          <w:p w:rsidR="002A39A3" w:rsidRPr="00EE4CF2" w:rsidRDefault="002A39A3" w:rsidP="002A39A3">
            <w:pPr>
              <w:pStyle w:val="SingleTxtG"/>
              <w:suppressAutoHyphens w:val="0"/>
              <w:spacing w:before="80" w:after="80" w:line="200" w:lineRule="exact"/>
              <w:ind w:left="0" w:right="113"/>
              <w:jc w:val="right"/>
              <w:rPr>
                <w:i/>
                <w:sz w:val="16"/>
                <w:lang w:val="en-US"/>
              </w:rPr>
            </w:pPr>
            <w:r w:rsidRPr="00EE4CF2">
              <w:rPr>
                <w:i/>
                <w:sz w:val="16"/>
                <w:lang w:val="en-US"/>
              </w:rPr>
              <w:t>Total</w:t>
            </w:r>
          </w:p>
        </w:tc>
        <w:tc>
          <w:tcPr>
            <w:tcW w:w="1545" w:type="dxa"/>
            <w:vMerge w:val="restart"/>
            <w:tcBorders>
              <w:top w:val="single" w:sz="4" w:space="0" w:color="auto"/>
            </w:tcBorders>
            <w:shd w:val="clear" w:color="auto" w:fill="auto"/>
            <w:vAlign w:val="bottom"/>
          </w:tcPr>
          <w:p w:rsidR="002A39A3" w:rsidRPr="00EE4CF2" w:rsidRDefault="002A39A3" w:rsidP="002A39A3">
            <w:pPr>
              <w:pStyle w:val="SingleTxtG"/>
              <w:suppressAutoHyphens w:val="0"/>
              <w:spacing w:before="80" w:after="80" w:line="200" w:lineRule="exact"/>
              <w:ind w:left="0" w:right="113"/>
              <w:jc w:val="right"/>
              <w:rPr>
                <w:i/>
                <w:sz w:val="16"/>
                <w:lang w:val="en-US"/>
              </w:rPr>
            </w:pPr>
            <w:r w:rsidRPr="00EE4CF2">
              <w:rPr>
                <w:i/>
                <w:sz w:val="16"/>
                <w:lang w:val="en-US"/>
              </w:rPr>
              <w:t>Gross total</w:t>
            </w:r>
          </w:p>
        </w:tc>
      </w:tr>
      <w:tr w:rsidR="002A39A3" w:rsidRPr="00EE4CF2" w:rsidTr="002A39A3">
        <w:trPr>
          <w:tblHeader/>
        </w:trPr>
        <w:tc>
          <w:tcPr>
            <w:tcW w:w="1447" w:type="dxa"/>
            <w:vMerge/>
            <w:tcBorders>
              <w:bottom w:val="single" w:sz="12" w:space="0" w:color="auto"/>
            </w:tcBorders>
            <w:shd w:val="clear" w:color="auto" w:fill="auto"/>
          </w:tcPr>
          <w:p w:rsidR="002A39A3" w:rsidRPr="00EE4CF2" w:rsidRDefault="002A39A3" w:rsidP="00C6365A">
            <w:pPr>
              <w:pStyle w:val="SingleTxtG"/>
              <w:suppressAutoHyphens w:val="0"/>
              <w:spacing w:before="40" w:after="40" w:line="220" w:lineRule="exact"/>
              <w:ind w:left="0" w:right="0"/>
              <w:jc w:val="left"/>
              <w:rPr>
                <w:sz w:val="18"/>
                <w:lang w:val="en-US"/>
              </w:rPr>
            </w:pPr>
          </w:p>
        </w:tc>
        <w:tc>
          <w:tcPr>
            <w:tcW w:w="1388" w:type="dxa"/>
            <w:tcBorders>
              <w:top w:val="single" w:sz="4" w:space="0" w:color="auto"/>
              <w:bottom w:val="single" w:sz="12" w:space="0" w:color="auto"/>
            </w:tcBorders>
            <w:shd w:val="clear" w:color="auto" w:fill="auto"/>
            <w:vAlign w:val="bottom"/>
          </w:tcPr>
          <w:p w:rsidR="002A39A3" w:rsidRPr="002A39A3" w:rsidRDefault="002A39A3" w:rsidP="002A39A3">
            <w:pPr>
              <w:pStyle w:val="SingleTxtG"/>
              <w:suppressAutoHyphens w:val="0"/>
              <w:spacing w:before="80" w:after="80" w:line="200" w:lineRule="exact"/>
              <w:ind w:left="0" w:right="113"/>
              <w:jc w:val="right"/>
              <w:rPr>
                <w:i/>
                <w:sz w:val="16"/>
                <w:lang w:val="en-US"/>
              </w:rPr>
            </w:pPr>
            <w:r w:rsidRPr="002A39A3">
              <w:rPr>
                <w:i/>
                <w:sz w:val="16"/>
                <w:lang w:val="en-US"/>
              </w:rPr>
              <w:t>Male</w:t>
            </w:r>
          </w:p>
        </w:tc>
        <w:tc>
          <w:tcPr>
            <w:tcW w:w="1445" w:type="dxa"/>
            <w:tcBorders>
              <w:top w:val="single" w:sz="4" w:space="0" w:color="auto"/>
              <w:bottom w:val="single" w:sz="12" w:space="0" w:color="auto"/>
            </w:tcBorders>
            <w:shd w:val="clear" w:color="auto" w:fill="auto"/>
            <w:vAlign w:val="bottom"/>
          </w:tcPr>
          <w:p w:rsidR="002A39A3" w:rsidRPr="002A39A3" w:rsidRDefault="002A39A3" w:rsidP="002A39A3">
            <w:pPr>
              <w:pStyle w:val="SingleTxtG"/>
              <w:suppressAutoHyphens w:val="0"/>
              <w:spacing w:before="80" w:after="80" w:line="200" w:lineRule="exact"/>
              <w:ind w:left="0" w:right="113"/>
              <w:jc w:val="right"/>
              <w:rPr>
                <w:i/>
                <w:sz w:val="16"/>
                <w:lang w:val="en-US"/>
              </w:rPr>
            </w:pPr>
            <w:r w:rsidRPr="002A39A3">
              <w:rPr>
                <w:i/>
                <w:sz w:val="16"/>
                <w:lang w:val="en-US"/>
              </w:rPr>
              <w:t>Female</w:t>
            </w:r>
          </w:p>
        </w:tc>
        <w:tc>
          <w:tcPr>
            <w:tcW w:w="1545" w:type="dxa"/>
            <w:vMerge/>
            <w:tcBorders>
              <w:bottom w:val="single" w:sz="12" w:space="0" w:color="auto"/>
            </w:tcBorders>
            <w:shd w:val="clear" w:color="auto" w:fill="auto"/>
            <w:vAlign w:val="bottom"/>
          </w:tcPr>
          <w:p w:rsidR="002A39A3" w:rsidRPr="00EE4CF2" w:rsidRDefault="002A39A3" w:rsidP="002A39A3">
            <w:pPr>
              <w:pStyle w:val="SingleTxtG"/>
              <w:suppressAutoHyphens w:val="0"/>
              <w:spacing w:before="40" w:after="40" w:line="220" w:lineRule="exact"/>
              <w:ind w:left="0" w:right="113"/>
              <w:jc w:val="right"/>
              <w:rPr>
                <w:sz w:val="18"/>
                <w:lang w:val="en-US"/>
              </w:rPr>
            </w:pPr>
          </w:p>
        </w:tc>
        <w:tc>
          <w:tcPr>
            <w:tcW w:w="1545" w:type="dxa"/>
            <w:vMerge/>
            <w:tcBorders>
              <w:bottom w:val="single" w:sz="12" w:space="0" w:color="auto"/>
            </w:tcBorders>
            <w:shd w:val="clear" w:color="auto" w:fill="auto"/>
            <w:vAlign w:val="bottom"/>
          </w:tcPr>
          <w:p w:rsidR="002A39A3" w:rsidRPr="00EE4CF2" w:rsidRDefault="002A39A3" w:rsidP="002A39A3">
            <w:pPr>
              <w:pStyle w:val="SingleTxtG"/>
              <w:suppressAutoHyphens w:val="0"/>
              <w:spacing w:before="80" w:after="80" w:line="200" w:lineRule="exact"/>
              <w:ind w:left="0" w:right="113"/>
              <w:jc w:val="right"/>
              <w:rPr>
                <w:i/>
                <w:sz w:val="16"/>
                <w:lang w:val="en-US"/>
              </w:rPr>
            </w:pPr>
          </w:p>
        </w:tc>
      </w:tr>
      <w:tr w:rsidR="00C6365A" w:rsidRPr="00EE4CF2" w:rsidTr="002A39A3">
        <w:tc>
          <w:tcPr>
            <w:tcW w:w="1447" w:type="dxa"/>
            <w:tcBorders>
              <w:top w:val="single" w:sz="12" w:space="0" w:color="auto"/>
            </w:tcBorders>
            <w:shd w:val="clear" w:color="auto" w:fill="auto"/>
          </w:tcPr>
          <w:p w:rsidR="00C6365A" w:rsidRPr="00EE4CF2" w:rsidRDefault="002A39A3" w:rsidP="00C6365A">
            <w:pPr>
              <w:pStyle w:val="SingleTxtG"/>
              <w:suppressAutoHyphens w:val="0"/>
              <w:spacing w:before="40" w:after="40" w:line="220" w:lineRule="exact"/>
              <w:ind w:left="0" w:right="0"/>
              <w:jc w:val="left"/>
              <w:rPr>
                <w:sz w:val="18"/>
                <w:lang w:val="en-US"/>
              </w:rPr>
            </w:pPr>
            <w:r w:rsidRPr="00EE4CF2">
              <w:rPr>
                <w:sz w:val="18"/>
                <w:lang w:val="en-US"/>
              </w:rPr>
              <w:t>As at Dec 2014</w:t>
            </w:r>
          </w:p>
        </w:tc>
        <w:tc>
          <w:tcPr>
            <w:tcW w:w="1388" w:type="dxa"/>
            <w:tcBorders>
              <w:top w:val="single" w:sz="12" w:space="0" w:color="auto"/>
            </w:tcBorders>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p>
        </w:tc>
        <w:tc>
          <w:tcPr>
            <w:tcW w:w="1445" w:type="dxa"/>
            <w:tcBorders>
              <w:top w:val="single" w:sz="12" w:space="0" w:color="auto"/>
            </w:tcBorders>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p>
        </w:tc>
        <w:tc>
          <w:tcPr>
            <w:tcW w:w="1545" w:type="dxa"/>
            <w:tcBorders>
              <w:top w:val="single" w:sz="12" w:space="0" w:color="auto"/>
            </w:tcBorders>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27</w:t>
            </w:r>
          </w:p>
        </w:tc>
        <w:tc>
          <w:tcPr>
            <w:tcW w:w="1545" w:type="dxa"/>
            <w:tcBorders>
              <w:top w:val="single" w:sz="12" w:space="0" w:color="auto"/>
            </w:tcBorders>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27</w:t>
            </w:r>
          </w:p>
        </w:tc>
      </w:tr>
      <w:tr w:rsidR="00C6365A" w:rsidRPr="00EE4CF2" w:rsidTr="002A39A3">
        <w:tc>
          <w:tcPr>
            <w:tcW w:w="1447" w:type="dxa"/>
            <w:shd w:val="clear" w:color="auto" w:fill="auto"/>
          </w:tcPr>
          <w:p w:rsidR="00C6365A" w:rsidRPr="00EE4CF2" w:rsidRDefault="00C6365A" w:rsidP="00C6365A">
            <w:pPr>
              <w:pStyle w:val="SingleTxtG"/>
              <w:suppressAutoHyphens w:val="0"/>
              <w:spacing w:before="40" w:after="40" w:line="220" w:lineRule="exact"/>
              <w:ind w:left="0" w:right="0"/>
              <w:jc w:val="left"/>
              <w:rPr>
                <w:sz w:val="18"/>
                <w:lang w:val="en-US"/>
              </w:rPr>
            </w:pPr>
            <w:r w:rsidRPr="00EE4CF2">
              <w:rPr>
                <w:sz w:val="18"/>
                <w:lang w:val="en-US"/>
              </w:rPr>
              <w:t>2015</w:t>
            </w:r>
          </w:p>
        </w:tc>
        <w:tc>
          <w:tcPr>
            <w:tcW w:w="1388"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3</w:t>
            </w:r>
          </w:p>
        </w:tc>
        <w:tc>
          <w:tcPr>
            <w:tcW w:w="14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17</w:t>
            </w:r>
          </w:p>
        </w:tc>
        <w:tc>
          <w:tcPr>
            <w:tcW w:w="15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20</w:t>
            </w:r>
          </w:p>
        </w:tc>
        <w:tc>
          <w:tcPr>
            <w:tcW w:w="15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47</w:t>
            </w:r>
          </w:p>
        </w:tc>
      </w:tr>
      <w:tr w:rsidR="00C6365A" w:rsidRPr="00EE4CF2" w:rsidTr="002A39A3">
        <w:tc>
          <w:tcPr>
            <w:tcW w:w="1447" w:type="dxa"/>
            <w:shd w:val="clear" w:color="auto" w:fill="auto"/>
          </w:tcPr>
          <w:p w:rsidR="00C6365A" w:rsidRPr="00EE4CF2" w:rsidRDefault="00C6365A" w:rsidP="00C6365A">
            <w:pPr>
              <w:pStyle w:val="SingleTxtG"/>
              <w:suppressAutoHyphens w:val="0"/>
              <w:spacing w:before="40" w:after="40" w:line="220" w:lineRule="exact"/>
              <w:ind w:left="0" w:right="0"/>
              <w:jc w:val="left"/>
              <w:rPr>
                <w:sz w:val="18"/>
                <w:lang w:val="en-US"/>
              </w:rPr>
            </w:pPr>
            <w:r w:rsidRPr="00EE4CF2">
              <w:rPr>
                <w:sz w:val="18"/>
                <w:lang w:val="en-US"/>
              </w:rPr>
              <w:t>2016</w:t>
            </w:r>
          </w:p>
        </w:tc>
        <w:tc>
          <w:tcPr>
            <w:tcW w:w="1388"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12</w:t>
            </w:r>
          </w:p>
        </w:tc>
        <w:tc>
          <w:tcPr>
            <w:tcW w:w="14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23</w:t>
            </w:r>
          </w:p>
        </w:tc>
        <w:tc>
          <w:tcPr>
            <w:tcW w:w="15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35</w:t>
            </w:r>
          </w:p>
        </w:tc>
        <w:tc>
          <w:tcPr>
            <w:tcW w:w="15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82</w:t>
            </w:r>
          </w:p>
        </w:tc>
      </w:tr>
      <w:tr w:rsidR="00C6365A" w:rsidRPr="00EE4CF2" w:rsidTr="002A39A3">
        <w:tc>
          <w:tcPr>
            <w:tcW w:w="1447" w:type="dxa"/>
            <w:shd w:val="clear" w:color="auto" w:fill="auto"/>
          </w:tcPr>
          <w:p w:rsidR="00C6365A" w:rsidRPr="00EE4CF2" w:rsidRDefault="00C6365A" w:rsidP="00C6365A">
            <w:pPr>
              <w:pStyle w:val="SingleTxtG"/>
              <w:suppressAutoHyphens w:val="0"/>
              <w:spacing w:before="40" w:after="40" w:line="220" w:lineRule="exact"/>
              <w:ind w:left="0" w:right="0"/>
              <w:jc w:val="left"/>
              <w:rPr>
                <w:sz w:val="18"/>
                <w:lang w:val="en-US"/>
              </w:rPr>
            </w:pPr>
            <w:r w:rsidRPr="00EE4CF2">
              <w:rPr>
                <w:sz w:val="18"/>
                <w:lang w:val="en-US"/>
              </w:rPr>
              <w:t>2017</w:t>
            </w:r>
          </w:p>
        </w:tc>
        <w:tc>
          <w:tcPr>
            <w:tcW w:w="1388"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6</w:t>
            </w:r>
          </w:p>
        </w:tc>
        <w:tc>
          <w:tcPr>
            <w:tcW w:w="14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7</w:t>
            </w:r>
          </w:p>
        </w:tc>
        <w:tc>
          <w:tcPr>
            <w:tcW w:w="15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13</w:t>
            </w:r>
          </w:p>
        </w:tc>
        <w:tc>
          <w:tcPr>
            <w:tcW w:w="1545" w:type="dxa"/>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95</w:t>
            </w:r>
          </w:p>
        </w:tc>
      </w:tr>
      <w:tr w:rsidR="00C6365A" w:rsidRPr="00EE4CF2" w:rsidTr="002A39A3">
        <w:tc>
          <w:tcPr>
            <w:tcW w:w="1447" w:type="dxa"/>
            <w:tcBorders>
              <w:bottom w:val="single" w:sz="12" w:space="0" w:color="auto"/>
            </w:tcBorders>
            <w:shd w:val="clear" w:color="auto" w:fill="auto"/>
          </w:tcPr>
          <w:p w:rsidR="00C6365A" w:rsidRPr="00EE4CF2" w:rsidRDefault="00C6365A" w:rsidP="00C6365A">
            <w:pPr>
              <w:pStyle w:val="SingleTxtG"/>
              <w:suppressAutoHyphens w:val="0"/>
              <w:spacing w:before="40" w:after="40" w:line="220" w:lineRule="exact"/>
              <w:ind w:left="0" w:right="0"/>
              <w:jc w:val="left"/>
              <w:rPr>
                <w:sz w:val="18"/>
                <w:lang w:val="en-US"/>
              </w:rPr>
            </w:pPr>
            <w:r w:rsidRPr="00EE4CF2">
              <w:rPr>
                <w:sz w:val="18"/>
                <w:lang w:val="en-US"/>
              </w:rPr>
              <w:t>2018</w:t>
            </w:r>
          </w:p>
        </w:tc>
        <w:tc>
          <w:tcPr>
            <w:tcW w:w="1388" w:type="dxa"/>
            <w:tcBorders>
              <w:bottom w:val="single" w:sz="12" w:space="0" w:color="auto"/>
            </w:tcBorders>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1</w:t>
            </w:r>
          </w:p>
        </w:tc>
        <w:tc>
          <w:tcPr>
            <w:tcW w:w="1445" w:type="dxa"/>
            <w:tcBorders>
              <w:bottom w:val="single" w:sz="12" w:space="0" w:color="auto"/>
            </w:tcBorders>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8</w:t>
            </w:r>
          </w:p>
        </w:tc>
        <w:tc>
          <w:tcPr>
            <w:tcW w:w="1545" w:type="dxa"/>
            <w:tcBorders>
              <w:bottom w:val="single" w:sz="12" w:space="0" w:color="auto"/>
            </w:tcBorders>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9</w:t>
            </w:r>
          </w:p>
        </w:tc>
        <w:tc>
          <w:tcPr>
            <w:tcW w:w="1545" w:type="dxa"/>
            <w:tcBorders>
              <w:bottom w:val="single" w:sz="12" w:space="0" w:color="auto"/>
            </w:tcBorders>
            <w:shd w:val="clear" w:color="auto" w:fill="auto"/>
            <w:vAlign w:val="bottom"/>
          </w:tcPr>
          <w:p w:rsidR="00C6365A" w:rsidRPr="00EE4CF2" w:rsidRDefault="00C6365A" w:rsidP="002A39A3">
            <w:pPr>
              <w:pStyle w:val="SingleTxtG"/>
              <w:suppressAutoHyphens w:val="0"/>
              <w:spacing w:before="40" w:after="40" w:line="220" w:lineRule="exact"/>
              <w:ind w:left="0" w:right="113"/>
              <w:jc w:val="right"/>
              <w:rPr>
                <w:sz w:val="18"/>
                <w:lang w:val="en-US"/>
              </w:rPr>
            </w:pPr>
            <w:r w:rsidRPr="00EE4CF2">
              <w:rPr>
                <w:sz w:val="18"/>
                <w:lang w:val="en-US"/>
              </w:rPr>
              <w:t>104</w:t>
            </w:r>
          </w:p>
        </w:tc>
      </w:tr>
    </w:tbl>
    <w:p w:rsidR="00D77BDC" w:rsidRPr="00EE4CF2" w:rsidRDefault="00D77BDC" w:rsidP="00D77BDC">
      <w:pPr>
        <w:pStyle w:val="SingleTxtG"/>
        <w:spacing w:before="240"/>
        <w:rPr>
          <w:lang w:val="en-US"/>
        </w:rPr>
      </w:pPr>
      <w:r w:rsidRPr="00EE4CF2">
        <w:rPr>
          <w:lang w:val="en-US"/>
        </w:rPr>
        <w:t>78.</w:t>
      </w:r>
      <w:r w:rsidRPr="00EE4CF2">
        <w:rPr>
          <w:lang w:val="en-US"/>
        </w:rPr>
        <w:tab/>
        <w:t xml:space="preserve">The measures that have been taken as from 2016 to reinforce the technical </w:t>
      </w:r>
      <w:proofErr w:type="spellStart"/>
      <w:r w:rsidRPr="00EE4CF2">
        <w:rPr>
          <w:lang w:val="en-US"/>
        </w:rPr>
        <w:t>labour</w:t>
      </w:r>
      <w:proofErr w:type="spellEnd"/>
      <w:r w:rsidRPr="00EE4CF2">
        <w:rPr>
          <w:lang w:val="en-US"/>
        </w:rPr>
        <w:t xml:space="preserve"> cadre have had a huge impact both in terms of quality and effectiveness of the service provided to the public at large, on the number of cases dealt with disposed of as well as with the number of inspections/enquiries carried out to ensure compliance of the various </w:t>
      </w:r>
      <w:proofErr w:type="spellStart"/>
      <w:r w:rsidRPr="00EE4CF2">
        <w:rPr>
          <w:lang w:val="en-US"/>
        </w:rPr>
        <w:t>labour</w:t>
      </w:r>
      <w:proofErr w:type="spellEnd"/>
      <w:r w:rsidRPr="00EE4CF2">
        <w:rPr>
          <w:lang w:val="en-US"/>
        </w:rPr>
        <w:t xml:space="preserve"> legislations.</w:t>
      </w:r>
    </w:p>
    <w:p w:rsidR="00D77BDC" w:rsidRPr="00EE4CF2" w:rsidRDefault="00D77BDC" w:rsidP="00D77BDC">
      <w:pPr>
        <w:pStyle w:val="SingleTxtG"/>
        <w:rPr>
          <w:lang w:val="en-US"/>
        </w:rPr>
      </w:pPr>
      <w:r w:rsidRPr="00EE4CF2">
        <w:rPr>
          <w:lang w:val="en-US"/>
        </w:rPr>
        <w:t>79.</w:t>
      </w:r>
      <w:r w:rsidRPr="00EE4CF2">
        <w:rPr>
          <w:lang w:val="en-US"/>
        </w:rPr>
        <w:tab/>
        <w:t xml:space="preserve">The number of inspection carried out from 2016 to 2018 has almost increase fivefold (local workers) and the amount of money recovered on behalf of workers, for breach of or non-compliance with legislation or other regulations during the said inspections has increased one and a half time from </w:t>
      </w:r>
      <w:proofErr w:type="spellStart"/>
      <w:r w:rsidRPr="00EE4CF2">
        <w:rPr>
          <w:lang w:val="en-US"/>
        </w:rPr>
        <w:t>Rs</w:t>
      </w:r>
      <w:proofErr w:type="spellEnd"/>
      <w:r w:rsidRPr="00EE4CF2">
        <w:rPr>
          <w:lang w:val="en-US"/>
        </w:rPr>
        <w:t xml:space="preserve"> 2,147,252 in 2016 to Rs3,511,658 in 2017.</w:t>
      </w:r>
    </w:p>
    <w:p w:rsidR="00D77BDC" w:rsidRPr="00EE4CF2" w:rsidRDefault="00D77BDC" w:rsidP="00FA36A9">
      <w:pPr>
        <w:pStyle w:val="SingleTxtG"/>
        <w:rPr>
          <w:lang w:val="en-US"/>
        </w:rPr>
      </w:pPr>
      <w:r w:rsidRPr="00EE4CF2">
        <w:rPr>
          <w:lang w:val="en-US"/>
        </w:rPr>
        <w:lastRenderedPageBreak/>
        <w:t>80.</w:t>
      </w:r>
      <w:r w:rsidRPr="00EE4CF2">
        <w:rPr>
          <w:lang w:val="en-US"/>
        </w:rPr>
        <w:tab/>
        <w:t xml:space="preserve">Similarly, the increase in the </w:t>
      </w:r>
      <w:proofErr w:type="spellStart"/>
      <w:r w:rsidRPr="00EE4CF2">
        <w:rPr>
          <w:lang w:val="en-US"/>
        </w:rPr>
        <w:t>labour</w:t>
      </w:r>
      <w:proofErr w:type="spellEnd"/>
      <w:r w:rsidRPr="00EE4CF2">
        <w:rPr>
          <w:lang w:val="en-US"/>
        </w:rPr>
        <w:t xml:space="preserve"> inspectorate cadre has also enable the Ministry to deal and disposed of effectively each year with a higher number of cases as evidenced by statistics at </w:t>
      </w:r>
      <w:r w:rsidRPr="00032D44">
        <w:t>Annex 7</w:t>
      </w:r>
      <w:r w:rsidR="00032D44">
        <w:t xml:space="preserve"> </w:t>
      </w:r>
      <w:r w:rsidRPr="00032D44">
        <w:t>as</w:t>
      </w:r>
      <w:r w:rsidRPr="00EE4CF2">
        <w:rPr>
          <w:lang w:val="en-US"/>
        </w:rPr>
        <w:t xml:space="preserve"> well as in terms of the amount of money recovered. Figures showed that from 16,553 complaints and </w:t>
      </w:r>
      <w:proofErr w:type="spellStart"/>
      <w:r w:rsidRPr="00EE4CF2">
        <w:rPr>
          <w:lang w:val="en-US"/>
        </w:rPr>
        <w:t>Rs</w:t>
      </w:r>
      <w:proofErr w:type="spellEnd"/>
      <w:r w:rsidRPr="00EE4CF2">
        <w:rPr>
          <w:lang w:val="en-US"/>
        </w:rPr>
        <w:t xml:space="preserve"> 67,723,459 recovered in 2016, 17,226 complaints and Rs77,319,147 have been recovered in 2017. The Percentage (%) of cases disposed of has remained at high rate above 80% during the past 3 years, which is well beyond the </w:t>
      </w:r>
      <w:r w:rsidR="00D92267">
        <w:rPr>
          <w:lang w:val="en-US"/>
        </w:rPr>
        <w:t>“</w:t>
      </w:r>
      <w:r w:rsidRPr="00EE4CF2">
        <w:rPr>
          <w:lang w:val="en-US"/>
        </w:rPr>
        <w:t>70% of registered complaints settled contained and predicted in the Government 3-Year Strategic Plan 2018</w:t>
      </w:r>
      <w:r w:rsidR="00FA36A9">
        <w:rPr>
          <w:lang w:val="en-US"/>
        </w:rPr>
        <w:t>–</w:t>
      </w:r>
      <w:r w:rsidRPr="00EE4CF2">
        <w:rPr>
          <w:lang w:val="en-US"/>
        </w:rPr>
        <w:t>2021</w:t>
      </w:r>
      <w:r w:rsidR="00D92267">
        <w:rPr>
          <w:lang w:val="en-US"/>
        </w:rPr>
        <w:t>”</w:t>
      </w:r>
      <w:r w:rsidRPr="00EE4CF2">
        <w:rPr>
          <w:lang w:val="en-US"/>
        </w:rPr>
        <w:t>.</w:t>
      </w:r>
    </w:p>
    <w:p w:rsidR="00D77BDC" w:rsidRPr="00EE4CF2" w:rsidRDefault="00D77BDC" w:rsidP="00D77BDC">
      <w:pPr>
        <w:pStyle w:val="H1G"/>
        <w:rPr>
          <w:lang w:val="en-US"/>
        </w:rPr>
      </w:pPr>
      <w:r w:rsidRPr="00EE4CF2">
        <w:rPr>
          <w:lang w:val="en-US"/>
        </w:rPr>
        <w:tab/>
      </w:r>
      <w:r w:rsidRPr="00EE4CF2">
        <w:rPr>
          <w:lang w:val="en-US"/>
        </w:rPr>
        <w:tab/>
        <w:t>Question 15</w:t>
      </w:r>
    </w:p>
    <w:p w:rsidR="00D77BDC" w:rsidRPr="00EE4CF2" w:rsidRDefault="00D77BDC" w:rsidP="00D77BDC">
      <w:pPr>
        <w:pStyle w:val="SingleTxtG"/>
        <w:rPr>
          <w:lang w:val="en-US"/>
        </w:rPr>
      </w:pPr>
      <w:r w:rsidRPr="00EE4CF2">
        <w:rPr>
          <w:lang w:val="en-US"/>
        </w:rPr>
        <w:t>81.</w:t>
      </w:r>
      <w:r w:rsidRPr="00EE4CF2">
        <w:rPr>
          <w:lang w:val="en-US"/>
        </w:rPr>
        <w:tab/>
        <w:t>Migrant workers are entitled the national minimum wage, similar to the citizens of Mauritius. The minimum wage is effective since January 2018. It is currently eight thousand one hundred and forty Mauritian Rupees per month (</w:t>
      </w:r>
      <w:proofErr w:type="spellStart"/>
      <w:r w:rsidRPr="00EE4CF2">
        <w:rPr>
          <w:lang w:val="en-US"/>
        </w:rPr>
        <w:t>Rs</w:t>
      </w:r>
      <w:proofErr w:type="spellEnd"/>
      <w:r w:rsidRPr="00EE4CF2">
        <w:rPr>
          <w:lang w:val="en-US"/>
        </w:rPr>
        <w:t>. 8,140) for export oriented enterprises and eighteen thousand and five hundred Mauritian Rupees per month (</w:t>
      </w:r>
      <w:proofErr w:type="spellStart"/>
      <w:r w:rsidRPr="00EE4CF2">
        <w:rPr>
          <w:lang w:val="en-US"/>
        </w:rPr>
        <w:t>Rs</w:t>
      </w:r>
      <w:proofErr w:type="spellEnd"/>
      <w:r w:rsidRPr="00EE4CF2">
        <w:rPr>
          <w:lang w:val="en-US"/>
        </w:rPr>
        <w:t xml:space="preserve"> 8,500) for non-export oriented enterprises.</w:t>
      </w:r>
    </w:p>
    <w:p w:rsidR="00D77BDC" w:rsidRPr="00EE4CF2" w:rsidRDefault="00D77BDC" w:rsidP="00D54CB4">
      <w:pPr>
        <w:pStyle w:val="SingleTxtG"/>
        <w:rPr>
          <w:lang w:val="en-US"/>
        </w:rPr>
      </w:pPr>
      <w:r w:rsidRPr="00EE4CF2">
        <w:rPr>
          <w:lang w:val="en-US"/>
        </w:rPr>
        <w:t>82.</w:t>
      </w:r>
      <w:r w:rsidRPr="00EE4CF2">
        <w:rPr>
          <w:lang w:val="en-US"/>
        </w:rPr>
        <w:tab/>
        <w:t xml:space="preserve">The Ministry of Justice, Human Rights and Institutional Reforms is preparing a </w:t>
      </w:r>
      <w:r w:rsidR="00D92267">
        <w:rPr>
          <w:lang w:val="en-US"/>
        </w:rPr>
        <w:t>“</w:t>
      </w:r>
      <w:r w:rsidRPr="00EE4CF2">
        <w:rPr>
          <w:lang w:val="en-US"/>
        </w:rPr>
        <w:t>Know Your Rights Pamphlet</w:t>
      </w:r>
      <w:r w:rsidR="00D54CB4">
        <w:rPr>
          <w:lang w:val="en-US"/>
        </w:rPr>
        <w:t>”</w:t>
      </w:r>
      <w:r w:rsidRPr="00EE4CF2">
        <w:rPr>
          <w:lang w:val="en-US"/>
        </w:rPr>
        <w:t xml:space="preserve"> to inform current and prospective migrant workers (in secondary economic activities including the construction and manufacturing industry) of their rights and the possible remedial actions in case of violations. It will also help them to acquaint themselves of the dangers of human trafficking.</w:t>
      </w:r>
    </w:p>
    <w:p w:rsidR="00D77BDC" w:rsidRPr="00EE4CF2" w:rsidRDefault="00D77BDC" w:rsidP="00D77BDC">
      <w:pPr>
        <w:pStyle w:val="SingleTxtG"/>
        <w:rPr>
          <w:lang w:val="en-US"/>
        </w:rPr>
      </w:pPr>
      <w:r w:rsidRPr="00EE4CF2">
        <w:rPr>
          <w:lang w:val="en-US"/>
        </w:rPr>
        <w:t>83.</w:t>
      </w:r>
      <w:r w:rsidRPr="00EE4CF2">
        <w:rPr>
          <w:lang w:val="en-US"/>
        </w:rPr>
        <w:tab/>
        <w:t xml:space="preserve">The Recruitment of Workers Act 1993 provides among others that no person shall on behalf of an employer recruit a worker unless he holds a license issued by the Permanent Secretary of the Ministry of </w:t>
      </w:r>
      <w:proofErr w:type="spellStart"/>
      <w:r w:rsidRPr="00EE4CF2">
        <w:rPr>
          <w:lang w:val="en-US"/>
        </w:rPr>
        <w:t>Labour</w:t>
      </w:r>
      <w:proofErr w:type="spellEnd"/>
      <w:r w:rsidRPr="00EE4CF2">
        <w:rPr>
          <w:lang w:val="en-US"/>
        </w:rPr>
        <w:t>, Industrial Relations, Employment and Training.</w:t>
      </w:r>
    </w:p>
    <w:p w:rsidR="00D77BDC" w:rsidRPr="00EE4CF2" w:rsidRDefault="00D77BDC" w:rsidP="00D77BDC">
      <w:pPr>
        <w:pStyle w:val="SingleTxtG"/>
        <w:rPr>
          <w:lang w:val="en-US"/>
        </w:rPr>
      </w:pPr>
      <w:r w:rsidRPr="00EE4CF2">
        <w:rPr>
          <w:lang w:val="en-US"/>
        </w:rPr>
        <w:t>84.</w:t>
      </w:r>
      <w:r w:rsidRPr="00EE4CF2">
        <w:rPr>
          <w:lang w:val="en-US"/>
        </w:rPr>
        <w:tab/>
        <w:t xml:space="preserve">Strict compliance is ensured by the Ministry and in case of breach of any conditions attached to the license, the license is revoked. Any person contravening the Act is liable to a fine not exceeding </w:t>
      </w:r>
      <w:proofErr w:type="spellStart"/>
      <w:r w:rsidRPr="00EE4CF2">
        <w:rPr>
          <w:lang w:val="en-US"/>
        </w:rPr>
        <w:t>Rs</w:t>
      </w:r>
      <w:proofErr w:type="spellEnd"/>
      <w:r w:rsidRPr="00EE4CF2">
        <w:rPr>
          <w:lang w:val="en-US"/>
        </w:rPr>
        <w:t xml:space="preserve"> 50,000 and to imprisonment for a term not exceeding 5 years.</w:t>
      </w:r>
    </w:p>
    <w:p w:rsidR="00D77BDC" w:rsidRPr="00EE4CF2" w:rsidRDefault="00D77BDC" w:rsidP="00D77BDC">
      <w:pPr>
        <w:pStyle w:val="SingleTxtG"/>
        <w:rPr>
          <w:lang w:val="en-US"/>
        </w:rPr>
      </w:pPr>
      <w:r w:rsidRPr="00EE4CF2">
        <w:rPr>
          <w:lang w:val="en-US"/>
        </w:rPr>
        <w:t>85.</w:t>
      </w:r>
      <w:r w:rsidRPr="00EE4CF2">
        <w:rPr>
          <w:lang w:val="en-US"/>
        </w:rPr>
        <w:tab/>
        <w:t xml:space="preserve">Discussions are currently being held with the High Commissioner of Bangladesh for a MOU for recruitment of workers from Bangladesh. Pending </w:t>
      </w:r>
      <w:proofErr w:type="spellStart"/>
      <w:r w:rsidRPr="00EE4CF2">
        <w:rPr>
          <w:lang w:val="en-US"/>
        </w:rPr>
        <w:t>finalisation</w:t>
      </w:r>
      <w:proofErr w:type="spellEnd"/>
      <w:r w:rsidRPr="00EE4CF2">
        <w:rPr>
          <w:lang w:val="en-US"/>
        </w:rPr>
        <w:t xml:space="preserve"> of the MOU, it is ensured that a contract for employment is signed by the worker and the employer. Regular inspections are carried out by the Migrant Unit to ensure that the terms and conditions of employment are complied. No contract of employment of a foreign worker is less </w:t>
      </w:r>
      <w:proofErr w:type="spellStart"/>
      <w:r w:rsidRPr="00EE4CF2">
        <w:rPr>
          <w:lang w:val="en-US"/>
        </w:rPr>
        <w:t>favourable</w:t>
      </w:r>
      <w:proofErr w:type="spellEnd"/>
      <w:r w:rsidRPr="00EE4CF2">
        <w:rPr>
          <w:lang w:val="en-US"/>
        </w:rPr>
        <w:t xml:space="preserve"> than those of a local worker. This applies to all workers. </w:t>
      </w:r>
    </w:p>
    <w:p w:rsidR="00D77BDC" w:rsidRPr="00EE4CF2" w:rsidRDefault="00D77BDC" w:rsidP="00D77BDC">
      <w:pPr>
        <w:pStyle w:val="SingleTxtG"/>
        <w:rPr>
          <w:lang w:val="en-US"/>
        </w:rPr>
      </w:pPr>
      <w:r w:rsidRPr="00EE4CF2">
        <w:rPr>
          <w:lang w:val="en-US"/>
        </w:rPr>
        <w:t>86.</w:t>
      </w:r>
      <w:r w:rsidRPr="00EE4CF2">
        <w:rPr>
          <w:lang w:val="en-US"/>
        </w:rPr>
        <w:tab/>
        <w:t xml:space="preserve">So far some 500 workers have secured employment overseas; in Canada (468), Italy (31), Botswana (10) and Seychelles. Their contracts of employment are vetted by the Ministry of </w:t>
      </w:r>
      <w:proofErr w:type="spellStart"/>
      <w:r w:rsidRPr="00EE4CF2">
        <w:rPr>
          <w:lang w:val="en-US"/>
        </w:rPr>
        <w:t>Labour</w:t>
      </w:r>
      <w:proofErr w:type="spellEnd"/>
      <w:r w:rsidRPr="00EE4CF2">
        <w:rPr>
          <w:lang w:val="en-US"/>
        </w:rPr>
        <w:t>.</w:t>
      </w:r>
    </w:p>
    <w:p w:rsidR="00D77BDC" w:rsidRPr="00EE4CF2" w:rsidRDefault="00D77BDC" w:rsidP="00D77BDC">
      <w:pPr>
        <w:pStyle w:val="SingleTxtG"/>
        <w:rPr>
          <w:lang w:val="en-US"/>
        </w:rPr>
      </w:pPr>
      <w:r w:rsidRPr="00EE4CF2">
        <w:rPr>
          <w:lang w:val="en-US"/>
        </w:rPr>
        <w:t>87.</w:t>
      </w:r>
      <w:r w:rsidRPr="00EE4CF2">
        <w:rPr>
          <w:lang w:val="en-US"/>
        </w:rPr>
        <w:tab/>
        <w:t xml:space="preserve">The National Pension Act (NPA) previously covered migrant workers only after they have completed their first two (2) years of employment. The Act was subsequently amended by the National Pensions (Non-Citizen and Absent Persons) Regulations 2015, </w:t>
      </w:r>
      <w:proofErr w:type="spellStart"/>
      <w:r w:rsidRPr="00EE4CF2">
        <w:rPr>
          <w:lang w:val="en-US"/>
        </w:rPr>
        <w:t>gazetted</w:t>
      </w:r>
      <w:proofErr w:type="spellEnd"/>
      <w:r w:rsidRPr="00EE4CF2">
        <w:rPr>
          <w:lang w:val="en-US"/>
        </w:rPr>
        <w:t xml:space="preserve"> on 03 June 2015 and effective as from 01 January 2014, to provide for all foreign workers, except those employed in export manufacturing enterprises, to be insured under the NPA as from their first day of employment. Migrant workers employed in Export Manufacturing Enterprises are as date still being required to contribute to the National Pension Scheme only after they have completed their two years of employment.</w:t>
      </w:r>
    </w:p>
    <w:p w:rsidR="00D77BDC" w:rsidRPr="00EE4CF2" w:rsidRDefault="00D77BDC" w:rsidP="00D77BDC">
      <w:pPr>
        <w:pStyle w:val="SingleTxtG"/>
        <w:rPr>
          <w:lang w:val="en-US"/>
        </w:rPr>
      </w:pPr>
      <w:r w:rsidRPr="00EE4CF2">
        <w:rPr>
          <w:lang w:val="en-US"/>
        </w:rPr>
        <w:t>88.</w:t>
      </w:r>
      <w:r w:rsidRPr="00EE4CF2">
        <w:rPr>
          <w:lang w:val="en-US"/>
        </w:rPr>
        <w:tab/>
        <w:t xml:space="preserve">Since November 1999, Government had taken concrete and bold measures and set up a </w:t>
      </w:r>
      <w:r w:rsidR="00D92267">
        <w:rPr>
          <w:lang w:val="en-US"/>
        </w:rPr>
        <w:t>“</w:t>
      </w:r>
      <w:r w:rsidRPr="00EE4CF2">
        <w:rPr>
          <w:lang w:val="en-US"/>
        </w:rPr>
        <w:t>Special Migrant Workers Unit</w:t>
      </w:r>
      <w:r w:rsidR="00D92267">
        <w:rPr>
          <w:lang w:val="en-US"/>
        </w:rPr>
        <w:t>”</w:t>
      </w:r>
      <w:r w:rsidRPr="00EE4CF2">
        <w:rPr>
          <w:lang w:val="en-US"/>
        </w:rPr>
        <w:t xml:space="preserve"> (SMWU), to look into the conditions of employment of migrant workers employed in Mauritius and to ensure that their fundamental rights are not infringed. The </w:t>
      </w:r>
      <w:proofErr w:type="spellStart"/>
      <w:r w:rsidRPr="00EE4CF2">
        <w:rPr>
          <w:lang w:val="en-US"/>
        </w:rPr>
        <w:t>labour</w:t>
      </w:r>
      <w:proofErr w:type="spellEnd"/>
      <w:r w:rsidRPr="00EE4CF2">
        <w:rPr>
          <w:lang w:val="en-US"/>
        </w:rPr>
        <w:t xml:space="preserve"> legislation applies similarly to migrant workers. However, among other things, the SMWU also ensures that migrant workers are employed on terms and conditions that are not less </w:t>
      </w:r>
      <w:proofErr w:type="spellStart"/>
      <w:r w:rsidRPr="00EE4CF2">
        <w:rPr>
          <w:lang w:val="en-US"/>
        </w:rPr>
        <w:t>favourable</w:t>
      </w:r>
      <w:proofErr w:type="spellEnd"/>
      <w:r w:rsidRPr="00EE4CF2">
        <w:rPr>
          <w:lang w:val="en-US"/>
        </w:rPr>
        <w:t xml:space="preserve"> than those of their local counterpart. </w:t>
      </w:r>
    </w:p>
    <w:p w:rsidR="00D77BDC" w:rsidRPr="00EE4CF2" w:rsidRDefault="00D77BDC" w:rsidP="00D77BDC">
      <w:pPr>
        <w:pStyle w:val="SingleTxtG"/>
        <w:rPr>
          <w:lang w:val="en-US"/>
        </w:rPr>
      </w:pPr>
      <w:r w:rsidRPr="00EE4CF2">
        <w:rPr>
          <w:lang w:val="en-US"/>
        </w:rPr>
        <w:t>89.</w:t>
      </w:r>
      <w:r w:rsidRPr="00EE4CF2">
        <w:rPr>
          <w:lang w:val="en-US"/>
        </w:rPr>
        <w:tab/>
        <w:t xml:space="preserve">Please see at Annex 6statistics regarding the number of inspections/enquiries carried out and the amount recovered on behalf of migrant workers for breach of their terms and conditions of employment. Annex 7 reveal the number of complaints that have been </w:t>
      </w:r>
      <w:r w:rsidRPr="00EE4CF2">
        <w:rPr>
          <w:lang w:val="en-US"/>
        </w:rPr>
        <w:lastRenderedPageBreak/>
        <w:t>registered at the level of the SMWU as well as the amount recovered on behalf of migrant workers for period 2010 to June 2018.</w:t>
      </w:r>
    </w:p>
    <w:p w:rsidR="00D77BDC" w:rsidRPr="00EE4CF2" w:rsidRDefault="00D77BDC" w:rsidP="00D77BDC">
      <w:pPr>
        <w:pStyle w:val="H1G"/>
        <w:rPr>
          <w:lang w:val="en-US"/>
        </w:rPr>
      </w:pPr>
      <w:r w:rsidRPr="00EE4CF2">
        <w:rPr>
          <w:lang w:val="en-US"/>
        </w:rPr>
        <w:tab/>
      </w:r>
      <w:r w:rsidRPr="00EE4CF2">
        <w:rPr>
          <w:lang w:val="en-US"/>
        </w:rPr>
        <w:tab/>
        <w:t xml:space="preserve">Trade union rights (art. 8) </w:t>
      </w:r>
    </w:p>
    <w:p w:rsidR="00D77BDC" w:rsidRPr="00EE4CF2" w:rsidRDefault="00D77BDC" w:rsidP="00D77BDC">
      <w:pPr>
        <w:pStyle w:val="H1G"/>
        <w:rPr>
          <w:lang w:val="en-US"/>
        </w:rPr>
      </w:pPr>
      <w:r w:rsidRPr="00EE4CF2">
        <w:rPr>
          <w:lang w:val="en-US"/>
        </w:rPr>
        <w:tab/>
      </w:r>
      <w:r w:rsidRPr="00EE4CF2">
        <w:rPr>
          <w:lang w:val="en-US"/>
        </w:rPr>
        <w:tab/>
        <w:t>Question 16</w:t>
      </w:r>
    </w:p>
    <w:p w:rsidR="00D77BDC" w:rsidRPr="00EE4CF2" w:rsidRDefault="00D77BDC" w:rsidP="00D77BDC">
      <w:pPr>
        <w:pStyle w:val="SingleTxtG"/>
        <w:rPr>
          <w:lang w:val="en-US"/>
        </w:rPr>
      </w:pPr>
      <w:r w:rsidRPr="00EE4CF2">
        <w:rPr>
          <w:lang w:val="en-US"/>
        </w:rPr>
        <w:t>90.</w:t>
      </w:r>
      <w:r w:rsidRPr="00EE4CF2">
        <w:rPr>
          <w:lang w:val="en-US"/>
        </w:rPr>
        <w:tab/>
        <w:t>Section 13 of our Constitution and section 29 of the Employment Relations Act 2008 (</w:t>
      </w:r>
      <w:proofErr w:type="spellStart"/>
      <w:r w:rsidRPr="00EE4CF2">
        <w:rPr>
          <w:lang w:val="en-US"/>
        </w:rPr>
        <w:t>EReA</w:t>
      </w:r>
      <w:proofErr w:type="spellEnd"/>
      <w:r w:rsidRPr="00EE4CF2">
        <w:rPr>
          <w:lang w:val="en-US"/>
        </w:rPr>
        <w:t xml:space="preserve">) guarantee the </w:t>
      </w:r>
      <w:r w:rsidR="00D92267">
        <w:rPr>
          <w:lang w:val="en-US"/>
        </w:rPr>
        <w:t>“</w:t>
      </w:r>
      <w:r w:rsidRPr="00EE4CF2">
        <w:rPr>
          <w:lang w:val="en-US"/>
        </w:rPr>
        <w:t>freedom of association</w:t>
      </w:r>
      <w:r w:rsidR="00D92267">
        <w:rPr>
          <w:lang w:val="en-US"/>
        </w:rPr>
        <w:t>”</w:t>
      </w:r>
      <w:r w:rsidRPr="00EE4CF2">
        <w:rPr>
          <w:lang w:val="en-US"/>
        </w:rPr>
        <w:t xml:space="preserve"> of every worker, including </w:t>
      </w:r>
      <w:proofErr w:type="spellStart"/>
      <w:r w:rsidRPr="00EE4CF2">
        <w:rPr>
          <w:lang w:val="en-US"/>
        </w:rPr>
        <w:t>epz</w:t>
      </w:r>
      <w:proofErr w:type="spellEnd"/>
      <w:r w:rsidRPr="00EE4CF2">
        <w:rPr>
          <w:lang w:val="en-US"/>
        </w:rPr>
        <w:t xml:space="preserve"> workers and migrant workers to establish or join as a member, a trade union for the protection of their interests. Section 31 of the </w:t>
      </w:r>
      <w:proofErr w:type="spellStart"/>
      <w:r w:rsidRPr="00EE4CF2">
        <w:rPr>
          <w:lang w:val="en-US"/>
        </w:rPr>
        <w:t>EReA</w:t>
      </w:r>
      <w:proofErr w:type="spellEnd"/>
      <w:r w:rsidRPr="00EE4CF2">
        <w:rPr>
          <w:lang w:val="en-US"/>
        </w:rPr>
        <w:t xml:space="preserve"> afford additional protection of the above rights, against any form of discrimination and victimization. </w:t>
      </w:r>
    </w:p>
    <w:p w:rsidR="00D77BDC" w:rsidRPr="00EE4CF2" w:rsidRDefault="00D77BDC" w:rsidP="00D77BDC">
      <w:pPr>
        <w:pStyle w:val="SingleTxtG"/>
        <w:rPr>
          <w:lang w:val="en-US"/>
        </w:rPr>
      </w:pPr>
      <w:r w:rsidRPr="00EE4CF2">
        <w:rPr>
          <w:lang w:val="en-US"/>
        </w:rPr>
        <w:t>91.</w:t>
      </w:r>
      <w:r w:rsidRPr="00EE4CF2">
        <w:rPr>
          <w:lang w:val="en-US"/>
        </w:rPr>
        <w:tab/>
        <w:t xml:space="preserve">Moreover section 46(5B) of the </w:t>
      </w:r>
      <w:proofErr w:type="spellStart"/>
      <w:r w:rsidRPr="00EE4CF2">
        <w:rPr>
          <w:lang w:val="en-US"/>
        </w:rPr>
        <w:t>ERiA</w:t>
      </w:r>
      <w:proofErr w:type="spellEnd"/>
      <w:r w:rsidRPr="00EE4CF2">
        <w:rPr>
          <w:lang w:val="en-US"/>
        </w:rPr>
        <w:t xml:space="preserve"> provides that where a worker</w:t>
      </w:r>
      <w:r w:rsidR="00D92267">
        <w:rPr>
          <w:lang w:val="en-US"/>
        </w:rPr>
        <w:t>’</w:t>
      </w:r>
      <w:r w:rsidRPr="00EE4CF2">
        <w:rPr>
          <w:lang w:val="en-US"/>
        </w:rPr>
        <w:t>s employment has been terminated on ground of discriminatory practices or union activities, the Industrial Court shall order that that worker:</w:t>
      </w:r>
    </w:p>
    <w:p w:rsidR="00D77BDC" w:rsidRPr="00EE4CF2" w:rsidRDefault="002D5E23" w:rsidP="002D5E23">
      <w:pPr>
        <w:pStyle w:val="SingleTxtG"/>
        <w:rPr>
          <w:lang w:val="en-US"/>
        </w:rPr>
      </w:pPr>
      <w:r>
        <w:rPr>
          <w:lang w:val="en-US"/>
        </w:rPr>
        <w:tab/>
      </w:r>
      <w:r w:rsidR="00D77BDC" w:rsidRPr="00EE4CF2">
        <w:rPr>
          <w:lang w:val="en-US"/>
        </w:rPr>
        <w:t>(a)</w:t>
      </w:r>
      <w:r w:rsidR="00D77BDC" w:rsidRPr="00EE4CF2">
        <w:rPr>
          <w:lang w:val="en-US"/>
        </w:rPr>
        <w:tab/>
        <w:t>Be reinstated in his former employment with payment of remuneration from the date of the termination of his employment to the date of his reinstatement; or</w:t>
      </w:r>
    </w:p>
    <w:p w:rsidR="00D77BDC" w:rsidRPr="00EE4CF2" w:rsidRDefault="002D5E23" w:rsidP="002D5E23">
      <w:pPr>
        <w:pStyle w:val="SingleTxtG"/>
        <w:rPr>
          <w:lang w:val="en-US"/>
        </w:rPr>
      </w:pPr>
      <w:r>
        <w:rPr>
          <w:lang w:val="en-US"/>
        </w:rPr>
        <w:tab/>
      </w:r>
      <w:r w:rsidR="00D77BDC" w:rsidRPr="00EE4CF2">
        <w:rPr>
          <w:lang w:val="en-US"/>
        </w:rPr>
        <w:t>(b)</w:t>
      </w:r>
      <w:r w:rsidR="00D77BDC" w:rsidRPr="00EE4CF2">
        <w:rPr>
          <w:lang w:val="en-US"/>
        </w:rPr>
        <w:tab/>
        <w:t xml:space="preserve">Be paid severance allowance in accordance with provisions of the </w:t>
      </w:r>
      <w:proofErr w:type="spellStart"/>
      <w:r w:rsidR="00D77BDC" w:rsidRPr="00EE4CF2">
        <w:rPr>
          <w:lang w:val="en-US"/>
        </w:rPr>
        <w:t>ERiA</w:t>
      </w:r>
      <w:proofErr w:type="spellEnd"/>
      <w:r w:rsidR="00D77BDC" w:rsidRPr="00EE4CF2">
        <w:rPr>
          <w:lang w:val="en-US"/>
        </w:rPr>
        <w:t>.</w:t>
      </w:r>
    </w:p>
    <w:p w:rsidR="00D77BDC" w:rsidRPr="00EE4CF2" w:rsidRDefault="00D77BDC" w:rsidP="00D77BDC">
      <w:pPr>
        <w:pStyle w:val="H1G"/>
        <w:rPr>
          <w:lang w:val="en-US"/>
        </w:rPr>
      </w:pPr>
      <w:r w:rsidRPr="00EE4CF2">
        <w:rPr>
          <w:lang w:val="en-US"/>
        </w:rPr>
        <w:tab/>
      </w:r>
      <w:r w:rsidRPr="00EE4CF2">
        <w:rPr>
          <w:lang w:val="en-US"/>
        </w:rPr>
        <w:tab/>
        <w:t>Right to social security (art. 9)</w:t>
      </w:r>
    </w:p>
    <w:p w:rsidR="00D77BDC" w:rsidRPr="00EE4CF2" w:rsidRDefault="00D77BDC" w:rsidP="00DC745F">
      <w:pPr>
        <w:pStyle w:val="H1G"/>
        <w:rPr>
          <w:lang w:val="en-US"/>
        </w:rPr>
      </w:pPr>
      <w:r w:rsidRPr="00EE4CF2">
        <w:rPr>
          <w:b w:val="0"/>
          <w:lang w:val="en-US"/>
        </w:rPr>
        <w:tab/>
      </w:r>
      <w:r w:rsidRPr="00EE4CF2">
        <w:rPr>
          <w:lang w:val="en-US"/>
        </w:rPr>
        <w:tab/>
        <w:t>Question 17</w:t>
      </w:r>
    </w:p>
    <w:p w:rsidR="00D77BDC" w:rsidRPr="00EE4CF2" w:rsidRDefault="00D77BDC" w:rsidP="00D77BDC">
      <w:pPr>
        <w:pStyle w:val="SingleTxtG"/>
        <w:rPr>
          <w:lang w:val="en-US"/>
        </w:rPr>
      </w:pPr>
      <w:r w:rsidRPr="00EE4CF2">
        <w:rPr>
          <w:lang w:val="en-US"/>
        </w:rPr>
        <w:t>92.</w:t>
      </w:r>
      <w:r w:rsidRPr="00EE4CF2">
        <w:rPr>
          <w:lang w:val="en-US"/>
        </w:rPr>
        <w:tab/>
        <w:t>Social aid in cash and in kind is paid under the Social Aid Act 1983 to needy persons who are temporarily or permanently incapable of earning adequately their livelihood and have insufficient means to support themselves and their dependent. Non-nationals are not entitled to social aid.</w:t>
      </w:r>
    </w:p>
    <w:p w:rsidR="00D77BDC" w:rsidRPr="00EE4CF2" w:rsidRDefault="00D77BDC" w:rsidP="00D77BDC">
      <w:pPr>
        <w:pStyle w:val="SingleTxtG"/>
        <w:rPr>
          <w:lang w:val="en-US"/>
        </w:rPr>
      </w:pPr>
      <w:r w:rsidRPr="00EE4CF2">
        <w:rPr>
          <w:lang w:val="en-US"/>
        </w:rPr>
        <w:t>93.</w:t>
      </w:r>
      <w:r w:rsidRPr="00EE4CF2">
        <w:rPr>
          <w:lang w:val="en-US"/>
        </w:rPr>
        <w:tab/>
        <w:t xml:space="preserve">Mauritius has a comprehensive social protection scheme. It caters for a basic universal pension (Retirement, Widows, Invalidity &amp; Orphans), a social insurance scheme covering both formal and informal sector employees, and providing Contributory Pension (Retirement, Widows, Invalidity &amp; Orphans), Industrial Injury Allowance and Disablement Benefit. Transitional Unemployment Benefits is also being paid to lay off workers who have joined a welfare </w:t>
      </w:r>
      <w:proofErr w:type="spellStart"/>
      <w:r w:rsidRPr="00EE4CF2">
        <w:rPr>
          <w:lang w:val="en-US"/>
        </w:rPr>
        <w:t>programme</w:t>
      </w:r>
      <w:proofErr w:type="spellEnd"/>
      <w:r w:rsidRPr="00EE4CF2">
        <w:rPr>
          <w:lang w:val="en-US"/>
        </w:rPr>
        <w:t xml:space="preserve">. </w:t>
      </w:r>
    </w:p>
    <w:p w:rsidR="00D77BDC" w:rsidRPr="00EE4CF2" w:rsidRDefault="00D77BDC" w:rsidP="00D77BDC">
      <w:pPr>
        <w:pStyle w:val="SingleTxtG"/>
        <w:rPr>
          <w:lang w:val="en-US"/>
        </w:rPr>
      </w:pPr>
      <w:r w:rsidRPr="00EE4CF2">
        <w:rPr>
          <w:lang w:val="en-US"/>
        </w:rPr>
        <w:t>94.</w:t>
      </w:r>
      <w:r w:rsidRPr="00EE4CF2">
        <w:rPr>
          <w:lang w:val="en-US"/>
        </w:rPr>
        <w:tab/>
        <w:t xml:space="preserve">Between December 2014 and December 2017, the Basic Retirement Pension has increased from </w:t>
      </w:r>
      <w:proofErr w:type="spellStart"/>
      <w:r w:rsidRPr="00EE4CF2">
        <w:rPr>
          <w:lang w:val="en-US"/>
        </w:rPr>
        <w:t>Rs</w:t>
      </w:r>
      <w:proofErr w:type="spellEnd"/>
      <w:r w:rsidRPr="00EE4CF2">
        <w:rPr>
          <w:lang w:val="en-US"/>
        </w:rPr>
        <w:t xml:space="preserve"> 3,500 to </w:t>
      </w:r>
      <w:proofErr w:type="spellStart"/>
      <w:r w:rsidRPr="00EE4CF2">
        <w:rPr>
          <w:lang w:val="en-US"/>
        </w:rPr>
        <w:t>Rs</w:t>
      </w:r>
      <w:proofErr w:type="spellEnd"/>
      <w:r w:rsidRPr="00EE4CF2">
        <w:rPr>
          <w:lang w:val="en-US"/>
        </w:rPr>
        <w:t xml:space="preserve"> 5,450. In January 2018, it was further increased to </w:t>
      </w:r>
      <w:proofErr w:type="spellStart"/>
      <w:r w:rsidRPr="00EE4CF2">
        <w:rPr>
          <w:lang w:val="en-US"/>
        </w:rPr>
        <w:t>Rs</w:t>
      </w:r>
      <w:proofErr w:type="spellEnd"/>
      <w:r w:rsidRPr="00EE4CF2">
        <w:rPr>
          <w:lang w:val="en-US"/>
        </w:rPr>
        <w:t xml:space="preserve"> 5,810, representing an increase of 65% since December 2014.</w:t>
      </w:r>
      <w:r w:rsidR="009D3766">
        <w:rPr>
          <w:lang w:val="en-US"/>
        </w:rPr>
        <w:t xml:space="preserve"> </w:t>
      </w:r>
      <w:r w:rsidRPr="00EE4CF2">
        <w:rPr>
          <w:lang w:val="en-US"/>
        </w:rPr>
        <w:t xml:space="preserve">Non-citizens may also be entitled to a Basic Pension provided they satisfy the residence condition. </w:t>
      </w:r>
    </w:p>
    <w:p w:rsidR="00D77BDC" w:rsidRPr="00EE4CF2" w:rsidRDefault="00D77BDC" w:rsidP="00D77BDC">
      <w:pPr>
        <w:pStyle w:val="SingleTxtG"/>
        <w:rPr>
          <w:lang w:val="en-US"/>
        </w:rPr>
      </w:pPr>
      <w:r w:rsidRPr="00EE4CF2">
        <w:rPr>
          <w:lang w:val="en-US"/>
        </w:rPr>
        <w:t>95.</w:t>
      </w:r>
      <w:r w:rsidRPr="00EE4CF2">
        <w:rPr>
          <w:lang w:val="en-US"/>
        </w:rPr>
        <w:tab/>
        <w:t xml:space="preserve">A Subsistence Allowance of up to </w:t>
      </w:r>
      <w:proofErr w:type="spellStart"/>
      <w:r w:rsidRPr="00EE4CF2">
        <w:rPr>
          <w:lang w:val="en-US"/>
        </w:rPr>
        <w:t>Rs</w:t>
      </w:r>
      <w:proofErr w:type="spellEnd"/>
      <w:r w:rsidRPr="00EE4CF2">
        <w:rPr>
          <w:lang w:val="en-US"/>
        </w:rPr>
        <w:t xml:space="preserve"> 9520 is being paid to all household having a monthly income of less than </w:t>
      </w:r>
      <w:proofErr w:type="spellStart"/>
      <w:r w:rsidRPr="00EE4CF2">
        <w:rPr>
          <w:lang w:val="en-US"/>
        </w:rPr>
        <w:t>Rs</w:t>
      </w:r>
      <w:proofErr w:type="spellEnd"/>
      <w:r w:rsidRPr="00EE4CF2">
        <w:rPr>
          <w:lang w:val="en-US"/>
        </w:rPr>
        <w:t xml:space="preserve"> 9520. A social assistance </w:t>
      </w:r>
      <w:proofErr w:type="spellStart"/>
      <w:r w:rsidRPr="00EE4CF2">
        <w:rPr>
          <w:lang w:val="en-US"/>
        </w:rPr>
        <w:t>programme</w:t>
      </w:r>
      <w:proofErr w:type="spellEnd"/>
      <w:r w:rsidRPr="00EE4CF2">
        <w:rPr>
          <w:lang w:val="en-US"/>
        </w:rPr>
        <w:t xml:space="preserve"> (Social Aid) which is income based caters for targeted vulnerable groups (abandoned women, sick persons and unmarried mothers, deserted children, woman whose partner is in jail, discharged prisoners </w:t>
      </w:r>
      <w:proofErr w:type="spellStart"/>
      <w:r w:rsidRPr="00EE4CF2">
        <w:rPr>
          <w:lang w:val="en-US"/>
        </w:rPr>
        <w:t>etc</w:t>
      </w:r>
      <w:proofErr w:type="spellEnd"/>
      <w:r w:rsidRPr="00EE4CF2">
        <w:rPr>
          <w:lang w:val="en-US"/>
        </w:rPr>
        <w:t xml:space="preserve">). </w:t>
      </w:r>
    </w:p>
    <w:p w:rsidR="00D77BDC" w:rsidRPr="00EE4CF2" w:rsidRDefault="00D77BDC" w:rsidP="00D77BDC">
      <w:pPr>
        <w:pStyle w:val="SingleTxtG"/>
        <w:rPr>
          <w:lang w:val="en-US"/>
        </w:rPr>
      </w:pPr>
      <w:r w:rsidRPr="00EE4CF2">
        <w:rPr>
          <w:lang w:val="en-US"/>
        </w:rPr>
        <w:t>96.</w:t>
      </w:r>
      <w:r w:rsidRPr="00EE4CF2">
        <w:rPr>
          <w:lang w:val="en-US"/>
        </w:rPr>
        <w:tab/>
        <w:t xml:space="preserve">Older persons with disabilities and dependent on the basic pensions are provided with an additional pension known as </w:t>
      </w:r>
      <w:proofErr w:type="spellStart"/>
      <w:r w:rsidRPr="00EE4CF2">
        <w:rPr>
          <w:lang w:val="en-US"/>
        </w:rPr>
        <w:t>Carer</w:t>
      </w:r>
      <w:r w:rsidR="00D92267">
        <w:rPr>
          <w:lang w:val="en-US"/>
        </w:rPr>
        <w:t>’</w:t>
      </w:r>
      <w:r w:rsidRPr="00EE4CF2">
        <w:rPr>
          <w:lang w:val="en-US"/>
        </w:rPr>
        <w:t>s</w:t>
      </w:r>
      <w:proofErr w:type="spellEnd"/>
      <w:r w:rsidRPr="00EE4CF2">
        <w:rPr>
          <w:lang w:val="en-US"/>
        </w:rPr>
        <w:t xml:space="preserve"> Allowance in case they need constant care and attention of another person. Moreover, they are provided with domiciliary visits depending on their age and severity of their handicap.</w:t>
      </w:r>
    </w:p>
    <w:p w:rsidR="00D77BDC" w:rsidRPr="00EE4CF2" w:rsidRDefault="00D77BDC" w:rsidP="00D77BDC">
      <w:pPr>
        <w:pStyle w:val="SingleTxtG"/>
        <w:rPr>
          <w:lang w:val="en-US"/>
        </w:rPr>
      </w:pPr>
      <w:r w:rsidRPr="00EE4CF2">
        <w:rPr>
          <w:lang w:val="en-US"/>
        </w:rPr>
        <w:t>97.</w:t>
      </w:r>
      <w:r w:rsidRPr="00EE4CF2">
        <w:rPr>
          <w:lang w:val="en-US"/>
        </w:rPr>
        <w:tab/>
        <w:t xml:space="preserve">The National Pensions Act makes provisions to consider non-citizens, as an insured person under the National Pensions Act provided that they have a valid work permit and are drawing a remuneration. </w:t>
      </w:r>
    </w:p>
    <w:p w:rsidR="00D77BDC" w:rsidRPr="00EE4CF2" w:rsidRDefault="00D77BDC" w:rsidP="00D77BDC">
      <w:pPr>
        <w:pStyle w:val="SingleTxtG"/>
        <w:rPr>
          <w:lang w:val="en-US"/>
        </w:rPr>
      </w:pPr>
      <w:r w:rsidRPr="00EE4CF2">
        <w:rPr>
          <w:lang w:val="en-US"/>
        </w:rPr>
        <w:t>98.</w:t>
      </w:r>
      <w:r w:rsidRPr="00EE4CF2">
        <w:rPr>
          <w:lang w:val="en-US"/>
        </w:rPr>
        <w:tab/>
        <w:t xml:space="preserve">On the basis of this contribution they are entitled to payment of a contributory benefit as any other Mauritian citizen. They also have the option of </w:t>
      </w:r>
      <w:proofErr w:type="spellStart"/>
      <w:r w:rsidRPr="00EE4CF2">
        <w:rPr>
          <w:lang w:val="en-US"/>
        </w:rPr>
        <w:t>encashing</w:t>
      </w:r>
      <w:proofErr w:type="spellEnd"/>
      <w:r w:rsidRPr="00EE4CF2">
        <w:rPr>
          <w:lang w:val="en-US"/>
        </w:rPr>
        <w:t xml:space="preserve"> their share of </w:t>
      </w:r>
      <w:r w:rsidRPr="00EE4CF2">
        <w:rPr>
          <w:lang w:val="en-US"/>
        </w:rPr>
        <w:lastRenderedPageBreak/>
        <w:t xml:space="preserve">contributions to the National Pensions Fund and National Savings Fund with accrued interest when they are no longer an insured person and are leaving the country. </w:t>
      </w:r>
    </w:p>
    <w:p w:rsidR="00D77BDC" w:rsidRPr="00EE4CF2" w:rsidRDefault="00D77BDC" w:rsidP="00D77BDC">
      <w:pPr>
        <w:pStyle w:val="H1G"/>
        <w:rPr>
          <w:lang w:val="en-US"/>
        </w:rPr>
      </w:pPr>
      <w:r w:rsidRPr="00EE4CF2">
        <w:rPr>
          <w:lang w:val="en-US"/>
        </w:rPr>
        <w:tab/>
      </w:r>
      <w:r w:rsidRPr="00EE4CF2">
        <w:rPr>
          <w:lang w:val="en-US"/>
        </w:rPr>
        <w:tab/>
        <w:t xml:space="preserve">Protection of the family and children (art. 10) </w:t>
      </w:r>
    </w:p>
    <w:p w:rsidR="00D77BDC" w:rsidRPr="00EE4CF2" w:rsidRDefault="00D77BDC" w:rsidP="00DC745F">
      <w:pPr>
        <w:pStyle w:val="H1G"/>
        <w:rPr>
          <w:lang w:val="en-US"/>
        </w:rPr>
      </w:pPr>
      <w:r w:rsidRPr="00EE4CF2">
        <w:rPr>
          <w:b w:val="0"/>
          <w:lang w:val="en-US"/>
        </w:rPr>
        <w:tab/>
      </w:r>
      <w:r w:rsidRPr="00EE4CF2">
        <w:rPr>
          <w:b w:val="0"/>
          <w:lang w:val="en-US"/>
        </w:rPr>
        <w:tab/>
      </w:r>
      <w:r w:rsidRPr="00EE4CF2">
        <w:rPr>
          <w:lang w:val="en-US"/>
        </w:rPr>
        <w:t>Question 18</w:t>
      </w:r>
    </w:p>
    <w:p w:rsidR="00D77BDC" w:rsidRPr="00EE4CF2" w:rsidRDefault="00D77BDC" w:rsidP="00D77BDC">
      <w:pPr>
        <w:pStyle w:val="SingleTxtG"/>
        <w:rPr>
          <w:lang w:val="en-US"/>
        </w:rPr>
      </w:pPr>
      <w:r w:rsidRPr="00EE4CF2">
        <w:rPr>
          <w:lang w:val="en-US"/>
        </w:rPr>
        <w:t>99.</w:t>
      </w:r>
      <w:r w:rsidRPr="00EE4CF2">
        <w:rPr>
          <w:lang w:val="en-US"/>
        </w:rPr>
        <w:tab/>
        <w:t>With regard to the status of all measures adopted to combat Gender Based Violence and violence against children and their impact, there is commitment at national level to address these concerns as is evidenced by National Coalition Against Domestic Violence Committee which was set up in 2016 under the Prime Minister</w:t>
      </w:r>
      <w:r w:rsidR="00D92267">
        <w:rPr>
          <w:lang w:val="en-US"/>
        </w:rPr>
        <w:t>’</w:t>
      </w:r>
      <w:r w:rsidRPr="00EE4CF2">
        <w:rPr>
          <w:lang w:val="en-US"/>
        </w:rPr>
        <w:t xml:space="preserve">s Office. A high powered </w:t>
      </w:r>
      <w:r w:rsidR="00D92267">
        <w:rPr>
          <w:lang w:val="en-US"/>
        </w:rPr>
        <w:t>“</w:t>
      </w:r>
      <w:r w:rsidRPr="00EE4CF2">
        <w:rPr>
          <w:lang w:val="en-US"/>
        </w:rPr>
        <w:t>Working Together</w:t>
      </w:r>
      <w:r w:rsidR="00D92267">
        <w:rPr>
          <w:lang w:val="en-US"/>
        </w:rPr>
        <w:t>”</w:t>
      </w:r>
      <w:r w:rsidRPr="00EE4CF2">
        <w:rPr>
          <w:lang w:val="en-US"/>
        </w:rPr>
        <w:t xml:space="preserve"> committee, under the chairpersonship of the Permanent Secretary of the Ministry of Gender Equality, Child Development and Family Welfare is operational. It comprises other stakeholders dealing with issues relating to the protection, development and welfare of children. The main objective of this Committee is to look into avenues of collaboration between all parties concerned to ensure rapid intervention in cases involving children. It is also a forum whereby the roles and responsibilities of each party are established with a view to give effect to collective and coherent actions in dealing with such cases. </w:t>
      </w:r>
    </w:p>
    <w:p w:rsidR="00D77BDC" w:rsidRPr="00EE4CF2" w:rsidRDefault="00D77BDC" w:rsidP="00D77BDC">
      <w:pPr>
        <w:pStyle w:val="SingleTxtG"/>
        <w:rPr>
          <w:lang w:val="en-US"/>
        </w:rPr>
      </w:pPr>
      <w:r w:rsidRPr="00EE4CF2">
        <w:rPr>
          <w:lang w:val="en-US"/>
        </w:rPr>
        <w:t>100.</w:t>
      </w:r>
      <w:r w:rsidRPr="00EE4CF2">
        <w:rPr>
          <w:lang w:val="en-US"/>
        </w:rPr>
        <w:tab/>
        <w:t>A National Steering Committee on Gender Mainstreaming was set up in June 2010. It monitors the implementation of the National Gender Policy Framework in all sectoral Ministries and provides a platform for representatives of Ministries to give feedback on the status of their gender policies as well as learn and share best practices on gender related issues.</w:t>
      </w:r>
    </w:p>
    <w:p w:rsidR="00D77BDC" w:rsidRPr="00EE4CF2" w:rsidRDefault="00D77BDC" w:rsidP="00D77BDC">
      <w:pPr>
        <w:pStyle w:val="SingleTxtG"/>
        <w:rPr>
          <w:lang w:val="en-US"/>
        </w:rPr>
      </w:pPr>
      <w:r w:rsidRPr="00EE4CF2">
        <w:rPr>
          <w:lang w:val="en-US"/>
        </w:rPr>
        <w:t>101.</w:t>
      </w:r>
      <w:r w:rsidRPr="00EE4CF2">
        <w:rPr>
          <w:lang w:val="en-US"/>
        </w:rPr>
        <w:tab/>
        <w:t>Responses to GBV focus on 5 Pillars:</w:t>
      </w:r>
    </w:p>
    <w:p w:rsidR="00D77BDC" w:rsidRPr="00D81B2D" w:rsidRDefault="00D77BDC" w:rsidP="009D7612">
      <w:pPr>
        <w:pStyle w:val="SingleTxtG"/>
        <w:ind w:left="1701"/>
      </w:pPr>
      <w:r w:rsidRPr="00D81B2D">
        <w:t>(</w:t>
      </w:r>
      <w:proofErr w:type="spellStart"/>
      <w:r w:rsidRPr="00D81B2D">
        <w:t>i</w:t>
      </w:r>
      <w:proofErr w:type="spellEnd"/>
      <w:r w:rsidRPr="00D81B2D">
        <w:t>)</w:t>
      </w:r>
      <w:r w:rsidRPr="00D81B2D">
        <w:tab/>
        <w:t>Legislation and prosecution;</w:t>
      </w:r>
    </w:p>
    <w:p w:rsidR="00D77BDC" w:rsidRPr="00D81B2D" w:rsidRDefault="00D77BDC" w:rsidP="009D7612">
      <w:pPr>
        <w:pStyle w:val="SingleTxtG"/>
        <w:ind w:left="1701"/>
      </w:pPr>
      <w:r w:rsidRPr="00D81B2D">
        <w:t>(</w:t>
      </w:r>
      <w:r w:rsidR="009D7612" w:rsidRPr="00D81B2D">
        <w:t>ii</w:t>
      </w:r>
      <w:r w:rsidRPr="00D81B2D">
        <w:t>)</w:t>
      </w:r>
      <w:r w:rsidRPr="00D81B2D">
        <w:tab/>
        <w:t>Capacity building of service providers in the rehabilitation of survivors and perpetrators;</w:t>
      </w:r>
    </w:p>
    <w:p w:rsidR="00D77BDC" w:rsidRPr="00D81B2D" w:rsidRDefault="00D77BDC" w:rsidP="009D7612">
      <w:pPr>
        <w:pStyle w:val="SingleTxtG"/>
        <w:ind w:left="1701"/>
      </w:pPr>
      <w:r w:rsidRPr="00D81B2D">
        <w:t>(</w:t>
      </w:r>
      <w:r w:rsidR="009D7612" w:rsidRPr="00D81B2D">
        <w:t>iii</w:t>
      </w:r>
      <w:r w:rsidRPr="00D81B2D">
        <w:t>)</w:t>
      </w:r>
      <w:r w:rsidRPr="00D81B2D">
        <w:tab/>
        <w:t>Prevention-awareness raising: Design and implement social marketing information and campaigns to raise community awareness on GBV;</w:t>
      </w:r>
    </w:p>
    <w:p w:rsidR="00D77BDC" w:rsidRPr="00D81B2D" w:rsidRDefault="00D77BDC" w:rsidP="00750A2F">
      <w:pPr>
        <w:pStyle w:val="SingleTxtG"/>
        <w:ind w:left="1701"/>
      </w:pPr>
      <w:r w:rsidRPr="00D81B2D">
        <w:t>(</w:t>
      </w:r>
      <w:r w:rsidR="009D7612" w:rsidRPr="00D81B2D">
        <w:t>iv</w:t>
      </w:r>
      <w:r w:rsidRPr="00D81B2D">
        <w:t>)</w:t>
      </w:r>
      <w:r w:rsidRPr="00D81B2D">
        <w:tab/>
        <w:t>Media Education and Advocacy; and Coordination, Research, monitoring and evaluation;</w:t>
      </w:r>
    </w:p>
    <w:p w:rsidR="00D77BDC" w:rsidRPr="00EE4CF2" w:rsidRDefault="009D7612" w:rsidP="00750A2F">
      <w:pPr>
        <w:pStyle w:val="SingleTxtG"/>
        <w:ind w:left="1701"/>
        <w:rPr>
          <w:lang w:val="en-US"/>
        </w:rPr>
      </w:pPr>
      <w:r w:rsidRPr="00D81B2D">
        <w:t>(v</w:t>
      </w:r>
      <w:r w:rsidR="00D77BDC" w:rsidRPr="00D81B2D">
        <w:t>)</w:t>
      </w:r>
      <w:r w:rsidR="00D77BDC" w:rsidRPr="00D81B2D">
        <w:tab/>
        <w:t>A toolkit to end gender-based violence, which is instrumental in the capacity building</w:t>
      </w:r>
      <w:r w:rsidR="00D77BDC" w:rsidRPr="00EE4CF2">
        <w:rPr>
          <w:lang w:val="en-US"/>
        </w:rPr>
        <w:t xml:space="preserve"> of key stakeholders was launched in October 2012.</w:t>
      </w:r>
    </w:p>
    <w:p w:rsidR="00D77BDC" w:rsidRPr="00EE4CF2" w:rsidRDefault="00D77BDC" w:rsidP="00D77BDC">
      <w:pPr>
        <w:pStyle w:val="SingleTxtG"/>
        <w:rPr>
          <w:lang w:val="en-US"/>
        </w:rPr>
      </w:pPr>
      <w:r w:rsidRPr="00EE4CF2">
        <w:rPr>
          <w:lang w:val="en-US"/>
        </w:rPr>
        <w:t>102.</w:t>
      </w:r>
      <w:r w:rsidRPr="00EE4CF2">
        <w:rPr>
          <w:lang w:val="en-US"/>
        </w:rPr>
        <w:tab/>
        <w:t xml:space="preserve">A Joint Monitoring Framework Agreement was signed in May 2018 between the EU and the Ministry of Gender Equality Child Development and Family Welfare in respect of a Joint Monitoring Framework that would track progress on the implementation of the EU-Mauritius Gender Action Plan. It monitors a number of KPIs (Annex 8) related to the promotion of gender equality, addressing gender based violence, and the economic empowerment of women and girls among others. </w:t>
      </w:r>
    </w:p>
    <w:p w:rsidR="00D77BDC" w:rsidRPr="00EE4CF2" w:rsidRDefault="00D77BDC" w:rsidP="00CB7127">
      <w:pPr>
        <w:pStyle w:val="H1G"/>
        <w:rPr>
          <w:lang w:val="en-US"/>
        </w:rPr>
      </w:pPr>
      <w:r w:rsidRPr="00EE4CF2">
        <w:rPr>
          <w:b w:val="0"/>
          <w:lang w:val="en-US"/>
        </w:rPr>
        <w:tab/>
      </w:r>
      <w:r w:rsidRPr="00EE4CF2">
        <w:rPr>
          <w:lang w:val="en-US"/>
        </w:rPr>
        <w:tab/>
        <w:t>Question 19</w:t>
      </w:r>
    </w:p>
    <w:p w:rsidR="00D77BDC" w:rsidRPr="00EE4CF2" w:rsidRDefault="00D77BDC" w:rsidP="00D77BDC">
      <w:pPr>
        <w:pStyle w:val="SingleTxtG"/>
        <w:rPr>
          <w:lang w:val="en-US"/>
        </w:rPr>
      </w:pPr>
      <w:r w:rsidRPr="00EE4CF2">
        <w:rPr>
          <w:lang w:val="en-US"/>
        </w:rPr>
        <w:t>103.</w:t>
      </w:r>
      <w:r w:rsidRPr="00EE4CF2">
        <w:rPr>
          <w:lang w:val="en-US"/>
        </w:rPr>
        <w:tab/>
        <w:t>Cases of Elder Abuse are reported to the Welfare and Elderly Persons Protection Unit (WEPPU) of the Ministry of Social Security. These are physical abuse, emotional abuse, financial abuse and neglect. Officers intervene promptly to take appropriate action assessed on a case to case basis. Actions include personal and family support, mediation, family conferencing and referrals to hospitals, police, etc. The psychologist at the unit provide support to the victims and families. From Jan 2018 to August 2018, 717 cases of Elder Abuse have been reported. All the cases have been settled through mediation and family conferencing.</w:t>
      </w:r>
    </w:p>
    <w:p w:rsidR="00D77BDC" w:rsidRPr="00EE4CF2" w:rsidRDefault="00D77BDC" w:rsidP="00D77BDC">
      <w:pPr>
        <w:pStyle w:val="SingleTxtG"/>
        <w:rPr>
          <w:lang w:val="en-US"/>
        </w:rPr>
      </w:pPr>
      <w:r w:rsidRPr="00EE4CF2">
        <w:rPr>
          <w:lang w:val="en-US"/>
        </w:rPr>
        <w:t>104.</w:t>
      </w:r>
      <w:r w:rsidRPr="00EE4CF2">
        <w:rPr>
          <w:lang w:val="en-US"/>
        </w:rPr>
        <w:tab/>
        <w:t>Elderly Watch Management Committees have been set up under the Protection of Elderly Persons Act 2005 to:</w:t>
      </w:r>
    </w:p>
    <w:p w:rsidR="00D77BDC" w:rsidRPr="00D81B2D" w:rsidRDefault="00D77BDC" w:rsidP="00CB7127">
      <w:pPr>
        <w:pStyle w:val="SingleTxtG"/>
        <w:ind w:left="1701"/>
      </w:pPr>
      <w:r w:rsidRPr="00D81B2D">
        <w:lastRenderedPageBreak/>
        <w:t>(</w:t>
      </w:r>
      <w:proofErr w:type="spellStart"/>
      <w:r w:rsidRPr="00D81B2D">
        <w:t>i</w:t>
      </w:r>
      <w:proofErr w:type="spellEnd"/>
      <w:r w:rsidRPr="00D81B2D">
        <w:t>)</w:t>
      </w:r>
      <w:r w:rsidRPr="00D81B2D">
        <w:tab/>
        <w:t>Report cases of abuse against elderly persons to the Welfare and Elderly Persons Protection Unit;</w:t>
      </w:r>
    </w:p>
    <w:p w:rsidR="00D77BDC" w:rsidRPr="00D81B2D" w:rsidRDefault="00D77BDC" w:rsidP="00CB7127">
      <w:pPr>
        <w:pStyle w:val="SingleTxtG"/>
        <w:ind w:left="1701"/>
      </w:pPr>
      <w:r w:rsidRPr="00D81B2D">
        <w:t>(ii)</w:t>
      </w:r>
      <w:r w:rsidRPr="00D81B2D">
        <w:tab/>
        <w:t>Promote the welfare of elderly persons in the region for where it is responsible; and</w:t>
      </w:r>
    </w:p>
    <w:p w:rsidR="00D77BDC" w:rsidRPr="00EE4CF2" w:rsidRDefault="00D77BDC" w:rsidP="00CB7127">
      <w:pPr>
        <w:pStyle w:val="SingleTxtG"/>
        <w:ind w:left="1701"/>
        <w:rPr>
          <w:lang w:val="en-US"/>
        </w:rPr>
      </w:pPr>
      <w:r w:rsidRPr="00D81B2D">
        <w:t>(iii)</w:t>
      </w:r>
      <w:r w:rsidRPr="00D81B2D">
        <w:tab/>
        <w:t>Endeavour</w:t>
      </w:r>
      <w:r w:rsidRPr="00EE4CF2">
        <w:rPr>
          <w:lang w:val="en-US"/>
        </w:rPr>
        <w:t xml:space="preserve"> to prevent acts of abuse on elderly persons.</w:t>
      </w:r>
    </w:p>
    <w:p w:rsidR="00D77BDC" w:rsidRPr="00EE4CF2" w:rsidRDefault="00D77BDC" w:rsidP="00D77BDC">
      <w:pPr>
        <w:pStyle w:val="SingleTxtG"/>
        <w:rPr>
          <w:lang w:val="en-US"/>
        </w:rPr>
      </w:pPr>
      <w:r w:rsidRPr="00EE4CF2">
        <w:rPr>
          <w:lang w:val="en-US"/>
        </w:rPr>
        <w:t>105.</w:t>
      </w:r>
      <w:r w:rsidRPr="00EE4CF2">
        <w:rPr>
          <w:lang w:val="en-US"/>
        </w:rPr>
        <w:tab/>
        <w:t xml:space="preserve">There are 20 Elderly Watch Management Committees spread over the country which are composed of volunteers. They operate at grass root level to promote the welfare of the elderly persons in their respective regions and identify and report cases of elder abuse. </w:t>
      </w:r>
    </w:p>
    <w:p w:rsidR="00D77BDC" w:rsidRPr="00EE4CF2" w:rsidRDefault="00D77BDC" w:rsidP="00D77BDC">
      <w:pPr>
        <w:pStyle w:val="SingleTxtG"/>
        <w:rPr>
          <w:lang w:val="en-US"/>
        </w:rPr>
      </w:pPr>
      <w:r w:rsidRPr="00EE4CF2">
        <w:rPr>
          <w:lang w:val="en-US"/>
        </w:rPr>
        <w:t>106.</w:t>
      </w:r>
      <w:r w:rsidRPr="00EE4CF2">
        <w:rPr>
          <w:lang w:val="en-US"/>
        </w:rPr>
        <w:tab/>
        <w:t>The residential care homes are compliant with the provisions of the Residential Care Homes Act, 2003 and Residential Care Homes Regulations 2005. Officers of the WEPPU ensure same during regular visits effected to the Homes.</w:t>
      </w:r>
    </w:p>
    <w:p w:rsidR="00D77BDC" w:rsidRPr="00EE4CF2" w:rsidRDefault="00D77BDC" w:rsidP="0052773C">
      <w:pPr>
        <w:pStyle w:val="H1G"/>
        <w:rPr>
          <w:lang w:val="en-US"/>
        </w:rPr>
      </w:pPr>
      <w:r w:rsidRPr="00EE4CF2">
        <w:tab/>
      </w:r>
      <w:r w:rsidRPr="00EE4CF2">
        <w:rPr>
          <w:b w:val="0"/>
          <w:lang w:val="en-US"/>
        </w:rPr>
        <w:tab/>
      </w:r>
      <w:r w:rsidRPr="00EE4CF2">
        <w:rPr>
          <w:lang w:val="en-US"/>
        </w:rPr>
        <w:t>Question 20</w:t>
      </w:r>
    </w:p>
    <w:p w:rsidR="00D77BDC" w:rsidRPr="00EE4CF2" w:rsidRDefault="00D77BDC" w:rsidP="00D77BDC">
      <w:pPr>
        <w:pStyle w:val="SingleTxtG"/>
        <w:rPr>
          <w:lang w:val="en-US"/>
        </w:rPr>
      </w:pPr>
      <w:r w:rsidRPr="00EE4CF2">
        <w:rPr>
          <w:lang w:val="en-US"/>
        </w:rPr>
        <w:t>107.</w:t>
      </w:r>
      <w:r w:rsidRPr="00EE4CF2">
        <w:rPr>
          <w:lang w:val="en-US"/>
        </w:rPr>
        <w:tab/>
        <w:t>The Finance (Miscellaneous Provisions) Act No. 11 of 2018, amended the Employment Rights Act to extend the eligibility of maternity leave with pay to female workers reckoning less than 12 months continuous service, with effect from 09 August 2018.</w:t>
      </w:r>
    </w:p>
    <w:p w:rsidR="00D77BDC" w:rsidRPr="00EE4CF2" w:rsidRDefault="00D77BDC" w:rsidP="00D77BDC">
      <w:pPr>
        <w:pStyle w:val="SingleTxtG"/>
      </w:pPr>
      <w:r w:rsidRPr="00EE4CF2">
        <w:t>108.</w:t>
      </w:r>
      <w:r w:rsidRPr="00EE4CF2">
        <w:tab/>
      </w:r>
      <w:r w:rsidRPr="00EE4CF2">
        <w:rPr>
          <w:lang w:val="en-US"/>
        </w:rPr>
        <w:t xml:space="preserve">Payment of a maternity allowance of </w:t>
      </w:r>
      <w:proofErr w:type="spellStart"/>
      <w:r w:rsidRPr="00EE4CF2">
        <w:rPr>
          <w:lang w:val="en-US"/>
        </w:rPr>
        <w:t>Rs</w:t>
      </w:r>
      <w:proofErr w:type="spellEnd"/>
      <w:r w:rsidRPr="00EE4CF2">
        <w:rPr>
          <w:lang w:val="en-US"/>
        </w:rPr>
        <w:t xml:space="preserve"> 3,000 applicable to all sectors of employment, to working mother reckoning at least 12 months continuous employment. Such allowance is calculated</w:t>
      </w:r>
      <w:r w:rsidRPr="00EE4CF2">
        <w:t xml:space="preserve"> on a pro</w:t>
      </w:r>
      <w:r w:rsidR="001363E6">
        <w:t xml:space="preserve"> </w:t>
      </w:r>
      <w:r w:rsidRPr="00EE4CF2">
        <w:t>rata basis for part time workers; [section 30(2).]</w:t>
      </w:r>
    </w:p>
    <w:p w:rsidR="00D77BDC" w:rsidRPr="00EE4CF2" w:rsidRDefault="00D77BDC" w:rsidP="00D77BDC">
      <w:pPr>
        <w:pStyle w:val="SingleTxtG"/>
        <w:rPr>
          <w:lang w:val="en-US"/>
        </w:rPr>
      </w:pPr>
      <w:r w:rsidRPr="00EE4CF2">
        <w:rPr>
          <w:lang w:val="en-US"/>
        </w:rPr>
        <w:t>109.</w:t>
      </w:r>
      <w:r w:rsidRPr="00EE4CF2">
        <w:rPr>
          <w:lang w:val="en-US"/>
        </w:rPr>
        <w:tab/>
        <w:t>An employer is prohibited from giving a notice of dismissal to an employee on maternity leave or giving such notice which will expire during her maternity leave except on grounds that relate to the economic, technological, structural or similar nature affecting the employer</w:t>
      </w:r>
      <w:r w:rsidR="00D92267">
        <w:rPr>
          <w:lang w:val="en-US"/>
        </w:rPr>
        <w:t>’</w:t>
      </w:r>
      <w:r w:rsidRPr="00EE4CF2">
        <w:rPr>
          <w:lang w:val="en-US"/>
        </w:rPr>
        <w:t>s activities; [section 30(9).]</w:t>
      </w:r>
    </w:p>
    <w:p w:rsidR="00D77BDC" w:rsidRPr="00EE4CF2" w:rsidRDefault="00D77BDC" w:rsidP="00D77BDC">
      <w:pPr>
        <w:pStyle w:val="SingleTxtG"/>
        <w:rPr>
          <w:lang w:val="en-US"/>
        </w:rPr>
      </w:pPr>
      <w:r w:rsidRPr="00EE4CF2">
        <w:rPr>
          <w:lang w:val="en-US"/>
        </w:rPr>
        <w:t>110.</w:t>
      </w:r>
      <w:r w:rsidRPr="00EE4CF2">
        <w:rPr>
          <w:lang w:val="en-US"/>
        </w:rPr>
        <w:tab/>
        <w:t>A female worker, who is nursing her breastfed child, to be entitled to a daily break of one hour, or a break of half an hour twice daily pay for the purpose of nursing the child; for a period of 6 months from the date of confinement or such longer period as may be recommended by a medical practitioner. [section 30(6).]</w:t>
      </w:r>
    </w:p>
    <w:p w:rsidR="00D77BDC" w:rsidRPr="00EE4CF2" w:rsidRDefault="00D77BDC" w:rsidP="00D77BDC">
      <w:pPr>
        <w:pStyle w:val="SingleTxtG"/>
        <w:rPr>
          <w:lang w:val="en-US"/>
        </w:rPr>
      </w:pPr>
      <w:r w:rsidRPr="00EE4CF2">
        <w:rPr>
          <w:lang w:val="en-US"/>
        </w:rPr>
        <w:t>111.</w:t>
      </w:r>
      <w:r w:rsidRPr="00EE4CF2">
        <w:rPr>
          <w:lang w:val="en-US"/>
        </w:rPr>
        <w:tab/>
        <w:t xml:space="preserve">The </w:t>
      </w:r>
      <w:proofErr w:type="spellStart"/>
      <w:r w:rsidRPr="00EE4CF2">
        <w:rPr>
          <w:lang w:val="en-US"/>
        </w:rPr>
        <w:t>Creche</w:t>
      </w:r>
      <w:proofErr w:type="spellEnd"/>
      <w:r w:rsidRPr="00EE4CF2">
        <w:rPr>
          <w:lang w:val="en-US"/>
        </w:rPr>
        <w:t xml:space="preserve"> Scheme is to empower mothers of children between the age of 3 months to 3 years, to take up employment or follow a training course. The Scheme is being implemented since February 2017 and a payment of up to </w:t>
      </w:r>
      <w:proofErr w:type="spellStart"/>
      <w:r w:rsidRPr="00EE4CF2">
        <w:rPr>
          <w:lang w:val="en-US"/>
        </w:rPr>
        <w:t>Rs</w:t>
      </w:r>
      <w:proofErr w:type="spellEnd"/>
      <w:r w:rsidRPr="00EE4CF2">
        <w:rPr>
          <w:lang w:val="en-US"/>
        </w:rPr>
        <w:t xml:space="preserve">. 2,000 is effected to registered day care </w:t>
      </w:r>
      <w:proofErr w:type="spellStart"/>
      <w:r w:rsidRPr="00EE4CF2">
        <w:rPr>
          <w:lang w:val="en-US"/>
        </w:rPr>
        <w:t>centres</w:t>
      </w:r>
      <w:proofErr w:type="spellEnd"/>
      <w:r w:rsidRPr="00EE4CF2">
        <w:rPr>
          <w:lang w:val="en-US"/>
        </w:rPr>
        <w:t xml:space="preserve"> for children of the Social Register of Mauritius (SRM) eligible households. This scheme is in the process of being implemented in Rodrigues as well.</w:t>
      </w:r>
    </w:p>
    <w:p w:rsidR="00D77BDC" w:rsidRPr="00EE4CF2" w:rsidRDefault="00D77BDC" w:rsidP="00D77BDC">
      <w:pPr>
        <w:pStyle w:val="SingleTxtG"/>
        <w:rPr>
          <w:lang w:val="en-US"/>
        </w:rPr>
      </w:pPr>
      <w:r w:rsidRPr="00EE4CF2">
        <w:rPr>
          <w:lang w:val="en-US"/>
        </w:rPr>
        <w:t>112.</w:t>
      </w:r>
      <w:r w:rsidRPr="00EE4CF2">
        <w:rPr>
          <w:lang w:val="en-US"/>
        </w:rPr>
        <w:tab/>
        <w:t>Section 31 of the Employment Rights Act provides for the entitlement of 5 continuous working days for full time male worker and a pro-rata calculation for part time workers.</w:t>
      </w:r>
    </w:p>
    <w:p w:rsidR="00D77BDC" w:rsidRPr="00EE4CF2" w:rsidRDefault="00D77BDC" w:rsidP="00D77BDC">
      <w:pPr>
        <w:pStyle w:val="SingleTxtG"/>
      </w:pPr>
      <w:r w:rsidRPr="00EE4CF2">
        <w:t>113.</w:t>
      </w:r>
      <w:r w:rsidRPr="00EE4CF2">
        <w:tab/>
      </w:r>
      <w:r w:rsidRPr="00EE4CF2">
        <w:rPr>
          <w:lang w:val="en-US"/>
        </w:rPr>
        <w:t xml:space="preserve">The </w:t>
      </w:r>
      <w:r w:rsidRPr="00EE4CF2">
        <w:t>issue of extending paternity leave to unmarried male employees upon the birth of their child needs to be probed into further, given the complexity and evolution of the Mauritian family structure.</w:t>
      </w:r>
    </w:p>
    <w:p w:rsidR="00D77BDC" w:rsidRPr="00EE4CF2" w:rsidRDefault="00D77BDC" w:rsidP="00D77BDC">
      <w:pPr>
        <w:pStyle w:val="H1G"/>
        <w:rPr>
          <w:lang w:val="en-US"/>
        </w:rPr>
      </w:pPr>
      <w:r w:rsidRPr="00EE4CF2">
        <w:rPr>
          <w:lang w:val="en-US"/>
        </w:rPr>
        <w:tab/>
      </w:r>
      <w:r w:rsidRPr="00EE4CF2">
        <w:rPr>
          <w:lang w:val="en-US"/>
        </w:rPr>
        <w:tab/>
        <w:t xml:space="preserve">Right to an adequate standard of living (art. 11) </w:t>
      </w:r>
    </w:p>
    <w:p w:rsidR="00D77BDC" w:rsidRPr="00EE4CF2" w:rsidRDefault="00D77BDC" w:rsidP="0052773C">
      <w:pPr>
        <w:pStyle w:val="H1G"/>
        <w:rPr>
          <w:lang w:val="en-US"/>
        </w:rPr>
      </w:pPr>
      <w:r w:rsidRPr="00EE4CF2">
        <w:rPr>
          <w:b w:val="0"/>
          <w:lang w:val="en-US"/>
        </w:rPr>
        <w:tab/>
      </w:r>
      <w:r w:rsidRPr="00EE4CF2">
        <w:rPr>
          <w:lang w:val="en-US"/>
        </w:rPr>
        <w:tab/>
        <w:t>Question 21</w:t>
      </w:r>
    </w:p>
    <w:p w:rsidR="00D77BDC" w:rsidRPr="00EE4CF2" w:rsidRDefault="00D77BDC" w:rsidP="00D77BDC">
      <w:pPr>
        <w:pStyle w:val="SingleTxtG"/>
        <w:rPr>
          <w:lang w:val="en-US"/>
        </w:rPr>
      </w:pPr>
      <w:r w:rsidRPr="00EE4CF2">
        <w:rPr>
          <w:lang w:val="en-US"/>
        </w:rPr>
        <w:t>114.</w:t>
      </w:r>
      <w:r w:rsidRPr="00EE4CF2">
        <w:rPr>
          <w:lang w:val="en-US"/>
        </w:rPr>
        <w:tab/>
        <w:t xml:space="preserve">Poverty cuts across the country, be it Mauritius or Rodrigues. The Social Register of Mauritius (SRM) which is the national database containing information on people who are living in absolute poverty and who need assistance from the government. Currently, there are around 8800 SRM eligible households in Mauritius and 2200 in Rodrigues who are benefitting from the monthly subsistence allowance. </w:t>
      </w:r>
    </w:p>
    <w:p w:rsidR="00D77BDC" w:rsidRPr="00EE4CF2" w:rsidRDefault="00D77BDC" w:rsidP="00D77BDC">
      <w:pPr>
        <w:pStyle w:val="SingleTxtG"/>
        <w:rPr>
          <w:lang w:val="en-US"/>
        </w:rPr>
      </w:pPr>
      <w:r w:rsidRPr="00EE4CF2">
        <w:rPr>
          <w:lang w:val="en-US"/>
        </w:rPr>
        <w:t>115.</w:t>
      </w:r>
      <w:r w:rsidRPr="00EE4CF2">
        <w:rPr>
          <w:lang w:val="en-US"/>
        </w:rPr>
        <w:tab/>
        <w:t xml:space="preserve">The conditions stipulated in the social contract in respect of the cash transfers pertain to education, training and employment, health, family welfare and development. </w:t>
      </w:r>
      <w:r w:rsidRPr="00EE4CF2">
        <w:rPr>
          <w:lang w:val="en-US"/>
        </w:rPr>
        <w:lastRenderedPageBreak/>
        <w:t xml:space="preserve">Every household on the Social Register of Mauritius (SRM) is entitled to a monthly subsistence allowance based on a minimum threshold of </w:t>
      </w:r>
      <w:proofErr w:type="spellStart"/>
      <w:r w:rsidRPr="00EE4CF2">
        <w:rPr>
          <w:lang w:val="en-US"/>
        </w:rPr>
        <w:t>Rs</w:t>
      </w:r>
      <w:proofErr w:type="spellEnd"/>
      <w:r w:rsidRPr="00EE4CF2">
        <w:rPr>
          <w:lang w:val="en-US"/>
        </w:rPr>
        <w:t xml:space="preserve"> 2,720 with a maximum threshold of </w:t>
      </w:r>
      <w:proofErr w:type="spellStart"/>
      <w:r w:rsidRPr="00EE4CF2">
        <w:rPr>
          <w:lang w:val="en-US"/>
        </w:rPr>
        <w:t>Rs</w:t>
      </w:r>
      <w:proofErr w:type="spellEnd"/>
      <w:r w:rsidRPr="00EE4CF2">
        <w:rPr>
          <w:lang w:val="en-US"/>
        </w:rPr>
        <w:t xml:space="preserve"> 9,520 for a family of two adults and three children. It is to be noted that 38% of the families are female headed. </w:t>
      </w:r>
    </w:p>
    <w:p w:rsidR="00D77BDC" w:rsidRPr="00EE4CF2" w:rsidRDefault="00D77BDC" w:rsidP="00D77BDC">
      <w:pPr>
        <w:pStyle w:val="SingleTxtG"/>
        <w:rPr>
          <w:spacing w:val="-2"/>
          <w:lang w:val="en-US"/>
        </w:rPr>
      </w:pPr>
      <w:r w:rsidRPr="00EE4CF2">
        <w:rPr>
          <w:spacing w:val="-2"/>
          <w:lang w:val="en-US"/>
        </w:rPr>
        <w:t>116.</w:t>
      </w:r>
      <w:r w:rsidRPr="00EE4CF2">
        <w:rPr>
          <w:spacing w:val="-2"/>
          <w:lang w:val="en-US"/>
        </w:rPr>
        <w:tab/>
        <w:t>10% of all NHDC houses are reserved for SRM beneficiaries. As from financial Year 2017/2018, the National Empowerment Foundation has embarked on the construct on of fully concrete housing units of up to 50 m2 for households eligible under the Social Register of Mauritius and who are owners of a plot of land or lessees of State Lands, Government subsidize 75% of the cost of the housing units and the beneficiaries have to pay only 25% over a p</w:t>
      </w:r>
      <w:r w:rsidR="00744CE9">
        <w:rPr>
          <w:spacing w:val="-2"/>
          <w:lang w:val="en-US"/>
        </w:rPr>
        <w:t>eriod of 15–</w:t>
      </w:r>
      <w:r w:rsidRPr="00EE4CF2">
        <w:rPr>
          <w:spacing w:val="-2"/>
          <w:lang w:val="en-US"/>
        </w:rPr>
        <w:t xml:space="preserve">25 years. A total of 124 such housing units will be completed by December 2018.Other conditional cash transfers offered to SRM beneficiaries are at Annex 9. </w:t>
      </w:r>
    </w:p>
    <w:p w:rsidR="00D77BDC" w:rsidRPr="00EE4CF2" w:rsidRDefault="00D77BDC" w:rsidP="00D77BDC">
      <w:pPr>
        <w:pStyle w:val="SingleTxtG"/>
      </w:pPr>
      <w:r w:rsidRPr="00EE4CF2">
        <w:t>117.</w:t>
      </w:r>
      <w:r w:rsidRPr="00EE4CF2">
        <w:tab/>
      </w:r>
      <w:proofErr w:type="spellStart"/>
      <w:r w:rsidRPr="00EE4CF2">
        <w:rPr>
          <w:lang w:val="en-US"/>
        </w:rPr>
        <w:t>Depriv</w:t>
      </w:r>
      <w:r w:rsidRPr="00EE4CF2">
        <w:t>ed</w:t>
      </w:r>
      <w:proofErr w:type="spellEnd"/>
      <w:r w:rsidRPr="00EE4CF2">
        <w:t xml:space="preserve"> family (including squatters) from different regions in Mauritius have been relocated and provided land and/or housing support at: </w:t>
      </w:r>
    </w:p>
    <w:p w:rsidR="00D77BDC" w:rsidRPr="008A4F53" w:rsidRDefault="00D77BDC" w:rsidP="0052773C">
      <w:pPr>
        <w:pStyle w:val="SingleTxtG"/>
        <w:ind w:left="1701"/>
      </w:pPr>
      <w:r w:rsidRPr="008A4F53">
        <w:t>(</w:t>
      </w:r>
      <w:proofErr w:type="spellStart"/>
      <w:r w:rsidRPr="008A4F53">
        <w:t>i</w:t>
      </w:r>
      <w:proofErr w:type="spellEnd"/>
      <w:r w:rsidRPr="008A4F53">
        <w:t>)</w:t>
      </w:r>
      <w:r w:rsidRPr="008A4F53">
        <w:tab/>
        <w:t xml:space="preserve">La </w:t>
      </w:r>
      <w:proofErr w:type="spellStart"/>
      <w:r w:rsidRPr="008A4F53">
        <w:t>Valette</w:t>
      </w:r>
      <w:proofErr w:type="spellEnd"/>
      <w:r w:rsidRPr="008A4F53">
        <w:t xml:space="preserve"> Integrated Housing Project </w:t>
      </w:r>
      <w:r w:rsidR="0052773C" w:rsidRPr="008A4F53">
        <w:t xml:space="preserve">– </w:t>
      </w:r>
      <w:r w:rsidRPr="008A4F53">
        <w:t>198 housing units;</w:t>
      </w:r>
    </w:p>
    <w:p w:rsidR="00D77BDC" w:rsidRPr="008A4F53" w:rsidRDefault="00D77BDC" w:rsidP="0052773C">
      <w:pPr>
        <w:pStyle w:val="SingleTxtG"/>
        <w:ind w:left="1701"/>
      </w:pPr>
      <w:r w:rsidRPr="008A4F53">
        <w:t>(ii)</w:t>
      </w:r>
      <w:r w:rsidRPr="008A4F53">
        <w:tab/>
      </w:r>
      <w:proofErr w:type="spellStart"/>
      <w:r w:rsidRPr="008A4F53">
        <w:t>Sottise</w:t>
      </w:r>
      <w:proofErr w:type="spellEnd"/>
      <w:r w:rsidRPr="008A4F53">
        <w:t xml:space="preserve"> Integrated Housing Project </w:t>
      </w:r>
      <w:r w:rsidR="0052773C" w:rsidRPr="008A4F53">
        <w:t xml:space="preserve">– </w:t>
      </w:r>
      <w:r w:rsidRPr="008A4F53">
        <w:t xml:space="preserve">19 housing units; </w:t>
      </w:r>
    </w:p>
    <w:p w:rsidR="00D77BDC" w:rsidRPr="008A4F53" w:rsidRDefault="00D77BDC" w:rsidP="0052773C">
      <w:pPr>
        <w:pStyle w:val="SingleTxtG"/>
        <w:ind w:left="1701"/>
      </w:pPr>
      <w:r w:rsidRPr="008A4F53">
        <w:t>(iii)</w:t>
      </w:r>
      <w:r w:rsidRPr="008A4F53">
        <w:tab/>
      </w:r>
      <w:proofErr w:type="spellStart"/>
      <w:r w:rsidRPr="008A4F53">
        <w:t>Dubreuil</w:t>
      </w:r>
      <w:proofErr w:type="spellEnd"/>
      <w:r w:rsidRPr="008A4F53">
        <w:t xml:space="preserve"> </w:t>
      </w:r>
      <w:proofErr w:type="spellStart"/>
      <w:r w:rsidRPr="008A4F53">
        <w:t>lntegrated</w:t>
      </w:r>
      <w:proofErr w:type="spellEnd"/>
      <w:r w:rsidRPr="008A4F53">
        <w:t xml:space="preserve"> Housing Project </w:t>
      </w:r>
      <w:r w:rsidR="0052773C" w:rsidRPr="008A4F53">
        <w:t>–</w:t>
      </w:r>
      <w:r w:rsidRPr="008A4F53">
        <w:t xml:space="preserve"> 22 housing units; </w:t>
      </w:r>
    </w:p>
    <w:p w:rsidR="00D77BDC" w:rsidRPr="008A4F53" w:rsidRDefault="00D77BDC" w:rsidP="0052773C">
      <w:pPr>
        <w:pStyle w:val="SingleTxtG"/>
        <w:ind w:left="1701"/>
      </w:pPr>
      <w:r w:rsidRPr="008A4F53">
        <w:t>(iv)</w:t>
      </w:r>
      <w:r w:rsidRPr="008A4F53">
        <w:tab/>
      </w:r>
      <w:proofErr w:type="spellStart"/>
      <w:r w:rsidRPr="008A4F53">
        <w:t>Gros</w:t>
      </w:r>
      <w:proofErr w:type="spellEnd"/>
      <w:r w:rsidRPr="008A4F53">
        <w:t xml:space="preserve"> </w:t>
      </w:r>
      <w:proofErr w:type="spellStart"/>
      <w:r w:rsidRPr="008A4F53">
        <w:t>Cailloux</w:t>
      </w:r>
      <w:proofErr w:type="spellEnd"/>
      <w:r w:rsidRPr="008A4F53">
        <w:t xml:space="preserve"> Integrated Housing Project </w:t>
      </w:r>
      <w:r w:rsidR="0052773C" w:rsidRPr="008A4F53">
        <w:t>–</w:t>
      </w:r>
      <w:r w:rsidRPr="008A4F53">
        <w:t xml:space="preserve"> 59 housing units; </w:t>
      </w:r>
    </w:p>
    <w:p w:rsidR="00D77BDC" w:rsidRPr="00EE4CF2" w:rsidRDefault="00D77BDC" w:rsidP="0052773C">
      <w:pPr>
        <w:pStyle w:val="SingleTxtG"/>
        <w:ind w:left="1701"/>
      </w:pPr>
      <w:r w:rsidRPr="008A4F53">
        <w:t>(v)</w:t>
      </w:r>
      <w:r w:rsidRPr="008A4F53">
        <w:tab/>
      </w:r>
      <w:proofErr w:type="spellStart"/>
      <w:r w:rsidRPr="008A4F53">
        <w:t>Karo</w:t>
      </w:r>
      <w:proofErr w:type="spellEnd"/>
      <w:r w:rsidRPr="008A4F53">
        <w:t xml:space="preserve"> </w:t>
      </w:r>
      <w:proofErr w:type="spellStart"/>
      <w:r w:rsidRPr="008A4F53">
        <w:t>Kalyptus</w:t>
      </w:r>
      <w:proofErr w:type="spellEnd"/>
      <w:r w:rsidRPr="008A4F53">
        <w:t xml:space="preserve"> Integrated Housing Project </w:t>
      </w:r>
      <w:r w:rsidR="0052773C" w:rsidRPr="008A4F53">
        <w:t>–</w:t>
      </w:r>
      <w:r w:rsidRPr="008A4F53">
        <w:t xml:space="preserve"> 115 plots of land granted on lease</w:t>
      </w:r>
      <w:r w:rsidRPr="00EE4CF2">
        <w:t xml:space="preserve"> out of which 109 also benefitted from housing support from NEF; </w:t>
      </w:r>
    </w:p>
    <w:p w:rsidR="00D77BDC" w:rsidRPr="00EE4CF2" w:rsidRDefault="00D77BDC" w:rsidP="0052773C">
      <w:pPr>
        <w:pStyle w:val="SingleTxtG"/>
        <w:ind w:left="1701"/>
      </w:pPr>
      <w:r w:rsidRPr="005F15E8">
        <w:t>(vi)</w:t>
      </w:r>
      <w:r w:rsidRPr="005F15E8">
        <w:tab/>
        <w:t xml:space="preserve">Pointe aux Sables </w:t>
      </w:r>
      <w:r w:rsidR="0052773C" w:rsidRPr="005F15E8">
        <w:t>–</w:t>
      </w:r>
      <w:r w:rsidRPr="005F15E8">
        <w:t xml:space="preserve"> 72 housing units and 66 plots of land granted on lease to vulnerable families</w:t>
      </w:r>
      <w:r w:rsidRPr="00EE4CF2">
        <w:t xml:space="preserve">. </w:t>
      </w:r>
    </w:p>
    <w:p w:rsidR="00D77BDC" w:rsidRPr="00EE4CF2" w:rsidRDefault="00D77BDC" w:rsidP="00D77BDC">
      <w:pPr>
        <w:pStyle w:val="SingleTxtG"/>
        <w:rPr>
          <w:lang w:val="en-US"/>
        </w:rPr>
      </w:pPr>
      <w:r w:rsidRPr="00EE4CF2">
        <w:rPr>
          <w:lang w:val="en-US"/>
        </w:rPr>
        <w:t>118.</w:t>
      </w:r>
      <w:r w:rsidRPr="00EE4CF2">
        <w:rPr>
          <w:lang w:val="en-US"/>
        </w:rPr>
        <w:tab/>
        <w:t xml:space="preserve">The NEF also intervenes for those registered as landless by referring them to the Ministry of Housing and Lands, where necessary applications for a state land lease are done. Upon approved grant for a state land lease, NEF caters for housing support through the construction of housing unit; on the plot of land. Other cases are also being referred to the National Housing Development Company Ltd (NHDCL under the aegis of the Ministry of Housing and Lands, where families are proposed with housing unit instead of land lease. </w:t>
      </w:r>
    </w:p>
    <w:p w:rsidR="00D77BDC" w:rsidRPr="00EE4CF2" w:rsidRDefault="00D77BDC" w:rsidP="00D77BDC">
      <w:pPr>
        <w:pStyle w:val="SingleTxtG"/>
      </w:pPr>
      <w:r w:rsidRPr="00EE4CF2">
        <w:t>119.</w:t>
      </w:r>
      <w:r w:rsidRPr="00EE4CF2">
        <w:tab/>
      </w:r>
      <w:r w:rsidRPr="00EE4CF2">
        <w:rPr>
          <w:lang w:val="en-US"/>
        </w:rPr>
        <w:t>Necessary</w:t>
      </w:r>
      <w:r w:rsidRPr="00EE4CF2">
        <w:t xml:space="preserve"> measures are taken for the upgrading of the living environment of vulnerable families, namely: </w:t>
      </w:r>
    </w:p>
    <w:p w:rsidR="00D77BDC" w:rsidRPr="009E0121" w:rsidRDefault="00D77BDC" w:rsidP="00D77BDC">
      <w:pPr>
        <w:pStyle w:val="Bullet1G"/>
        <w:numPr>
          <w:ilvl w:val="0"/>
          <w:numId w:val="0"/>
        </w:numPr>
        <w:tabs>
          <w:tab w:val="left" w:pos="1560"/>
        </w:tabs>
        <w:ind w:left="1134" w:firstLine="567"/>
      </w:pPr>
      <w:r w:rsidRPr="009E0121">
        <w:rPr>
          <w:rFonts w:eastAsiaTheme="minorHAnsi"/>
        </w:rPr>
        <w:t>(</w:t>
      </w:r>
      <w:proofErr w:type="spellStart"/>
      <w:r w:rsidRPr="009E0121">
        <w:rPr>
          <w:rFonts w:eastAsiaTheme="minorHAnsi"/>
        </w:rPr>
        <w:t>i</w:t>
      </w:r>
      <w:proofErr w:type="spellEnd"/>
      <w:r w:rsidRPr="009E0121">
        <w:rPr>
          <w:rFonts w:eastAsiaTheme="minorHAnsi"/>
        </w:rPr>
        <w:t>)</w:t>
      </w:r>
      <w:r w:rsidRPr="009E0121">
        <w:rPr>
          <w:rFonts w:eastAsiaTheme="minorHAnsi"/>
        </w:rPr>
        <w:tab/>
      </w:r>
      <w:r w:rsidRPr="009E0121">
        <w:t xml:space="preserve">Construction of drain: and road network at </w:t>
      </w:r>
      <w:proofErr w:type="spellStart"/>
      <w:r w:rsidRPr="009E0121">
        <w:t>Karo</w:t>
      </w:r>
      <w:proofErr w:type="spellEnd"/>
      <w:r w:rsidRPr="009E0121">
        <w:t xml:space="preserve"> </w:t>
      </w:r>
      <w:proofErr w:type="spellStart"/>
      <w:r w:rsidRPr="009E0121">
        <w:t>Kalyptus</w:t>
      </w:r>
      <w:proofErr w:type="spellEnd"/>
      <w:r w:rsidRPr="009E0121">
        <w:t xml:space="preserve"> and African Town;</w:t>
      </w:r>
    </w:p>
    <w:p w:rsidR="00D77BDC" w:rsidRPr="009E0121" w:rsidRDefault="00D77BDC" w:rsidP="00D77BDC">
      <w:pPr>
        <w:pStyle w:val="Bullet1G"/>
        <w:numPr>
          <w:ilvl w:val="0"/>
          <w:numId w:val="0"/>
        </w:numPr>
        <w:tabs>
          <w:tab w:val="left" w:pos="1560"/>
        </w:tabs>
        <w:ind w:left="1134" w:firstLine="567"/>
      </w:pPr>
      <w:r w:rsidRPr="009E0121">
        <w:rPr>
          <w:rFonts w:eastAsiaTheme="minorHAnsi"/>
        </w:rPr>
        <w:t>(ii)</w:t>
      </w:r>
      <w:r w:rsidRPr="009E0121">
        <w:rPr>
          <w:rFonts w:eastAsiaTheme="minorHAnsi"/>
        </w:rPr>
        <w:tab/>
      </w:r>
      <w:r w:rsidRPr="009E0121">
        <w:t>Construction of Children</w:t>
      </w:r>
      <w:r w:rsidR="00D92267" w:rsidRPr="009E0121">
        <w:t>’</w:t>
      </w:r>
      <w:r w:rsidRPr="009E0121">
        <w:t>s Playgrounds in deprived areas around the island;</w:t>
      </w:r>
    </w:p>
    <w:p w:rsidR="00D77BDC" w:rsidRPr="009E0121" w:rsidRDefault="00D77BDC" w:rsidP="00D77BDC">
      <w:pPr>
        <w:pStyle w:val="Bullet1G"/>
        <w:numPr>
          <w:ilvl w:val="0"/>
          <w:numId w:val="0"/>
        </w:numPr>
        <w:tabs>
          <w:tab w:val="left" w:pos="1560"/>
        </w:tabs>
        <w:ind w:left="1134" w:firstLine="567"/>
      </w:pPr>
      <w:r w:rsidRPr="009E0121">
        <w:rPr>
          <w:rFonts w:eastAsiaTheme="minorHAnsi"/>
        </w:rPr>
        <w:t>(iii)</w:t>
      </w:r>
      <w:r w:rsidRPr="009E0121">
        <w:rPr>
          <w:rFonts w:eastAsiaTheme="minorHAnsi"/>
        </w:rPr>
        <w:tab/>
      </w:r>
      <w:r w:rsidRPr="009E0121">
        <w:t xml:space="preserve">Construction learning corners; and </w:t>
      </w:r>
    </w:p>
    <w:p w:rsidR="00D77BDC" w:rsidRPr="00EE4CF2" w:rsidRDefault="00D77BDC" w:rsidP="00D77BDC">
      <w:pPr>
        <w:pStyle w:val="Bullet1G"/>
        <w:numPr>
          <w:ilvl w:val="0"/>
          <w:numId w:val="0"/>
        </w:numPr>
        <w:tabs>
          <w:tab w:val="left" w:pos="1560"/>
        </w:tabs>
        <w:ind w:left="1134" w:firstLine="567"/>
      </w:pPr>
      <w:r w:rsidRPr="009E0121">
        <w:rPr>
          <w:rFonts w:eastAsiaTheme="minorHAnsi"/>
        </w:rPr>
        <w:t>(iv)</w:t>
      </w:r>
      <w:r w:rsidRPr="00EE4CF2">
        <w:rPr>
          <w:rFonts w:ascii="Bookman Old Style" w:eastAsiaTheme="minorHAnsi" w:hAnsi="Bookman Old Style" w:cstheme="minorBidi"/>
        </w:rPr>
        <w:tab/>
      </w:r>
      <w:r w:rsidR="001D6583">
        <w:t>Upgrading/</w:t>
      </w:r>
      <w:r w:rsidRPr="00EE4CF2">
        <w:t xml:space="preserve">Provision of green space. </w:t>
      </w:r>
    </w:p>
    <w:p w:rsidR="00D77BDC" w:rsidRPr="00EE4CF2" w:rsidRDefault="00D77BDC" w:rsidP="00D77BDC">
      <w:pPr>
        <w:pStyle w:val="SingleTxtG"/>
      </w:pPr>
      <w:r w:rsidRPr="00EE4CF2">
        <w:t>120.</w:t>
      </w:r>
      <w:r w:rsidRPr="00EE4CF2">
        <w:tab/>
      </w:r>
      <w:r w:rsidRPr="00EE4CF2">
        <w:rPr>
          <w:lang w:val="en-US"/>
        </w:rPr>
        <w:t>The</w:t>
      </w:r>
      <w:r w:rsidRPr="00EE4CF2">
        <w:t xml:space="preserve"> Schemes implemented by NEF essentially meet three priorities: reducing social exclusion, promoting community empowerment and family empowerment. </w:t>
      </w:r>
    </w:p>
    <w:p w:rsidR="00D77BDC" w:rsidRPr="00EE4CF2" w:rsidRDefault="00D77BDC" w:rsidP="00DA1C91">
      <w:pPr>
        <w:pStyle w:val="H1G"/>
        <w:rPr>
          <w:lang w:val="en-US"/>
        </w:rPr>
      </w:pPr>
      <w:r w:rsidRPr="00EE4CF2">
        <w:rPr>
          <w:b w:val="0"/>
          <w:lang w:val="en-US"/>
        </w:rPr>
        <w:tab/>
      </w:r>
      <w:r w:rsidRPr="00EE4CF2">
        <w:rPr>
          <w:lang w:val="en-US"/>
        </w:rPr>
        <w:tab/>
        <w:t>Question 22</w:t>
      </w:r>
    </w:p>
    <w:p w:rsidR="00D77BDC" w:rsidRPr="00EE4CF2" w:rsidRDefault="00D77BDC" w:rsidP="00D77BDC">
      <w:pPr>
        <w:pStyle w:val="SingleTxtG"/>
        <w:rPr>
          <w:lang w:val="en-US"/>
        </w:rPr>
      </w:pPr>
      <w:r w:rsidRPr="00EE4CF2">
        <w:rPr>
          <w:lang w:val="en-US"/>
        </w:rPr>
        <w:t>121.</w:t>
      </w:r>
      <w:r w:rsidRPr="00EE4CF2">
        <w:rPr>
          <w:lang w:val="en-US"/>
        </w:rPr>
        <w:tab/>
        <w:t xml:space="preserve">The Ministry of Housing and Lands is responsible for the implementation of social housing </w:t>
      </w:r>
      <w:proofErr w:type="spellStart"/>
      <w:r w:rsidRPr="00EE4CF2">
        <w:rPr>
          <w:lang w:val="en-US"/>
        </w:rPr>
        <w:t>programmes</w:t>
      </w:r>
      <w:proofErr w:type="spellEnd"/>
      <w:r w:rsidRPr="00EE4CF2">
        <w:rPr>
          <w:lang w:val="en-US"/>
        </w:rPr>
        <w:t xml:space="preserve"> of the Government and for that purpose the National Housing Development Company Limited (NHDC Ltd) is its executive arm.</w:t>
      </w:r>
    </w:p>
    <w:p w:rsidR="00D77BDC" w:rsidRPr="00EE4CF2" w:rsidRDefault="00D77BDC" w:rsidP="00D77BDC">
      <w:pPr>
        <w:pStyle w:val="SingleTxtG"/>
        <w:rPr>
          <w:lang w:val="en-US"/>
        </w:rPr>
      </w:pPr>
      <w:r w:rsidRPr="00EE4CF2">
        <w:rPr>
          <w:lang w:val="en-US"/>
        </w:rPr>
        <w:t>122.</w:t>
      </w:r>
      <w:r w:rsidRPr="00EE4CF2">
        <w:rPr>
          <w:lang w:val="en-US"/>
        </w:rPr>
        <w:tab/>
        <w:t>The Government has among its main objective to increase housing supply and home ownership for the economically and socially disadvantage and has devised various schemes to meet same. Please see at Annex 10 the evolution of social housing.</w:t>
      </w:r>
    </w:p>
    <w:p w:rsidR="00D77BDC" w:rsidRPr="00EE4CF2" w:rsidRDefault="00D77BDC" w:rsidP="00D77BDC">
      <w:pPr>
        <w:pStyle w:val="SingleTxtG"/>
        <w:rPr>
          <w:lang w:val="en-US"/>
        </w:rPr>
      </w:pPr>
      <w:r w:rsidRPr="00EE4CF2">
        <w:rPr>
          <w:lang w:val="en-US"/>
        </w:rPr>
        <w:t>123.</w:t>
      </w:r>
      <w:r w:rsidRPr="00EE4CF2">
        <w:rPr>
          <w:lang w:val="en-US"/>
        </w:rPr>
        <w:tab/>
        <w:t xml:space="preserve">The housing units are sold to beneficiaries of different income thresholds by the NHDC with varying subsidy from the Government. The beneficiaries can also settle the cost of the houses either by cash or through Government Sponsored Loans from financial institutions such as the Mauritius Housing Company (MHC) or from other lending institutions. All beneficiaries are granted a long term residential lease expiring on the 30 June 2060 on the plot of State land. </w:t>
      </w:r>
    </w:p>
    <w:p w:rsidR="00D77BDC" w:rsidRPr="00EE4CF2" w:rsidRDefault="00D77BDC" w:rsidP="00D77BDC">
      <w:pPr>
        <w:pStyle w:val="SingleTxtG"/>
      </w:pPr>
      <w:r w:rsidRPr="00EE4CF2">
        <w:lastRenderedPageBreak/>
        <w:t>124.</w:t>
      </w:r>
      <w:r w:rsidRPr="00EE4CF2">
        <w:tab/>
      </w:r>
      <w:r w:rsidRPr="00EE4CF2">
        <w:rPr>
          <w:lang w:val="en-US"/>
        </w:rPr>
        <w:t>Additional</w:t>
      </w:r>
      <w:r w:rsidRPr="00EE4CF2">
        <w:t xml:space="preserve"> details on the schemes, annual rental, grant for the casting of roof Slabs are at Annex 11. </w:t>
      </w:r>
    </w:p>
    <w:p w:rsidR="00D77BDC" w:rsidRPr="00EE4CF2" w:rsidRDefault="00D77BDC" w:rsidP="00D77BDC">
      <w:pPr>
        <w:pStyle w:val="H1G"/>
        <w:rPr>
          <w:lang w:val="en-US"/>
        </w:rPr>
      </w:pPr>
      <w:r w:rsidRPr="00EE4CF2">
        <w:rPr>
          <w:lang w:val="en-US"/>
        </w:rPr>
        <w:tab/>
      </w:r>
      <w:r w:rsidRPr="00EE4CF2">
        <w:rPr>
          <w:lang w:val="en-US"/>
        </w:rPr>
        <w:tab/>
        <w:t xml:space="preserve">Right to physical and mental health (art. 12) </w:t>
      </w:r>
    </w:p>
    <w:p w:rsidR="00D77BDC" w:rsidRPr="00EE4CF2" w:rsidRDefault="00D77BDC" w:rsidP="00DA1C91">
      <w:pPr>
        <w:pStyle w:val="H1G"/>
        <w:rPr>
          <w:lang w:val="en-US"/>
        </w:rPr>
      </w:pPr>
      <w:r w:rsidRPr="00EE4CF2">
        <w:rPr>
          <w:b w:val="0"/>
          <w:lang w:val="en-US"/>
        </w:rPr>
        <w:tab/>
      </w:r>
      <w:r w:rsidRPr="00EE4CF2">
        <w:rPr>
          <w:lang w:val="en-US"/>
        </w:rPr>
        <w:tab/>
        <w:t>Question 23</w:t>
      </w:r>
    </w:p>
    <w:p w:rsidR="00D77BDC" w:rsidRPr="00EE4CF2" w:rsidRDefault="00D77BDC" w:rsidP="00D77BDC">
      <w:pPr>
        <w:pStyle w:val="SingleTxtG"/>
        <w:rPr>
          <w:lang w:val="en-US"/>
        </w:rPr>
      </w:pPr>
      <w:r w:rsidRPr="00EE4CF2">
        <w:rPr>
          <w:lang w:val="en-US"/>
        </w:rPr>
        <w:t>125.</w:t>
      </w:r>
      <w:r w:rsidRPr="00EE4CF2">
        <w:rPr>
          <w:lang w:val="en-US"/>
        </w:rPr>
        <w:tab/>
        <w:t>Since 1987, the Ministry of Health and Quality of Life, has been conducting surveys almost every five (5) years to assess the prevalence of Non-Communicable Diseases.</w:t>
      </w:r>
    </w:p>
    <w:p w:rsidR="00D77BDC" w:rsidRPr="00EE4CF2" w:rsidRDefault="00D77BDC" w:rsidP="00D77BDC">
      <w:pPr>
        <w:pStyle w:val="SingleTxtG"/>
        <w:rPr>
          <w:lang w:val="en-US"/>
        </w:rPr>
      </w:pPr>
      <w:r w:rsidRPr="00EE4CF2">
        <w:rPr>
          <w:lang w:val="en-US"/>
        </w:rPr>
        <w:t>126.</w:t>
      </w:r>
      <w:r w:rsidRPr="00EE4CF2">
        <w:rPr>
          <w:lang w:val="en-US"/>
        </w:rPr>
        <w:tab/>
        <w:t>To address the problem related to Non-Communicable Diseases, the Ministry of Health and Quality of Life has taken a series of measures which are detailed at Annex 12.</w:t>
      </w:r>
    </w:p>
    <w:p w:rsidR="00D77BDC" w:rsidRPr="00EE4CF2" w:rsidRDefault="00D77BDC" w:rsidP="00D77BDC">
      <w:pPr>
        <w:pStyle w:val="SingleTxtG"/>
      </w:pPr>
      <w:r w:rsidRPr="00EE4CF2">
        <w:t>127.</w:t>
      </w:r>
      <w:r w:rsidRPr="00EE4CF2">
        <w:tab/>
      </w:r>
      <w:r w:rsidRPr="00EE4CF2">
        <w:rPr>
          <w:lang w:val="en-US"/>
        </w:rPr>
        <w:t>The</w:t>
      </w:r>
      <w:r w:rsidRPr="00EE4CF2">
        <w:t xml:space="preserve"> impact of these measures has shown a positive trend regarding the prevalence of Non-Communicable Diseases, as illustrated overleaf: </w:t>
      </w:r>
    </w:p>
    <w:p w:rsidR="00D77BDC" w:rsidRPr="00EE4CF2" w:rsidRDefault="00D77BDC" w:rsidP="00D77BDC">
      <w:pPr>
        <w:pStyle w:val="Heading1"/>
        <w:spacing w:after="120"/>
        <w:rPr>
          <w:b/>
          <w:lang w:val="en-US"/>
        </w:rPr>
      </w:pPr>
      <w:r w:rsidRPr="00EE4CF2">
        <w:rPr>
          <w:lang w:val="en-US"/>
        </w:rPr>
        <w:t>Table 12</w:t>
      </w:r>
      <w:r w:rsidRPr="00EE4CF2">
        <w:rPr>
          <w:b/>
          <w:lang w:val="en-US"/>
        </w:rPr>
        <w:br/>
        <w:t>Comparison for Mauritius NCD Survey 2009 and 2015</w:t>
      </w:r>
    </w:p>
    <w:tbl>
      <w:tblPr>
        <w:tblW w:w="7370" w:type="dxa"/>
        <w:tblInd w:w="1134" w:type="dxa"/>
        <w:tblLayout w:type="fixed"/>
        <w:tblCellMar>
          <w:left w:w="0" w:type="dxa"/>
          <w:right w:w="0" w:type="dxa"/>
        </w:tblCellMar>
        <w:tblLook w:val="01E0" w:firstRow="1" w:lastRow="1" w:firstColumn="1" w:lastColumn="1" w:noHBand="0" w:noVBand="0"/>
      </w:tblPr>
      <w:tblGrid>
        <w:gridCol w:w="2006"/>
        <w:gridCol w:w="1735"/>
        <w:gridCol w:w="1735"/>
        <w:gridCol w:w="1894"/>
      </w:tblGrid>
      <w:tr w:rsidR="00D77BDC" w:rsidRPr="00EE4CF2" w:rsidTr="00D81B2D">
        <w:trPr>
          <w:tblHeader/>
        </w:trPr>
        <w:tc>
          <w:tcPr>
            <w:tcW w:w="2006" w:type="dxa"/>
            <w:vMerge w:val="restart"/>
            <w:tcBorders>
              <w:top w:val="single" w:sz="4" w:space="0" w:color="auto"/>
              <w:bottom w:val="single" w:sz="12" w:space="0" w:color="auto"/>
            </w:tcBorders>
            <w:shd w:val="clear" w:color="auto" w:fill="auto"/>
            <w:vAlign w:val="bottom"/>
          </w:tcPr>
          <w:p w:rsidR="00D77BDC" w:rsidRPr="00EE4CF2" w:rsidRDefault="00D77BDC" w:rsidP="003977E1">
            <w:pPr>
              <w:pStyle w:val="SingleTxtG"/>
              <w:suppressAutoHyphens w:val="0"/>
              <w:spacing w:before="80" w:after="80" w:line="200" w:lineRule="exact"/>
              <w:ind w:left="0" w:right="0"/>
              <w:jc w:val="left"/>
              <w:rPr>
                <w:bCs/>
                <w:i/>
                <w:spacing w:val="4"/>
                <w:w w:val="103"/>
                <w:kern w:val="14"/>
                <w:sz w:val="16"/>
              </w:rPr>
            </w:pPr>
          </w:p>
        </w:tc>
        <w:tc>
          <w:tcPr>
            <w:tcW w:w="1735" w:type="dxa"/>
            <w:tcBorders>
              <w:top w:val="single" w:sz="4" w:space="0" w:color="auto"/>
              <w:bottom w:val="single" w:sz="4" w:space="0" w:color="auto"/>
              <w:right w:val="single" w:sz="24" w:space="0" w:color="FFFFFF" w:themeColor="background1"/>
            </w:tcBorders>
            <w:shd w:val="clear" w:color="auto" w:fill="auto"/>
            <w:vAlign w:val="bottom"/>
            <w:hideMark/>
          </w:tcPr>
          <w:p w:rsidR="00D77BDC" w:rsidRPr="00EE4CF2" w:rsidRDefault="00D77BDC" w:rsidP="00D81B2D">
            <w:pPr>
              <w:pStyle w:val="SingleTxtG"/>
              <w:suppressAutoHyphens w:val="0"/>
              <w:spacing w:before="80" w:after="80" w:line="200" w:lineRule="exact"/>
              <w:ind w:left="0" w:right="113"/>
              <w:jc w:val="center"/>
              <w:rPr>
                <w:bCs/>
                <w:i/>
                <w:spacing w:val="4"/>
                <w:w w:val="103"/>
                <w:kern w:val="14"/>
                <w:sz w:val="16"/>
              </w:rPr>
            </w:pPr>
            <w:r w:rsidRPr="00EE4CF2">
              <w:rPr>
                <w:bCs/>
                <w:i/>
                <w:spacing w:val="4"/>
                <w:w w:val="103"/>
                <w:kern w:val="14"/>
                <w:sz w:val="16"/>
                <w:lang w:val="en-US"/>
              </w:rPr>
              <w:t>2009</w:t>
            </w:r>
          </w:p>
        </w:tc>
        <w:tc>
          <w:tcPr>
            <w:tcW w:w="1735" w:type="dxa"/>
            <w:tcBorders>
              <w:top w:val="single" w:sz="4" w:space="0" w:color="auto"/>
              <w:left w:val="single" w:sz="24" w:space="0" w:color="FFFFFF" w:themeColor="background1"/>
              <w:bottom w:val="single" w:sz="4" w:space="0" w:color="auto"/>
            </w:tcBorders>
            <w:shd w:val="clear" w:color="auto" w:fill="auto"/>
            <w:vAlign w:val="bottom"/>
            <w:hideMark/>
          </w:tcPr>
          <w:p w:rsidR="00D77BDC" w:rsidRPr="00EE4CF2" w:rsidRDefault="00D77BDC" w:rsidP="00D81B2D">
            <w:pPr>
              <w:pStyle w:val="SingleTxtG"/>
              <w:suppressAutoHyphens w:val="0"/>
              <w:spacing w:before="80" w:after="80" w:line="200" w:lineRule="exact"/>
              <w:ind w:left="0" w:right="113"/>
              <w:jc w:val="center"/>
              <w:rPr>
                <w:bCs/>
                <w:i/>
                <w:spacing w:val="4"/>
                <w:w w:val="103"/>
                <w:kern w:val="14"/>
                <w:sz w:val="16"/>
              </w:rPr>
            </w:pPr>
            <w:r w:rsidRPr="00EE4CF2">
              <w:rPr>
                <w:bCs/>
                <w:i/>
                <w:spacing w:val="4"/>
                <w:w w:val="103"/>
                <w:kern w:val="14"/>
                <w:sz w:val="16"/>
                <w:lang w:val="en-US"/>
              </w:rPr>
              <w:t>2015</w:t>
            </w:r>
          </w:p>
        </w:tc>
        <w:tc>
          <w:tcPr>
            <w:tcW w:w="1894" w:type="dxa"/>
            <w:vMerge w:val="restart"/>
            <w:tcBorders>
              <w:top w:val="single" w:sz="4" w:space="0" w:color="auto"/>
              <w:bottom w:val="single" w:sz="12" w:space="0" w:color="auto"/>
            </w:tcBorders>
            <w:shd w:val="clear" w:color="auto" w:fill="auto"/>
            <w:vAlign w:val="bottom"/>
            <w:hideMark/>
          </w:tcPr>
          <w:p w:rsidR="00D77BDC" w:rsidRPr="00EE4CF2" w:rsidRDefault="00D77BDC" w:rsidP="00DA1C91">
            <w:pPr>
              <w:pStyle w:val="SingleTxtG"/>
              <w:suppressAutoHyphens w:val="0"/>
              <w:spacing w:before="80" w:after="80" w:line="200" w:lineRule="exact"/>
              <w:ind w:left="0" w:right="113"/>
              <w:jc w:val="right"/>
              <w:rPr>
                <w:bCs/>
                <w:i/>
                <w:spacing w:val="4"/>
                <w:w w:val="103"/>
                <w:kern w:val="14"/>
                <w:sz w:val="16"/>
              </w:rPr>
            </w:pPr>
            <w:r w:rsidRPr="00EE4CF2">
              <w:rPr>
                <w:bCs/>
                <w:i/>
                <w:spacing w:val="4"/>
                <w:w w:val="103"/>
                <w:kern w:val="14"/>
                <w:sz w:val="16"/>
                <w:lang w:val="en-US"/>
              </w:rPr>
              <w:t>Remark</w:t>
            </w:r>
          </w:p>
        </w:tc>
      </w:tr>
      <w:tr w:rsidR="00D77BDC" w:rsidRPr="00EE4CF2" w:rsidTr="00D81B2D">
        <w:trPr>
          <w:tblHeader/>
        </w:trPr>
        <w:tc>
          <w:tcPr>
            <w:tcW w:w="2006" w:type="dxa"/>
            <w:vMerge/>
            <w:tcBorders>
              <w:top w:val="single" w:sz="12" w:space="0" w:color="auto"/>
              <w:bottom w:val="single" w:sz="12" w:space="0" w:color="auto"/>
            </w:tcBorders>
            <w:shd w:val="clear" w:color="auto" w:fill="auto"/>
            <w:vAlign w:val="bottom"/>
            <w:hideMark/>
          </w:tcPr>
          <w:p w:rsidR="00D77BDC" w:rsidRPr="00EE4CF2" w:rsidRDefault="00D77BDC" w:rsidP="003977E1">
            <w:pPr>
              <w:pStyle w:val="SingleTxtG"/>
              <w:suppressAutoHyphens w:val="0"/>
              <w:spacing w:before="80" w:after="80" w:line="200" w:lineRule="exact"/>
              <w:ind w:left="0" w:right="0"/>
              <w:jc w:val="left"/>
              <w:rPr>
                <w:bCs/>
                <w:i/>
                <w:spacing w:val="4"/>
                <w:w w:val="103"/>
                <w:kern w:val="14"/>
                <w:sz w:val="16"/>
              </w:rPr>
            </w:pPr>
          </w:p>
        </w:tc>
        <w:tc>
          <w:tcPr>
            <w:tcW w:w="1735" w:type="dxa"/>
            <w:tcBorders>
              <w:top w:val="single" w:sz="4" w:space="0" w:color="auto"/>
              <w:bottom w:val="single" w:sz="12" w:space="0" w:color="auto"/>
              <w:right w:val="single" w:sz="24" w:space="0" w:color="FFFFFF" w:themeColor="background1"/>
            </w:tcBorders>
            <w:shd w:val="clear" w:color="auto" w:fill="auto"/>
            <w:vAlign w:val="bottom"/>
            <w:hideMark/>
          </w:tcPr>
          <w:p w:rsidR="00D77BDC" w:rsidRPr="00EE4CF2" w:rsidRDefault="00295E70" w:rsidP="00DA1C91">
            <w:pPr>
              <w:pStyle w:val="SingleTxtG"/>
              <w:suppressAutoHyphens w:val="0"/>
              <w:spacing w:before="80" w:after="80" w:line="200" w:lineRule="exact"/>
              <w:ind w:left="0" w:right="113"/>
              <w:jc w:val="right"/>
              <w:rPr>
                <w:bCs/>
                <w:i/>
                <w:spacing w:val="4"/>
                <w:w w:val="103"/>
                <w:kern w:val="14"/>
                <w:sz w:val="16"/>
              </w:rPr>
            </w:pPr>
            <w:r>
              <w:rPr>
                <w:bCs/>
                <w:i/>
                <w:spacing w:val="4"/>
                <w:w w:val="103"/>
                <w:kern w:val="14"/>
                <w:sz w:val="16"/>
                <w:lang w:val="en-US"/>
              </w:rPr>
              <w:t>Age (25–</w:t>
            </w:r>
            <w:r w:rsidR="00D77BDC" w:rsidRPr="00EE4CF2">
              <w:rPr>
                <w:bCs/>
                <w:i/>
                <w:spacing w:val="4"/>
                <w:w w:val="103"/>
                <w:kern w:val="14"/>
                <w:sz w:val="16"/>
                <w:lang w:val="en-US"/>
              </w:rPr>
              <w:t xml:space="preserve">74 </w:t>
            </w:r>
            <w:proofErr w:type="spellStart"/>
            <w:r w:rsidR="00D77BDC" w:rsidRPr="00EE4CF2">
              <w:rPr>
                <w:bCs/>
                <w:i/>
                <w:spacing w:val="4"/>
                <w:w w:val="103"/>
                <w:kern w:val="14"/>
                <w:sz w:val="16"/>
                <w:lang w:val="en-US"/>
              </w:rPr>
              <w:t>yrs</w:t>
            </w:r>
            <w:proofErr w:type="spellEnd"/>
            <w:r w:rsidR="00D77BDC" w:rsidRPr="00EE4CF2">
              <w:rPr>
                <w:bCs/>
                <w:i/>
                <w:spacing w:val="4"/>
                <w:w w:val="103"/>
                <w:kern w:val="14"/>
                <w:sz w:val="16"/>
                <w:lang w:val="en-US"/>
              </w:rPr>
              <w:t>)</w:t>
            </w:r>
          </w:p>
        </w:tc>
        <w:tc>
          <w:tcPr>
            <w:tcW w:w="1735" w:type="dxa"/>
            <w:tcBorders>
              <w:top w:val="single" w:sz="4" w:space="0" w:color="auto"/>
              <w:left w:val="single" w:sz="24" w:space="0" w:color="FFFFFF" w:themeColor="background1"/>
              <w:bottom w:val="single" w:sz="12" w:space="0" w:color="auto"/>
            </w:tcBorders>
            <w:shd w:val="clear" w:color="auto" w:fill="auto"/>
            <w:vAlign w:val="bottom"/>
            <w:hideMark/>
          </w:tcPr>
          <w:p w:rsidR="00D77BDC" w:rsidRPr="00EE4CF2" w:rsidRDefault="00295E70" w:rsidP="00DA1C91">
            <w:pPr>
              <w:pStyle w:val="SingleTxtG"/>
              <w:suppressAutoHyphens w:val="0"/>
              <w:spacing w:before="80" w:after="80" w:line="200" w:lineRule="exact"/>
              <w:ind w:left="0" w:right="113"/>
              <w:jc w:val="right"/>
              <w:rPr>
                <w:bCs/>
                <w:i/>
                <w:spacing w:val="4"/>
                <w:w w:val="103"/>
                <w:kern w:val="14"/>
                <w:sz w:val="16"/>
              </w:rPr>
            </w:pPr>
            <w:r>
              <w:rPr>
                <w:bCs/>
                <w:i/>
                <w:spacing w:val="4"/>
                <w:w w:val="103"/>
                <w:kern w:val="14"/>
                <w:sz w:val="16"/>
                <w:lang w:val="en-US"/>
              </w:rPr>
              <w:t>Age (25–</w:t>
            </w:r>
            <w:r w:rsidR="00D77BDC" w:rsidRPr="00EE4CF2">
              <w:rPr>
                <w:bCs/>
                <w:i/>
                <w:spacing w:val="4"/>
                <w:w w:val="103"/>
                <w:kern w:val="14"/>
                <w:sz w:val="16"/>
                <w:lang w:val="en-US"/>
              </w:rPr>
              <w:t xml:space="preserve">74 </w:t>
            </w:r>
            <w:proofErr w:type="spellStart"/>
            <w:r w:rsidR="00D77BDC" w:rsidRPr="00EE4CF2">
              <w:rPr>
                <w:bCs/>
                <w:i/>
                <w:spacing w:val="4"/>
                <w:w w:val="103"/>
                <w:kern w:val="14"/>
                <w:sz w:val="16"/>
                <w:lang w:val="en-US"/>
              </w:rPr>
              <w:t>yrs</w:t>
            </w:r>
            <w:proofErr w:type="spellEnd"/>
            <w:r w:rsidR="00D77BDC" w:rsidRPr="00EE4CF2">
              <w:rPr>
                <w:bCs/>
                <w:i/>
                <w:spacing w:val="4"/>
                <w:w w:val="103"/>
                <w:kern w:val="14"/>
                <w:sz w:val="16"/>
                <w:lang w:val="en-US"/>
              </w:rPr>
              <w:t>)</w:t>
            </w:r>
          </w:p>
        </w:tc>
        <w:tc>
          <w:tcPr>
            <w:tcW w:w="1894" w:type="dxa"/>
            <w:vMerge/>
            <w:tcBorders>
              <w:top w:val="single" w:sz="12" w:space="0" w:color="auto"/>
              <w:bottom w:val="single" w:sz="12" w:space="0" w:color="auto"/>
            </w:tcBorders>
            <w:shd w:val="clear" w:color="auto" w:fill="auto"/>
            <w:vAlign w:val="bottom"/>
            <w:hideMark/>
          </w:tcPr>
          <w:p w:rsidR="00D77BDC" w:rsidRPr="00EE4CF2" w:rsidRDefault="00D77BDC" w:rsidP="00DA1C91">
            <w:pPr>
              <w:pStyle w:val="SingleTxtG"/>
              <w:suppressAutoHyphens w:val="0"/>
              <w:spacing w:before="80" w:after="80" w:line="200" w:lineRule="exact"/>
              <w:ind w:left="0" w:right="113"/>
              <w:jc w:val="left"/>
              <w:rPr>
                <w:bCs/>
                <w:i/>
                <w:spacing w:val="4"/>
                <w:w w:val="103"/>
                <w:kern w:val="14"/>
                <w:sz w:val="16"/>
              </w:rPr>
            </w:pPr>
          </w:p>
        </w:tc>
      </w:tr>
      <w:tr w:rsidR="00D77BDC" w:rsidRPr="00EE4CF2" w:rsidTr="003977E1">
        <w:tc>
          <w:tcPr>
            <w:tcW w:w="2006" w:type="dxa"/>
            <w:tcBorders>
              <w:top w:val="single" w:sz="12" w:space="0" w:color="auto"/>
            </w:tcBorders>
            <w:shd w:val="clear" w:color="auto" w:fill="auto"/>
            <w:vAlign w:val="bottom"/>
            <w:hideMark/>
          </w:tcPr>
          <w:p w:rsidR="00D77BDC" w:rsidRPr="00EE4CF2" w:rsidRDefault="00D77BDC" w:rsidP="003977E1">
            <w:pPr>
              <w:pStyle w:val="SingleTxtG"/>
              <w:suppressAutoHyphens w:val="0"/>
              <w:spacing w:before="40" w:after="40" w:line="220" w:lineRule="exact"/>
              <w:ind w:left="0" w:right="0"/>
              <w:jc w:val="left"/>
              <w:rPr>
                <w:bCs/>
                <w:sz w:val="18"/>
              </w:rPr>
            </w:pPr>
            <w:r w:rsidRPr="00EE4CF2">
              <w:rPr>
                <w:bCs/>
                <w:sz w:val="18"/>
                <w:lang w:val="en-US"/>
              </w:rPr>
              <w:t>Diabetes</w:t>
            </w:r>
          </w:p>
        </w:tc>
        <w:tc>
          <w:tcPr>
            <w:tcW w:w="1735" w:type="dxa"/>
            <w:tcBorders>
              <w:top w:val="single" w:sz="12" w:space="0" w:color="auto"/>
            </w:tcBorders>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23.6%</w:t>
            </w:r>
          </w:p>
        </w:tc>
        <w:tc>
          <w:tcPr>
            <w:tcW w:w="1735" w:type="dxa"/>
            <w:tcBorders>
              <w:top w:val="single" w:sz="12" w:space="0" w:color="auto"/>
            </w:tcBorders>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22.8%</w:t>
            </w:r>
          </w:p>
        </w:tc>
        <w:tc>
          <w:tcPr>
            <w:tcW w:w="1894" w:type="dxa"/>
            <w:tcBorders>
              <w:top w:val="single" w:sz="12" w:space="0" w:color="auto"/>
            </w:tcBorders>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Stabilized</w:t>
            </w:r>
          </w:p>
        </w:tc>
      </w:tr>
      <w:tr w:rsidR="00D77BDC" w:rsidRPr="00EE4CF2" w:rsidTr="003977E1">
        <w:tc>
          <w:tcPr>
            <w:tcW w:w="2006" w:type="dxa"/>
            <w:shd w:val="clear" w:color="auto" w:fill="auto"/>
            <w:vAlign w:val="bottom"/>
            <w:hideMark/>
          </w:tcPr>
          <w:p w:rsidR="00D77BDC" w:rsidRPr="00EE4CF2" w:rsidRDefault="00D77BDC" w:rsidP="003977E1">
            <w:pPr>
              <w:pStyle w:val="SingleTxtG"/>
              <w:suppressAutoHyphens w:val="0"/>
              <w:spacing w:before="40" w:after="40" w:line="220" w:lineRule="exact"/>
              <w:ind w:left="0" w:right="0"/>
              <w:jc w:val="left"/>
              <w:rPr>
                <w:bCs/>
                <w:sz w:val="18"/>
              </w:rPr>
            </w:pPr>
            <w:r w:rsidRPr="00EE4CF2">
              <w:rPr>
                <w:bCs/>
                <w:sz w:val="18"/>
                <w:lang w:val="en-US"/>
              </w:rPr>
              <w:t>Pre-diabetes (IGT/IFG)</w:t>
            </w:r>
          </w:p>
        </w:tc>
        <w:tc>
          <w:tcPr>
            <w:tcW w:w="1735"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24.2%</w:t>
            </w:r>
          </w:p>
        </w:tc>
        <w:tc>
          <w:tcPr>
            <w:tcW w:w="1735"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19.4%</w:t>
            </w:r>
          </w:p>
        </w:tc>
        <w:tc>
          <w:tcPr>
            <w:tcW w:w="1894" w:type="dxa"/>
            <w:shd w:val="clear" w:color="auto" w:fill="auto"/>
            <w:vAlign w:val="bottom"/>
            <w:hideMark/>
          </w:tcPr>
          <w:p w:rsidR="00D77BDC" w:rsidRPr="00EE4CF2" w:rsidRDefault="00D77BDC" w:rsidP="0039107B">
            <w:pPr>
              <w:pStyle w:val="SingleTxtG"/>
              <w:suppressAutoHyphens w:val="0"/>
              <w:spacing w:before="40" w:after="40" w:line="220" w:lineRule="exact"/>
              <w:ind w:left="0" w:right="113"/>
              <w:jc w:val="right"/>
              <w:rPr>
                <w:bCs/>
                <w:sz w:val="18"/>
              </w:rPr>
            </w:pPr>
            <w:r w:rsidRPr="00EE4CF2">
              <w:rPr>
                <w:bCs/>
                <w:sz w:val="18"/>
                <w:lang w:val="en-US"/>
              </w:rPr>
              <w:t>Decrease</w:t>
            </w:r>
            <w:r w:rsidR="0039107B">
              <w:rPr>
                <w:bCs/>
                <w:sz w:val="18"/>
                <w:lang w:val="en-US"/>
              </w:rPr>
              <w:br/>
            </w:r>
            <w:r w:rsidRPr="00EE4CF2">
              <w:rPr>
                <w:bCs/>
                <w:sz w:val="18"/>
                <w:lang w:val="en-US"/>
              </w:rPr>
              <w:t>(4.8%)</w:t>
            </w:r>
          </w:p>
        </w:tc>
      </w:tr>
      <w:tr w:rsidR="00D77BDC" w:rsidRPr="00EE4CF2" w:rsidTr="003977E1">
        <w:tc>
          <w:tcPr>
            <w:tcW w:w="2006" w:type="dxa"/>
            <w:shd w:val="clear" w:color="auto" w:fill="auto"/>
            <w:vAlign w:val="bottom"/>
            <w:hideMark/>
          </w:tcPr>
          <w:p w:rsidR="00D77BDC" w:rsidRPr="00EE4CF2" w:rsidRDefault="00D77BDC" w:rsidP="003977E1">
            <w:pPr>
              <w:pStyle w:val="SingleTxtG"/>
              <w:suppressAutoHyphens w:val="0"/>
              <w:spacing w:before="40" w:after="40" w:line="220" w:lineRule="exact"/>
              <w:ind w:left="0" w:right="0"/>
              <w:jc w:val="left"/>
              <w:rPr>
                <w:bCs/>
                <w:sz w:val="18"/>
              </w:rPr>
            </w:pPr>
            <w:r w:rsidRPr="00EE4CF2">
              <w:rPr>
                <w:bCs/>
                <w:sz w:val="18"/>
                <w:lang w:val="en-US"/>
              </w:rPr>
              <w:t>High Blood Pressure</w:t>
            </w:r>
          </w:p>
        </w:tc>
        <w:tc>
          <w:tcPr>
            <w:tcW w:w="1735"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37.9%</w:t>
            </w:r>
          </w:p>
        </w:tc>
        <w:tc>
          <w:tcPr>
            <w:tcW w:w="1735"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28.0%</w:t>
            </w:r>
          </w:p>
        </w:tc>
        <w:tc>
          <w:tcPr>
            <w:tcW w:w="1894" w:type="dxa"/>
            <w:shd w:val="clear" w:color="auto" w:fill="auto"/>
            <w:vAlign w:val="bottom"/>
            <w:hideMark/>
          </w:tcPr>
          <w:p w:rsidR="00D77BDC" w:rsidRPr="00EE4CF2" w:rsidRDefault="00D77BDC" w:rsidP="0039107B">
            <w:pPr>
              <w:pStyle w:val="SingleTxtG"/>
              <w:suppressAutoHyphens w:val="0"/>
              <w:spacing w:before="40" w:after="40" w:line="220" w:lineRule="exact"/>
              <w:ind w:left="0" w:right="113"/>
              <w:jc w:val="right"/>
              <w:rPr>
                <w:bCs/>
                <w:sz w:val="18"/>
              </w:rPr>
            </w:pPr>
            <w:r w:rsidRPr="00EE4CF2">
              <w:rPr>
                <w:bCs/>
                <w:sz w:val="18"/>
                <w:lang w:val="en-US"/>
              </w:rPr>
              <w:t>Decrease</w:t>
            </w:r>
            <w:r w:rsidR="0039107B">
              <w:rPr>
                <w:bCs/>
                <w:sz w:val="18"/>
                <w:lang w:val="en-US"/>
              </w:rPr>
              <w:br/>
            </w:r>
            <w:r w:rsidRPr="00EE4CF2">
              <w:rPr>
                <w:bCs/>
                <w:sz w:val="18"/>
                <w:lang w:val="en-US"/>
              </w:rPr>
              <w:t>(9.9%)</w:t>
            </w:r>
          </w:p>
        </w:tc>
      </w:tr>
      <w:tr w:rsidR="00D77BDC" w:rsidRPr="00EE4CF2" w:rsidTr="003977E1">
        <w:tc>
          <w:tcPr>
            <w:tcW w:w="2006" w:type="dxa"/>
            <w:shd w:val="clear" w:color="auto" w:fill="auto"/>
            <w:vAlign w:val="bottom"/>
            <w:hideMark/>
          </w:tcPr>
          <w:p w:rsidR="00D77BDC" w:rsidRPr="00EE4CF2" w:rsidRDefault="00D77BDC" w:rsidP="003977E1">
            <w:pPr>
              <w:pStyle w:val="SingleTxtG"/>
              <w:suppressAutoHyphens w:val="0"/>
              <w:spacing w:before="40" w:after="40" w:line="220" w:lineRule="exact"/>
              <w:ind w:left="0" w:right="0"/>
              <w:jc w:val="left"/>
              <w:rPr>
                <w:bCs/>
                <w:sz w:val="18"/>
              </w:rPr>
            </w:pPr>
            <w:r w:rsidRPr="00EE4CF2">
              <w:rPr>
                <w:bCs/>
                <w:sz w:val="18"/>
                <w:lang w:val="en-US"/>
              </w:rPr>
              <w:t>Overweight</w:t>
            </w:r>
          </w:p>
        </w:tc>
        <w:tc>
          <w:tcPr>
            <w:tcW w:w="1735"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34.9%</w:t>
            </w:r>
          </w:p>
        </w:tc>
        <w:tc>
          <w:tcPr>
            <w:tcW w:w="1735"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35.2%</w:t>
            </w:r>
          </w:p>
        </w:tc>
        <w:tc>
          <w:tcPr>
            <w:tcW w:w="1894"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Stabilized</w:t>
            </w:r>
          </w:p>
        </w:tc>
      </w:tr>
      <w:tr w:rsidR="00D77BDC" w:rsidRPr="00EE4CF2" w:rsidTr="003977E1">
        <w:tc>
          <w:tcPr>
            <w:tcW w:w="2006" w:type="dxa"/>
            <w:shd w:val="clear" w:color="auto" w:fill="auto"/>
            <w:vAlign w:val="bottom"/>
            <w:hideMark/>
          </w:tcPr>
          <w:p w:rsidR="00D77BDC" w:rsidRPr="00EE4CF2" w:rsidRDefault="00D77BDC" w:rsidP="003977E1">
            <w:pPr>
              <w:pStyle w:val="SingleTxtG"/>
              <w:suppressAutoHyphens w:val="0"/>
              <w:spacing w:before="40" w:after="40" w:line="220" w:lineRule="exact"/>
              <w:ind w:left="0" w:right="0"/>
              <w:jc w:val="left"/>
              <w:rPr>
                <w:bCs/>
                <w:sz w:val="18"/>
              </w:rPr>
            </w:pPr>
            <w:r w:rsidRPr="00EE4CF2">
              <w:rPr>
                <w:bCs/>
                <w:sz w:val="18"/>
                <w:lang w:val="en-US"/>
              </w:rPr>
              <w:t>Smoking</w:t>
            </w:r>
          </w:p>
        </w:tc>
        <w:tc>
          <w:tcPr>
            <w:tcW w:w="1735"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21.7%</w:t>
            </w:r>
          </w:p>
        </w:tc>
        <w:tc>
          <w:tcPr>
            <w:tcW w:w="1735" w:type="dxa"/>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19.3%</w:t>
            </w:r>
          </w:p>
        </w:tc>
        <w:tc>
          <w:tcPr>
            <w:tcW w:w="1894" w:type="dxa"/>
            <w:shd w:val="clear" w:color="auto" w:fill="auto"/>
            <w:vAlign w:val="bottom"/>
            <w:hideMark/>
          </w:tcPr>
          <w:p w:rsidR="00D77BDC" w:rsidRPr="00EE4CF2" w:rsidRDefault="00D77BDC" w:rsidP="0039107B">
            <w:pPr>
              <w:pStyle w:val="SingleTxtG"/>
              <w:suppressAutoHyphens w:val="0"/>
              <w:spacing w:before="40" w:after="40" w:line="220" w:lineRule="exact"/>
              <w:ind w:left="0" w:right="113"/>
              <w:jc w:val="right"/>
              <w:rPr>
                <w:bCs/>
                <w:sz w:val="18"/>
              </w:rPr>
            </w:pPr>
            <w:r w:rsidRPr="00EE4CF2">
              <w:rPr>
                <w:bCs/>
                <w:sz w:val="18"/>
                <w:lang w:val="en-US"/>
              </w:rPr>
              <w:t>Decrease</w:t>
            </w:r>
            <w:r w:rsidR="0039107B">
              <w:rPr>
                <w:bCs/>
                <w:sz w:val="18"/>
                <w:lang w:val="en-US"/>
              </w:rPr>
              <w:br/>
            </w:r>
            <w:r w:rsidRPr="00EE4CF2">
              <w:rPr>
                <w:bCs/>
                <w:sz w:val="18"/>
                <w:lang w:val="en-US"/>
              </w:rPr>
              <w:t>(2.4%)</w:t>
            </w:r>
          </w:p>
        </w:tc>
      </w:tr>
      <w:tr w:rsidR="00D77BDC" w:rsidRPr="00EE4CF2" w:rsidTr="003977E1">
        <w:tc>
          <w:tcPr>
            <w:tcW w:w="2006" w:type="dxa"/>
            <w:tcBorders>
              <w:bottom w:val="single" w:sz="12" w:space="0" w:color="auto"/>
            </w:tcBorders>
            <w:shd w:val="clear" w:color="auto" w:fill="auto"/>
            <w:vAlign w:val="bottom"/>
            <w:hideMark/>
          </w:tcPr>
          <w:p w:rsidR="00D77BDC" w:rsidRPr="00EE4CF2" w:rsidRDefault="00D77BDC" w:rsidP="003977E1">
            <w:pPr>
              <w:pStyle w:val="SingleTxtG"/>
              <w:suppressAutoHyphens w:val="0"/>
              <w:spacing w:before="40" w:after="40" w:line="220" w:lineRule="exact"/>
              <w:ind w:left="0" w:right="0"/>
              <w:jc w:val="left"/>
              <w:rPr>
                <w:bCs/>
                <w:sz w:val="18"/>
              </w:rPr>
            </w:pPr>
            <w:r w:rsidRPr="00EE4CF2">
              <w:rPr>
                <w:bCs/>
                <w:sz w:val="18"/>
                <w:lang w:val="en-US"/>
              </w:rPr>
              <w:t>Physical Activity</w:t>
            </w:r>
          </w:p>
        </w:tc>
        <w:tc>
          <w:tcPr>
            <w:tcW w:w="1735" w:type="dxa"/>
            <w:tcBorders>
              <w:bottom w:val="single" w:sz="12" w:space="0" w:color="auto"/>
            </w:tcBorders>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16.5%</w:t>
            </w:r>
          </w:p>
        </w:tc>
        <w:tc>
          <w:tcPr>
            <w:tcW w:w="1735" w:type="dxa"/>
            <w:tcBorders>
              <w:bottom w:val="single" w:sz="12" w:space="0" w:color="auto"/>
            </w:tcBorders>
            <w:shd w:val="clear" w:color="auto" w:fill="auto"/>
            <w:vAlign w:val="bottom"/>
            <w:hideMark/>
          </w:tcPr>
          <w:p w:rsidR="00D77BDC" w:rsidRPr="00EE4CF2" w:rsidRDefault="00D77BDC" w:rsidP="00DA1C91">
            <w:pPr>
              <w:pStyle w:val="SingleTxtG"/>
              <w:suppressAutoHyphens w:val="0"/>
              <w:spacing w:before="40" w:after="40" w:line="220" w:lineRule="exact"/>
              <w:ind w:left="0" w:right="113"/>
              <w:jc w:val="right"/>
              <w:rPr>
                <w:bCs/>
                <w:sz w:val="18"/>
              </w:rPr>
            </w:pPr>
            <w:r w:rsidRPr="00EE4CF2">
              <w:rPr>
                <w:bCs/>
                <w:sz w:val="18"/>
                <w:lang w:val="en-US"/>
              </w:rPr>
              <w:t>23.7%</w:t>
            </w:r>
          </w:p>
        </w:tc>
        <w:tc>
          <w:tcPr>
            <w:tcW w:w="1894" w:type="dxa"/>
            <w:tcBorders>
              <w:bottom w:val="single" w:sz="12" w:space="0" w:color="auto"/>
            </w:tcBorders>
            <w:shd w:val="clear" w:color="auto" w:fill="auto"/>
            <w:vAlign w:val="bottom"/>
            <w:hideMark/>
          </w:tcPr>
          <w:p w:rsidR="00D77BDC" w:rsidRPr="00EE4CF2" w:rsidRDefault="00D77BDC" w:rsidP="009D2642">
            <w:pPr>
              <w:pStyle w:val="SingleTxtG"/>
              <w:suppressAutoHyphens w:val="0"/>
              <w:spacing w:before="40" w:after="40" w:line="220" w:lineRule="exact"/>
              <w:ind w:left="0" w:right="113"/>
              <w:jc w:val="right"/>
              <w:rPr>
                <w:bCs/>
                <w:sz w:val="18"/>
              </w:rPr>
            </w:pPr>
            <w:r w:rsidRPr="00EE4CF2">
              <w:rPr>
                <w:bCs/>
                <w:sz w:val="18"/>
                <w:lang w:val="en-US"/>
              </w:rPr>
              <w:t>More people are doing physical activity</w:t>
            </w:r>
            <w:r w:rsidR="0039107B">
              <w:rPr>
                <w:bCs/>
                <w:sz w:val="18"/>
                <w:lang w:val="en-US"/>
              </w:rPr>
              <w:t xml:space="preserve"> </w:t>
            </w:r>
            <w:r w:rsidR="0039107B">
              <w:rPr>
                <w:bCs/>
                <w:sz w:val="18"/>
                <w:lang w:val="en-US"/>
              </w:rPr>
              <w:br/>
            </w:r>
            <w:r w:rsidRPr="00EE4CF2">
              <w:rPr>
                <w:bCs/>
                <w:sz w:val="18"/>
                <w:lang w:val="en-US"/>
              </w:rPr>
              <w:t>(7.2%)</w:t>
            </w:r>
          </w:p>
        </w:tc>
      </w:tr>
    </w:tbl>
    <w:p w:rsidR="00D77BDC" w:rsidRPr="00EE4CF2" w:rsidRDefault="00D77BDC" w:rsidP="00D77BDC">
      <w:pPr>
        <w:pStyle w:val="SingleTxtG"/>
        <w:spacing w:before="240"/>
        <w:rPr>
          <w:lang w:val="en-US"/>
        </w:rPr>
      </w:pPr>
      <w:r w:rsidRPr="00EE4CF2">
        <w:rPr>
          <w:lang w:val="en-US"/>
        </w:rPr>
        <w:t>128.</w:t>
      </w:r>
      <w:r w:rsidRPr="00EE4CF2">
        <w:rPr>
          <w:lang w:val="en-US"/>
        </w:rPr>
        <w:tab/>
        <w:t>It is to be highlighted that the death rate for 100,000 population which is mainly due to NCDs like cardiovascular disease, diabetes and cancer has decreased from 547 in 2016 to 534 in 2017.</w:t>
      </w:r>
    </w:p>
    <w:p w:rsidR="00D77BDC" w:rsidRPr="00EE4CF2" w:rsidRDefault="00D77BDC" w:rsidP="00D77BDC">
      <w:pPr>
        <w:pStyle w:val="SingleTxtG"/>
        <w:rPr>
          <w:lang w:val="en-US"/>
        </w:rPr>
      </w:pPr>
      <w:r w:rsidRPr="00EE4CF2">
        <w:rPr>
          <w:lang w:val="en-US"/>
        </w:rPr>
        <w:t>129.</w:t>
      </w:r>
      <w:r w:rsidRPr="00EE4CF2">
        <w:rPr>
          <w:lang w:val="en-US"/>
        </w:rPr>
        <w:tab/>
        <w:t>As regard, alcohol consumption, unfortunately a slight increase thereof has been noted, that is, from 48.5% in 2009 to 52.8% in 2015.</w:t>
      </w:r>
    </w:p>
    <w:p w:rsidR="00D77BDC" w:rsidRPr="00EE4CF2" w:rsidRDefault="00D77BDC" w:rsidP="003F340E">
      <w:pPr>
        <w:pStyle w:val="SingleTxtG"/>
      </w:pPr>
      <w:r w:rsidRPr="00EE4CF2">
        <w:t>130.</w:t>
      </w:r>
      <w:r w:rsidRPr="00EE4CF2">
        <w:tab/>
      </w:r>
      <w:r w:rsidRPr="00EE4CF2">
        <w:rPr>
          <w:lang w:val="en-US"/>
        </w:rPr>
        <w:t>In 2017, 48</w:t>
      </w:r>
      <w:r w:rsidR="003F340E">
        <w:rPr>
          <w:lang w:val="en-US"/>
        </w:rPr>
        <w:t>,</w:t>
      </w:r>
      <w:r w:rsidRPr="00EE4CF2">
        <w:rPr>
          <w:lang w:val="en-US"/>
        </w:rPr>
        <w:t xml:space="preserve">595 persons were screened though the NCD </w:t>
      </w:r>
      <w:proofErr w:type="spellStart"/>
      <w:r w:rsidRPr="00EE4CF2">
        <w:rPr>
          <w:lang w:val="en-US"/>
        </w:rPr>
        <w:t>programme</w:t>
      </w:r>
      <w:proofErr w:type="spellEnd"/>
      <w:r w:rsidRPr="00EE4CF2">
        <w:rPr>
          <w:lang w:val="en-US"/>
        </w:rPr>
        <w:t xml:space="preserve"> and persons found with abnormal</w:t>
      </w:r>
      <w:r w:rsidRPr="00EE4CF2">
        <w:t xml:space="preserve"> results were referred to the nearest hospital, Area or Community Health Centre for follow up and further investigations. Additionally, through the School Health Programme for Secondary schools, some 179 schools were visited and 39,936 s</w:t>
      </w:r>
      <w:r w:rsidR="005025AE">
        <w:t>tudents were screened. About 5,</w:t>
      </w:r>
      <w:r w:rsidRPr="00EE4CF2">
        <w:t>529 women were screened for breast and cervical cancer in 2017.</w:t>
      </w:r>
    </w:p>
    <w:p w:rsidR="00D77BDC" w:rsidRPr="00EE4CF2" w:rsidRDefault="00D77BDC" w:rsidP="00BD10C0">
      <w:pPr>
        <w:pStyle w:val="H1G"/>
        <w:rPr>
          <w:lang w:val="en-US"/>
        </w:rPr>
      </w:pPr>
      <w:r w:rsidRPr="00EE4CF2">
        <w:rPr>
          <w:b w:val="0"/>
          <w:lang w:val="en-US"/>
        </w:rPr>
        <w:tab/>
      </w:r>
      <w:r w:rsidRPr="00EE4CF2">
        <w:rPr>
          <w:lang w:val="en-US"/>
        </w:rPr>
        <w:tab/>
        <w:t>Question 24</w:t>
      </w:r>
    </w:p>
    <w:p w:rsidR="00D77BDC" w:rsidRPr="00EE4CF2" w:rsidRDefault="00D77BDC" w:rsidP="00D77BDC">
      <w:pPr>
        <w:pStyle w:val="SingleTxtG"/>
        <w:rPr>
          <w:lang w:val="en-US"/>
        </w:rPr>
      </w:pPr>
      <w:r w:rsidRPr="00EE4CF2">
        <w:rPr>
          <w:lang w:val="en-US"/>
        </w:rPr>
        <w:t>131.</w:t>
      </w:r>
      <w:r w:rsidRPr="00EE4CF2">
        <w:rPr>
          <w:lang w:val="en-US"/>
        </w:rPr>
        <w:tab/>
        <w:t xml:space="preserve">Mauritius enjoys </w:t>
      </w:r>
      <w:proofErr w:type="spellStart"/>
      <w:r w:rsidRPr="00EE4CF2">
        <w:rPr>
          <w:lang w:val="en-US"/>
        </w:rPr>
        <w:t>favourable</w:t>
      </w:r>
      <w:proofErr w:type="spellEnd"/>
      <w:r w:rsidRPr="00EE4CF2">
        <w:rPr>
          <w:lang w:val="en-US"/>
        </w:rPr>
        <w:t xml:space="preserve"> child health indicators. This achievement is attributed to the successful implementation of an integrated package of primary health care services, including amongst others the expanded </w:t>
      </w:r>
      <w:proofErr w:type="spellStart"/>
      <w:r w:rsidRPr="00EE4CF2">
        <w:rPr>
          <w:lang w:val="en-US"/>
        </w:rPr>
        <w:t>programme</w:t>
      </w:r>
      <w:proofErr w:type="spellEnd"/>
      <w:r w:rsidRPr="00EE4CF2">
        <w:rPr>
          <w:lang w:val="en-US"/>
        </w:rPr>
        <w:t xml:space="preserve"> of immunization, maternal and child care services, preventive medicine and health promotion activities which are provided free to every citizen of the country. </w:t>
      </w:r>
    </w:p>
    <w:p w:rsidR="00D77BDC" w:rsidRPr="00EE4CF2" w:rsidRDefault="00D77BDC" w:rsidP="00D77BDC">
      <w:pPr>
        <w:pStyle w:val="SingleTxtG"/>
        <w:rPr>
          <w:lang w:val="en-US"/>
        </w:rPr>
      </w:pPr>
      <w:r w:rsidRPr="00EE4CF2">
        <w:rPr>
          <w:lang w:val="en-US"/>
        </w:rPr>
        <w:t>132.</w:t>
      </w:r>
      <w:r w:rsidRPr="00EE4CF2">
        <w:rPr>
          <w:lang w:val="en-US"/>
        </w:rPr>
        <w:tab/>
        <w:t xml:space="preserve">In Mauritius, Infant Mortality Rate per 1,000 live births was 12.2 in 2017 compared to 15.9 in 2001. Under Five Mortality Rate per 1,000 live births was 14.3 in 2017 compared to 18.2 in 2000. In 2017, Stillbirth Rate was 9.9 per 1,000 total births compared to 13.0 in </w:t>
      </w:r>
      <w:r w:rsidRPr="00EE4CF2">
        <w:rPr>
          <w:lang w:val="en-US"/>
        </w:rPr>
        <w:lastRenderedPageBreak/>
        <w:t xml:space="preserve">2000. Consequently, it is worth noting that the country has already achieved the SDG targets related to child mortality. </w:t>
      </w:r>
    </w:p>
    <w:p w:rsidR="00D77BDC" w:rsidRPr="00EE4CF2" w:rsidRDefault="00D77BDC" w:rsidP="00D77BDC">
      <w:pPr>
        <w:pStyle w:val="SingleTxtG"/>
      </w:pPr>
      <w:r w:rsidRPr="00EE4CF2">
        <w:t>133.</w:t>
      </w:r>
      <w:r w:rsidRPr="00EE4CF2">
        <w:tab/>
      </w:r>
      <w:r w:rsidRPr="00EE4CF2">
        <w:rPr>
          <w:lang w:val="en-US"/>
        </w:rPr>
        <w:t>The main</w:t>
      </w:r>
      <w:r w:rsidRPr="00EE4CF2">
        <w:t xml:space="preserve"> measures taken to sustain the decreasing trends observed in infant mortality, under 5 mortality and stillbirth rates in Mauritius are as follows:</w:t>
      </w:r>
    </w:p>
    <w:p w:rsidR="00D77BDC" w:rsidRPr="00EE4CF2" w:rsidRDefault="00D77BDC" w:rsidP="00D77BDC">
      <w:pPr>
        <w:pStyle w:val="Bullet1G"/>
        <w:numPr>
          <w:ilvl w:val="0"/>
          <w:numId w:val="0"/>
        </w:numPr>
        <w:tabs>
          <w:tab w:val="left" w:pos="1701"/>
        </w:tabs>
        <w:ind w:left="1701" w:hanging="170"/>
      </w:pPr>
      <w:r w:rsidRPr="00EE4CF2">
        <w:t>•</w:t>
      </w:r>
      <w:r w:rsidRPr="00EE4CF2">
        <w:tab/>
        <w:t>Strengthening of the Maternal and Child Health Care including through the modernization of health infrastructure including high tech medicine/equipment and the health human resource development through recruitment and capacity building;</w:t>
      </w:r>
    </w:p>
    <w:p w:rsidR="00D77BDC" w:rsidRPr="00EE4CF2" w:rsidRDefault="00D77BDC" w:rsidP="00D77BDC">
      <w:pPr>
        <w:pStyle w:val="Bullet1G"/>
        <w:numPr>
          <w:ilvl w:val="0"/>
          <w:numId w:val="0"/>
        </w:numPr>
        <w:tabs>
          <w:tab w:val="left" w:pos="1701"/>
        </w:tabs>
        <w:ind w:left="1701" w:hanging="170"/>
      </w:pPr>
      <w:r w:rsidRPr="00EE4CF2">
        <w:t>•</w:t>
      </w:r>
      <w:r w:rsidRPr="00EE4CF2">
        <w:tab/>
        <w:t xml:space="preserve">Sustaining the Expanded Programme on Immunizations against vaccine preventable diseases including introduction of new vaccines. </w:t>
      </w:r>
    </w:p>
    <w:p w:rsidR="00D77BDC" w:rsidRPr="00EE4CF2" w:rsidRDefault="00D77BDC" w:rsidP="00C43497">
      <w:pPr>
        <w:pStyle w:val="H1G"/>
        <w:rPr>
          <w:lang w:val="en-US"/>
        </w:rPr>
      </w:pPr>
      <w:r w:rsidRPr="00EE4CF2">
        <w:rPr>
          <w:b w:val="0"/>
          <w:lang w:val="en-US"/>
        </w:rPr>
        <w:tab/>
      </w:r>
      <w:r w:rsidRPr="00EE4CF2">
        <w:rPr>
          <w:lang w:val="en-US"/>
        </w:rPr>
        <w:tab/>
        <w:t>Question 25</w:t>
      </w:r>
    </w:p>
    <w:p w:rsidR="00D77BDC" w:rsidRPr="00EE4CF2" w:rsidRDefault="00D77BDC" w:rsidP="00D77BDC">
      <w:pPr>
        <w:pStyle w:val="SingleTxtG"/>
        <w:rPr>
          <w:lang w:val="en-US"/>
        </w:rPr>
      </w:pPr>
      <w:r w:rsidRPr="00EE4CF2">
        <w:rPr>
          <w:lang w:val="en-US"/>
        </w:rPr>
        <w:t>134.</w:t>
      </w:r>
      <w:r w:rsidRPr="00EE4CF2">
        <w:rPr>
          <w:lang w:val="en-US"/>
        </w:rPr>
        <w:tab/>
        <w:t xml:space="preserve">The Dangerous Drugs Act 2000 is the legislative framework which deals with Dangerous Drugs. According to the Dangerous Drugs Act, </w:t>
      </w:r>
      <w:r w:rsidR="00D92267">
        <w:rPr>
          <w:lang w:val="en-US"/>
        </w:rPr>
        <w:t>“</w:t>
      </w:r>
      <w:r w:rsidRPr="00EE4CF2">
        <w:rPr>
          <w:lang w:val="en-US"/>
        </w:rPr>
        <w:t>Dangerous drug</w:t>
      </w:r>
      <w:r w:rsidR="00D92267">
        <w:rPr>
          <w:lang w:val="en-US"/>
        </w:rPr>
        <w:t>”</w:t>
      </w:r>
      <w:r w:rsidRPr="00EE4CF2">
        <w:rPr>
          <w:lang w:val="en-US"/>
        </w:rPr>
        <w:t xml:space="preserve"> means:</w:t>
      </w:r>
    </w:p>
    <w:p w:rsidR="00D77BDC" w:rsidRPr="00EE4CF2" w:rsidRDefault="00B55FCD" w:rsidP="00B55FCD">
      <w:pPr>
        <w:pStyle w:val="SingleTxtG"/>
        <w:rPr>
          <w:lang w:val="en-US"/>
        </w:rPr>
      </w:pPr>
      <w:r>
        <w:rPr>
          <w:lang w:val="en-US"/>
        </w:rPr>
        <w:tab/>
      </w:r>
      <w:r w:rsidR="00D77BDC" w:rsidRPr="00EE4CF2">
        <w:rPr>
          <w:lang w:val="en-US"/>
        </w:rPr>
        <w:t>(a)</w:t>
      </w:r>
      <w:r w:rsidR="00D77BDC" w:rsidRPr="00EE4CF2">
        <w:rPr>
          <w:lang w:val="en-US"/>
        </w:rPr>
        <w:tab/>
        <w:t>Any plant or part thereof or substance listed in Schedule I, II or III;</w:t>
      </w:r>
    </w:p>
    <w:p w:rsidR="00D77BDC" w:rsidRPr="00EE4CF2" w:rsidRDefault="00BD10C0" w:rsidP="00BD10C0">
      <w:pPr>
        <w:pStyle w:val="SingleTxtG"/>
        <w:rPr>
          <w:lang w:val="en-US"/>
        </w:rPr>
      </w:pPr>
      <w:r>
        <w:rPr>
          <w:lang w:val="en-US"/>
        </w:rPr>
        <w:tab/>
      </w:r>
      <w:r w:rsidR="00D77BDC" w:rsidRPr="00EE4CF2">
        <w:rPr>
          <w:lang w:val="en-US"/>
        </w:rPr>
        <w:t>(b)</w:t>
      </w:r>
      <w:r w:rsidR="00D77BDC" w:rsidRPr="00EE4CF2">
        <w:rPr>
          <w:lang w:val="en-US"/>
        </w:rPr>
        <w:tab/>
        <w:t>The isomers of the listed drugs, unless specifically excepted, whenever the existence of such isomers is possible within the specific chemical designation;</w:t>
      </w:r>
    </w:p>
    <w:p w:rsidR="00D77BDC" w:rsidRPr="00EE4CF2" w:rsidRDefault="00BD10C0" w:rsidP="00BD10C0">
      <w:pPr>
        <w:pStyle w:val="SingleTxtG"/>
        <w:rPr>
          <w:lang w:val="en-US"/>
        </w:rPr>
      </w:pPr>
      <w:r>
        <w:rPr>
          <w:lang w:val="en-US"/>
        </w:rPr>
        <w:tab/>
      </w:r>
      <w:r w:rsidR="00D77BDC" w:rsidRPr="00EE4CF2">
        <w:rPr>
          <w:lang w:val="en-US"/>
        </w:rPr>
        <w:t>(c)</w:t>
      </w:r>
      <w:r w:rsidR="00D77BDC" w:rsidRPr="00EE4CF2">
        <w:rPr>
          <w:lang w:val="en-US"/>
        </w:rPr>
        <w:tab/>
        <w:t>The esters and ethers of the drugs listed in Schedule I, II and III, whenever their existence is possible;</w:t>
      </w:r>
    </w:p>
    <w:p w:rsidR="00D77BDC" w:rsidRPr="00EE4CF2" w:rsidRDefault="00BD10C0" w:rsidP="00BD10C0">
      <w:pPr>
        <w:pStyle w:val="SingleTxtG"/>
        <w:rPr>
          <w:lang w:val="en-US"/>
        </w:rPr>
      </w:pPr>
      <w:r>
        <w:rPr>
          <w:lang w:val="en-US"/>
        </w:rPr>
        <w:tab/>
      </w:r>
      <w:r w:rsidR="00D77BDC" w:rsidRPr="00EE4CF2">
        <w:rPr>
          <w:lang w:val="en-US"/>
        </w:rPr>
        <w:t>(d)</w:t>
      </w:r>
      <w:r w:rsidR="00D77BDC" w:rsidRPr="00EE4CF2">
        <w:rPr>
          <w:lang w:val="en-US"/>
        </w:rPr>
        <w:tab/>
        <w:t>He salts esters of the drugs listed in Schedule I, II and III, including the salts of ethers and isomers whenever the existence of such salts is possible;</w:t>
      </w:r>
    </w:p>
    <w:p w:rsidR="00D77BDC" w:rsidRPr="00EE4CF2" w:rsidRDefault="00BD10C0" w:rsidP="00BD10C0">
      <w:pPr>
        <w:pStyle w:val="SingleTxtG"/>
        <w:rPr>
          <w:lang w:val="en-US"/>
        </w:rPr>
      </w:pPr>
      <w:r>
        <w:rPr>
          <w:lang w:val="en-US"/>
        </w:rPr>
        <w:tab/>
      </w:r>
      <w:r w:rsidR="00D77BDC" w:rsidRPr="00EE4CF2">
        <w:rPr>
          <w:lang w:val="en-US"/>
        </w:rPr>
        <w:t>(e)</w:t>
      </w:r>
      <w:r w:rsidR="00D77BDC" w:rsidRPr="00EE4CF2">
        <w:rPr>
          <w:lang w:val="en-US"/>
        </w:rPr>
        <w:tab/>
        <w:t xml:space="preserve">The preparation of these substances, other than those listed in Schedule V. </w:t>
      </w:r>
    </w:p>
    <w:p w:rsidR="00D77BDC" w:rsidRPr="00EE4CF2" w:rsidRDefault="00D77BDC" w:rsidP="00D77BDC">
      <w:pPr>
        <w:pStyle w:val="SingleTxtG"/>
        <w:rPr>
          <w:lang w:val="en-US"/>
        </w:rPr>
      </w:pPr>
      <w:r w:rsidRPr="00EE4CF2">
        <w:rPr>
          <w:lang w:val="en-US"/>
        </w:rPr>
        <w:t>135.</w:t>
      </w:r>
      <w:r w:rsidRPr="00EE4CF2">
        <w:rPr>
          <w:lang w:val="en-US"/>
        </w:rPr>
        <w:tab/>
        <w:t>Dangerous Drugs are classified in four Schedules. (Schedule I, II, III and IV). Each of the dangerous drugs to which the Dangerous Drugs Act applies is listed in either Schedule I, II or III and different measures of control are specified in this Act according to the classification so adopted, dependent upon the degree of seriousness of the risk to public health of each such dangerous drug and the presence or otherwise of a medical use for it.</w:t>
      </w:r>
    </w:p>
    <w:p w:rsidR="00D77BDC" w:rsidRPr="00EE4CF2" w:rsidRDefault="00D77BDC" w:rsidP="00D77BDC">
      <w:pPr>
        <w:pStyle w:val="SingleTxtG"/>
        <w:rPr>
          <w:lang w:val="en-US"/>
        </w:rPr>
      </w:pPr>
      <w:r w:rsidRPr="00EE4CF2">
        <w:rPr>
          <w:lang w:val="en-US"/>
        </w:rPr>
        <w:t>136.</w:t>
      </w:r>
      <w:r w:rsidRPr="00EE4CF2">
        <w:rPr>
          <w:lang w:val="en-US"/>
        </w:rPr>
        <w:tab/>
        <w:t>Substances listed under Schedule I are reckoned as prohibited substances. They do not possess any therapeutic use and their importation is authorized for educational or scientific purposes. Substances listed under Schedule II and III consist of narcotics and psychotropic substances which have medicinal and therapeutic use. All substances used in the manufacture of narcotic drugs and psychotropic substances as classified by the 1988 Convention against Illicit Traffic in Narcotic Drugs and Psychotropic Substances, or otherwise, are included as precursors in Schedule IV. Plants and substances are included in the appropriate Schedule under their respective international non-propriety names, or, lacking such a name, under their chemical names.</w:t>
      </w:r>
    </w:p>
    <w:p w:rsidR="00D77BDC" w:rsidRPr="00EE4CF2" w:rsidRDefault="00D77BDC" w:rsidP="00D77BDC">
      <w:pPr>
        <w:pStyle w:val="SingleTxtG"/>
        <w:rPr>
          <w:lang w:val="en-US"/>
        </w:rPr>
      </w:pPr>
      <w:r w:rsidRPr="00EE4CF2">
        <w:rPr>
          <w:lang w:val="en-US"/>
        </w:rPr>
        <w:t>137.</w:t>
      </w:r>
      <w:r w:rsidRPr="00EE4CF2">
        <w:rPr>
          <w:lang w:val="en-US"/>
        </w:rPr>
        <w:tab/>
        <w:t xml:space="preserve">No person shall at any time produce, manufacture, trade by wholesale or retail, distribute, transport, possess, supply, transfer (free or for payment), purchase, use, import, export or transit across Mauritius any of the plants, substances and preparations listed in the First Schedule. For the purposes of medical or scientific research or teaching or the use of the forensic science services, the Permanent Secretary may </w:t>
      </w:r>
      <w:proofErr w:type="spellStart"/>
      <w:r w:rsidRPr="00EE4CF2">
        <w:rPr>
          <w:lang w:val="en-US"/>
        </w:rPr>
        <w:t>authorise</w:t>
      </w:r>
      <w:proofErr w:type="spellEnd"/>
      <w:r w:rsidRPr="00EE4CF2">
        <w:rPr>
          <w:lang w:val="en-US"/>
        </w:rPr>
        <w:t xml:space="preserve"> a person to cultivate, produce, manufacture, acquire, import, use or hold plants, substances and preparations listed in the First, Second and Third Schedules in quantities not exceeding those strictly required for the purpose in question.</w:t>
      </w:r>
    </w:p>
    <w:p w:rsidR="00D77BDC" w:rsidRPr="00EE4CF2" w:rsidRDefault="00D77BDC" w:rsidP="00D77BDC">
      <w:pPr>
        <w:pStyle w:val="SingleTxtG"/>
        <w:rPr>
          <w:lang w:val="en-US"/>
        </w:rPr>
      </w:pPr>
      <w:r w:rsidRPr="00EE4CF2">
        <w:rPr>
          <w:lang w:val="en-US"/>
        </w:rPr>
        <w:t>138.</w:t>
      </w:r>
      <w:r w:rsidRPr="00EE4CF2">
        <w:rPr>
          <w:lang w:val="en-US"/>
        </w:rPr>
        <w:tab/>
        <w:t xml:space="preserve">There is a total control on the nature, range and quantities of Dangerous Drugs being imported in the country. The Pharmacy Board exercises this function through the issue of permits for importation of pharmaceutical products by the private and public sectors. At a national level, all imports are subjected to an import permit. On or before the 31st December of each year, the maximum quantities of Dangerous Drugs that an importer may bring into the country during the next calendar year are determined by the Ministry of Health and Quality of Life. </w:t>
      </w:r>
    </w:p>
    <w:p w:rsidR="00D77BDC" w:rsidRPr="00EE4CF2" w:rsidRDefault="00D77BDC" w:rsidP="00D77BDC">
      <w:pPr>
        <w:pStyle w:val="SingleTxtG"/>
        <w:rPr>
          <w:lang w:val="en-US"/>
        </w:rPr>
      </w:pPr>
      <w:r w:rsidRPr="00EE4CF2">
        <w:rPr>
          <w:lang w:val="en-US"/>
        </w:rPr>
        <w:lastRenderedPageBreak/>
        <w:t>139.</w:t>
      </w:r>
      <w:r w:rsidRPr="00EE4CF2">
        <w:rPr>
          <w:lang w:val="en-US"/>
        </w:rPr>
        <w:tab/>
        <w:t>Clearance of drugs is submitted on the production of an export permit from the producing country and on the vetting of the invoice. Importing is strictly limited to wholesale pharmacies, government health and agricultural services and forensic laboratories.</w:t>
      </w:r>
    </w:p>
    <w:p w:rsidR="00D77BDC" w:rsidRPr="00EE4CF2" w:rsidRDefault="00D77BDC" w:rsidP="00D77BDC">
      <w:pPr>
        <w:pStyle w:val="SingleTxtG"/>
        <w:rPr>
          <w:lang w:val="en-US"/>
        </w:rPr>
      </w:pPr>
      <w:r w:rsidRPr="00EE4CF2">
        <w:rPr>
          <w:lang w:val="en-US"/>
        </w:rPr>
        <w:t>140.</w:t>
      </w:r>
      <w:r w:rsidRPr="00EE4CF2">
        <w:rPr>
          <w:lang w:val="en-US"/>
        </w:rPr>
        <w:tab/>
        <w:t xml:space="preserve">Synthetic Cannabinoids are already scheduled in Schedule I Part II of the Dangerous Drugs Act, as prohibited substances. These Regulations came into force on 10 October 2013. In September 2015, New Psychoactive Substances (Recreational Drugs) of high potential of abuse have also been classified under the respective schedules of the Dangerous Drugs Act. </w:t>
      </w:r>
    </w:p>
    <w:p w:rsidR="00D77BDC" w:rsidRPr="00EE4CF2" w:rsidRDefault="00D77BDC" w:rsidP="00D77BDC">
      <w:pPr>
        <w:pStyle w:val="SingleTxtG"/>
        <w:rPr>
          <w:lang w:val="en-US"/>
        </w:rPr>
      </w:pPr>
      <w:r w:rsidRPr="00EE4CF2">
        <w:rPr>
          <w:lang w:val="en-US"/>
        </w:rPr>
        <w:t>141.</w:t>
      </w:r>
      <w:r w:rsidRPr="00EE4CF2">
        <w:rPr>
          <w:lang w:val="en-US"/>
        </w:rPr>
        <w:tab/>
        <w:t xml:space="preserve">The Harm Reduction </w:t>
      </w:r>
      <w:proofErr w:type="spellStart"/>
      <w:r w:rsidRPr="00EE4CF2">
        <w:rPr>
          <w:lang w:val="en-US"/>
        </w:rPr>
        <w:t>Programme</w:t>
      </w:r>
      <w:proofErr w:type="spellEnd"/>
      <w:r w:rsidRPr="00EE4CF2">
        <w:rPr>
          <w:lang w:val="en-US"/>
        </w:rPr>
        <w:t xml:space="preserve"> was introduced in 2006. The Methadone Substitution Therapy </w:t>
      </w:r>
      <w:proofErr w:type="spellStart"/>
      <w:r w:rsidRPr="00EE4CF2">
        <w:rPr>
          <w:lang w:val="en-US"/>
        </w:rPr>
        <w:t>Programme</w:t>
      </w:r>
      <w:proofErr w:type="spellEnd"/>
      <w:r w:rsidRPr="00EE4CF2">
        <w:rPr>
          <w:lang w:val="en-US"/>
        </w:rPr>
        <w:t xml:space="preserve"> targeting people who inject drugs has been scaled up since the beginning of 2018.Annex 13 provides additional details.</w:t>
      </w:r>
    </w:p>
    <w:p w:rsidR="00D77BDC" w:rsidRPr="00EE4CF2" w:rsidRDefault="00D77BDC" w:rsidP="00D77BDC">
      <w:pPr>
        <w:pStyle w:val="H1G"/>
        <w:rPr>
          <w:lang w:val="en-US"/>
        </w:rPr>
      </w:pPr>
      <w:r w:rsidRPr="00EE4CF2">
        <w:rPr>
          <w:lang w:val="en-US"/>
        </w:rPr>
        <w:tab/>
      </w:r>
      <w:r w:rsidRPr="00EE4CF2">
        <w:rPr>
          <w:lang w:val="en-US"/>
        </w:rPr>
        <w:tab/>
        <w:t xml:space="preserve">Right to education (arts. 13–14) </w:t>
      </w:r>
    </w:p>
    <w:p w:rsidR="00D77BDC" w:rsidRPr="00EE4CF2" w:rsidRDefault="00D77BDC" w:rsidP="00AC115F">
      <w:pPr>
        <w:pStyle w:val="H1G"/>
        <w:rPr>
          <w:lang w:val="en-US"/>
        </w:rPr>
      </w:pPr>
      <w:r w:rsidRPr="00EE4CF2">
        <w:rPr>
          <w:b w:val="0"/>
          <w:lang w:val="en-US"/>
        </w:rPr>
        <w:tab/>
      </w:r>
      <w:r w:rsidRPr="00EE4CF2">
        <w:rPr>
          <w:lang w:val="en-US"/>
        </w:rPr>
        <w:tab/>
        <w:t>Question 26</w:t>
      </w:r>
    </w:p>
    <w:p w:rsidR="00D77BDC" w:rsidRPr="00EE4CF2" w:rsidRDefault="00D77BDC" w:rsidP="00D77BDC">
      <w:pPr>
        <w:pStyle w:val="SingleTxtG"/>
      </w:pPr>
      <w:r w:rsidRPr="00EE4CF2">
        <w:t>142.</w:t>
      </w:r>
      <w:r w:rsidRPr="00EE4CF2">
        <w:tab/>
      </w:r>
      <w:r w:rsidRPr="00EE4CF2">
        <w:rPr>
          <w:lang w:val="en-US"/>
        </w:rPr>
        <w:t xml:space="preserve">The </w:t>
      </w:r>
      <w:proofErr w:type="spellStart"/>
      <w:r w:rsidRPr="00EE4CF2">
        <w:rPr>
          <w:lang w:val="en-US"/>
        </w:rPr>
        <w:t>Kreol</w:t>
      </w:r>
      <w:proofErr w:type="spellEnd"/>
      <w:r w:rsidRPr="00EE4CF2">
        <w:rPr>
          <w:lang w:val="en-US"/>
        </w:rPr>
        <w:t xml:space="preserve"> </w:t>
      </w:r>
      <w:proofErr w:type="spellStart"/>
      <w:r w:rsidRPr="00EE4CF2">
        <w:rPr>
          <w:lang w:val="en-US"/>
        </w:rPr>
        <w:t>Morisien</w:t>
      </w:r>
      <w:proofErr w:type="spellEnd"/>
      <w:r w:rsidRPr="00EE4CF2">
        <w:rPr>
          <w:lang w:val="en-US"/>
        </w:rPr>
        <w:t xml:space="preserve"> is being taught as an optional subject at primary level since 2012 and now</w:t>
      </w:r>
      <w:r w:rsidRPr="00EE4CF2">
        <w:t xml:space="preserve"> it is </w:t>
      </w:r>
      <w:r w:rsidRPr="00EE4CF2">
        <w:rPr>
          <w:lang w:val="en-US"/>
        </w:rPr>
        <w:t>taught</w:t>
      </w:r>
      <w:r w:rsidRPr="00EE4CF2">
        <w:t xml:space="preserve"> at all grades at primary level. It has now been introduced as an optional subject at secondary level (Grade 7) as from 2018 and Curriculum materials and textbooks, for both Educators and students have been prepared. Moreover, creole is also used as a medium of teaching in schools, both primary and secondary levels. Educational materials are produced in creole and this facilitates the teaching of complex concepts in Mathematics, Science, geography and Technical subjects. </w:t>
      </w:r>
    </w:p>
    <w:p w:rsidR="00D77BDC" w:rsidRPr="00EE4CF2" w:rsidRDefault="00D77BDC" w:rsidP="00D77BDC">
      <w:pPr>
        <w:pStyle w:val="SingleTxtG"/>
        <w:rPr>
          <w:lang w:val="en-US"/>
        </w:rPr>
      </w:pPr>
      <w:r w:rsidRPr="00EE4CF2">
        <w:rPr>
          <w:lang w:val="en-US"/>
        </w:rPr>
        <w:t>143.</w:t>
      </w:r>
      <w:r w:rsidRPr="00EE4CF2">
        <w:rPr>
          <w:lang w:val="en-US"/>
        </w:rPr>
        <w:tab/>
        <w:t xml:space="preserve">Furthermore, a first batch of students have completed a degree course in French and Créole Studies at the University of Mauritius. They will soon join the workforce and start teaching </w:t>
      </w:r>
      <w:proofErr w:type="spellStart"/>
      <w:r w:rsidRPr="00EE4CF2">
        <w:rPr>
          <w:lang w:val="en-US"/>
        </w:rPr>
        <w:t>Kreol</w:t>
      </w:r>
      <w:proofErr w:type="spellEnd"/>
      <w:r w:rsidRPr="00EE4CF2">
        <w:rPr>
          <w:lang w:val="en-US"/>
        </w:rPr>
        <w:t xml:space="preserve"> </w:t>
      </w:r>
      <w:proofErr w:type="spellStart"/>
      <w:r w:rsidRPr="00EE4CF2">
        <w:rPr>
          <w:lang w:val="en-US"/>
        </w:rPr>
        <w:t>Morisien</w:t>
      </w:r>
      <w:proofErr w:type="spellEnd"/>
      <w:r w:rsidRPr="00EE4CF2">
        <w:rPr>
          <w:lang w:val="en-US"/>
        </w:rPr>
        <w:t xml:space="preserve"> at secondary level. </w:t>
      </w:r>
    </w:p>
    <w:p w:rsidR="00D77BDC" w:rsidRPr="00EE4CF2" w:rsidRDefault="00D77BDC" w:rsidP="00D77BDC">
      <w:pPr>
        <w:pStyle w:val="SingleTxtG"/>
        <w:rPr>
          <w:lang w:val="en-US"/>
        </w:rPr>
      </w:pPr>
      <w:r w:rsidRPr="00EE4CF2">
        <w:rPr>
          <w:lang w:val="en-US"/>
        </w:rPr>
        <w:t>144.</w:t>
      </w:r>
      <w:r w:rsidRPr="00EE4CF2">
        <w:rPr>
          <w:lang w:val="en-US"/>
        </w:rPr>
        <w:tab/>
        <w:t xml:space="preserve">The Nine Years Continuous Basic Education (NYCBE) has been implemented in primary schools since a couple of years and at secondary level, as from 2018. This </w:t>
      </w:r>
      <w:proofErr w:type="spellStart"/>
      <w:r w:rsidRPr="00EE4CF2">
        <w:rPr>
          <w:lang w:val="en-US"/>
        </w:rPr>
        <w:t>prog</w:t>
      </w:r>
      <w:r w:rsidR="008931F8">
        <w:rPr>
          <w:lang w:val="en-US"/>
        </w:rPr>
        <w:t>r</w:t>
      </w:r>
      <w:r w:rsidRPr="00EE4CF2">
        <w:rPr>
          <w:lang w:val="en-US"/>
        </w:rPr>
        <w:t>amme</w:t>
      </w:r>
      <w:proofErr w:type="spellEnd"/>
      <w:r w:rsidRPr="00EE4CF2">
        <w:rPr>
          <w:lang w:val="en-US"/>
        </w:rPr>
        <w:t xml:space="preserve"> is in line with Sustainable Development Goal 4 (SDG 4), which makes provision for quality and inclusive education for all. It caters for mixed ability group of learners and SEN students. Besides, when pupils are admitted in Grade 1, the Primary School Readiness (PSR) is administered and all learning gaps are identified and attended to, through the Early Support </w:t>
      </w:r>
      <w:proofErr w:type="spellStart"/>
      <w:r w:rsidRPr="00EE4CF2">
        <w:rPr>
          <w:lang w:val="en-US"/>
        </w:rPr>
        <w:t>Programme</w:t>
      </w:r>
      <w:proofErr w:type="spellEnd"/>
      <w:r w:rsidRPr="00EE4CF2">
        <w:rPr>
          <w:lang w:val="en-US"/>
        </w:rPr>
        <w:t xml:space="preserve"> whereby pupils in groups of 8, are given special attention with by a Support Teacher. Once the pupils overcome the learning gap, they join the other pupils in the normal class set up. </w:t>
      </w:r>
    </w:p>
    <w:p w:rsidR="00D77BDC" w:rsidRPr="00EE4CF2" w:rsidRDefault="00D77BDC" w:rsidP="00D77BDC">
      <w:pPr>
        <w:pStyle w:val="SingleTxtG"/>
      </w:pPr>
      <w:r w:rsidRPr="00EE4CF2">
        <w:t>145.</w:t>
      </w:r>
      <w:r w:rsidRPr="00EE4CF2">
        <w:tab/>
      </w:r>
      <w:r w:rsidRPr="00EE4CF2">
        <w:rPr>
          <w:lang w:val="en-US"/>
        </w:rPr>
        <w:t xml:space="preserve">The NYCBE reform in education fosters a holistic education where an array of subjects like Art, Music, Road Safety, Civics, IT, PE and Sports, Communication Skills are taught. This </w:t>
      </w:r>
      <w:proofErr w:type="spellStart"/>
      <w:r w:rsidRPr="00EE4CF2">
        <w:rPr>
          <w:lang w:val="en-US"/>
        </w:rPr>
        <w:t>progra</w:t>
      </w:r>
      <w:r w:rsidRPr="00EE4CF2">
        <w:t>mme</w:t>
      </w:r>
      <w:proofErr w:type="spellEnd"/>
      <w:r w:rsidRPr="00EE4CF2">
        <w:t xml:space="preserve"> allows learners to develop their full potential and later become responsible citizens.</w:t>
      </w:r>
    </w:p>
    <w:p w:rsidR="00D77BDC" w:rsidRPr="00EE4CF2" w:rsidRDefault="00D77BDC" w:rsidP="00AC115F">
      <w:pPr>
        <w:pStyle w:val="H1G"/>
        <w:rPr>
          <w:lang w:val="en-US"/>
        </w:rPr>
      </w:pPr>
      <w:r w:rsidRPr="00EE4CF2">
        <w:rPr>
          <w:b w:val="0"/>
          <w:lang w:val="en-US"/>
        </w:rPr>
        <w:tab/>
      </w:r>
      <w:r w:rsidRPr="00EE4CF2">
        <w:rPr>
          <w:lang w:val="en-US"/>
        </w:rPr>
        <w:tab/>
        <w:t>Question 27</w:t>
      </w:r>
    </w:p>
    <w:p w:rsidR="00D77BDC" w:rsidRPr="00EE4CF2" w:rsidRDefault="00D77BDC" w:rsidP="00D77BDC">
      <w:pPr>
        <w:pStyle w:val="SingleTxtG"/>
        <w:rPr>
          <w:lang w:val="en-US"/>
        </w:rPr>
      </w:pPr>
      <w:r w:rsidRPr="00EE4CF2">
        <w:rPr>
          <w:lang w:val="en-US"/>
        </w:rPr>
        <w:t>146.</w:t>
      </w:r>
      <w:r w:rsidRPr="00EE4CF2">
        <w:rPr>
          <w:lang w:val="en-US"/>
        </w:rPr>
        <w:tab/>
        <w:t>The Ministry of Education has come up with a new Policy Framework and Strategy document for the Special Education Needs Sector. This document is line with SDG 4 which makes a case for a genuinely inclusive and equity- based education system for all learners.</w:t>
      </w:r>
    </w:p>
    <w:p w:rsidR="00D77BDC" w:rsidRPr="00EE4CF2" w:rsidRDefault="00D77BDC" w:rsidP="00D77BDC">
      <w:pPr>
        <w:pStyle w:val="SingleTxtG"/>
        <w:rPr>
          <w:lang w:val="en-US"/>
        </w:rPr>
      </w:pPr>
      <w:r w:rsidRPr="00EE4CF2">
        <w:rPr>
          <w:lang w:val="en-US"/>
        </w:rPr>
        <w:t>147.</w:t>
      </w:r>
      <w:r w:rsidRPr="00EE4CF2">
        <w:rPr>
          <w:lang w:val="en-US"/>
        </w:rPr>
        <w:tab/>
        <w:t xml:space="preserve">The new Vision of the sector is spelt out as follows: </w:t>
      </w:r>
      <w:r w:rsidR="00D92267">
        <w:rPr>
          <w:lang w:val="en-US"/>
        </w:rPr>
        <w:t>“</w:t>
      </w:r>
      <w:r w:rsidRPr="00EE4CF2">
        <w:rPr>
          <w:lang w:val="en-US"/>
        </w:rPr>
        <w:t>Inclusionary and empowering measures/practices for all persons with diverse learning needs today for a fully inclusive society tomorrow</w:t>
      </w:r>
      <w:r w:rsidR="00D92267">
        <w:rPr>
          <w:lang w:val="en-US"/>
        </w:rPr>
        <w:t>”</w:t>
      </w:r>
      <w:r w:rsidRPr="00EE4CF2">
        <w:rPr>
          <w:lang w:val="en-US"/>
        </w:rPr>
        <w:t>.</w:t>
      </w:r>
    </w:p>
    <w:p w:rsidR="00D77BDC" w:rsidRPr="00EE4CF2" w:rsidRDefault="00D77BDC" w:rsidP="00D77BDC">
      <w:pPr>
        <w:pStyle w:val="SingleTxtG"/>
        <w:rPr>
          <w:lang w:val="en-US"/>
        </w:rPr>
      </w:pPr>
      <w:r w:rsidRPr="00EE4CF2">
        <w:rPr>
          <w:lang w:val="en-US"/>
        </w:rPr>
        <w:t>148.</w:t>
      </w:r>
      <w:r w:rsidRPr="00EE4CF2">
        <w:rPr>
          <w:lang w:val="en-US"/>
        </w:rPr>
        <w:tab/>
        <w:t xml:space="preserve">Mission Statement: </w:t>
      </w:r>
      <w:r w:rsidR="00D92267">
        <w:rPr>
          <w:lang w:val="en-US"/>
        </w:rPr>
        <w:t>“</w:t>
      </w:r>
      <w:r w:rsidRPr="00EE4CF2">
        <w:rPr>
          <w:lang w:val="en-US"/>
        </w:rPr>
        <w:t>To achieve inclusion by creating and providing a conducive environment to ALL learners that ensures equal access to relevant and quality education and training.</w:t>
      </w:r>
      <w:r w:rsidR="00D92267">
        <w:rPr>
          <w:lang w:val="en-US"/>
        </w:rPr>
        <w:t>”</w:t>
      </w:r>
    </w:p>
    <w:p w:rsidR="00D77BDC" w:rsidRPr="00EE4CF2" w:rsidRDefault="00D77BDC" w:rsidP="00D77BDC">
      <w:pPr>
        <w:pStyle w:val="SingleTxtG"/>
        <w:rPr>
          <w:b/>
          <w:lang w:val="en-US"/>
        </w:rPr>
      </w:pPr>
      <w:r w:rsidRPr="00EE4CF2">
        <w:rPr>
          <w:lang w:val="en-US"/>
        </w:rPr>
        <w:lastRenderedPageBreak/>
        <w:t>149.</w:t>
      </w:r>
      <w:r w:rsidRPr="00EE4CF2">
        <w:rPr>
          <w:lang w:val="en-US"/>
        </w:rPr>
        <w:tab/>
        <w:t xml:space="preserve">A host of facilities in respect of children with disabilities exist and they are as follows: </w:t>
      </w:r>
    </w:p>
    <w:p w:rsidR="00D77BDC" w:rsidRPr="00EE4CF2" w:rsidRDefault="00D77BDC" w:rsidP="00AC115F">
      <w:pPr>
        <w:pStyle w:val="SingleTxtG"/>
        <w:ind w:left="1701"/>
        <w:rPr>
          <w:lang w:val="en-US"/>
        </w:rPr>
      </w:pPr>
      <w:r w:rsidRPr="00EE4CF2">
        <w:rPr>
          <w:lang w:val="en-US"/>
        </w:rPr>
        <w:t>(</w:t>
      </w:r>
      <w:proofErr w:type="spellStart"/>
      <w:r w:rsidRPr="00EE4CF2">
        <w:rPr>
          <w:lang w:val="en-US"/>
        </w:rPr>
        <w:t>i</w:t>
      </w:r>
      <w:proofErr w:type="spellEnd"/>
      <w:r w:rsidRPr="00EE4CF2">
        <w:rPr>
          <w:lang w:val="en-US"/>
        </w:rPr>
        <w:t>)</w:t>
      </w:r>
      <w:r w:rsidRPr="00EE4CF2">
        <w:rPr>
          <w:lang w:val="en-US"/>
        </w:rPr>
        <w:tab/>
        <w:t>Refund of bus fares to accompanying parents of disabled children attending schools/Special Needs Schools;</w:t>
      </w:r>
    </w:p>
    <w:p w:rsidR="00D77BDC" w:rsidRPr="00EE4CF2" w:rsidRDefault="00D77BDC" w:rsidP="00D77BDC">
      <w:pPr>
        <w:pStyle w:val="SingleTxtG"/>
        <w:ind w:left="2268" w:hanging="567"/>
        <w:rPr>
          <w:lang w:val="en-US"/>
        </w:rPr>
      </w:pPr>
      <w:r w:rsidRPr="00EE4CF2">
        <w:rPr>
          <w:lang w:val="en-US"/>
        </w:rPr>
        <w:t>(ii)</w:t>
      </w:r>
      <w:r w:rsidRPr="00EE4CF2">
        <w:rPr>
          <w:lang w:val="en-US"/>
        </w:rPr>
        <w:tab/>
        <w:t>Refund of taxi fares to students with severe disabilities;</w:t>
      </w:r>
    </w:p>
    <w:p w:rsidR="00D77BDC" w:rsidRPr="00EE4CF2" w:rsidRDefault="00D77BDC" w:rsidP="00D77BDC">
      <w:pPr>
        <w:pStyle w:val="SingleTxtG"/>
        <w:ind w:left="1701"/>
        <w:rPr>
          <w:lang w:val="en-US"/>
        </w:rPr>
      </w:pPr>
      <w:r w:rsidRPr="00EE4CF2">
        <w:rPr>
          <w:lang w:val="en-US"/>
        </w:rPr>
        <w:t>(iii)</w:t>
      </w:r>
      <w:r w:rsidRPr="00EE4CF2">
        <w:rPr>
          <w:lang w:val="en-US"/>
        </w:rPr>
        <w:tab/>
        <w:t xml:space="preserve">François </w:t>
      </w:r>
      <w:proofErr w:type="spellStart"/>
      <w:r w:rsidRPr="00EE4CF2">
        <w:rPr>
          <w:lang w:val="en-US"/>
        </w:rPr>
        <w:t>Sockalingum</w:t>
      </w:r>
      <w:proofErr w:type="spellEnd"/>
      <w:r w:rsidRPr="00EE4CF2">
        <w:rPr>
          <w:lang w:val="en-US"/>
        </w:rPr>
        <w:t xml:space="preserve"> Award (Scholarship Scheme for Students with disabilities): Through this award, students with disabilities who pass the Primary School Achievement Certificate (PSAC) and pursue their secondary studies are eligible to a monthly stipend of </w:t>
      </w:r>
      <w:proofErr w:type="spellStart"/>
      <w:r w:rsidRPr="00EE4CF2">
        <w:rPr>
          <w:lang w:val="en-US"/>
        </w:rPr>
        <w:t>Rs</w:t>
      </w:r>
      <w:proofErr w:type="spellEnd"/>
      <w:r w:rsidRPr="00EE4CF2">
        <w:rPr>
          <w:lang w:val="en-US"/>
        </w:rPr>
        <w:t xml:space="preserve"> 750;</w:t>
      </w:r>
    </w:p>
    <w:p w:rsidR="00D77BDC" w:rsidRPr="00EE4CF2" w:rsidRDefault="00D77BDC" w:rsidP="00D77BDC">
      <w:pPr>
        <w:pStyle w:val="SingleTxtG"/>
        <w:ind w:left="1701"/>
        <w:rPr>
          <w:lang w:val="en-US"/>
        </w:rPr>
      </w:pPr>
      <w:r w:rsidRPr="00EE4CF2">
        <w:rPr>
          <w:lang w:val="en-US"/>
        </w:rPr>
        <w:t>(iv)</w:t>
      </w:r>
      <w:r w:rsidRPr="00EE4CF2">
        <w:rPr>
          <w:lang w:val="en-US"/>
        </w:rPr>
        <w:tab/>
        <w:t>Duty-free facilities: Persons with disabilities are entitled to 100% duty-free facilities to purchase adapted cars;</w:t>
      </w:r>
    </w:p>
    <w:p w:rsidR="00D77BDC" w:rsidRPr="00EE4CF2" w:rsidRDefault="00D77BDC" w:rsidP="00D77BDC">
      <w:pPr>
        <w:pStyle w:val="SingleTxtG"/>
        <w:ind w:left="1701"/>
        <w:rPr>
          <w:lang w:val="en-US"/>
        </w:rPr>
      </w:pPr>
      <w:r w:rsidRPr="00EE4CF2">
        <w:rPr>
          <w:lang w:val="en-US"/>
        </w:rPr>
        <w:t>(v)</w:t>
      </w:r>
      <w:r w:rsidRPr="00EE4CF2">
        <w:rPr>
          <w:lang w:val="en-US"/>
        </w:rPr>
        <w:tab/>
        <w:t>Basic Invalidity Pension (BIP) to children with disabilities under 15 years;</w:t>
      </w:r>
    </w:p>
    <w:p w:rsidR="00D77BDC" w:rsidRPr="00EE4CF2" w:rsidRDefault="00D77BDC" w:rsidP="00D77BDC">
      <w:pPr>
        <w:pStyle w:val="SingleTxtG"/>
        <w:ind w:left="1701"/>
        <w:rPr>
          <w:lang w:val="en-US"/>
        </w:rPr>
      </w:pPr>
      <w:r w:rsidRPr="00EE4CF2">
        <w:rPr>
          <w:lang w:val="en-US"/>
        </w:rPr>
        <w:t>(vi)</w:t>
      </w:r>
      <w:r w:rsidRPr="00EE4CF2">
        <w:rPr>
          <w:lang w:val="en-US"/>
        </w:rPr>
        <w:tab/>
        <w:t>Free parking coupons are being provided to persons with disabilities with severe mobility problems;</w:t>
      </w:r>
    </w:p>
    <w:p w:rsidR="00D77BDC" w:rsidRPr="00EE4CF2" w:rsidRDefault="00D77BDC" w:rsidP="00D77BDC">
      <w:pPr>
        <w:pStyle w:val="SingleTxtG"/>
        <w:ind w:left="1701"/>
        <w:rPr>
          <w:lang w:val="en-US"/>
        </w:rPr>
      </w:pPr>
      <w:r w:rsidRPr="00EE4CF2">
        <w:rPr>
          <w:lang w:val="en-US"/>
        </w:rPr>
        <w:t>(vii)</w:t>
      </w:r>
      <w:r w:rsidRPr="00EE4CF2">
        <w:rPr>
          <w:lang w:val="en-US"/>
        </w:rPr>
        <w:tab/>
        <w:t xml:space="preserve">Respite Care </w:t>
      </w:r>
      <w:proofErr w:type="spellStart"/>
      <w:r w:rsidRPr="00EE4CF2">
        <w:rPr>
          <w:lang w:val="en-US"/>
        </w:rPr>
        <w:t>Programme</w:t>
      </w:r>
      <w:proofErr w:type="spellEnd"/>
      <w:r w:rsidRPr="00EE4CF2">
        <w:rPr>
          <w:lang w:val="en-US"/>
        </w:rPr>
        <w:t xml:space="preserve">: In view of providing some relief to parents, leisure activities are organized regularly for the benefit of children with disabilities at the Recreation </w:t>
      </w:r>
      <w:proofErr w:type="spellStart"/>
      <w:r w:rsidRPr="00EE4CF2">
        <w:rPr>
          <w:lang w:val="en-US"/>
        </w:rPr>
        <w:t>Centres</w:t>
      </w:r>
      <w:proofErr w:type="spellEnd"/>
      <w:r w:rsidRPr="00EE4CF2">
        <w:rPr>
          <w:lang w:val="en-US"/>
        </w:rPr>
        <w:t xml:space="preserve"> around the island namely, James </w:t>
      </w:r>
      <w:proofErr w:type="spellStart"/>
      <w:r w:rsidRPr="00EE4CF2">
        <w:rPr>
          <w:lang w:val="en-US"/>
        </w:rPr>
        <w:t>Burty</w:t>
      </w:r>
      <w:proofErr w:type="spellEnd"/>
      <w:r w:rsidRPr="00EE4CF2">
        <w:rPr>
          <w:lang w:val="en-US"/>
        </w:rPr>
        <w:t xml:space="preserve"> David R.C, Lady </w:t>
      </w:r>
      <w:proofErr w:type="spellStart"/>
      <w:r w:rsidRPr="00EE4CF2">
        <w:rPr>
          <w:lang w:val="en-US"/>
        </w:rPr>
        <w:t>Sushil</w:t>
      </w:r>
      <w:proofErr w:type="spellEnd"/>
      <w:r w:rsidRPr="00EE4CF2">
        <w:rPr>
          <w:lang w:val="en-US"/>
        </w:rPr>
        <w:t xml:space="preserve"> </w:t>
      </w:r>
      <w:proofErr w:type="spellStart"/>
      <w:r w:rsidRPr="00EE4CF2">
        <w:rPr>
          <w:lang w:val="en-US"/>
        </w:rPr>
        <w:t>Ramgoolam</w:t>
      </w:r>
      <w:proofErr w:type="spellEnd"/>
      <w:r w:rsidRPr="00EE4CF2">
        <w:rPr>
          <w:lang w:val="en-US"/>
        </w:rPr>
        <w:t xml:space="preserve"> Recreation Centre and Sir Seewoosagur </w:t>
      </w:r>
      <w:proofErr w:type="spellStart"/>
      <w:r w:rsidRPr="00EE4CF2">
        <w:rPr>
          <w:lang w:val="en-US"/>
        </w:rPr>
        <w:t>Ramgoolam</w:t>
      </w:r>
      <w:proofErr w:type="spellEnd"/>
      <w:r w:rsidRPr="00EE4CF2">
        <w:rPr>
          <w:lang w:val="en-US"/>
        </w:rPr>
        <w:t xml:space="preserve"> Recreation Centre;</w:t>
      </w:r>
    </w:p>
    <w:p w:rsidR="00D77BDC" w:rsidRPr="00EE4CF2" w:rsidRDefault="00D77BDC" w:rsidP="00D77BDC">
      <w:pPr>
        <w:pStyle w:val="SingleTxtG"/>
        <w:ind w:left="1701"/>
        <w:rPr>
          <w:lang w:val="en-US"/>
        </w:rPr>
      </w:pPr>
      <w:r w:rsidRPr="00EE4CF2">
        <w:rPr>
          <w:lang w:val="en-US"/>
        </w:rPr>
        <w:t>(viii)</w:t>
      </w:r>
      <w:r w:rsidRPr="00EE4CF2">
        <w:rPr>
          <w:lang w:val="en-US"/>
        </w:rPr>
        <w:tab/>
        <w:t>A free travel bus pass is provided to any person with disabilities drawing a Basic Invalidity Pension (BIP). Children with disabilities not drawing a BIP but attending any educational institution also benefit from the free travel bus pass.</w:t>
      </w:r>
    </w:p>
    <w:p w:rsidR="00D77BDC" w:rsidRPr="00EE4CF2" w:rsidRDefault="00D77BDC" w:rsidP="00D77BDC">
      <w:pPr>
        <w:pStyle w:val="SingleTxtG"/>
      </w:pPr>
      <w:r w:rsidRPr="00EE4CF2">
        <w:t>150.</w:t>
      </w:r>
      <w:r w:rsidRPr="00EE4CF2">
        <w:tab/>
        <w:t>The Special Education Needs Authority Bill was voted in the National Assembly recently and an Authority will be set up in the near future. Main objects of the Special Education Needs Authority shall be:</w:t>
      </w:r>
    </w:p>
    <w:p w:rsidR="00D77BDC" w:rsidRPr="00EE4CF2" w:rsidRDefault="00D77BDC" w:rsidP="00D77BDC">
      <w:pPr>
        <w:pStyle w:val="Bullet1G"/>
        <w:numPr>
          <w:ilvl w:val="0"/>
          <w:numId w:val="0"/>
        </w:numPr>
        <w:tabs>
          <w:tab w:val="left" w:pos="1701"/>
        </w:tabs>
        <w:ind w:left="1701" w:hanging="170"/>
      </w:pPr>
      <w:r w:rsidRPr="00EE4CF2">
        <w:t>•</w:t>
      </w:r>
      <w:r w:rsidRPr="00EE4CF2">
        <w:tab/>
        <w:t>To ensure, inter-alia, the regulation, monitoring and the facilitation of implementing the Special Education Needs policies;</w:t>
      </w:r>
    </w:p>
    <w:p w:rsidR="00D77BDC" w:rsidRPr="00EE4CF2" w:rsidRDefault="00D77BDC" w:rsidP="00D77BDC">
      <w:pPr>
        <w:pStyle w:val="Bullet1G"/>
        <w:numPr>
          <w:ilvl w:val="0"/>
          <w:numId w:val="0"/>
        </w:numPr>
        <w:tabs>
          <w:tab w:val="left" w:pos="1701"/>
        </w:tabs>
        <w:ind w:left="1701" w:hanging="170"/>
      </w:pPr>
      <w:r w:rsidRPr="00EE4CF2">
        <w:t>•</w:t>
      </w:r>
      <w:r w:rsidRPr="00EE4CF2">
        <w:tab/>
        <w:t>To harmonise and promote programmes and policies in line with the National and International Convention;</w:t>
      </w:r>
    </w:p>
    <w:p w:rsidR="00D77BDC" w:rsidRPr="00EE4CF2" w:rsidRDefault="00D77BDC" w:rsidP="00D77BDC">
      <w:pPr>
        <w:pStyle w:val="Bullet1G"/>
        <w:numPr>
          <w:ilvl w:val="0"/>
          <w:numId w:val="0"/>
        </w:numPr>
        <w:tabs>
          <w:tab w:val="left" w:pos="1701"/>
        </w:tabs>
        <w:ind w:left="1701" w:hanging="170"/>
      </w:pPr>
      <w:r w:rsidRPr="00EE4CF2">
        <w:t>•</w:t>
      </w:r>
      <w:r w:rsidRPr="00EE4CF2">
        <w:tab/>
        <w:t>To develop a Quality Assurance Framework and set norms and standards for SEN;</w:t>
      </w:r>
    </w:p>
    <w:p w:rsidR="00D77BDC" w:rsidRPr="00EE4CF2" w:rsidRDefault="00D77BDC" w:rsidP="00D77BDC">
      <w:pPr>
        <w:pStyle w:val="Bullet1G"/>
        <w:numPr>
          <w:ilvl w:val="0"/>
          <w:numId w:val="0"/>
        </w:numPr>
        <w:tabs>
          <w:tab w:val="left" w:pos="1701"/>
        </w:tabs>
        <w:ind w:left="1701" w:hanging="170"/>
      </w:pPr>
      <w:r w:rsidRPr="00EE4CF2">
        <w:t>•</w:t>
      </w:r>
      <w:r w:rsidRPr="00EE4CF2">
        <w:tab/>
        <w:t>To provide a legal Framework and structure for good governance and accountability.</w:t>
      </w:r>
    </w:p>
    <w:p w:rsidR="00D77BDC" w:rsidRPr="00EE4CF2" w:rsidRDefault="00D77BDC" w:rsidP="00D77BDC">
      <w:pPr>
        <w:pStyle w:val="H1G"/>
        <w:rPr>
          <w:lang w:val="en-US"/>
        </w:rPr>
      </w:pPr>
      <w:r w:rsidRPr="00EE4CF2">
        <w:rPr>
          <w:lang w:val="en-US"/>
        </w:rPr>
        <w:tab/>
      </w:r>
      <w:r w:rsidRPr="00EE4CF2">
        <w:rPr>
          <w:lang w:val="en-US"/>
        </w:rPr>
        <w:tab/>
        <w:t xml:space="preserve">Cultural rights (art. 15) </w:t>
      </w:r>
    </w:p>
    <w:p w:rsidR="00D77BDC" w:rsidRPr="00EE4CF2" w:rsidRDefault="00D77BDC" w:rsidP="00AC115F">
      <w:pPr>
        <w:pStyle w:val="H1G"/>
        <w:rPr>
          <w:lang w:val="en-US"/>
        </w:rPr>
      </w:pPr>
      <w:r w:rsidRPr="00EE4CF2">
        <w:rPr>
          <w:b w:val="0"/>
          <w:lang w:val="en-US"/>
        </w:rPr>
        <w:tab/>
      </w:r>
      <w:r w:rsidRPr="00EE4CF2">
        <w:rPr>
          <w:lang w:val="en-US"/>
        </w:rPr>
        <w:tab/>
        <w:t>Question 28</w:t>
      </w:r>
    </w:p>
    <w:p w:rsidR="00D77BDC" w:rsidRPr="00EE4CF2" w:rsidRDefault="00D77BDC" w:rsidP="00D77BDC">
      <w:pPr>
        <w:pStyle w:val="SingleTxtG"/>
        <w:rPr>
          <w:lang w:val="en-US"/>
        </w:rPr>
      </w:pPr>
      <w:r w:rsidRPr="00EE4CF2">
        <w:rPr>
          <w:lang w:val="en-US"/>
        </w:rPr>
        <w:t>151.</w:t>
      </w:r>
      <w:r w:rsidRPr="00EE4CF2">
        <w:rPr>
          <w:lang w:val="en-US"/>
        </w:rPr>
        <w:tab/>
        <w:t>The Creole language is spoken by one and all and is a uniting factor among all citizens. It is not yet used as official language in the National Assembly but widely used in other institutions such as Court of law where parties or witnesses may address the Court in creole language. Please see at Annex 14, steps taken to promote Creole Language into an official language.</w:t>
      </w:r>
    </w:p>
    <w:p w:rsidR="00D77BDC" w:rsidRPr="00EE4CF2" w:rsidRDefault="00D77BDC" w:rsidP="00AC115F">
      <w:pPr>
        <w:pStyle w:val="H1G"/>
        <w:rPr>
          <w:lang w:val="en-US"/>
        </w:rPr>
      </w:pPr>
      <w:r w:rsidRPr="00EE4CF2">
        <w:rPr>
          <w:b w:val="0"/>
          <w:lang w:val="en-US"/>
        </w:rPr>
        <w:tab/>
      </w:r>
      <w:r w:rsidRPr="00EE4CF2">
        <w:rPr>
          <w:lang w:val="en-US"/>
        </w:rPr>
        <w:tab/>
        <w:t>Question 29</w:t>
      </w:r>
    </w:p>
    <w:p w:rsidR="00D77BDC" w:rsidRDefault="00D77BDC" w:rsidP="00D77BDC">
      <w:pPr>
        <w:pStyle w:val="SingleTxtG"/>
      </w:pPr>
      <w:r w:rsidRPr="00EE4CF2">
        <w:t>152.</w:t>
      </w:r>
      <w:r w:rsidRPr="00EE4CF2">
        <w:tab/>
      </w:r>
      <w:r w:rsidRPr="00EE4CF2">
        <w:rPr>
          <w:lang w:val="en-US"/>
        </w:rPr>
        <w:t>Assisted reproductive technologies are available at private institutions only for the time being.</w:t>
      </w:r>
    </w:p>
    <w:p w:rsidR="00D77BDC" w:rsidRPr="00BD4A92" w:rsidRDefault="00D77BDC" w:rsidP="00AC115F">
      <w:pPr>
        <w:pStyle w:val="SingleTxtG"/>
        <w:spacing w:before="240" w:after="0"/>
        <w:jc w:val="center"/>
        <w:rPr>
          <w:u w:val="single"/>
        </w:rPr>
      </w:pPr>
      <w:r>
        <w:rPr>
          <w:u w:val="single"/>
        </w:rPr>
        <w:tab/>
      </w:r>
      <w:r>
        <w:rPr>
          <w:u w:val="single"/>
        </w:rPr>
        <w:tab/>
      </w:r>
      <w:r>
        <w:rPr>
          <w:u w:val="single"/>
        </w:rPr>
        <w:tab/>
      </w:r>
    </w:p>
    <w:sectPr w:rsidR="00D77BDC" w:rsidRPr="00BD4A9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0E" w:rsidRPr="00FB1744" w:rsidRDefault="00CB3A0E" w:rsidP="00FB1744">
      <w:pPr>
        <w:pStyle w:val="Footer"/>
      </w:pPr>
    </w:p>
  </w:endnote>
  <w:endnote w:type="continuationSeparator" w:id="0">
    <w:p w:rsidR="00CB3A0E" w:rsidRPr="00FB1744" w:rsidRDefault="00CB3A0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0E" w:rsidRDefault="00CB3A0E" w:rsidP="00EE22AE">
    <w:pPr>
      <w:pStyle w:val="Footer"/>
      <w:tabs>
        <w:tab w:val="right" w:pos="9638"/>
      </w:tabs>
    </w:pPr>
    <w:r w:rsidRPr="008C3FD2">
      <w:rPr>
        <w:b/>
        <w:bCs/>
        <w:sz w:val="18"/>
      </w:rPr>
      <w:fldChar w:fldCharType="begin"/>
    </w:r>
    <w:r w:rsidRPr="008C3FD2">
      <w:rPr>
        <w:b/>
        <w:bCs/>
        <w:sz w:val="18"/>
      </w:rPr>
      <w:instrText xml:space="preserve"> PAGE  \* MERGEFORMAT </w:instrText>
    </w:r>
    <w:r w:rsidRPr="008C3FD2">
      <w:rPr>
        <w:b/>
        <w:bCs/>
        <w:sz w:val="18"/>
      </w:rPr>
      <w:fldChar w:fldCharType="separate"/>
    </w:r>
    <w:r w:rsidR="00736035">
      <w:rPr>
        <w:b/>
        <w:bCs/>
        <w:noProof/>
        <w:sz w:val="18"/>
      </w:rPr>
      <w:t>18</w:t>
    </w:r>
    <w:r w:rsidRPr="008C3FD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0E" w:rsidRDefault="00CB3A0E" w:rsidP="008C3FD2">
    <w:pPr>
      <w:pStyle w:val="Footer"/>
      <w:tabs>
        <w:tab w:val="right" w:pos="9638"/>
      </w:tabs>
    </w:pPr>
    <w:r>
      <w:tab/>
    </w:r>
    <w:r w:rsidRPr="008C3FD2">
      <w:rPr>
        <w:b/>
        <w:bCs/>
        <w:sz w:val="18"/>
      </w:rPr>
      <w:fldChar w:fldCharType="begin"/>
    </w:r>
    <w:r w:rsidRPr="008C3FD2">
      <w:rPr>
        <w:b/>
        <w:bCs/>
        <w:sz w:val="18"/>
      </w:rPr>
      <w:instrText xml:space="preserve"> PAGE  \* MERGEFORMAT </w:instrText>
    </w:r>
    <w:r w:rsidRPr="008C3FD2">
      <w:rPr>
        <w:b/>
        <w:bCs/>
        <w:sz w:val="18"/>
      </w:rPr>
      <w:fldChar w:fldCharType="separate"/>
    </w:r>
    <w:r w:rsidR="00736035">
      <w:rPr>
        <w:b/>
        <w:bCs/>
        <w:noProof/>
        <w:sz w:val="18"/>
      </w:rPr>
      <w:t>17</w:t>
    </w:r>
    <w:r w:rsidRPr="008C3FD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0E" w:rsidRDefault="00CB3A0E" w:rsidP="00CB3A0E">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B3A0E" w:rsidRDefault="00CB3A0E" w:rsidP="00CB3A0E">
    <w:pPr>
      <w:pStyle w:val="Footer"/>
      <w:ind w:right="1134"/>
      <w:rPr>
        <w:sz w:val="20"/>
      </w:rPr>
    </w:pPr>
    <w:r>
      <w:rPr>
        <w:sz w:val="20"/>
      </w:rPr>
      <w:t>GE.18-22327(E)</w:t>
    </w:r>
  </w:p>
  <w:p w:rsidR="00CB3A0E" w:rsidRPr="00CB3A0E" w:rsidRDefault="00CB3A0E" w:rsidP="00CB3A0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MUS/Q/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Q/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0E" w:rsidRPr="00FB1744" w:rsidRDefault="00CB3A0E" w:rsidP="00FB1744">
      <w:pPr>
        <w:tabs>
          <w:tab w:val="right" w:pos="2155"/>
        </w:tabs>
        <w:spacing w:after="80" w:line="240" w:lineRule="auto"/>
        <w:ind w:left="680"/>
      </w:pPr>
      <w:r>
        <w:rPr>
          <w:u w:val="single"/>
        </w:rPr>
        <w:tab/>
      </w:r>
    </w:p>
  </w:footnote>
  <w:footnote w:type="continuationSeparator" w:id="0">
    <w:p w:rsidR="00CB3A0E" w:rsidRPr="00FB1744" w:rsidRDefault="00CB3A0E" w:rsidP="00FB1744">
      <w:pPr>
        <w:tabs>
          <w:tab w:val="right" w:pos="2155"/>
        </w:tabs>
        <w:spacing w:after="80" w:line="240" w:lineRule="auto"/>
        <w:ind w:left="680"/>
      </w:pPr>
      <w:r>
        <w:rPr>
          <w:u w:val="single"/>
        </w:rPr>
        <w:tab/>
      </w:r>
    </w:p>
  </w:footnote>
  <w:footnote w:id="1">
    <w:p w:rsidR="00CB3A0E" w:rsidRDefault="00CB3A0E" w:rsidP="00D77BDC">
      <w:pPr>
        <w:pStyle w:val="FootnoteText"/>
      </w:pPr>
      <w:r>
        <w:tab/>
      </w:r>
      <w:r w:rsidRPr="007B2B6A">
        <w:rPr>
          <w:rStyle w:val="FootnoteReference"/>
          <w:sz w:val="20"/>
          <w:vertAlign w:val="baseline"/>
        </w:rPr>
        <w:t>*</w:t>
      </w:r>
      <w:r w:rsidRPr="007B2B6A">
        <w:rPr>
          <w:sz w:val="22"/>
          <w:szCs w:val="22"/>
        </w:rPr>
        <w:tab/>
      </w:r>
      <w:r>
        <w:t>The present document is being issued without formal editing.</w:t>
      </w:r>
    </w:p>
    <w:p w:rsidR="00CB3A0E" w:rsidRPr="00BD3F01" w:rsidRDefault="00CB3A0E" w:rsidP="00D77BDC">
      <w:pPr>
        <w:pStyle w:val="FootnoteText"/>
      </w:pPr>
      <w:r>
        <w:tab/>
      </w:r>
      <w:r w:rsidRPr="007B2B6A">
        <w:rPr>
          <w:rStyle w:val="FootnoteReference"/>
          <w:sz w:val="20"/>
          <w:szCs w:val="22"/>
          <w:vertAlign w:val="baseline"/>
        </w:rPr>
        <w:t>**</w:t>
      </w:r>
      <w:r w:rsidRPr="007B2B6A">
        <w:rPr>
          <w:rStyle w:val="FootnoteReference"/>
          <w:sz w:val="20"/>
          <w:szCs w:val="22"/>
          <w:vertAlign w:val="baseline"/>
        </w:rPr>
        <w:tab/>
      </w:r>
      <w:r>
        <w:rPr>
          <w:color w:val="000000"/>
          <w:szCs w:val="18"/>
          <w:lang w:eastAsia="fr-FR"/>
        </w:rPr>
        <w:t xml:space="preserve">The annexes to the present document are on file with the Secretariat and are available for consultation. They </w:t>
      </w:r>
      <w:r w:rsidRPr="001075DD">
        <w:rPr>
          <w:color w:val="000000"/>
          <w:szCs w:val="18"/>
          <w:lang w:eastAsia="fr-FR"/>
        </w:rPr>
        <w:t>may also be accessed from the Committee</w:t>
      </w:r>
      <w:r>
        <w:rPr>
          <w:color w:val="000000"/>
          <w:szCs w:val="18"/>
          <w:lang w:eastAsia="fr-FR"/>
        </w:rPr>
        <w:t>’s</w:t>
      </w:r>
      <w:r w:rsidRPr="001075DD">
        <w:rPr>
          <w:color w:val="000000"/>
          <w:szCs w:val="18"/>
          <w:lang w:eastAsia="fr-FR"/>
        </w:rPr>
        <w:t xml:space="preserve"> web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0E" w:rsidRDefault="00CB3A0E" w:rsidP="008C3FD2">
    <w:pPr>
      <w:pStyle w:val="Header"/>
    </w:pPr>
    <w:r>
      <w:t xml:space="preserve">E/C.12/MUS/Q/5/Add.1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0E" w:rsidRDefault="00CB3A0E" w:rsidP="008C3FD2">
    <w:pPr>
      <w:pStyle w:val="Header"/>
      <w:jc w:val="right"/>
    </w:pPr>
    <w:r>
      <w:t xml:space="preserve">E/C.12/MUS/Q/5/Add.1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47E50"/>
    <w:multiLevelType w:val="multilevel"/>
    <w:tmpl w:val="3CB8D824"/>
    <w:lvl w:ilvl="0">
      <w:start w:val="2"/>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 w15:restartNumberingAfterBreak="0">
    <w:nsid w:val="07E2158D"/>
    <w:multiLevelType w:val="multilevel"/>
    <w:tmpl w:val="A13E531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 w15:restartNumberingAfterBreak="0">
    <w:nsid w:val="09C505EC"/>
    <w:multiLevelType w:val="hybridMultilevel"/>
    <w:tmpl w:val="BAE6B27C"/>
    <w:lvl w:ilvl="0" w:tplc="7C485358">
      <w:start w:val="1"/>
      <w:numFmt w:val="lowerRoman"/>
      <w:lvlText w:val="(%1)"/>
      <w:lvlJc w:val="left"/>
      <w:pPr>
        <w:tabs>
          <w:tab w:val="num" w:pos="1701"/>
        </w:tabs>
        <w:ind w:left="1701" w:hanging="170"/>
      </w:pPr>
      <w:rPr>
        <w:rFonts w:ascii="Bookman Old Style" w:eastAsiaTheme="minorHAnsi" w:hAnsi="Bookman Old Style" w:cstheme="minorBidi"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8B20D7"/>
    <w:multiLevelType w:val="hybridMultilevel"/>
    <w:tmpl w:val="ED9C2AB8"/>
    <w:lvl w:ilvl="0" w:tplc="0409001B">
      <w:start w:val="1"/>
      <w:numFmt w:val="lowerRoman"/>
      <w:lvlText w:val="%1."/>
      <w:lvlJc w:val="right"/>
      <w:pPr>
        <w:ind w:left="720" w:hanging="360"/>
      </w:pPr>
    </w:lvl>
    <w:lvl w:ilvl="1" w:tplc="7C485358">
      <w:start w:val="1"/>
      <w:numFmt w:val="lowerRoman"/>
      <w:lvlText w:val="(%2)"/>
      <w:lvlJc w:val="left"/>
      <w:pPr>
        <w:ind w:left="1440" w:hanging="360"/>
      </w:pPr>
      <w:rPr>
        <w:rFonts w:ascii="Bookman Old Style" w:eastAsiaTheme="minorHAnsi" w:hAnsi="Bookman Old Style"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1667D8"/>
    <w:multiLevelType w:val="hybridMultilevel"/>
    <w:tmpl w:val="318AF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169AD"/>
    <w:multiLevelType w:val="hybridMultilevel"/>
    <w:tmpl w:val="44C811BC"/>
    <w:lvl w:ilvl="0" w:tplc="0409001B">
      <w:start w:val="1"/>
      <w:numFmt w:val="lowerRoman"/>
      <w:lvlText w:val="%1."/>
      <w:lvlJc w:val="right"/>
      <w:pPr>
        <w:ind w:left="720" w:hanging="360"/>
      </w:pPr>
    </w:lvl>
    <w:lvl w:ilvl="1" w:tplc="7C485358">
      <w:start w:val="1"/>
      <w:numFmt w:val="lowerRoman"/>
      <w:lvlText w:val="(%2)"/>
      <w:lvlJc w:val="left"/>
      <w:pPr>
        <w:ind w:left="1440" w:hanging="360"/>
      </w:pPr>
      <w:rPr>
        <w:rFonts w:ascii="Bookman Old Style" w:eastAsiaTheme="minorHAnsi" w:hAnsi="Bookman Old Style"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47CD4"/>
    <w:multiLevelType w:val="hybridMultilevel"/>
    <w:tmpl w:val="EA1CC06E"/>
    <w:lvl w:ilvl="0" w:tplc="CBE80192">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518FF"/>
    <w:multiLevelType w:val="hybridMultilevel"/>
    <w:tmpl w:val="BE3CBA0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752E4E"/>
    <w:multiLevelType w:val="hybridMultilevel"/>
    <w:tmpl w:val="550C0CF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7509E6"/>
    <w:multiLevelType w:val="hybridMultilevel"/>
    <w:tmpl w:val="B7AA9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F6E39"/>
    <w:multiLevelType w:val="hybridMultilevel"/>
    <w:tmpl w:val="3BB64558"/>
    <w:lvl w:ilvl="0" w:tplc="AE9E988E">
      <w:start w:val="1"/>
      <w:numFmt w:val="lowerLetter"/>
      <w:lvlText w:val="(%1)"/>
      <w:lvlJc w:val="left"/>
      <w:pPr>
        <w:ind w:left="1118"/>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B442CDA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FCEA62">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E21FC0">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7AACB4">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D21B14">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AA3602">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E2FD66">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80F8BC">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921372F"/>
    <w:multiLevelType w:val="multilevel"/>
    <w:tmpl w:val="9110B082"/>
    <w:lvl w:ilvl="0">
      <w:start w:val="3"/>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15:restartNumberingAfterBreak="0">
    <w:nsid w:val="4A6A058D"/>
    <w:multiLevelType w:val="hybridMultilevel"/>
    <w:tmpl w:val="35CC4066"/>
    <w:lvl w:ilvl="0" w:tplc="04090001">
      <w:start w:val="1"/>
      <w:numFmt w:val="bullet"/>
      <w:lvlText w:val=""/>
      <w:lvlJc w:val="left"/>
      <w:pPr>
        <w:ind w:left="720" w:hanging="360"/>
      </w:pPr>
      <w:rPr>
        <w:rFonts w:ascii="Symbol" w:hAnsi="Symbol" w:hint="default"/>
      </w:rPr>
    </w:lvl>
    <w:lvl w:ilvl="1" w:tplc="43241B14">
      <w:numFmt w:val="bullet"/>
      <w:lvlText w:val="•"/>
      <w:lvlJc w:val="left"/>
      <w:pPr>
        <w:ind w:left="1800" w:hanging="720"/>
      </w:pPr>
      <w:rPr>
        <w:rFonts w:ascii="Georgia" w:eastAsiaTheme="minorEastAsia"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A5468"/>
    <w:multiLevelType w:val="hybridMultilevel"/>
    <w:tmpl w:val="D7D49292"/>
    <w:lvl w:ilvl="0" w:tplc="7C485358">
      <w:start w:val="1"/>
      <w:numFmt w:val="lowerRoman"/>
      <w:lvlText w:val="(%1)"/>
      <w:lvlJc w:val="left"/>
      <w:pPr>
        <w:tabs>
          <w:tab w:val="num" w:pos="1701"/>
        </w:tabs>
        <w:ind w:left="1701" w:hanging="170"/>
      </w:pPr>
      <w:rPr>
        <w:rFonts w:ascii="Bookman Old Style" w:eastAsiaTheme="minorHAnsi" w:hAnsi="Bookman Old Style" w:cstheme="minorBidi"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2C31DA"/>
    <w:multiLevelType w:val="hybridMultilevel"/>
    <w:tmpl w:val="4148C760"/>
    <w:lvl w:ilvl="0" w:tplc="449C6F14">
      <w:start w:val="1"/>
      <w:numFmt w:val="decimal"/>
      <w:lvlText w:val="%1."/>
      <w:lvlJc w:val="left"/>
      <w:pPr>
        <w:ind w:left="1854" w:hanging="360"/>
      </w:pPr>
      <w:rPr>
        <w:b w:val="0"/>
        <w:i w:val="0"/>
        <w:u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16105"/>
    <w:multiLevelType w:val="multilevel"/>
    <w:tmpl w:val="8CC4E542"/>
    <w:lvl w:ilvl="0">
      <w:start w:val="5"/>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4" w15:restartNumberingAfterBreak="0">
    <w:nsid w:val="6AE529C0"/>
    <w:multiLevelType w:val="hybridMultilevel"/>
    <w:tmpl w:val="BCBAC6FA"/>
    <w:lvl w:ilvl="0" w:tplc="700C00D8">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2585B"/>
    <w:multiLevelType w:val="hybridMultilevel"/>
    <w:tmpl w:val="B9B04712"/>
    <w:lvl w:ilvl="0" w:tplc="700C00D8">
      <w:start w:val="1"/>
      <w:numFmt w:val="lowerLetter"/>
      <w:lvlText w:val="(%1)"/>
      <w:lvlJc w:val="left"/>
      <w:pPr>
        <w:ind w:left="14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0C0506B"/>
    <w:multiLevelType w:val="hybridMultilevel"/>
    <w:tmpl w:val="B9E07F82"/>
    <w:lvl w:ilvl="0" w:tplc="400C7E00">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9D72AB"/>
    <w:multiLevelType w:val="hybridMultilevel"/>
    <w:tmpl w:val="37F2BB8C"/>
    <w:lvl w:ilvl="0" w:tplc="919468CC">
      <w:start w:val="1"/>
      <w:numFmt w:val="lowerRoman"/>
      <w:lvlText w:val="(%1)"/>
      <w:lvlJc w:val="left"/>
      <w:pPr>
        <w:ind w:left="720" w:hanging="360"/>
      </w:pPr>
      <w:rPr>
        <w:rFonts w:cs="Times New Roman"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935D6D"/>
    <w:multiLevelType w:val="multilevel"/>
    <w:tmpl w:val="E5A6D076"/>
    <w:lvl w:ilvl="0">
      <w:start w:val="4"/>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1" w15:restartNumberingAfterBreak="0">
    <w:nsid w:val="7B8C7804"/>
    <w:multiLevelType w:val="hybridMultilevel"/>
    <w:tmpl w:val="A63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24976"/>
    <w:multiLevelType w:val="hybridMultilevel"/>
    <w:tmpl w:val="DF72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9"/>
  </w:num>
  <w:num w:numId="5">
    <w:abstractNumId w:val="20"/>
  </w:num>
  <w:num w:numId="6">
    <w:abstractNumId w:val="29"/>
  </w:num>
  <w:num w:numId="7">
    <w:abstractNumId w:val="6"/>
  </w:num>
  <w:num w:numId="8">
    <w:abstractNumId w:val="22"/>
  </w:num>
  <w:num w:numId="9">
    <w:abstractNumId w:val="28"/>
  </w:num>
  <w:num w:numId="10">
    <w:abstractNumId w:val="4"/>
  </w:num>
  <w:num w:numId="11">
    <w:abstractNumId w:val="15"/>
  </w:num>
  <w:num w:numId="12">
    <w:abstractNumId w:val="31"/>
  </w:num>
  <w:num w:numId="13">
    <w:abstractNumId w:val="14"/>
  </w:num>
  <w:num w:numId="14">
    <w:abstractNumId w:val="32"/>
  </w:num>
  <w:num w:numId="15">
    <w:abstractNumId w:val="9"/>
  </w:num>
  <w:num w:numId="16">
    <w:abstractNumId w:val="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7"/>
  </w:num>
  <w:num w:numId="29">
    <w:abstractNumId w:val="17"/>
  </w:num>
  <w:num w:numId="30">
    <w:abstractNumId w:val="3"/>
  </w:num>
  <w:num w:numId="31">
    <w:abstractNumId w:val="18"/>
  </w:num>
  <w:num w:numId="32">
    <w:abstractNumId w:val="25"/>
  </w:num>
  <w:num w:numId="33">
    <w:abstractNumId w:val="2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3B4B"/>
    <w:rsid w:val="00027F3C"/>
    <w:rsid w:val="00032D44"/>
    <w:rsid w:val="00046E92"/>
    <w:rsid w:val="000D1B89"/>
    <w:rsid w:val="0011575C"/>
    <w:rsid w:val="001170DC"/>
    <w:rsid w:val="001363E6"/>
    <w:rsid w:val="001369E7"/>
    <w:rsid w:val="001623CA"/>
    <w:rsid w:val="001D6583"/>
    <w:rsid w:val="00247E2C"/>
    <w:rsid w:val="0027502A"/>
    <w:rsid w:val="00295E70"/>
    <w:rsid w:val="002A1136"/>
    <w:rsid w:val="002A2E87"/>
    <w:rsid w:val="002A39A3"/>
    <w:rsid w:val="002C240C"/>
    <w:rsid w:val="002D5E23"/>
    <w:rsid w:val="002D6C53"/>
    <w:rsid w:val="002F5595"/>
    <w:rsid w:val="002F5A52"/>
    <w:rsid w:val="00302765"/>
    <w:rsid w:val="00326957"/>
    <w:rsid w:val="00334F6A"/>
    <w:rsid w:val="00342AC8"/>
    <w:rsid w:val="0039107B"/>
    <w:rsid w:val="003977E1"/>
    <w:rsid w:val="003B4550"/>
    <w:rsid w:val="003F340E"/>
    <w:rsid w:val="003F4F3D"/>
    <w:rsid w:val="00430F10"/>
    <w:rsid w:val="00452410"/>
    <w:rsid w:val="00461253"/>
    <w:rsid w:val="005025AE"/>
    <w:rsid w:val="005042C2"/>
    <w:rsid w:val="00506C12"/>
    <w:rsid w:val="0052773C"/>
    <w:rsid w:val="0056599A"/>
    <w:rsid w:val="00587690"/>
    <w:rsid w:val="005F15E8"/>
    <w:rsid w:val="005F3068"/>
    <w:rsid w:val="005F7E2C"/>
    <w:rsid w:val="0063496F"/>
    <w:rsid w:val="00671529"/>
    <w:rsid w:val="00672F79"/>
    <w:rsid w:val="006A3B4B"/>
    <w:rsid w:val="0070260E"/>
    <w:rsid w:val="00717266"/>
    <w:rsid w:val="007268F9"/>
    <w:rsid w:val="00736035"/>
    <w:rsid w:val="00744CE9"/>
    <w:rsid w:val="00750A2F"/>
    <w:rsid w:val="007770DD"/>
    <w:rsid w:val="007B2B6A"/>
    <w:rsid w:val="007C1C81"/>
    <w:rsid w:val="007C52B0"/>
    <w:rsid w:val="007F0AE3"/>
    <w:rsid w:val="00816ECE"/>
    <w:rsid w:val="0085364E"/>
    <w:rsid w:val="00855300"/>
    <w:rsid w:val="008931F8"/>
    <w:rsid w:val="008A4F53"/>
    <w:rsid w:val="008C3FD2"/>
    <w:rsid w:val="008E074C"/>
    <w:rsid w:val="009235F0"/>
    <w:rsid w:val="009411B4"/>
    <w:rsid w:val="009C2A2B"/>
    <w:rsid w:val="009D0139"/>
    <w:rsid w:val="009D2642"/>
    <w:rsid w:val="009D3766"/>
    <w:rsid w:val="009D39AA"/>
    <w:rsid w:val="009D7612"/>
    <w:rsid w:val="009E0121"/>
    <w:rsid w:val="009F5CDC"/>
    <w:rsid w:val="00A01BF6"/>
    <w:rsid w:val="00A775CF"/>
    <w:rsid w:val="00AB3C7E"/>
    <w:rsid w:val="00AC115F"/>
    <w:rsid w:val="00AD56F3"/>
    <w:rsid w:val="00B046A5"/>
    <w:rsid w:val="00B06045"/>
    <w:rsid w:val="00B10828"/>
    <w:rsid w:val="00B35FD1"/>
    <w:rsid w:val="00B515BC"/>
    <w:rsid w:val="00B532BA"/>
    <w:rsid w:val="00B55FCD"/>
    <w:rsid w:val="00B87267"/>
    <w:rsid w:val="00BD10C0"/>
    <w:rsid w:val="00C35A27"/>
    <w:rsid w:val="00C43497"/>
    <w:rsid w:val="00C61ECE"/>
    <w:rsid w:val="00C62593"/>
    <w:rsid w:val="00C6365A"/>
    <w:rsid w:val="00CB3A0E"/>
    <w:rsid w:val="00CB7127"/>
    <w:rsid w:val="00D22AC3"/>
    <w:rsid w:val="00D54CB4"/>
    <w:rsid w:val="00D652A8"/>
    <w:rsid w:val="00D77BDC"/>
    <w:rsid w:val="00D81B2D"/>
    <w:rsid w:val="00D829DF"/>
    <w:rsid w:val="00D92267"/>
    <w:rsid w:val="00DA1C91"/>
    <w:rsid w:val="00DC745F"/>
    <w:rsid w:val="00DE05E9"/>
    <w:rsid w:val="00DF205E"/>
    <w:rsid w:val="00DF4586"/>
    <w:rsid w:val="00E02C2B"/>
    <w:rsid w:val="00EB6AF6"/>
    <w:rsid w:val="00ED6C48"/>
    <w:rsid w:val="00EE22AE"/>
    <w:rsid w:val="00F10374"/>
    <w:rsid w:val="00F47F33"/>
    <w:rsid w:val="00F65F5D"/>
    <w:rsid w:val="00F86A3A"/>
    <w:rsid w:val="00FA36A9"/>
    <w:rsid w:val="00FB1744"/>
    <w:rsid w:val="00FB2403"/>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627B31DA-6F51-4011-BCCB-AF5E356B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D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CA14-E936-4A58-A486-7FBA36C4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22</Pages>
  <Words>10845</Words>
  <Characters>56647</Characters>
  <Application>Microsoft Office Word</Application>
  <DocSecurity>0</DocSecurity>
  <Lines>1287</Lines>
  <Paragraphs>639</Paragraphs>
  <ScaleCrop>false</ScaleCrop>
  <HeadingPairs>
    <vt:vector size="2" baseType="variant">
      <vt:variant>
        <vt:lpstr>Title</vt:lpstr>
      </vt:variant>
      <vt:variant>
        <vt:i4>1</vt:i4>
      </vt:variant>
    </vt:vector>
  </HeadingPairs>
  <TitlesOfParts>
    <vt:vector size="1" baseType="lpstr">
      <vt:lpstr>E/C.12/MUS/Q/5/Add.1</vt:lpstr>
    </vt:vector>
  </TitlesOfParts>
  <Company>DCM</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E/C.12/MUS/Q/5/Add.1</dc:title>
  <dc:subject>1822327</dc:subject>
  <dc:creator>cg</dc:creator>
  <cp:keywords/>
  <dc:description/>
  <cp:lastModifiedBy>Generic Desk Anglais</cp:lastModifiedBy>
  <cp:revision>2</cp:revision>
  <dcterms:created xsi:type="dcterms:W3CDTF">2018-12-19T15:12:00Z</dcterms:created>
  <dcterms:modified xsi:type="dcterms:W3CDTF">2018-12-19T15:12:00Z</dcterms:modified>
</cp:coreProperties>
</file>