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84" w:rsidRPr="00B86227" w:rsidRDefault="00B86227" w:rsidP="00B86227">
      <w:pPr>
        <w:spacing w:line="20" w:lineRule="exact"/>
        <w:rPr>
          <w:sz w:val="2"/>
          <w:szCs w:val="2"/>
        </w:rPr>
      </w:pPr>
      <w:r>
        <w:rPr>
          <w:rStyle w:val="CommentReference"/>
          <w:lang w:val="x-none"/>
        </w:rPr>
        <w:commentReference w:id="0"/>
      </w:r>
      <w:bookmarkStart w:id="1" w:name="_GoBack"/>
      <w:bookmarkEnd w:id="1"/>
    </w:p>
    <w:p w:rsidR="00B86227" w:rsidRPr="007B338E" w:rsidRDefault="00B86227" w:rsidP="007B338E">
      <w:pPr>
        <w:spacing w:line="240" w:lineRule="auto"/>
        <w:rPr>
          <w:sz w:val="2"/>
          <w:szCs w:val="2"/>
        </w:rPr>
      </w:pPr>
    </w:p>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B1177" w:rsidRPr="00CE7C3E">
        <w:trPr>
          <w:trHeight w:val="851"/>
        </w:trPr>
        <w:tc>
          <w:tcPr>
            <w:tcW w:w="1259" w:type="dxa"/>
            <w:tcBorders>
              <w:top w:val="nil"/>
              <w:left w:val="nil"/>
              <w:bottom w:val="single" w:sz="4" w:space="0" w:color="auto"/>
              <w:right w:val="nil"/>
            </w:tcBorders>
            <w:shd w:val="clear" w:color="auto" w:fill="auto"/>
          </w:tcPr>
          <w:p w:rsidR="004B1177" w:rsidRPr="007E2C6D" w:rsidRDefault="004B1177" w:rsidP="004B1177"/>
        </w:tc>
        <w:tc>
          <w:tcPr>
            <w:tcW w:w="2236" w:type="dxa"/>
            <w:tcBorders>
              <w:top w:val="nil"/>
              <w:left w:val="nil"/>
              <w:bottom w:val="single" w:sz="4" w:space="0" w:color="auto"/>
              <w:right w:val="nil"/>
            </w:tcBorders>
            <w:shd w:val="clear" w:color="auto" w:fill="auto"/>
            <w:vAlign w:val="bottom"/>
          </w:tcPr>
          <w:p w:rsidR="004B1177" w:rsidRPr="001D3C1A" w:rsidRDefault="004B1177" w:rsidP="004B1177">
            <w:pPr>
              <w:spacing w:after="80" w:line="300" w:lineRule="exact"/>
              <w:rPr>
                <w:sz w:val="28"/>
                <w:szCs w:val="28"/>
              </w:rPr>
            </w:pPr>
            <w:r w:rsidRPr="001D3C1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B1177" w:rsidRPr="00CE7C3E" w:rsidRDefault="004B1177" w:rsidP="004B1177">
            <w:pPr>
              <w:suppressAutoHyphens w:val="0"/>
              <w:spacing w:after="20"/>
              <w:jc w:val="right"/>
            </w:pPr>
            <w:r w:rsidRPr="00CE7C3E">
              <w:rPr>
                <w:bCs/>
                <w:sz w:val="40"/>
                <w:szCs w:val="40"/>
              </w:rPr>
              <w:t>E</w:t>
            </w:r>
            <w:r w:rsidR="00E81E2D">
              <w:t>/C.12/</w:t>
            </w:r>
            <w:r w:rsidRPr="00CE7C3E">
              <w:t>KGZ/CO/2-3</w:t>
            </w:r>
          </w:p>
        </w:tc>
      </w:tr>
      <w:tr w:rsidR="004B1177" w:rsidRPr="007E2C6D">
        <w:trPr>
          <w:trHeight w:val="2835"/>
        </w:trPr>
        <w:tc>
          <w:tcPr>
            <w:tcW w:w="1259" w:type="dxa"/>
            <w:tcBorders>
              <w:top w:val="single" w:sz="4" w:space="0" w:color="auto"/>
              <w:left w:val="nil"/>
              <w:bottom w:val="single" w:sz="12" w:space="0" w:color="auto"/>
              <w:right w:val="nil"/>
            </w:tcBorders>
            <w:shd w:val="clear" w:color="auto" w:fill="auto"/>
          </w:tcPr>
          <w:p w:rsidR="004B1177" w:rsidRPr="007E2C6D" w:rsidRDefault="009C5AC7" w:rsidP="004B1177">
            <w:pPr>
              <w:spacing w:before="120"/>
            </w:pPr>
            <w:r>
              <w:rPr>
                <w:noProof/>
                <w:lang w:eastAsia="zh-CN"/>
              </w:rPr>
              <w:drawing>
                <wp:inline distT="0" distB="0" distL="0" distR="0" wp14:anchorId="5A5804C1" wp14:editId="7DBB359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4B1177" w:rsidRPr="00EE1F56" w:rsidRDefault="004B1177" w:rsidP="004B1177">
            <w:pPr>
              <w:spacing w:before="240" w:line="260" w:lineRule="exact"/>
              <w:rPr>
                <w:b/>
                <w:sz w:val="36"/>
                <w:szCs w:val="36"/>
              </w:rPr>
            </w:pPr>
            <w:r w:rsidRPr="00EE1F56">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4B1177" w:rsidRPr="00EE1F56" w:rsidRDefault="004B1177" w:rsidP="004B1177">
            <w:pPr>
              <w:suppressAutoHyphens w:val="0"/>
              <w:spacing w:before="240" w:line="240" w:lineRule="exact"/>
            </w:pPr>
            <w:r w:rsidRPr="00EE1F56">
              <w:t xml:space="preserve">Distr.: </w:t>
            </w:r>
            <w:r w:rsidR="00A30733" w:rsidRPr="00EE1F56">
              <w:t>General</w:t>
            </w:r>
          </w:p>
          <w:p w:rsidR="004B1177" w:rsidRPr="00EE1F56" w:rsidRDefault="00C866F8" w:rsidP="00C866F8">
            <w:pPr>
              <w:suppressAutoHyphens w:val="0"/>
            </w:pPr>
            <w:r w:rsidRPr="00EE1F56">
              <w:t>7</w:t>
            </w:r>
            <w:r w:rsidR="00A30733" w:rsidRPr="00EE1F56">
              <w:t xml:space="preserve"> </w:t>
            </w:r>
            <w:r w:rsidR="004B1177" w:rsidRPr="00EE1F56">
              <w:t>Ju</w:t>
            </w:r>
            <w:r w:rsidRPr="00EE1F56">
              <w:t>ly</w:t>
            </w:r>
            <w:r w:rsidR="004B1177" w:rsidRPr="00EE1F56">
              <w:t xml:space="preserve"> 2015</w:t>
            </w:r>
          </w:p>
          <w:p w:rsidR="004B1177" w:rsidRPr="00EE1F56" w:rsidRDefault="004B1177" w:rsidP="004B1177">
            <w:pPr>
              <w:suppressAutoHyphens w:val="0"/>
            </w:pPr>
          </w:p>
          <w:p w:rsidR="004B1177" w:rsidRPr="00EE1F56" w:rsidRDefault="004B1177" w:rsidP="00331932">
            <w:pPr>
              <w:suppressAutoHyphens w:val="0"/>
            </w:pPr>
            <w:r w:rsidRPr="00EE1F56">
              <w:t>Original: English</w:t>
            </w:r>
            <w:r w:rsidR="00D97BF9" w:rsidRPr="00EE1F56">
              <w:br/>
            </w:r>
          </w:p>
        </w:tc>
      </w:tr>
    </w:tbl>
    <w:p w:rsidR="00604616" w:rsidRDefault="00604616" w:rsidP="007B338E">
      <w:pPr>
        <w:spacing w:before="120"/>
      </w:pPr>
      <w:r>
        <w:rPr>
          <w:b/>
          <w:sz w:val="24"/>
          <w:szCs w:val="24"/>
        </w:rPr>
        <w:t>Committee on Economic, Social and Cultural Rights</w:t>
      </w:r>
    </w:p>
    <w:p w:rsidR="004B1177" w:rsidRDefault="004B1177">
      <w:pPr>
        <w:pStyle w:val="HChG"/>
        <w:rPr>
          <w:color w:val="000000"/>
        </w:rPr>
      </w:pPr>
      <w:r>
        <w:tab/>
      </w:r>
      <w:r w:rsidRPr="000A2667">
        <w:rPr>
          <w:sz w:val="34"/>
          <w:szCs w:val="34"/>
        </w:rPr>
        <w:tab/>
      </w:r>
      <w:r w:rsidRPr="004D4C76">
        <w:rPr>
          <w:szCs w:val="28"/>
        </w:rPr>
        <w:t>Concluding</w:t>
      </w:r>
      <w:r w:rsidRPr="00BC6DBC">
        <w:t xml:space="preserve"> observations on the</w:t>
      </w:r>
      <w:r>
        <w:t xml:space="preserve"> </w:t>
      </w:r>
      <w:r w:rsidR="00A30733">
        <w:t xml:space="preserve">combined </w:t>
      </w:r>
      <w:r w:rsidRPr="00A30733">
        <w:t>second</w:t>
      </w:r>
      <w:r>
        <w:t xml:space="preserve"> and third</w:t>
      </w:r>
      <w:r w:rsidRPr="00BC6DBC">
        <w:t xml:space="preserve"> </w:t>
      </w:r>
      <w:r>
        <w:t>periodic report</w:t>
      </w:r>
      <w:r w:rsidR="00B52E4F">
        <w:t>s</w:t>
      </w:r>
      <w:r>
        <w:rPr>
          <w:color w:val="FF0000"/>
        </w:rPr>
        <w:t xml:space="preserve"> </w:t>
      </w:r>
      <w:r w:rsidRPr="00BC6DBC">
        <w:t xml:space="preserve">of </w:t>
      </w:r>
      <w:r w:rsidRPr="00CE7C3E">
        <w:t>Kyrgyzstan</w:t>
      </w:r>
      <w:r w:rsidR="00331932" w:rsidRPr="007B338E">
        <w:rPr>
          <w:rStyle w:val="FootnoteReference"/>
          <w:b w:val="0"/>
          <w:bCs/>
          <w:sz w:val="20"/>
          <w:vertAlign w:val="baseline"/>
        </w:rPr>
        <w:footnoteReference w:customMarkFollows="1" w:id="2"/>
        <w:t>*</w:t>
      </w:r>
    </w:p>
    <w:p w:rsidR="004B1177" w:rsidRPr="00CE7C3E" w:rsidRDefault="00683BFD" w:rsidP="00683BFD">
      <w:pPr>
        <w:pStyle w:val="SingleTxtG"/>
      </w:pPr>
      <w:r w:rsidRPr="00CE7C3E">
        <w:t>1.</w:t>
      </w:r>
      <w:r w:rsidRPr="00CE7C3E">
        <w:tab/>
      </w:r>
      <w:r w:rsidR="004B1177" w:rsidRPr="00CE7C3E">
        <w:t xml:space="preserve">The Committee on Economic, Social and Cultural Rights considered the </w:t>
      </w:r>
      <w:r w:rsidR="007A01BA">
        <w:t>combined seco</w:t>
      </w:r>
      <w:r w:rsidR="004B1177" w:rsidRPr="00CE7C3E">
        <w:t>nd</w:t>
      </w:r>
      <w:r w:rsidR="007A01BA">
        <w:t xml:space="preserve"> and thi</w:t>
      </w:r>
      <w:r w:rsidR="004B1177" w:rsidRPr="00CE7C3E">
        <w:t>rd periodic report</w:t>
      </w:r>
      <w:r w:rsidR="007A01BA">
        <w:t>s</w:t>
      </w:r>
      <w:r w:rsidR="004B1177" w:rsidRPr="00CE7C3E">
        <w:t xml:space="preserve"> of Kyrgyzstan on the implementation of the International Covenant on Economic, Social and Cultural Rights (E/C.12/KGZ/2-3) at its </w:t>
      </w:r>
      <w:r w:rsidR="007A01BA">
        <w:t>twenty-seco</w:t>
      </w:r>
      <w:r w:rsidR="004B1177" w:rsidRPr="00CE7C3E">
        <w:t xml:space="preserve">nd and </w:t>
      </w:r>
      <w:r w:rsidR="007A01BA">
        <w:t>twenty-thi</w:t>
      </w:r>
      <w:r w:rsidR="004B1177" w:rsidRPr="00CE7C3E">
        <w:t>rd meetings (</w:t>
      </w:r>
      <w:r w:rsidR="00116AC3">
        <w:t xml:space="preserve">see </w:t>
      </w:r>
      <w:r w:rsidR="004B1177" w:rsidRPr="00CE7C3E">
        <w:t>E/C.12/2015/SR.22 and 23)</w:t>
      </w:r>
      <w:r w:rsidR="00116AC3">
        <w:t>,</w:t>
      </w:r>
      <w:r w:rsidR="004B1177" w:rsidRPr="00CE7C3E">
        <w:t xml:space="preserve"> held on 1 and 2 June 2015, and adopted</w:t>
      </w:r>
      <w:r w:rsidR="00116AC3">
        <w:t xml:space="preserve"> </w:t>
      </w:r>
      <w:r w:rsidR="00116AC3" w:rsidRPr="00CE7C3E">
        <w:t>the following concluding observations</w:t>
      </w:r>
      <w:r w:rsidR="004B1177" w:rsidRPr="00CE7C3E">
        <w:t xml:space="preserve"> at its </w:t>
      </w:r>
      <w:r w:rsidR="007A01BA">
        <w:t>fiftie</w:t>
      </w:r>
      <w:r w:rsidR="004B1177" w:rsidRPr="00CE7C3E">
        <w:t>th meeting</w:t>
      </w:r>
      <w:r w:rsidR="00116AC3">
        <w:t>,</w:t>
      </w:r>
      <w:r w:rsidR="004B1177" w:rsidRPr="00CE7C3E">
        <w:t xml:space="preserve"> held on 19 June 2015.</w:t>
      </w:r>
    </w:p>
    <w:p w:rsidR="004B1177" w:rsidRPr="004D4C76" w:rsidRDefault="004B1177" w:rsidP="00B548CC">
      <w:pPr>
        <w:pStyle w:val="H1G"/>
      </w:pPr>
      <w:r w:rsidRPr="004D4C76">
        <w:tab/>
        <w:t>A.</w:t>
      </w:r>
      <w:r w:rsidRPr="004D4C76">
        <w:tab/>
      </w:r>
      <w:r w:rsidRPr="00B548CC">
        <w:t>Introduction</w:t>
      </w:r>
    </w:p>
    <w:p w:rsidR="004B1177" w:rsidRPr="00CE7C3E" w:rsidRDefault="00683BFD" w:rsidP="00683BFD">
      <w:pPr>
        <w:pStyle w:val="SingleTxtG"/>
      </w:pPr>
      <w:r w:rsidRPr="00CE7C3E">
        <w:t>2.</w:t>
      </w:r>
      <w:r w:rsidRPr="00CE7C3E">
        <w:tab/>
      </w:r>
      <w:r w:rsidR="004B1177" w:rsidRPr="00CE7C3E">
        <w:t>The Committee welcomes the submission by Kyrgyzstan of the periodic report, the supplementary information provided in the replies to the list of issues</w:t>
      </w:r>
      <w:r w:rsidR="009B3C77">
        <w:br/>
      </w:r>
      <w:r w:rsidR="004B1177" w:rsidRPr="00CE7C3E">
        <w:t>(E/C.12/KGZ/Q/2-3/Add.1)</w:t>
      </w:r>
      <w:r w:rsidR="009B3C77">
        <w:t xml:space="preserve"> and</w:t>
      </w:r>
      <w:r w:rsidR="004B1177" w:rsidRPr="00CE7C3E">
        <w:t xml:space="preserve"> the State party’s </w:t>
      </w:r>
      <w:r w:rsidR="00BA3969">
        <w:t>c</w:t>
      </w:r>
      <w:r w:rsidR="004B1177" w:rsidRPr="00CE7C3E">
        <w:t xml:space="preserve">ommon core document (HRI/CORE/KGZ/2008), as well as the oral replies provided by the delegation. The Committee also welcomes the constructive dialogue held with the State party’s high-level delegation. It regrets, however, the delay in </w:t>
      </w:r>
      <w:r w:rsidR="009B3C77">
        <w:t xml:space="preserve">the </w:t>
      </w:r>
      <w:r w:rsidR="004B1177" w:rsidRPr="00CE7C3E">
        <w:t xml:space="preserve">submission </w:t>
      </w:r>
      <w:r w:rsidR="009B3C77">
        <w:t xml:space="preserve">of </w:t>
      </w:r>
      <w:r w:rsidR="004B1177" w:rsidRPr="00CE7C3E">
        <w:t>the periodic report.</w:t>
      </w:r>
    </w:p>
    <w:p w:rsidR="004B1177" w:rsidRPr="00B86227" w:rsidRDefault="004B1177" w:rsidP="00B548CC">
      <w:pPr>
        <w:pStyle w:val="H1G"/>
        <w:rPr>
          <w:lang w:val="en-GB"/>
        </w:rPr>
      </w:pPr>
      <w:r w:rsidRPr="00E03F84">
        <w:tab/>
        <w:t>B.</w:t>
      </w:r>
      <w:r w:rsidRPr="00E03F84">
        <w:tab/>
        <w:t xml:space="preserve">Positive </w:t>
      </w:r>
      <w:r w:rsidRPr="00B548CC">
        <w:t>aspects</w:t>
      </w:r>
    </w:p>
    <w:p w:rsidR="004B1177" w:rsidRPr="00CE7C3E" w:rsidRDefault="00683BFD" w:rsidP="00683BFD">
      <w:pPr>
        <w:pStyle w:val="SingleTxtG"/>
      </w:pPr>
      <w:r w:rsidRPr="00CE7C3E">
        <w:t>3.</w:t>
      </w:r>
      <w:r w:rsidRPr="00CE7C3E">
        <w:tab/>
      </w:r>
      <w:r w:rsidR="004B1177" w:rsidRPr="00CE7C3E">
        <w:t>The Committee welcomes the State party’s ratification of the</w:t>
      </w:r>
      <w:r w:rsidR="00754A1C">
        <w:t xml:space="preserve"> </w:t>
      </w:r>
      <w:r w:rsidR="004B1177" w:rsidRPr="00CE7C3E">
        <w:t>following</w:t>
      </w:r>
      <w:r w:rsidR="00754A1C">
        <w:t xml:space="preserve"> </w:t>
      </w:r>
      <w:r w:rsidR="004B1177" w:rsidRPr="00CE7C3E">
        <w:t xml:space="preserve">international instruments: </w:t>
      </w:r>
    </w:p>
    <w:p w:rsidR="004B1177" w:rsidRPr="00B548CC" w:rsidRDefault="00683BFD" w:rsidP="00683BFD">
      <w:pPr>
        <w:pStyle w:val="SingleTxtG"/>
        <w:ind w:firstLine="567"/>
      </w:pPr>
      <w:r w:rsidRPr="00B548CC">
        <w:t>(a)</w:t>
      </w:r>
      <w:r w:rsidRPr="00B548CC">
        <w:tab/>
      </w:r>
      <w:r w:rsidR="00BA3969">
        <w:t xml:space="preserve">The </w:t>
      </w:r>
      <w:r w:rsidR="004B1177" w:rsidRPr="00B548CC">
        <w:t>International Convention on the Protection of the Rights of All Migrant Workers and Members of Their Families</w:t>
      </w:r>
      <w:r w:rsidR="00BA3969">
        <w:t>, in</w:t>
      </w:r>
      <w:r w:rsidR="00EC6DCB" w:rsidRPr="00B548CC">
        <w:t xml:space="preserve"> </w:t>
      </w:r>
      <w:r w:rsidR="004B1177" w:rsidRPr="00B548CC">
        <w:t>September 2003;</w:t>
      </w:r>
    </w:p>
    <w:p w:rsidR="004B1177" w:rsidRPr="00B548CC" w:rsidRDefault="00683BFD" w:rsidP="00683BFD">
      <w:pPr>
        <w:pStyle w:val="SingleTxtG"/>
        <w:ind w:firstLine="567"/>
      </w:pPr>
      <w:r w:rsidRPr="00B548CC">
        <w:t>(b)</w:t>
      </w:r>
      <w:r w:rsidRPr="00B548CC">
        <w:tab/>
      </w:r>
      <w:r w:rsidR="00BA3969">
        <w:t xml:space="preserve">The </w:t>
      </w:r>
      <w:r w:rsidR="004B1177" w:rsidRPr="00B548CC">
        <w:t>Second Optional Protocol to the International Covenant on Civil and Political Rights</w:t>
      </w:r>
      <w:r w:rsidR="00AE5E03">
        <w:t>,</w:t>
      </w:r>
      <w:r w:rsidR="004B1177" w:rsidRPr="00B548CC">
        <w:t xml:space="preserve"> aiming </w:t>
      </w:r>
      <w:r w:rsidR="00087C65">
        <w:t>at</w:t>
      </w:r>
      <w:r w:rsidR="004B1177" w:rsidRPr="00B548CC">
        <w:t xml:space="preserve"> the abolition of the death penalty</w:t>
      </w:r>
      <w:r w:rsidR="00BA3969">
        <w:t>, in</w:t>
      </w:r>
      <w:r w:rsidR="00EC6DCB" w:rsidRPr="00B548CC">
        <w:t xml:space="preserve"> </w:t>
      </w:r>
      <w:r w:rsidR="004B1177" w:rsidRPr="00B548CC">
        <w:t>December 2010;</w:t>
      </w:r>
    </w:p>
    <w:p w:rsidR="004B1177" w:rsidRPr="00B548CC" w:rsidRDefault="00683BFD" w:rsidP="00683BFD">
      <w:pPr>
        <w:pStyle w:val="SingleTxtG"/>
        <w:ind w:firstLine="567"/>
      </w:pPr>
      <w:r w:rsidRPr="00B548CC">
        <w:t>(c)</w:t>
      </w:r>
      <w:r w:rsidRPr="00B548CC">
        <w:tab/>
      </w:r>
      <w:r w:rsidR="00BA3969">
        <w:t xml:space="preserve">The </w:t>
      </w:r>
      <w:r w:rsidR="004B1177" w:rsidRPr="00B548CC">
        <w:t xml:space="preserve">Optional Protocol </w:t>
      </w:r>
      <w:r w:rsidR="00087C65">
        <w:t>to</w:t>
      </w:r>
      <w:r w:rsidR="00087C65" w:rsidRPr="00B548CC">
        <w:t xml:space="preserve"> </w:t>
      </w:r>
      <w:r w:rsidR="004B1177" w:rsidRPr="00B548CC">
        <w:t>the Convention against Torture</w:t>
      </w:r>
      <w:r w:rsidR="00AE5E03">
        <w:t xml:space="preserve"> </w:t>
      </w:r>
      <w:r w:rsidR="00AE5E03" w:rsidRPr="00AE5E03">
        <w:t>and Other Cruel, Inhuman or Degrading Treatment or Punishment</w:t>
      </w:r>
      <w:r w:rsidR="00BA3969">
        <w:t>, in</w:t>
      </w:r>
      <w:r w:rsidR="00EC6DCB" w:rsidRPr="00B548CC">
        <w:t xml:space="preserve"> </w:t>
      </w:r>
      <w:r w:rsidR="004B1177" w:rsidRPr="00B548CC">
        <w:t xml:space="preserve">December 2008; </w:t>
      </w:r>
    </w:p>
    <w:p w:rsidR="004B1177" w:rsidRPr="00CE7C3E" w:rsidRDefault="00683BFD" w:rsidP="00683BFD">
      <w:pPr>
        <w:pStyle w:val="SingleTxtG"/>
      </w:pPr>
      <w:r w:rsidRPr="00CE7C3E">
        <w:t>4.</w:t>
      </w:r>
      <w:r w:rsidRPr="00CE7C3E">
        <w:tab/>
      </w:r>
      <w:r w:rsidR="004B1177" w:rsidRPr="00CE7C3E">
        <w:t>The Committee welcomes the States party’s efforts to promote the implementation of economic, social and cultural rights, which have included</w:t>
      </w:r>
      <w:r w:rsidR="00BA3969">
        <w:t xml:space="preserve"> t</w:t>
      </w:r>
      <w:r w:rsidR="00BA3969" w:rsidRPr="00B548CC">
        <w:t>he adoption of</w:t>
      </w:r>
      <w:r w:rsidR="004B1177" w:rsidRPr="00CE7C3E">
        <w:t>:</w:t>
      </w:r>
    </w:p>
    <w:p w:rsidR="004B1177" w:rsidRPr="00B548CC" w:rsidRDefault="00683BFD" w:rsidP="00683BFD">
      <w:pPr>
        <w:pStyle w:val="SingleTxtG"/>
        <w:ind w:firstLine="567"/>
      </w:pPr>
      <w:r w:rsidRPr="00B548CC">
        <w:t>(a)</w:t>
      </w:r>
      <w:r w:rsidRPr="00B548CC">
        <w:tab/>
      </w:r>
      <w:r w:rsidR="00BA3969">
        <w:t>The</w:t>
      </w:r>
      <w:r w:rsidR="004B1177" w:rsidRPr="00B548CC">
        <w:t xml:space="preserve"> new Constitution</w:t>
      </w:r>
      <w:r w:rsidR="00BA3969">
        <w:t>, in</w:t>
      </w:r>
      <w:r w:rsidR="004B1177" w:rsidRPr="00B548CC">
        <w:t xml:space="preserve"> June 2010;</w:t>
      </w:r>
    </w:p>
    <w:p w:rsidR="004B1177" w:rsidRPr="00B548CC" w:rsidRDefault="00683BFD" w:rsidP="00683BFD">
      <w:pPr>
        <w:pStyle w:val="SingleTxtG"/>
        <w:ind w:firstLine="567"/>
      </w:pPr>
      <w:r w:rsidRPr="00B548CC">
        <w:lastRenderedPageBreak/>
        <w:t>(b)</w:t>
      </w:r>
      <w:r w:rsidRPr="00B548CC">
        <w:tab/>
      </w:r>
      <w:r w:rsidR="004B1177" w:rsidRPr="00B548CC">
        <w:t>Act</w:t>
      </w:r>
      <w:r w:rsidR="00D911BB">
        <w:t xml:space="preserve"> No. </w:t>
      </w:r>
      <w:r w:rsidR="004B1177" w:rsidRPr="00B548CC">
        <w:t xml:space="preserve">318 on State </w:t>
      </w:r>
      <w:r w:rsidR="00AE5E03">
        <w:t>b</w:t>
      </w:r>
      <w:r w:rsidR="004B1177" w:rsidRPr="00B548CC">
        <w:t>enefits</w:t>
      </w:r>
      <w:r w:rsidR="00BA3969">
        <w:t>,</w:t>
      </w:r>
      <w:r w:rsidR="004B1177" w:rsidRPr="00B548CC">
        <w:t xml:space="preserve"> </w:t>
      </w:r>
      <w:r w:rsidR="00BA3969">
        <w:t xml:space="preserve">in </w:t>
      </w:r>
      <w:r w:rsidR="004B1177" w:rsidRPr="00B548CC">
        <w:t>December 2009;</w:t>
      </w:r>
    </w:p>
    <w:p w:rsidR="004B1177" w:rsidRPr="00B548CC" w:rsidRDefault="00683BFD" w:rsidP="00683BFD">
      <w:pPr>
        <w:pStyle w:val="SingleTxtG"/>
        <w:ind w:firstLine="567"/>
      </w:pPr>
      <w:r w:rsidRPr="00B548CC">
        <w:t>(c)</w:t>
      </w:r>
      <w:r w:rsidRPr="00B548CC">
        <w:tab/>
      </w:r>
      <w:r w:rsidR="004B1177" w:rsidRPr="00B548CC">
        <w:t>Act</w:t>
      </w:r>
      <w:r w:rsidR="00D911BB">
        <w:t xml:space="preserve"> No. </w:t>
      </w:r>
      <w:r w:rsidR="004B1177" w:rsidRPr="00B548CC">
        <w:t xml:space="preserve">210 on the </w:t>
      </w:r>
      <w:r w:rsidR="00AE5E03">
        <w:t>m</w:t>
      </w:r>
      <w:r w:rsidR="004B1177" w:rsidRPr="00B548CC">
        <w:t xml:space="preserve">inimum </w:t>
      </w:r>
      <w:r w:rsidR="00AE5E03">
        <w:t>w</w:t>
      </w:r>
      <w:r w:rsidR="004B1177" w:rsidRPr="00B548CC">
        <w:t>age</w:t>
      </w:r>
      <w:r w:rsidR="00BA3969">
        <w:t>,</w:t>
      </w:r>
      <w:r w:rsidR="004B1177" w:rsidRPr="00B548CC">
        <w:t xml:space="preserve"> </w:t>
      </w:r>
      <w:r w:rsidR="00BA3969">
        <w:t xml:space="preserve">in </w:t>
      </w:r>
      <w:r w:rsidR="004B1177" w:rsidRPr="00B548CC">
        <w:t>October 2008;</w:t>
      </w:r>
    </w:p>
    <w:p w:rsidR="004B1177" w:rsidRPr="00B548CC" w:rsidRDefault="00683BFD" w:rsidP="00683BFD">
      <w:pPr>
        <w:pStyle w:val="SingleTxtG"/>
        <w:ind w:firstLine="567"/>
      </w:pPr>
      <w:r w:rsidRPr="00B548CC">
        <w:t>(d)</w:t>
      </w:r>
      <w:r w:rsidRPr="00B548CC">
        <w:tab/>
      </w:r>
      <w:r w:rsidR="004B1177" w:rsidRPr="00B548CC">
        <w:t>Act</w:t>
      </w:r>
      <w:r w:rsidR="00D911BB">
        <w:t xml:space="preserve"> No. </w:t>
      </w:r>
      <w:r w:rsidR="004B1177" w:rsidRPr="00B548CC">
        <w:t xml:space="preserve">184 on State </w:t>
      </w:r>
      <w:r w:rsidR="00AE5E03">
        <w:t>g</w:t>
      </w:r>
      <w:r w:rsidR="004B1177" w:rsidRPr="00B548CC">
        <w:t xml:space="preserve">uarantees of </w:t>
      </w:r>
      <w:r w:rsidR="00AE5E03">
        <w:t>e</w:t>
      </w:r>
      <w:r w:rsidR="004B1177" w:rsidRPr="00B548CC">
        <w:t xml:space="preserve">qual </w:t>
      </w:r>
      <w:r w:rsidR="00AE5E03">
        <w:t>r</w:t>
      </w:r>
      <w:r w:rsidR="004B1177" w:rsidRPr="00B548CC">
        <w:t xml:space="preserve">ights and </w:t>
      </w:r>
      <w:r w:rsidR="00AE5E03">
        <w:t>e</w:t>
      </w:r>
      <w:r w:rsidR="004B1177" w:rsidRPr="00B548CC">
        <w:t xml:space="preserve">quality of </w:t>
      </w:r>
      <w:r w:rsidR="00AE5E03">
        <w:t>o</w:t>
      </w:r>
      <w:r w:rsidR="004B1177" w:rsidRPr="00B548CC">
        <w:t xml:space="preserve">pportunity for </w:t>
      </w:r>
      <w:r w:rsidR="00AE5E03">
        <w:t>m</w:t>
      </w:r>
      <w:r w:rsidR="004B1177" w:rsidRPr="00B548CC">
        <w:t xml:space="preserve">en and </w:t>
      </w:r>
      <w:r w:rsidR="00AE5E03">
        <w:t>w</w:t>
      </w:r>
      <w:r w:rsidR="004B1177" w:rsidRPr="00B548CC">
        <w:t>omen</w:t>
      </w:r>
      <w:r w:rsidR="00BA3969">
        <w:t>, in</w:t>
      </w:r>
      <w:r w:rsidR="004B1177" w:rsidRPr="00B548CC">
        <w:t xml:space="preserve"> August 2008;</w:t>
      </w:r>
    </w:p>
    <w:p w:rsidR="004B1177" w:rsidRPr="00B548CC" w:rsidRDefault="00683BFD" w:rsidP="00683BFD">
      <w:pPr>
        <w:pStyle w:val="SingleTxtG"/>
        <w:ind w:firstLine="567"/>
      </w:pPr>
      <w:r w:rsidRPr="00B548CC">
        <w:t>(e)</w:t>
      </w:r>
      <w:r w:rsidRPr="00B548CC">
        <w:tab/>
      </w:r>
      <w:r w:rsidR="004B1177" w:rsidRPr="00B548CC">
        <w:t>Act</w:t>
      </w:r>
      <w:r w:rsidR="00D911BB">
        <w:t xml:space="preserve"> No. </w:t>
      </w:r>
      <w:r w:rsidR="004B1177" w:rsidRPr="00B548CC">
        <w:t xml:space="preserve">183 on </w:t>
      </w:r>
      <w:r w:rsidR="00AE5E03">
        <w:t>f</w:t>
      </w:r>
      <w:r w:rsidR="004B1177" w:rsidRPr="00B548CC">
        <w:t xml:space="preserve">ood </w:t>
      </w:r>
      <w:r w:rsidR="00AE5E03">
        <w:t>s</w:t>
      </w:r>
      <w:r w:rsidR="004B1177" w:rsidRPr="00B548CC">
        <w:t>ecurity</w:t>
      </w:r>
      <w:r w:rsidR="00BA3969">
        <w:t>, in</w:t>
      </w:r>
      <w:r w:rsidR="004B1177" w:rsidRPr="00B548CC">
        <w:t xml:space="preserve"> August 2008.</w:t>
      </w:r>
    </w:p>
    <w:p w:rsidR="004B1177" w:rsidRPr="00CE7C3E" w:rsidRDefault="004B1177" w:rsidP="00CE7C3E">
      <w:pPr>
        <w:pStyle w:val="H1G"/>
      </w:pPr>
      <w:r w:rsidRPr="00CE7C3E">
        <w:tab/>
        <w:t>C.</w:t>
      </w:r>
      <w:r w:rsidRPr="00CE7C3E">
        <w:tab/>
        <w:t>Principal subjects of concern and recommendations</w:t>
      </w:r>
    </w:p>
    <w:p w:rsidR="00087C65" w:rsidRPr="00087C65" w:rsidRDefault="00CE7C3E" w:rsidP="0090763C">
      <w:pPr>
        <w:pStyle w:val="H23G"/>
        <w:rPr>
          <w:lang w:val="en-US" w:eastAsia="de-DE"/>
        </w:rPr>
      </w:pPr>
      <w:r>
        <w:rPr>
          <w:lang w:val="en-US" w:eastAsia="de-DE"/>
        </w:rPr>
        <w:tab/>
      </w:r>
      <w:r>
        <w:rPr>
          <w:lang w:val="en-US" w:eastAsia="de-DE"/>
        </w:rPr>
        <w:tab/>
      </w:r>
      <w:r w:rsidR="00087C65" w:rsidRPr="00087C65">
        <w:rPr>
          <w:lang w:val="en-US" w:eastAsia="de-DE"/>
        </w:rPr>
        <w:t>Non-discrimination</w:t>
      </w:r>
    </w:p>
    <w:p w:rsidR="00087C65" w:rsidRPr="00087C65" w:rsidRDefault="00683BFD" w:rsidP="00683BFD">
      <w:pPr>
        <w:pStyle w:val="SingleTxtG"/>
      </w:pPr>
      <w:r w:rsidRPr="00087C65">
        <w:t>5.</w:t>
      </w:r>
      <w:r w:rsidRPr="00087C65">
        <w:tab/>
      </w:r>
      <w:r w:rsidR="00087C65" w:rsidRPr="00087C65">
        <w:t>The Committee is concerned about the lack of comprehensive anti-discrimination legislation, and the persistent discrimination on the basis of ethnicity, sex, religion, economic status, age or other status, including sexual orientation or disability</w:t>
      </w:r>
      <w:r w:rsidR="00087C65">
        <w:t>,</w:t>
      </w:r>
      <w:r w:rsidR="00087C65" w:rsidRPr="00087C65">
        <w:t xml:space="preserve"> </w:t>
      </w:r>
      <w:r w:rsidR="00087C65">
        <w:t>inter alia</w:t>
      </w:r>
      <w:r w:rsidR="00087C65" w:rsidRPr="00087C65">
        <w:t xml:space="preserve"> in </w:t>
      </w:r>
      <w:r w:rsidR="00087C65">
        <w:t>accessing</w:t>
      </w:r>
      <w:r w:rsidR="00087C65" w:rsidRPr="00087C65">
        <w:t xml:space="preserve"> employment and health</w:t>
      </w:r>
      <w:r w:rsidR="00FC6F63">
        <w:t xml:space="preserve"> </w:t>
      </w:r>
      <w:r w:rsidR="00087C65" w:rsidRPr="00087C65">
        <w:t xml:space="preserve">care. In this context, the Committee is also concerned about the introduction </w:t>
      </w:r>
      <w:r w:rsidR="00A53030" w:rsidRPr="00087C65">
        <w:t>to parliament</w:t>
      </w:r>
      <w:r w:rsidR="00A53030">
        <w:t xml:space="preserve"> </w:t>
      </w:r>
      <w:r w:rsidR="00087C65" w:rsidRPr="00087C65">
        <w:t xml:space="preserve">of bill </w:t>
      </w:r>
      <w:r w:rsidR="00FC6F63">
        <w:t>No.</w:t>
      </w:r>
      <w:r w:rsidR="00087C65" w:rsidRPr="00087C65">
        <w:t xml:space="preserve"> 6</w:t>
      </w:r>
      <w:r w:rsidR="00FC6F63">
        <w:t>-</w:t>
      </w:r>
      <w:r w:rsidR="00087C65" w:rsidRPr="00087C65">
        <w:t xml:space="preserve">11804/14, which would impose administrative sanctions for persons who </w:t>
      </w:r>
      <w:r w:rsidR="00A53030">
        <w:t>foster</w:t>
      </w:r>
      <w:r w:rsidR="00087C65" w:rsidRPr="00087C65">
        <w:t xml:space="preserve"> positive attitude</w:t>
      </w:r>
      <w:r w:rsidR="00A53030">
        <w:t>s</w:t>
      </w:r>
      <w:r w:rsidR="00087C65" w:rsidRPr="00087C65">
        <w:t xml:space="preserve"> towards non-traditional sexual relations. The Committee is also concerned about:</w:t>
      </w:r>
    </w:p>
    <w:p w:rsidR="00087C65" w:rsidRPr="00087C65" w:rsidRDefault="00683BFD" w:rsidP="00683BFD">
      <w:pPr>
        <w:pStyle w:val="SingleTxtG"/>
        <w:ind w:firstLine="567"/>
        <w:rPr>
          <w:lang w:eastAsia="de-DE"/>
        </w:rPr>
      </w:pPr>
      <w:r w:rsidRPr="00087C65">
        <w:rPr>
          <w:lang w:eastAsia="de-DE"/>
        </w:rPr>
        <w:t>(a)</w:t>
      </w:r>
      <w:r w:rsidRPr="00087C65">
        <w:rPr>
          <w:lang w:eastAsia="de-DE"/>
        </w:rPr>
        <w:tab/>
      </w:r>
      <w:r w:rsidR="00087C65" w:rsidRPr="00087C65">
        <w:rPr>
          <w:lang w:eastAsia="de-DE"/>
        </w:rPr>
        <w:t>Access to services, including education and health</w:t>
      </w:r>
      <w:r w:rsidR="00F85BA7">
        <w:rPr>
          <w:lang w:eastAsia="de-DE"/>
        </w:rPr>
        <w:t xml:space="preserve"> </w:t>
      </w:r>
      <w:r w:rsidR="00087C65" w:rsidRPr="00087C65">
        <w:rPr>
          <w:lang w:eastAsia="de-DE"/>
        </w:rPr>
        <w:t xml:space="preserve">care, </w:t>
      </w:r>
      <w:r w:rsidR="007C0CA9">
        <w:rPr>
          <w:lang w:eastAsia="de-DE"/>
        </w:rPr>
        <w:t xml:space="preserve">given that access is </w:t>
      </w:r>
      <w:r w:rsidR="00087C65" w:rsidRPr="00087C65">
        <w:rPr>
          <w:lang w:eastAsia="de-DE"/>
        </w:rPr>
        <w:t>conditional upon residence registration;</w:t>
      </w:r>
    </w:p>
    <w:p w:rsidR="00087C65" w:rsidRPr="00087C65" w:rsidRDefault="00683BFD" w:rsidP="00683BFD">
      <w:pPr>
        <w:pStyle w:val="SingleTxtG"/>
        <w:ind w:firstLine="567"/>
        <w:rPr>
          <w:lang w:eastAsia="de-DE"/>
        </w:rPr>
      </w:pPr>
      <w:r w:rsidRPr="00087C65">
        <w:rPr>
          <w:lang w:eastAsia="de-DE"/>
        </w:rPr>
        <w:t>(b)</w:t>
      </w:r>
      <w:r w:rsidRPr="00087C65">
        <w:rPr>
          <w:lang w:eastAsia="de-DE"/>
        </w:rPr>
        <w:tab/>
      </w:r>
      <w:r w:rsidR="00087C65" w:rsidRPr="00087C65">
        <w:t xml:space="preserve">The discrimination and marginalization of the Lyuli community, </w:t>
      </w:r>
      <w:r w:rsidR="00087C65" w:rsidRPr="0090763C">
        <w:t>the Uzbek</w:t>
      </w:r>
      <w:r w:rsidR="00A53030">
        <w:t>s</w:t>
      </w:r>
      <w:r w:rsidR="00087C65" w:rsidRPr="0090763C">
        <w:t xml:space="preserve"> and other minorities</w:t>
      </w:r>
      <w:r w:rsidR="00087C65" w:rsidRPr="00087C65">
        <w:t xml:space="preserve"> </w:t>
      </w:r>
      <w:r w:rsidR="00087C65" w:rsidRPr="00087C65">
        <w:rPr>
          <w:lang w:eastAsia="de-DE"/>
        </w:rPr>
        <w:t>(arts.</w:t>
      </w:r>
      <w:r w:rsidR="007E45BA">
        <w:rPr>
          <w:lang w:eastAsia="de-DE"/>
        </w:rPr>
        <w:t> </w:t>
      </w:r>
      <w:r w:rsidR="00087C65" w:rsidRPr="00087C65">
        <w:rPr>
          <w:lang w:eastAsia="de-DE"/>
        </w:rPr>
        <w:t>2</w:t>
      </w:r>
      <w:r w:rsidR="007E45BA">
        <w:rPr>
          <w:lang w:eastAsia="de-DE"/>
        </w:rPr>
        <w:t> </w:t>
      </w:r>
      <w:r w:rsidR="00F85BA7">
        <w:rPr>
          <w:lang w:eastAsia="de-DE"/>
        </w:rPr>
        <w:t>(</w:t>
      </w:r>
      <w:r w:rsidR="00087C65" w:rsidRPr="00087C65">
        <w:rPr>
          <w:lang w:eastAsia="de-DE"/>
        </w:rPr>
        <w:t>2</w:t>
      </w:r>
      <w:r w:rsidR="00F85BA7">
        <w:rPr>
          <w:lang w:eastAsia="de-DE"/>
        </w:rPr>
        <w:t>)</w:t>
      </w:r>
      <w:r w:rsidR="00087C65" w:rsidRPr="00087C65">
        <w:rPr>
          <w:lang w:eastAsia="de-DE"/>
        </w:rPr>
        <w:t xml:space="preserve"> and 15).</w:t>
      </w:r>
    </w:p>
    <w:p w:rsidR="00087C65" w:rsidRPr="00087C65" w:rsidRDefault="00087C65" w:rsidP="0090763C">
      <w:pPr>
        <w:pStyle w:val="SingleTxtG"/>
        <w:rPr>
          <w:b/>
        </w:rPr>
      </w:pPr>
      <w:r w:rsidRPr="007A1D92">
        <w:rPr>
          <w:b/>
        </w:rPr>
        <w:t>The</w:t>
      </w:r>
      <w:r w:rsidRPr="00087C65">
        <w:rPr>
          <w:b/>
        </w:rPr>
        <w:t xml:space="preserve"> </w:t>
      </w:r>
      <w:r w:rsidRPr="00087C65">
        <w:rPr>
          <w:b/>
          <w:lang w:val="en-US" w:eastAsia="de-DE"/>
        </w:rPr>
        <w:t xml:space="preserve">Committee recommends that the State party adopt a comprehensive anti-discrimination law that provides a definition of direct and indirect discrimination, and withdraw </w:t>
      </w:r>
      <w:r w:rsidRPr="00087C65">
        <w:rPr>
          <w:rFonts w:cs="Georgia"/>
          <w:b/>
          <w:lang w:eastAsia="de-DE"/>
        </w:rPr>
        <w:t>bill</w:t>
      </w:r>
      <w:r w:rsidRPr="00087C65">
        <w:rPr>
          <w:rFonts w:cs="Georgia"/>
          <w:b/>
          <w:lang w:val="en-US" w:eastAsia="de-DE"/>
        </w:rPr>
        <w:t xml:space="preserve"> </w:t>
      </w:r>
      <w:r w:rsidR="00A53030">
        <w:rPr>
          <w:rFonts w:cs="Georgia"/>
          <w:b/>
          <w:lang w:val="en-US" w:eastAsia="de-DE"/>
        </w:rPr>
        <w:t>No</w:t>
      </w:r>
      <w:r w:rsidR="00DE33CB">
        <w:rPr>
          <w:rFonts w:cs="Georgia"/>
          <w:b/>
          <w:lang w:val="en-US" w:eastAsia="de-DE"/>
        </w:rPr>
        <w:t>.</w:t>
      </w:r>
      <w:r w:rsidRPr="00087C65">
        <w:rPr>
          <w:rFonts w:cs="Georgia"/>
          <w:b/>
          <w:lang w:val="en-US" w:eastAsia="de-DE"/>
        </w:rPr>
        <w:t xml:space="preserve"> 6</w:t>
      </w:r>
      <w:r w:rsidR="00A53030">
        <w:rPr>
          <w:rFonts w:cs="Georgia"/>
          <w:b/>
          <w:lang w:val="en-US" w:eastAsia="de-DE"/>
        </w:rPr>
        <w:t>-</w:t>
      </w:r>
      <w:r w:rsidRPr="00087C65">
        <w:rPr>
          <w:rFonts w:cs="Georgia"/>
          <w:b/>
          <w:lang w:val="en-US" w:eastAsia="de-DE"/>
        </w:rPr>
        <w:t>11804/14</w:t>
      </w:r>
      <w:r w:rsidRPr="00087C65">
        <w:rPr>
          <w:b/>
          <w:lang w:val="en-US" w:eastAsia="de-DE"/>
        </w:rPr>
        <w:t xml:space="preserve">. The Committee </w:t>
      </w:r>
      <w:r w:rsidR="00E564CA">
        <w:rPr>
          <w:b/>
          <w:lang w:val="en-US" w:eastAsia="de-DE"/>
        </w:rPr>
        <w:t>also</w:t>
      </w:r>
      <w:r w:rsidRPr="00087C65">
        <w:rPr>
          <w:b/>
          <w:lang w:val="en-US" w:eastAsia="de-DE"/>
        </w:rPr>
        <w:t xml:space="preserve"> recommends </w:t>
      </w:r>
      <w:r>
        <w:rPr>
          <w:b/>
          <w:lang w:val="en-US" w:eastAsia="de-DE"/>
        </w:rPr>
        <w:t>that the State party</w:t>
      </w:r>
      <w:r w:rsidRPr="00087C65">
        <w:rPr>
          <w:b/>
          <w:lang w:val="en-US" w:eastAsia="de-DE"/>
        </w:rPr>
        <w:t>:</w:t>
      </w:r>
      <w:r w:rsidR="00754A1C">
        <w:rPr>
          <w:b/>
          <w:lang w:val="en-US" w:eastAsia="de-DE"/>
        </w:rPr>
        <w:t xml:space="preserve"> </w:t>
      </w:r>
    </w:p>
    <w:p w:rsidR="00087C65" w:rsidRPr="00087C65" w:rsidRDefault="00683BFD" w:rsidP="00683BFD">
      <w:pPr>
        <w:pStyle w:val="SingleTxtG"/>
        <w:ind w:firstLine="567"/>
        <w:rPr>
          <w:b/>
        </w:rPr>
      </w:pPr>
      <w:r w:rsidRPr="00087C65">
        <w:rPr>
          <w:bCs/>
        </w:rPr>
        <w:t>(a)</w:t>
      </w:r>
      <w:r w:rsidRPr="00087C65">
        <w:rPr>
          <w:bCs/>
        </w:rPr>
        <w:tab/>
      </w:r>
      <w:r w:rsidR="00087C65" w:rsidRPr="00087C65">
        <w:rPr>
          <w:b/>
        </w:rPr>
        <w:t xml:space="preserve">Carry out public education campaigns to eradicate common misperceptions and stereotypes; </w:t>
      </w:r>
    </w:p>
    <w:p w:rsidR="00087C65" w:rsidRPr="00087C65" w:rsidRDefault="00683BFD" w:rsidP="00683BFD">
      <w:pPr>
        <w:pStyle w:val="SingleTxtG"/>
        <w:ind w:firstLine="567"/>
        <w:rPr>
          <w:b/>
        </w:rPr>
      </w:pPr>
      <w:r w:rsidRPr="00087C65">
        <w:rPr>
          <w:bCs/>
        </w:rPr>
        <w:t>(b)</w:t>
      </w:r>
      <w:r w:rsidRPr="00087C65">
        <w:rPr>
          <w:bCs/>
        </w:rPr>
        <w:tab/>
      </w:r>
      <w:r w:rsidR="00087C65" w:rsidRPr="00087C65">
        <w:rPr>
          <w:b/>
        </w:rPr>
        <w:t xml:space="preserve">Make access to services independent from residence registration; </w:t>
      </w:r>
    </w:p>
    <w:p w:rsidR="00087C65" w:rsidRPr="0090763C" w:rsidRDefault="00683BFD" w:rsidP="00683BFD">
      <w:pPr>
        <w:pStyle w:val="SingleTxtG"/>
        <w:ind w:firstLine="567"/>
        <w:rPr>
          <w:b/>
        </w:rPr>
      </w:pPr>
      <w:r w:rsidRPr="0090763C">
        <w:rPr>
          <w:bCs/>
        </w:rPr>
        <w:t>(c)</w:t>
      </w:r>
      <w:r w:rsidRPr="0090763C">
        <w:rPr>
          <w:bCs/>
        </w:rPr>
        <w:tab/>
      </w:r>
      <w:r w:rsidR="00087C65" w:rsidRPr="0090763C">
        <w:rPr>
          <w:b/>
        </w:rPr>
        <w:t xml:space="preserve">Ensure that </w:t>
      </w:r>
      <w:r w:rsidR="00E564CA">
        <w:rPr>
          <w:b/>
        </w:rPr>
        <w:t xml:space="preserve">all </w:t>
      </w:r>
      <w:r w:rsidR="00087C65" w:rsidRPr="0090763C">
        <w:rPr>
          <w:b/>
        </w:rPr>
        <w:t>persons</w:t>
      </w:r>
      <w:r w:rsidR="00E564CA">
        <w:rPr>
          <w:b/>
        </w:rPr>
        <w:t>,</w:t>
      </w:r>
      <w:r w:rsidR="00087C65" w:rsidRPr="0090763C">
        <w:rPr>
          <w:b/>
        </w:rPr>
        <w:t xml:space="preserve"> irrespective of their sexual orientation</w:t>
      </w:r>
      <w:r w:rsidR="00E564CA">
        <w:rPr>
          <w:b/>
        </w:rPr>
        <w:t>,</w:t>
      </w:r>
      <w:r w:rsidR="00087C65" w:rsidRPr="0090763C">
        <w:rPr>
          <w:b/>
        </w:rPr>
        <w:t xml:space="preserve"> can fully enjoy economic</w:t>
      </w:r>
      <w:r w:rsidR="00E564CA">
        <w:rPr>
          <w:b/>
        </w:rPr>
        <w:t>,</w:t>
      </w:r>
      <w:r w:rsidR="00087C65" w:rsidRPr="0090763C">
        <w:rPr>
          <w:b/>
        </w:rPr>
        <w:t xml:space="preserve"> social and cultural rights without discrimination;</w:t>
      </w:r>
    </w:p>
    <w:p w:rsidR="00087C65" w:rsidRPr="00087C65" w:rsidRDefault="00683BFD" w:rsidP="00683BFD">
      <w:pPr>
        <w:pStyle w:val="SingleTxtG"/>
        <w:ind w:firstLine="567"/>
        <w:rPr>
          <w:b/>
        </w:rPr>
      </w:pPr>
      <w:r w:rsidRPr="00087C65">
        <w:rPr>
          <w:bCs/>
        </w:rPr>
        <w:t>(d)</w:t>
      </w:r>
      <w:r w:rsidRPr="00087C65">
        <w:rPr>
          <w:bCs/>
        </w:rPr>
        <w:tab/>
      </w:r>
      <w:r w:rsidR="00087C65" w:rsidRPr="00087C65">
        <w:rPr>
          <w:b/>
        </w:rPr>
        <w:t xml:space="preserve">Accelerate efforts to ratify the Convention on the Rights of Persons with Disabilities. </w:t>
      </w:r>
    </w:p>
    <w:p w:rsidR="00087C65" w:rsidRPr="00087C65" w:rsidRDefault="00087C65" w:rsidP="0090763C">
      <w:pPr>
        <w:pStyle w:val="SingleTxtG"/>
        <w:rPr>
          <w:b/>
          <w:lang w:val="en-US" w:eastAsia="de-DE"/>
        </w:rPr>
      </w:pPr>
      <w:r w:rsidRPr="00087C65">
        <w:rPr>
          <w:b/>
          <w:lang w:val="en-US" w:eastAsia="de-DE"/>
        </w:rPr>
        <w:t>In this regard, the Committee draws the attention of the State party to its general comment</w:t>
      </w:r>
      <w:r w:rsidR="00D911BB">
        <w:rPr>
          <w:b/>
          <w:lang w:val="en-US" w:eastAsia="de-DE"/>
        </w:rPr>
        <w:t xml:space="preserve"> No. </w:t>
      </w:r>
      <w:r w:rsidRPr="00087C65">
        <w:rPr>
          <w:b/>
          <w:lang w:val="en-US" w:eastAsia="de-DE"/>
        </w:rPr>
        <w:t>20 (2009) on non-discrimination in economic, social and cultural rights.</w:t>
      </w:r>
      <w:r w:rsidR="00754A1C">
        <w:rPr>
          <w:b/>
          <w:lang w:val="en-US" w:eastAsia="de-DE"/>
        </w:rPr>
        <w:t xml:space="preserve"> </w:t>
      </w:r>
    </w:p>
    <w:p w:rsidR="004B1177" w:rsidRPr="00E03F84" w:rsidRDefault="00CE7C3E" w:rsidP="00CE7C3E">
      <w:pPr>
        <w:pStyle w:val="H23G"/>
        <w:rPr>
          <w:lang w:eastAsia="de-DE"/>
        </w:rPr>
      </w:pPr>
      <w:r>
        <w:rPr>
          <w:lang w:eastAsia="de-DE"/>
        </w:rPr>
        <w:tab/>
      </w:r>
      <w:r>
        <w:rPr>
          <w:lang w:eastAsia="de-DE"/>
        </w:rPr>
        <w:tab/>
      </w:r>
      <w:r w:rsidR="004B1177" w:rsidRPr="00E03F84">
        <w:rPr>
          <w:lang w:eastAsia="de-DE"/>
        </w:rPr>
        <w:t>Enabling environment for civil society</w:t>
      </w:r>
    </w:p>
    <w:p w:rsidR="004B1177" w:rsidRPr="00E03F84" w:rsidRDefault="00683BFD" w:rsidP="00683BFD">
      <w:pPr>
        <w:pStyle w:val="SingleTxtG"/>
        <w:rPr>
          <w:lang w:val="en"/>
        </w:rPr>
      </w:pPr>
      <w:r w:rsidRPr="00E03F84">
        <w:rPr>
          <w:lang w:val="en"/>
        </w:rPr>
        <w:t>6.</w:t>
      </w:r>
      <w:r w:rsidRPr="00E03F84">
        <w:rPr>
          <w:lang w:val="en"/>
        </w:rPr>
        <w:tab/>
      </w:r>
      <w:r w:rsidR="004B1177" w:rsidRPr="00E03F84">
        <w:rPr>
          <w:lang w:eastAsia="de-DE"/>
        </w:rPr>
        <w:t xml:space="preserve">The Committee is </w:t>
      </w:r>
      <w:r w:rsidR="004B1177" w:rsidRPr="00E03F84">
        <w:t>concerned</w:t>
      </w:r>
      <w:r w:rsidR="004B1177" w:rsidRPr="00E03F84">
        <w:rPr>
          <w:lang w:eastAsia="de-DE"/>
        </w:rPr>
        <w:t xml:space="preserve"> about the introduction </w:t>
      </w:r>
      <w:r w:rsidR="00E564CA" w:rsidRPr="00E03F84">
        <w:rPr>
          <w:lang w:eastAsia="de-DE"/>
        </w:rPr>
        <w:t>to parliament</w:t>
      </w:r>
      <w:r w:rsidR="00E564CA">
        <w:rPr>
          <w:lang w:eastAsia="de-DE"/>
        </w:rPr>
        <w:t xml:space="preserve"> </w:t>
      </w:r>
      <w:r w:rsidR="004B1177" w:rsidRPr="00E03F84">
        <w:rPr>
          <w:lang w:eastAsia="de-DE"/>
        </w:rPr>
        <w:t xml:space="preserve">of the bill on foreign agents, which would require </w:t>
      </w:r>
      <w:r w:rsidR="00F85BA7">
        <w:rPr>
          <w:lang w:eastAsia="de-DE"/>
        </w:rPr>
        <w:t>non-governmental organizations</w:t>
      </w:r>
      <w:r w:rsidR="007128F9">
        <w:rPr>
          <w:lang w:eastAsia="de-DE"/>
        </w:rPr>
        <w:t xml:space="preserve"> that</w:t>
      </w:r>
      <w:r w:rsidR="004B1177" w:rsidRPr="00E03F84">
        <w:rPr>
          <w:lang w:eastAsia="de-DE"/>
        </w:rPr>
        <w:t xml:space="preserve"> receive foreign funding to register as foreign agents</w:t>
      </w:r>
      <w:r w:rsidR="004B1177" w:rsidRPr="00E03F84">
        <w:rPr>
          <w:lang w:val="en"/>
        </w:rPr>
        <w:t>.</w:t>
      </w:r>
    </w:p>
    <w:p w:rsidR="004B1177" w:rsidRDefault="004B1177" w:rsidP="00CD1BA2">
      <w:pPr>
        <w:pStyle w:val="SingleTxtG"/>
        <w:rPr>
          <w:b/>
          <w:shd w:val="clear" w:color="auto" w:fill="FFFFFF"/>
        </w:rPr>
      </w:pPr>
      <w:r w:rsidRPr="007A1D92">
        <w:rPr>
          <w:b/>
          <w:shd w:val="clear" w:color="auto" w:fill="FFFFFF"/>
          <w:lang w:val="en"/>
        </w:rPr>
        <w:t>The</w:t>
      </w:r>
      <w:r w:rsidRPr="007128F9">
        <w:rPr>
          <w:b/>
          <w:shd w:val="clear" w:color="auto" w:fill="FFFFFF"/>
          <w:lang w:val="en"/>
        </w:rPr>
        <w:t xml:space="preserve"> Committee recommends</w:t>
      </w:r>
      <w:r w:rsidRPr="00B548CC">
        <w:rPr>
          <w:b/>
          <w:shd w:val="clear" w:color="auto" w:fill="FFFFFF"/>
          <w:lang w:val="en"/>
        </w:rPr>
        <w:t xml:space="preserve"> that the State party discard t</w:t>
      </w:r>
      <w:r w:rsidRPr="00B548CC">
        <w:rPr>
          <w:b/>
          <w:shd w:val="clear" w:color="auto" w:fill="FFFFFF"/>
        </w:rPr>
        <w:t xml:space="preserve">he draft bill on foreign agents and instead support the work of </w:t>
      </w:r>
      <w:r w:rsidR="00F85BA7" w:rsidRPr="0090763C">
        <w:rPr>
          <w:b/>
          <w:bCs/>
          <w:lang w:eastAsia="de-DE"/>
        </w:rPr>
        <w:t>non-governmental organizations</w:t>
      </w:r>
      <w:r w:rsidRPr="00B548CC">
        <w:rPr>
          <w:b/>
          <w:shd w:val="clear" w:color="auto" w:fill="FFFFFF"/>
        </w:rPr>
        <w:t xml:space="preserve"> </w:t>
      </w:r>
      <w:r w:rsidR="007128F9">
        <w:rPr>
          <w:b/>
          <w:shd w:val="clear" w:color="auto" w:fill="FFFFFF"/>
        </w:rPr>
        <w:t>that</w:t>
      </w:r>
      <w:r w:rsidRPr="00B548CC">
        <w:rPr>
          <w:b/>
          <w:shd w:val="clear" w:color="auto" w:fill="FFFFFF"/>
        </w:rPr>
        <w:t xml:space="preserve"> are active in the field of economic, social and cultural rights. </w:t>
      </w:r>
    </w:p>
    <w:p w:rsidR="004B1177" w:rsidRPr="007B338E" w:rsidRDefault="008750FC" w:rsidP="007B338E">
      <w:pPr>
        <w:pStyle w:val="H23G"/>
      </w:pPr>
      <w:r>
        <w:rPr>
          <w:lang w:eastAsia="de-DE"/>
        </w:rPr>
        <w:tab/>
      </w:r>
      <w:r>
        <w:rPr>
          <w:lang w:eastAsia="de-DE"/>
        </w:rPr>
        <w:tab/>
      </w:r>
      <w:r w:rsidR="004B1177" w:rsidRPr="00E03F84">
        <w:rPr>
          <w:lang w:val="en-US"/>
        </w:rPr>
        <w:t>Corruption</w:t>
      </w:r>
    </w:p>
    <w:p w:rsidR="008B621F" w:rsidRPr="00CE7C3E" w:rsidRDefault="00683BFD" w:rsidP="00683BFD">
      <w:pPr>
        <w:pStyle w:val="SingleTxtG"/>
      </w:pPr>
      <w:r w:rsidRPr="00CE7C3E">
        <w:t>7.</w:t>
      </w:r>
      <w:r w:rsidRPr="00CE7C3E">
        <w:tab/>
      </w:r>
      <w:r w:rsidR="004B1177" w:rsidRPr="00CE7C3E">
        <w:t xml:space="preserve">The Committee notes with concern that corruption remains pervasive and </w:t>
      </w:r>
      <w:r w:rsidR="00BF4DCD">
        <w:t xml:space="preserve">systemic </w:t>
      </w:r>
      <w:r w:rsidR="00A652E9">
        <w:t>in the State party</w:t>
      </w:r>
      <w:r w:rsidR="00F6680D">
        <w:t xml:space="preserve"> </w:t>
      </w:r>
      <w:r w:rsidR="004B1177" w:rsidRPr="00CE7C3E">
        <w:t>(</w:t>
      </w:r>
      <w:r w:rsidR="00D54F68">
        <w:t>art. </w:t>
      </w:r>
      <w:r w:rsidR="004B1177" w:rsidRPr="00CE7C3E">
        <w:t>2</w:t>
      </w:r>
      <w:r w:rsidR="00F85BA7">
        <w:t xml:space="preserve"> (</w:t>
      </w:r>
      <w:r w:rsidR="004B1177" w:rsidRPr="00CE7C3E">
        <w:t>1</w:t>
      </w:r>
      <w:r w:rsidR="00F85BA7">
        <w:t>)</w:t>
      </w:r>
      <w:r w:rsidR="004B1177" w:rsidRPr="00CE7C3E">
        <w:t>).</w:t>
      </w:r>
    </w:p>
    <w:p w:rsidR="004B1177" w:rsidRDefault="004B1177" w:rsidP="00CD1BA2">
      <w:pPr>
        <w:pStyle w:val="SingleTxtG"/>
        <w:rPr>
          <w:b/>
        </w:rPr>
      </w:pPr>
      <w:r w:rsidRPr="00B548CC">
        <w:rPr>
          <w:b/>
        </w:rPr>
        <w:lastRenderedPageBreak/>
        <w:t xml:space="preserve">The Committee recommends that the State party increase </w:t>
      </w:r>
      <w:r w:rsidR="00E46804">
        <w:rPr>
          <w:b/>
        </w:rPr>
        <w:t xml:space="preserve">its </w:t>
      </w:r>
      <w:r w:rsidRPr="00B548CC">
        <w:rPr>
          <w:b/>
        </w:rPr>
        <w:t>efforts to combat corruption and</w:t>
      </w:r>
      <w:r w:rsidR="00E46804">
        <w:rPr>
          <w:b/>
        </w:rPr>
        <w:t>,</w:t>
      </w:r>
      <w:r w:rsidRPr="00B548CC">
        <w:rPr>
          <w:b/>
        </w:rPr>
        <w:t xml:space="preserve"> as a matter of priority, address the root causes of corruption</w:t>
      </w:r>
      <w:r w:rsidR="00E46804">
        <w:rPr>
          <w:b/>
        </w:rPr>
        <w:t xml:space="preserve">. It should </w:t>
      </w:r>
      <w:r w:rsidRPr="00B548CC">
        <w:rPr>
          <w:b/>
        </w:rPr>
        <w:t xml:space="preserve">adopt all </w:t>
      </w:r>
      <w:r w:rsidR="00E46804">
        <w:rPr>
          <w:b/>
        </w:rPr>
        <w:t>the</w:t>
      </w:r>
      <w:r w:rsidRPr="00B548CC">
        <w:rPr>
          <w:b/>
        </w:rPr>
        <w:t xml:space="preserve"> legislative and policy measures </w:t>
      </w:r>
      <w:r w:rsidR="00E46804" w:rsidRPr="00B548CC">
        <w:rPr>
          <w:b/>
        </w:rPr>
        <w:t>necessary</w:t>
      </w:r>
      <w:r w:rsidR="00E46804">
        <w:rPr>
          <w:b/>
        </w:rPr>
        <w:t xml:space="preserve"> </w:t>
      </w:r>
      <w:r w:rsidRPr="00B548CC">
        <w:rPr>
          <w:b/>
        </w:rPr>
        <w:t>to combat corruption and related impunity effectively</w:t>
      </w:r>
      <w:r w:rsidR="00E46804">
        <w:rPr>
          <w:b/>
        </w:rPr>
        <w:t>,</w:t>
      </w:r>
      <w:r w:rsidRPr="00B548CC">
        <w:rPr>
          <w:b/>
        </w:rPr>
        <w:t xml:space="preserve"> with particular emphasis on the areas </w:t>
      </w:r>
      <w:r w:rsidR="00E46804">
        <w:rPr>
          <w:b/>
        </w:rPr>
        <w:t>in which</w:t>
      </w:r>
      <w:r w:rsidRPr="00B548CC">
        <w:rPr>
          <w:b/>
        </w:rPr>
        <w:t xml:space="preserve"> corruption hampers the full enjoyment of economic, social and cultural rights.</w:t>
      </w:r>
    </w:p>
    <w:p w:rsidR="004B1177" w:rsidRPr="007B338E" w:rsidRDefault="00D54F68" w:rsidP="007B338E">
      <w:pPr>
        <w:pStyle w:val="H23G"/>
      </w:pPr>
      <w:r>
        <w:tab/>
      </w:r>
      <w:r>
        <w:tab/>
      </w:r>
      <w:r w:rsidR="004B1177" w:rsidRPr="00E03F84">
        <w:rPr>
          <w:lang w:val="en-US"/>
        </w:rPr>
        <w:t>Equality between men and women</w:t>
      </w:r>
    </w:p>
    <w:p w:rsidR="004B1177" w:rsidRPr="00CE7C3E" w:rsidRDefault="00683BFD" w:rsidP="00683BFD">
      <w:pPr>
        <w:pStyle w:val="SingleTxtG"/>
      </w:pPr>
      <w:r w:rsidRPr="00CE7C3E">
        <w:t>8.</w:t>
      </w:r>
      <w:r w:rsidRPr="00CE7C3E">
        <w:tab/>
      </w:r>
      <w:r w:rsidR="004B1177" w:rsidRPr="00CE7C3E">
        <w:t>The Committee is concerned that women are not enjoying equal rights in the area</w:t>
      </w:r>
      <w:r w:rsidR="00E46804">
        <w:t>s</w:t>
      </w:r>
      <w:r w:rsidR="004B1177" w:rsidRPr="00CE7C3E">
        <w:t xml:space="preserve"> of economic, social and cultural rights. In particular, it notes with concern that:</w:t>
      </w:r>
    </w:p>
    <w:p w:rsidR="004B1177" w:rsidRPr="00E03F84" w:rsidRDefault="00683BFD" w:rsidP="00683BFD">
      <w:pPr>
        <w:pStyle w:val="SingleTxtG"/>
        <w:ind w:firstLine="567"/>
        <w:rPr>
          <w:lang w:val="en-US" w:eastAsia="de-DE"/>
        </w:rPr>
      </w:pPr>
      <w:r w:rsidRPr="00E03F84">
        <w:rPr>
          <w:lang w:val="en-US" w:eastAsia="de-DE"/>
        </w:rPr>
        <w:t>(a)</w:t>
      </w:r>
      <w:r w:rsidRPr="00E03F84">
        <w:rPr>
          <w:lang w:val="en-US" w:eastAsia="de-DE"/>
        </w:rPr>
        <w:tab/>
      </w:r>
      <w:r w:rsidR="004B1177" w:rsidRPr="00E03F84">
        <w:rPr>
          <w:lang w:val="en-US" w:eastAsia="de-DE"/>
        </w:rPr>
        <w:t>Women are predominantly employed in lower-paid sectors and positions;</w:t>
      </w:r>
    </w:p>
    <w:p w:rsidR="004B1177" w:rsidRPr="00E03F84" w:rsidRDefault="00683BFD" w:rsidP="00683BFD">
      <w:pPr>
        <w:pStyle w:val="SingleTxtG"/>
        <w:ind w:firstLine="567"/>
        <w:rPr>
          <w:lang w:val="en-US" w:eastAsia="de-DE"/>
        </w:rPr>
      </w:pPr>
      <w:r w:rsidRPr="00E03F84">
        <w:rPr>
          <w:lang w:val="en-US" w:eastAsia="de-DE"/>
        </w:rPr>
        <w:t>(b)</w:t>
      </w:r>
      <w:r w:rsidRPr="00E03F84">
        <w:rPr>
          <w:lang w:val="en-US" w:eastAsia="de-DE"/>
        </w:rPr>
        <w:tab/>
      </w:r>
      <w:r w:rsidR="004B1177" w:rsidRPr="00E03F84">
        <w:rPr>
          <w:lang w:val="en-US" w:eastAsia="de-DE"/>
        </w:rPr>
        <w:t>A significant number of marriages</w:t>
      </w:r>
      <w:r w:rsidR="004B1177">
        <w:rPr>
          <w:lang w:val="en-US" w:eastAsia="de-DE"/>
        </w:rPr>
        <w:t>, particularly those under religious law,</w:t>
      </w:r>
      <w:r w:rsidR="004C1400">
        <w:rPr>
          <w:lang w:val="en-US" w:eastAsia="de-DE"/>
        </w:rPr>
        <w:t xml:space="preserve"> </w:t>
      </w:r>
      <w:r w:rsidR="004B1177" w:rsidRPr="00E03F84">
        <w:rPr>
          <w:lang w:val="en-US" w:eastAsia="de-DE"/>
        </w:rPr>
        <w:t xml:space="preserve">are not formally registered, </w:t>
      </w:r>
      <w:r w:rsidR="00E46804">
        <w:rPr>
          <w:lang w:val="en-US" w:eastAsia="de-DE"/>
        </w:rPr>
        <w:t>meaning that</w:t>
      </w:r>
      <w:r w:rsidR="004B1177" w:rsidRPr="00E03F84">
        <w:rPr>
          <w:lang w:val="en-US" w:eastAsia="de-DE"/>
        </w:rPr>
        <w:t xml:space="preserve"> many women can</w:t>
      </w:r>
      <w:r w:rsidR="00E46804">
        <w:rPr>
          <w:lang w:val="en-US" w:eastAsia="de-DE"/>
        </w:rPr>
        <w:t>not</w:t>
      </w:r>
      <w:r w:rsidR="004B1177" w:rsidRPr="00E03F84">
        <w:rPr>
          <w:lang w:val="en-US" w:eastAsia="de-DE"/>
        </w:rPr>
        <w:t xml:space="preserve"> benefit from all the rights in the Family Code or from </w:t>
      </w:r>
      <w:r w:rsidR="004B1177">
        <w:rPr>
          <w:lang w:val="en-US" w:eastAsia="de-DE"/>
        </w:rPr>
        <w:t>alimony and other forms of support</w:t>
      </w:r>
      <w:r w:rsidR="004B1177" w:rsidRPr="00E03F84">
        <w:rPr>
          <w:lang w:val="en-US" w:eastAsia="de-DE"/>
        </w:rPr>
        <w:t xml:space="preserve"> in the event of marriage dissolution;</w:t>
      </w:r>
    </w:p>
    <w:p w:rsidR="004B1177" w:rsidRPr="00E03F84" w:rsidRDefault="00683BFD" w:rsidP="00683BFD">
      <w:pPr>
        <w:pStyle w:val="SingleTxtG"/>
        <w:ind w:firstLine="567"/>
        <w:rPr>
          <w:lang w:val="en-US" w:eastAsia="de-DE"/>
        </w:rPr>
      </w:pPr>
      <w:r w:rsidRPr="00E03F84">
        <w:rPr>
          <w:lang w:val="en-US" w:eastAsia="de-DE"/>
        </w:rPr>
        <w:t>(c)</w:t>
      </w:r>
      <w:r w:rsidRPr="00E03F84">
        <w:rPr>
          <w:lang w:val="en-US" w:eastAsia="de-DE"/>
        </w:rPr>
        <w:tab/>
      </w:r>
      <w:r w:rsidR="004B1177" w:rsidRPr="00E03F84">
        <w:rPr>
          <w:lang w:val="en-US" w:eastAsia="de-DE"/>
        </w:rPr>
        <w:t xml:space="preserve">Women in non-registered marriages cannot prove guardianship of their children without their husband’s confirmation, </w:t>
      </w:r>
      <w:r w:rsidR="00E46804">
        <w:rPr>
          <w:lang w:val="en-US" w:eastAsia="de-DE"/>
        </w:rPr>
        <w:t xml:space="preserve">which, </w:t>
      </w:r>
      <w:r w:rsidR="004B1177" w:rsidRPr="00E03F84">
        <w:rPr>
          <w:lang w:val="en-US" w:eastAsia="de-DE"/>
        </w:rPr>
        <w:t xml:space="preserve">inter alia </w:t>
      </w:r>
      <w:r w:rsidR="00E46804">
        <w:rPr>
          <w:lang w:val="en-US" w:eastAsia="de-DE"/>
        </w:rPr>
        <w:t>hinders</w:t>
      </w:r>
      <w:r w:rsidR="004B1177" w:rsidRPr="00E03F84">
        <w:rPr>
          <w:lang w:val="en-US" w:eastAsia="de-DE"/>
        </w:rPr>
        <w:t xml:space="preserve"> the children’s residence registration</w:t>
      </w:r>
      <w:r w:rsidR="00E46804">
        <w:rPr>
          <w:lang w:val="en-US" w:eastAsia="de-DE"/>
        </w:rPr>
        <w:t>, thus obstructing their</w:t>
      </w:r>
      <w:r w:rsidR="004B1177">
        <w:rPr>
          <w:lang w:val="en-US" w:eastAsia="de-DE"/>
        </w:rPr>
        <w:t xml:space="preserve"> access </w:t>
      </w:r>
      <w:r w:rsidR="00896F0A">
        <w:rPr>
          <w:lang w:val="en-US" w:eastAsia="de-DE"/>
        </w:rPr>
        <w:t xml:space="preserve">to </w:t>
      </w:r>
      <w:r w:rsidR="004B1177">
        <w:rPr>
          <w:lang w:val="en-US" w:eastAsia="de-DE"/>
        </w:rPr>
        <w:t>basic services</w:t>
      </w:r>
      <w:r w:rsidR="004B1177" w:rsidRPr="00E03F84">
        <w:rPr>
          <w:lang w:val="en-US" w:eastAsia="de-DE"/>
        </w:rPr>
        <w:t xml:space="preserve">; </w:t>
      </w:r>
    </w:p>
    <w:p w:rsidR="004B1177" w:rsidRPr="00907CED" w:rsidRDefault="00683BFD" w:rsidP="00683BFD">
      <w:pPr>
        <w:pStyle w:val="SingleTxtG"/>
        <w:ind w:firstLine="567"/>
        <w:rPr>
          <w:lang w:val="en-US" w:eastAsia="de-DE"/>
        </w:rPr>
      </w:pPr>
      <w:r w:rsidRPr="00907CED">
        <w:rPr>
          <w:lang w:val="en-US" w:eastAsia="de-DE"/>
        </w:rPr>
        <w:t>(d)</w:t>
      </w:r>
      <w:r w:rsidRPr="00907CED">
        <w:rPr>
          <w:lang w:val="en-US" w:eastAsia="de-DE"/>
        </w:rPr>
        <w:tab/>
      </w:r>
      <w:r w:rsidR="004B1177" w:rsidRPr="00E03F84">
        <w:rPr>
          <w:szCs w:val="22"/>
        </w:rPr>
        <w:t>Women</w:t>
      </w:r>
      <w:r w:rsidR="004B1177">
        <w:rPr>
          <w:szCs w:val="22"/>
        </w:rPr>
        <w:t xml:space="preserve"> have unequal access to property and inheritance;</w:t>
      </w:r>
    </w:p>
    <w:p w:rsidR="004B1177" w:rsidRPr="00EC6DCB" w:rsidRDefault="00683BFD" w:rsidP="00683BFD">
      <w:pPr>
        <w:pStyle w:val="SingleTxtG"/>
        <w:ind w:firstLine="567"/>
        <w:rPr>
          <w:lang w:val="en-US" w:eastAsia="de-DE"/>
        </w:rPr>
      </w:pPr>
      <w:r w:rsidRPr="00EC6DCB">
        <w:rPr>
          <w:lang w:val="en-US" w:eastAsia="de-DE"/>
        </w:rPr>
        <w:t>(e)</w:t>
      </w:r>
      <w:r w:rsidRPr="00EC6DCB">
        <w:rPr>
          <w:lang w:val="en-US" w:eastAsia="de-DE"/>
        </w:rPr>
        <w:tab/>
      </w:r>
      <w:r w:rsidR="004B1177">
        <w:rPr>
          <w:szCs w:val="22"/>
        </w:rPr>
        <w:t>Women</w:t>
      </w:r>
      <w:r w:rsidR="004B1177" w:rsidRPr="00E03F84">
        <w:rPr>
          <w:szCs w:val="22"/>
        </w:rPr>
        <w:t xml:space="preserve">’s applications for land plots are frequently denied </w:t>
      </w:r>
      <w:r w:rsidR="004B1177" w:rsidRPr="007E2790">
        <w:rPr>
          <w:szCs w:val="22"/>
        </w:rPr>
        <w:t>and</w:t>
      </w:r>
      <w:r w:rsidR="004B1177" w:rsidRPr="00FC388B">
        <w:rPr>
          <w:szCs w:val="22"/>
        </w:rPr>
        <w:t xml:space="preserve"> the allocation of land plots is often made dependent upon their marital status</w:t>
      </w:r>
      <w:r w:rsidR="00875B28">
        <w:rPr>
          <w:szCs w:val="22"/>
        </w:rPr>
        <w:t xml:space="preserve"> </w:t>
      </w:r>
      <w:r w:rsidR="004B1177" w:rsidRPr="00EC6DCB">
        <w:rPr>
          <w:lang w:val="en-US" w:eastAsia="de-DE"/>
        </w:rPr>
        <w:t>(</w:t>
      </w:r>
      <w:r w:rsidR="00D54F68">
        <w:rPr>
          <w:lang w:val="en-US" w:eastAsia="de-DE"/>
        </w:rPr>
        <w:t>art. </w:t>
      </w:r>
      <w:r w:rsidR="004B1177" w:rsidRPr="00EC6DCB">
        <w:rPr>
          <w:lang w:val="en-US" w:eastAsia="de-DE"/>
        </w:rPr>
        <w:t>3).</w:t>
      </w:r>
    </w:p>
    <w:p w:rsidR="004B1177" w:rsidRPr="00B548CC" w:rsidRDefault="004B1177" w:rsidP="00CD1BA2">
      <w:pPr>
        <w:pStyle w:val="SingleTxtG"/>
        <w:rPr>
          <w:b/>
          <w:lang w:val="en-US" w:eastAsia="de-DE"/>
        </w:rPr>
      </w:pPr>
      <w:r w:rsidRPr="00B548CC">
        <w:rPr>
          <w:b/>
          <w:lang w:val="en-US" w:eastAsia="de-DE"/>
        </w:rPr>
        <w:t xml:space="preserve">The Committee recommends that the State party increase </w:t>
      </w:r>
      <w:r w:rsidR="00F61ECE">
        <w:rPr>
          <w:b/>
          <w:lang w:val="en-US" w:eastAsia="de-DE"/>
        </w:rPr>
        <w:t xml:space="preserve">its </w:t>
      </w:r>
      <w:r w:rsidRPr="00B548CC">
        <w:rPr>
          <w:b/>
          <w:lang w:val="en-US" w:eastAsia="de-DE"/>
        </w:rPr>
        <w:t xml:space="preserve">efforts to promote gender equality, inter alia by adopting a comprehensive strategy </w:t>
      </w:r>
      <w:r w:rsidR="00F61ECE">
        <w:rPr>
          <w:b/>
          <w:lang w:val="en-US" w:eastAsia="de-DE"/>
        </w:rPr>
        <w:t>that</w:t>
      </w:r>
      <w:r w:rsidRPr="00B548CC">
        <w:rPr>
          <w:b/>
          <w:lang w:val="en-US" w:eastAsia="de-DE"/>
        </w:rPr>
        <w:t xml:space="preserve"> includes time-bound goals and quotas</w:t>
      </w:r>
      <w:r w:rsidR="00844452">
        <w:rPr>
          <w:b/>
          <w:lang w:val="en-US" w:eastAsia="de-DE"/>
        </w:rPr>
        <w:t xml:space="preserve"> </w:t>
      </w:r>
      <w:r w:rsidR="008B621F">
        <w:rPr>
          <w:b/>
          <w:lang w:val="en-US" w:eastAsia="de-DE"/>
        </w:rPr>
        <w:t>a</w:t>
      </w:r>
      <w:r w:rsidR="00F61ECE">
        <w:rPr>
          <w:b/>
          <w:lang w:val="en-US" w:eastAsia="de-DE"/>
        </w:rPr>
        <w:t>nd</w:t>
      </w:r>
      <w:r w:rsidR="00844452">
        <w:rPr>
          <w:b/>
          <w:lang w:val="en-US" w:eastAsia="de-DE"/>
        </w:rPr>
        <w:t xml:space="preserve"> temporary special measures</w:t>
      </w:r>
      <w:r w:rsidRPr="00B548CC">
        <w:rPr>
          <w:b/>
          <w:lang w:val="en-US" w:eastAsia="de-DE"/>
        </w:rPr>
        <w:t xml:space="preserve">, with a view to achieving full equality </w:t>
      </w:r>
      <w:r w:rsidR="00F61ECE">
        <w:rPr>
          <w:b/>
          <w:lang w:val="en-US" w:eastAsia="de-DE"/>
        </w:rPr>
        <w:t>between</w:t>
      </w:r>
      <w:r w:rsidRPr="00B548CC">
        <w:rPr>
          <w:b/>
          <w:lang w:val="en-US" w:eastAsia="de-DE"/>
        </w:rPr>
        <w:t xml:space="preserve"> women and men, particular</w:t>
      </w:r>
      <w:r w:rsidR="00F61ECE">
        <w:rPr>
          <w:b/>
          <w:lang w:val="en-US" w:eastAsia="de-DE"/>
        </w:rPr>
        <w:t>ly</w:t>
      </w:r>
      <w:r w:rsidRPr="00B548CC">
        <w:rPr>
          <w:b/>
          <w:lang w:val="en-US" w:eastAsia="de-DE"/>
        </w:rPr>
        <w:t xml:space="preserve"> </w:t>
      </w:r>
      <w:r w:rsidR="00F61ECE">
        <w:rPr>
          <w:b/>
          <w:lang w:val="en-US" w:eastAsia="de-DE"/>
        </w:rPr>
        <w:t>i</w:t>
      </w:r>
      <w:r w:rsidRPr="00B548CC">
        <w:rPr>
          <w:b/>
          <w:lang w:val="en-US" w:eastAsia="de-DE"/>
        </w:rPr>
        <w:t xml:space="preserve">n the areas </w:t>
      </w:r>
      <w:r w:rsidR="00F61ECE">
        <w:rPr>
          <w:b/>
          <w:lang w:val="en-US" w:eastAsia="de-DE"/>
        </w:rPr>
        <w:t xml:space="preserve">in </w:t>
      </w:r>
      <w:r w:rsidRPr="00B548CC">
        <w:rPr>
          <w:b/>
          <w:lang w:val="en-US" w:eastAsia="de-DE"/>
        </w:rPr>
        <w:t>wh</w:t>
      </w:r>
      <w:r w:rsidR="00F61ECE">
        <w:rPr>
          <w:b/>
          <w:lang w:val="en-US" w:eastAsia="de-DE"/>
        </w:rPr>
        <w:t>ich</w:t>
      </w:r>
      <w:r w:rsidRPr="00B548CC">
        <w:rPr>
          <w:b/>
          <w:lang w:val="en-US" w:eastAsia="de-DE"/>
        </w:rPr>
        <w:t xml:space="preserve"> women are underrepresented and disadvantaged. The Committee </w:t>
      </w:r>
      <w:r w:rsidR="008D2EFD">
        <w:rPr>
          <w:b/>
          <w:lang w:val="en-US" w:eastAsia="de-DE"/>
        </w:rPr>
        <w:t>urges</w:t>
      </w:r>
      <w:r w:rsidR="00F61ECE">
        <w:rPr>
          <w:b/>
          <w:lang w:val="en-US" w:eastAsia="de-DE"/>
        </w:rPr>
        <w:t xml:space="preserve"> </w:t>
      </w:r>
      <w:r w:rsidRPr="00B548CC">
        <w:rPr>
          <w:b/>
          <w:lang w:val="en-US" w:eastAsia="de-DE"/>
        </w:rPr>
        <w:t>the State party to:</w:t>
      </w:r>
    </w:p>
    <w:p w:rsidR="004B1177" w:rsidRPr="00F6680D" w:rsidRDefault="00683BFD" w:rsidP="00683BFD">
      <w:pPr>
        <w:pStyle w:val="SingleTxtG"/>
        <w:ind w:firstLine="567"/>
        <w:rPr>
          <w:b/>
          <w:lang w:val="en-US" w:eastAsia="de-DE"/>
        </w:rPr>
      </w:pPr>
      <w:r w:rsidRPr="00F6680D">
        <w:rPr>
          <w:bCs/>
          <w:lang w:val="en-US" w:eastAsia="de-DE"/>
        </w:rPr>
        <w:t>(a)</w:t>
      </w:r>
      <w:r w:rsidRPr="00F6680D">
        <w:rPr>
          <w:bCs/>
          <w:lang w:val="en-US" w:eastAsia="de-DE"/>
        </w:rPr>
        <w:tab/>
      </w:r>
      <w:r w:rsidR="004B1177" w:rsidRPr="00EA0EE8">
        <w:rPr>
          <w:b/>
          <w:lang w:val="en-US" w:eastAsia="de-DE"/>
        </w:rPr>
        <w:t>Ensure that women</w:t>
      </w:r>
      <w:r w:rsidR="004B1177" w:rsidRPr="00F6680D">
        <w:rPr>
          <w:b/>
          <w:lang w:val="en-US" w:eastAsia="de-DE"/>
        </w:rPr>
        <w:t xml:space="preserve"> in non-registered marriage</w:t>
      </w:r>
      <w:r w:rsidR="00EA0EE8">
        <w:rPr>
          <w:b/>
          <w:lang w:val="en-US" w:eastAsia="de-DE"/>
        </w:rPr>
        <w:t>s</w:t>
      </w:r>
      <w:r w:rsidR="004B1177" w:rsidRPr="00F6680D">
        <w:rPr>
          <w:b/>
          <w:lang w:val="en-US" w:eastAsia="de-DE"/>
        </w:rPr>
        <w:t xml:space="preserve"> can prove guardianship of their children without their husband’s confirmation</w:t>
      </w:r>
      <w:r w:rsidR="00EA0EE8">
        <w:rPr>
          <w:b/>
          <w:lang w:val="en-US" w:eastAsia="de-DE"/>
        </w:rPr>
        <w:t>,</w:t>
      </w:r>
      <w:r w:rsidR="004B1177" w:rsidRPr="00F6680D">
        <w:rPr>
          <w:b/>
          <w:lang w:val="en-US" w:eastAsia="de-DE"/>
        </w:rPr>
        <w:t xml:space="preserve"> and </w:t>
      </w:r>
      <w:r w:rsidR="00EA0EE8">
        <w:rPr>
          <w:b/>
          <w:lang w:val="en-US" w:eastAsia="de-DE"/>
        </w:rPr>
        <w:t xml:space="preserve">ensure </w:t>
      </w:r>
      <w:r w:rsidR="004B1177" w:rsidRPr="00F6680D">
        <w:rPr>
          <w:b/>
          <w:lang w:val="en-US" w:eastAsia="de-DE"/>
        </w:rPr>
        <w:t xml:space="preserve">that </w:t>
      </w:r>
      <w:r w:rsidR="00EA0EE8">
        <w:rPr>
          <w:b/>
          <w:lang w:val="en-US" w:eastAsia="de-DE"/>
        </w:rPr>
        <w:t>th</w:t>
      </w:r>
      <w:r w:rsidR="00896F0A">
        <w:rPr>
          <w:b/>
          <w:lang w:val="en-US" w:eastAsia="de-DE"/>
        </w:rPr>
        <w:t>o</w:t>
      </w:r>
      <w:r w:rsidR="00EA0EE8">
        <w:rPr>
          <w:b/>
          <w:lang w:val="en-US" w:eastAsia="de-DE"/>
        </w:rPr>
        <w:t xml:space="preserve">se </w:t>
      </w:r>
      <w:r w:rsidR="004B1177" w:rsidRPr="00F6680D">
        <w:rPr>
          <w:b/>
          <w:lang w:val="en-US" w:eastAsia="de-DE"/>
        </w:rPr>
        <w:t xml:space="preserve">women are fully protected </w:t>
      </w:r>
      <w:r w:rsidR="00EA0EE8">
        <w:rPr>
          <w:b/>
          <w:lang w:val="en-US" w:eastAsia="de-DE"/>
        </w:rPr>
        <w:t>should their</w:t>
      </w:r>
      <w:r w:rsidR="004B1177" w:rsidRPr="00F6680D">
        <w:rPr>
          <w:b/>
          <w:lang w:val="en-US" w:eastAsia="de-DE"/>
        </w:rPr>
        <w:t xml:space="preserve"> non-registered marriages</w:t>
      </w:r>
      <w:r w:rsidR="00EA0EE8">
        <w:rPr>
          <w:b/>
          <w:lang w:val="en-US" w:eastAsia="de-DE"/>
        </w:rPr>
        <w:t xml:space="preserve"> be dissolved</w:t>
      </w:r>
      <w:r w:rsidR="004B1177" w:rsidRPr="00F6680D">
        <w:rPr>
          <w:b/>
          <w:lang w:val="en-US" w:eastAsia="de-DE"/>
        </w:rPr>
        <w:t>;</w:t>
      </w:r>
    </w:p>
    <w:p w:rsidR="004B1177" w:rsidRPr="00F6680D" w:rsidRDefault="00683BFD" w:rsidP="00683BFD">
      <w:pPr>
        <w:pStyle w:val="SingleTxtG"/>
        <w:ind w:firstLine="567"/>
        <w:rPr>
          <w:b/>
          <w:lang w:val="en-US" w:eastAsia="de-DE"/>
        </w:rPr>
      </w:pPr>
      <w:r w:rsidRPr="00F6680D">
        <w:rPr>
          <w:bCs/>
          <w:lang w:val="en-US" w:eastAsia="de-DE"/>
        </w:rPr>
        <w:t>(b)</w:t>
      </w:r>
      <w:r w:rsidRPr="00F6680D">
        <w:rPr>
          <w:bCs/>
          <w:lang w:val="en-US" w:eastAsia="de-DE"/>
        </w:rPr>
        <w:tab/>
      </w:r>
      <w:r w:rsidR="004B1177" w:rsidRPr="00F6680D">
        <w:rPr>
          <w:b/>
          <w:lang w:val="en-US" w:eastAsia="de-DE"/>
        </w:rPr>
        <w:t xml:space="preserve">Adopt the amendment to the </w:t>
      </w:r>
      <w:r w:rsidR="008152DF">
        <w:rPr>
          <w:b/>
          <w:lang w:val="en-US" w:eastAsia="de-DE"/>
        </w:rPr>
        <w:t>law</w:t>
      </w:r>
      <w:r w:rsidR="004B1177" w:rsidRPr="00F6680D">
        <w:rPr>
          <w:b/>
          <w:lang w:val="en-US" w:eastAsia="de-DE"/>
        </w:rPr>
        <w:t xml:space="preserve"> on </w:t>
      </w:r>
      <w:r w:rsidR="008152DF">
        <w:rPr>
          <w:b/>
          <w:lang w:val="en-US" w:eastAsia="de-DE"/>
        </w:rPr>
        <w:t>r</w:t>
      </w:r>
      <w:r w:rsidR="004B1177" w:rsidRPr="00F6680D">
        <w:rPr>
          <w:b/>
          <w:lang w:val="en-US" w:eastAsia="de-DE"/>
        </w:rPr>
        <w:t xml:space="preserve">eligious </w:t>
      </w:r>
      <w:r w:rsidR="008152DF">
        <w:rPr>
          <w:b/>
          <w:lang w:val="en-US" w:eastAsia="de-DE"/>
        </w:rPr>
        <w:t>b</w:t>
      </w:r>
      <w:r w:rsidR="004B1177" w:rsidRPr="00F6680D">
        <w:rPr>
          <w:b/>
          <w:lang w:val="en-US" w:eastAsia="de-DE"/>
        </w:rPr>
        <w:t xml:space="preserve">elief and </w:t>
      </w:r>
      <w:r w:rsidR="008152DF">
        <w:rPr>
          <w:b/>
          <w:lang w:val="en-US" w:eastAsia="de-DE"/>
        </w:rPr>
        <w:t>p</w:t>
      </w:r>
      <w:r w:rsidR="004B1177" w:rsidRPr="00F6680D">
        <w:rPr>
          <w:b/>
          <w:lang w:val="en-US" w:eastAsia="de-DE"/>
        </w:rPr>
        <w:t>ractice</w:t>
      </w:r>
      <w:r w:rsidR="00EA0EE8">
        <w:rPr>
          <w:b/>
          <w:lang w:val="en-US" w:eastAsia="de-DE"/>
        </w:rPr>
        <w:t xml:space="preserve"> </w:t>
      </w:r>
      <w:r w:rsidR="004B1177" w:rsidRPr="00F6680D">
        <w:rPr>
          <w:b/>
          <w:lang w:val="en-US" w:eastAsia="de-DE"/>
        </w:rPr>
        <w:t>ensuring that religious marriage</w:t>
      </w:r>
      <w:r w:rsidR="00EA0EE8">
        <w:rPr>
          <w:b/>
          <w:lang w:val="en-US" w:eastAsia="de-DE"/>
        </w:rPr>
        <w:t>s</w:t>
      </w:r>
      <w:r w:rsidR="004B1177" w:rsidRPr="00F6680D">
        <w:rPr>
          <w:b/>
          <w:lang w:val="en-US" w:eastAsia="de-DE"/>
        </w:rPr>
        <w:t xml:space="preserve"> </w:t>
      </w:r>
      <w:r w:rsidR="00EA0EE8">
        <w:rPr>
          <w:b/>
          <w:lang w:val="en-US" w:eastAsia="de-DE"/>
        </w:rPr>
        <w:t>are</w:t>
      </w:r>
      <w:r w:rsidR="004B1177" w:rsidRPr="00F6680D">
        <w:rPr>
          <w:b/>
          <w:lang w:val="en-US" w:eastAsia="de-DE"/>
        </w:rPr>
        <w:t xml:space="preserve"> administered only after the conclusion of a formal marriage; </w:t>
      </w:r>
    </w:p>
    <w:p w:rsidR="004B1177" w:rsidRPr="00F6680D" w:rsidRDefault="00683BFD" w:rsidP="00683BFD">
      <w:pPr>
        <w:pStyle w:val="SingleTxtG"/>
        <w:widowControl w:val="0"/>
        <w:ind w:firstLine="567"/>
        <w:rPr>
          <w:b/>
          <w:lang w:val="en-US" w:eastAsia="de-DE"/>
        </w:rPr>
      </w:pPr>
      <w:r w:rsidRPr="00F6680D">
        <w:rPr>
          <w:bCs/>
          <w:lang w:val="en-US" w:eastAsia="de-DE"/>
        </w:rPr>
        <w:t>(c)</w:t>
      </w:r>
      <w:r w:rsidRPr="00F6680D">
        <w:rPr>
          <w:bCs/>
          <w:lang w:val="en-US" w:eastAsia="de-DE"/>
        </w:rPr>
        <w:tab/>
      </w:r>
      <w:r w:rsidR="004B1177" w:rsidRPr="00F6680D">
        <w:rPr>
          <w:b/>
          <w:lang w:val="en-US" w:eastAsia="de-DE"/>
        </w:rPr>
        <w:t xml:space="preserve">Ensure women’s equal access in law and in practice to property and inheritance rights, and ensure that </w:t>
      </w:r>
      <w:r w:rsidR="004F51BB">
        <w:rPr>
          <w:b/>
          <w:lang w:val="en-US" w:eastAsia="de-DE"/>
        </w:rPr>
        <w:t xml:space="preserve">women’s </w:t>
      </w:r>
      <w:r w:rsidR="004B1177" w:rsidRPr="00F6680D">
        <w:rPr>
          <w:b/>
          <w:lang w:val="en-US" w:eastAsia="de-DE"/>
        </w:rPr>
        <w:t>access to rights and services is not made dependent upon their marital status;</w:t>
      </w:r>
    </w:p>
    <w:p w:rsidR="004B1177" w:rsidRPr="00F6680D" w:rsidRDefault="00683BFD" w:rsidP="00683BFD">
      <w:pPr>
        <w:pStyle w:val="SingleTxtG"/>
        <w:widowControl w:val="0"/>
        <w:ind w:firstLine="567"/>
        <w:rPr>
          <w:b/>
          <w:lang w:val="en-US" w:eastAsia="de-DE"/>
        </w:rPr>
      </w:pPr>
      <w:r w:rsidRPr="00F6680D">
        <w:rPr>
          <w:bCs/>
          <w:lang w:val="en-US" w:eastAsia="de-DE"/>
        </w:rPr>
        <w:t>(d)</w:t>
      </w:r>
      <w:r w:rsidRPr="00F6680D">
        <w:rPr>
          <w:bCs/>
          <w:lang w:val="en-US" w:eastAsia="de-DE"/>
        </w:rPr>
        <w:tab/>
      </w:r>
      <w:r w:rsidR="004B1177" w:rsidRPr="00F6680D">
        <w:rPr>
          <w:b/>
          <w:lang w:val="en-US" w:eastAsia="de-DE"/>
        </w:rPr>
        <w:t xml:space="preserve">Carry out awareness-raising campaigns to eliminate patriarchal attitudes and gender stereotypes and to inform women </w:t>
      </w:r>
      <w:r w:rsidR="00EA0EE8">
        <w:rPr>
          <w:b/>
          <w:lang w:val="en-US" w:eastAsia="de-DE"/>
        </w:rPr>
        <w:t>about</w:t>
      </w:r>
      <w:r w:rsidR="004B1177" w:rsidRPr="00F6680D">
        <w:rPr>
          <w:b/>
          <w:lang w:val="en-US" w:eastAsia="de-DE"/>
        </w:rPr>
        <w:t xml:space="preserve"> their rights.</w:t>
      </w:r>
    </w:p>
    <w:p w:rsidR="004B1177" w:rsidRPr="00B548CC" w:rsidRDefault="004B1177" w:rsidP="007A1D92">
      <w:pPr>
        <w:pStyle w:val="SingleTxtG"/>
        <w:rPr>
          <w:b/>
          <w:lang w:val="en-US" w:eastAsia="de-DE"/>
        </w:rPr>
      </w:pPr>
      <w:r w:rsidRPr="00B548CC">
        <w:rPr>
          <w:b/>
          <w:lang w:val="en-US" w:eastAsia="de-DE"/>
        </w:rPr>
        <w:t>In this context, the Committee draws the attention of the State party to its general comment</w:t>
      </w:r>
      <w:r w:rsidR="00D911BB">
        <w:rPr>
          <w:b/>
          <w:lang w:val="en-US" w:eastAsia="de-DE"/>
        </w:rPr>
        <w:t xml:space="preserve"> No. </w:t>
      </w:r>
      <w:r w:rsidRPr="00B548CC">
        <w:rPr>
          <w:b/>
          <w:lang w:val="en-US" w:eastAsia="de-DE"/>
        </w:rPr>
        <w:t xml:space="preserve">16 (2005) on the equal right of men and women to the enjoyment of all economic, social and cultural rights. </w:t>
      </w:r>
    </w:p>
    <w:p w:rsidR="004B1177" w:rsidRPr="007B338E" w:rsidRDefault="006537A5" w:rsidP="007B338E">
      <w:pPr>
        <w:pStyle w:val="H23G"/>
      </w:pPr>
      <w:r>
        <w:rPr>
          <w:lang w:eastAsia="de-DE"/>
        </w:rPr>
        <w:tab/>
      </w:r>
      <w:r>
        <w:rPr>
          <w:lang w:eastAsia="de-DE"/>
        </w:rPr>
        <w:tab/>
      </w:r>
      <w:r w:rsidR="004B1177" w:rsidRPr="00E03F84">
        <w:rPr>
          <w:lang w:eastAsia="de-DE"/>
        </w:rPr>
        <w:t>Unemployment</w:t>
      </w:r>
    </w:p>
    <w:p w:rsidR="004B1177" w:rsidRPr="00CE7C3E" w:rsidRDefault="00683BFD" w:rsidP="00683BFD">
      <w:pPr>
        <w:pStyle w:val="SingleTxtG"/>
      </w:pPr>
      <w:r w:rsidRPr="00CE7C3E">
        <w:t>9.</w:t>
      </w:r>
      <w:r w:rsidRPr="00CE7C3E">
        <w:tab/>
      </w:r>
      <w:r w:rsidR="004B1177" w:rsidRPr="00CE7C3E">
        <w:t xml:space="preserve">The Committee expresses its concern at the scale of unemployment, </w:t>
      </w:r>
      <w:r w:rsidR="004F51BB">
        <w:t xml:space="preserve">which is </w:t>
      </w:r>
      <w:r w:rsidR="00896F0A" w:rsidRPr="00CE7C3E">
        <w:t>mainly</w:t>
      </w:r>
      <w:r w:rsidR="00896F0A">
        <w:t xml:space="preserve"> </w:t>
      </w:r>
      <w:r w:rsidR="004B1177" w:rsidRPr="00CE7C3E">
        <w:t>affecting women, young pe</w:t>
      </w:r>
      <w:r w:rsidR="004F51BB">
        <w:t>ople</w:t>
      </w:r>
      <w:r w:rsidR="004B1177" w:rsidRPr="00CE7C3E">
        <w:t xml:space="preserve"> under the age of 30 and persons with disabilities (</w:t>
      </w:r>
      <w:r w:rsidR="00D54F68">
        <w:t>art. </w:t>
      </w:r>
      <w:r w:rsidR="004B1177" w:rsidRPr="00CE7C3E">
        <w:t>6).</w:t>
      </w:r>
    </w:p>
    <w:p w:rsidR="004B1177" w:rsidRPr="00B548CC" w:rsidRDefault="004B1177" w:rsidP="00CD1BA2">
      <w:pPr>
        <w:pStyle w:val="SingleTxtG"/>
        <w:rPr>
          <w:b/>
        </w:rPr>
      </w:pPr>
      <w:r w:rsidRPr="00B548CC">
        <w:rPr>
          <w:b/>
        </w:rPr>
        <w:t xml:space="preserve">The Committee recommends that the State party take effective measures to address the root causes of unemployment and to adopt targeted measures, including </w:t>
      </w:r>
      <w:r w:rsidRPr="00B548CC">
        <w:rPr>
          <w:b/>
        </w:rPr>
        <w:lastRenderedPageBreak/>
        <w:t>programmes aimed at reducing unemployment among women, you</w:t>
      </w:r>
      <w:r w:rsidR="004F51BB">
        <w:rPr>
          <w:b/>
        </w:rPr>
        <w:t>ng people</w:t>
      </w:r>
      <w:r w:rsidRPr="00B548CC">
        <w:rPr>
          <w:b/>
        </w:rPr>
        <w:t>, persons with disabilities and disadvantaged and marginalized</w:t>
      </w:r>
      <w:r w:rsidR="0061743C">
        <w:rPr>
          <w:b/>
        </w:rPr>
        <w:t xml:space="preserve"> individuals and</w:t>
      </w:r>
      <w:r w:rsidRPr="00B548CC">
        <w:rPr>
          <w:b/>
        </w:rPr>
        <w:t xml:space="preserve"> groups. </w:t>
      </w:r>
    </w:p>
    <w:p w:rsidR="004B1177" w:rsidRPr="006537A5" w:rsidRDefault="006537A5" w:rsidP="007B338E">
      <w:pPr>
        <w:pStyle w:val="H23G"/>
      </w:pPr>
      <w:r>
        <w:tab/>
      </w:r>
      <w:r>
        <w:tab/>
      </w:r>
      <w:r w:rsidR="004B1177">
        <w:t>Minimum wage</w:t>
      </w:r>
    </w:p>
    <w:p w:rsidR="004B1177" w:rsidRPr="00CE7C3E" w:rsidRDefault="00683BFD" w:rsidP="00683BFD">
      <w:pPr>
        <w:pStyle w:val="SingleTxtG"/>
      </w:pPr>
      <w:r w:rsidRPr="00CE7C3E">
        <w:t>10.</w:t>
      </w:r>
      <w:r w:rsidRPr="00CE7C3E">
        <w:tab/>
      </w:r>
      <w:r w:rsidR="004B1177" w:rsidRPr="00CE7C3E">
        <w:t xml:space="preserve">The Committee notes with concern that the minimum wage </w:t>
      </w:r>
      <w:r w:rsidR="00F54C2C">
        <w:t xml:space="preserve">does not </w:t>
      </w:r>
      <w:r w:rsidR="004F51BB">
        <w:t>enable</w:t>
      </w:r>
      <w:r w:rsidR="004B1177" w:rsidRPr="00CE7C3E">
        <w:t xml:space="preserve"> </w:t>
      </w:r>
      <w:r w:rsidR="00BA4E02">
        <w:t>workers</w:t>
      </w:r>
      <w:r w:rsidR="00BA4E02" w:rsidRPr="00CE7C3E">
        <w:t xml:space="preserve"> </w:t>
      </w:r>
      <w:r w:rsidR="002232FA">
        <w:t>on</w:t>
      </w:r>
      <w:r w:rsidR="002232FA" w:rsidRPr="00CE7C3E">
        <w:t xml:space="preserve"> the minimum wage </w:t>
      </w:r>
      <w:r w:rsidR="004B1177" w:rsidRPr="00CE7C3E">
        <w:t xml:space="preserve">and their families to enjoy </w:t>
      </w:r>
      <w:r w:rsidR="008B621F">
        <w:t>a decent</w:t>
      </w:r>
      <w:r w:rsidR="004B1177" w:rsidRPr="00CE7C3E">
        <w:t xml:space="preserve"> standard of living (art.</w:t>
      </w:r>
      <w:r w:rsidR="006537A5">
        <w:t> </w:t>
      </w:r>
      <w:r w:rsidR="004B1177" w:rsidRPr="00CE7C3E">
        <w:t>7).</w:t>
      </w:r>
    </w:p>
    <w:p w:rsidR="004B1177" w:rsidRPr="00B548CC" w:rsidRDefault="004B1177" w:rsidP="00762961">
      <w:pPr>
        <w:pStyle w:val="SingleTxtG"/>
        <w:rPr>
          <w:b/>
        </w:rPr>
      </w:pPr>
      <w:r w:rsidRPr="00B548CC">
        <w:rPr>
          <w:b/>
        </w:rPr>
        <w:t xml:space="preserve">The Committee recommends that the State party strengthen its efforts to increase the minimum wage </w:t>
      </w:r>
      <w:r w:rsidR="009835E4">
        <w:rPr>
          <w:b/>
        </w:rPr>
        <w:t>in order to ensure</w:t>
      </w:r>
      <w:r w:rsidRPr="00B548CC">
        <w:rPr>
          <w:b/>
        </w:rPr>
        <w:t xml:space="preserve"> that all </w:t>
      </w:r>
      <w:r w:rsidR="00BA4E02">
        <w:rPr>
          <w:b/>
        </w:rPr>
        <w:t xml:space="preserve">workers and </w:t>
      </w:r>
      <w:r w:rsidR="004F51BB">
        <w:rPr>
          <w:b/>
        </w:rPr>
        <w:t xml:space="preserve">their </w:t>
      </w:r>
      <w:r w:rsidRPr="00B548CC">
        <w:rPr>
          <w:b/>
        </w:rPr>
        <w:t xml:space="preserve">families enjoy </w:t>
      </w:r>
      <w:r w:rsidR="00BA4E02">
        <w:rPr>
          <w:b/>
        </w:rPr>
        <w:t>a decent</w:t>
      </w:r>
      <w:r w:rsidRPr="00B548CC">
        <w:rPr>
          <w:b/>
        </w:rPr>
        <w:t xml:space="preserve"> standard of living, and </w:t>
      </w:r>
      <w:r w:rsidR="002232FA">
        <w:rPr>
          <w:b/>
        </w:rPr>
        <w:t xml:space="preserve">to </w:t>
      </w:r>
      <w:r w:rsidRPr="00B548CC">
        <w:rPr>
          <w:b/>
        </w:rPr>
        <w:t xml:space="preserve">ensure that </w:t>
      </w:r>
      <w:r w:rsidR="004F51BB">
        <w:rPr>
          <w:b/>
        </w:rPr>
        <w:t>the minimum wage</w:t>
      </w:r>
      <w:r w:rsidRPr="00B548CC">
        <w:rPr>
          <w:b/>
        </w:rPr>
        <w:t xml:space="preserve"> is enforced.</w:t>
      </w:r>
    </w:p>
    <w:p w:rsidR="004B1177" w:rsidRPr="007B338E" w:rsidRDefault="006537A5" w:rsidP="007B338E">
      <w:pPr>
        <w:pStyle w:val="H23G"/>
      </w:pPr>
      <w:r>
        <w:rPr>
          <w:lang w:val="en-US" w:eastAsia="de-DE"/>
        </w:rPr>
        <w:tab/>
      </w:r>
      <w:r>
        <w:rPr>
          <w:lang w:val="en-US" w:eastAsia="de-DE"/>
        </w:rPr>
        <w:tab/>
      </w:r>
      <w:r w:rsidR="004B1177" w:rsidRPr="00E03F84">
        <w:rPr>
          <w:lang w:val="en-US" w:eastAsia="de-DE"/>
        </w:rPr>
        <w:t>Informal economy</w:t>
      </w:r>
    </w:p>
    <w:p w:rsidR="004B1177" w:rsidRPr="00CE7C3E" w:rsidRDefault="00683BFD" w:rsidP="00683BFD">
      <w:pPr>
        <w:pStyle w:val="SingleTxtG"/>
      </w:pPr>
      <w:r w:rsidRPr="00CE7C3E">
        <w:t>11.</w:t>
      </w:r>
      <w:r w:rsidRPr="00CE7C3E">
        <w:tab/>
      </w:r>
      <w:r w:rsidR="004B1177" w:rsidRPr="00CE7C3E">
        <w:t>The Committee is concerned about the high number of pe</w:t>
      </w:r>
      <w:r w:rsidR="004F51BB">
        <w:t>ople</w:t>
      </w:r>
      <w:r w:rsidR="004B1177" w:rsidRPr="00CE7C3E">
        <w:t xml:space="preserve">, in particular women, </w:t>
      </w:r>
      <w:r w:rsidR="004F51BB">
        <w:t xml:space="preserve">who are </w:t>
      </w:r>
      <w:r w:rsidR="004B1177" w:rsidRPr="00CE7C3E">
        <w:t xml:space="preserve">working in the informal economy, </w:t>
      </w:r>
      <w:r w:rsidR="004F51BB">
        <w:t>as this</w:t>
      </w:r>
      <w:r w:rsidR="004B1177" w:rsidRPr="00CE7C3E">
        <w:t xml:space="preserve"> deprive</w:t>
      </w:r>
      <w:r w:rsidR="004F51BB">
        <w:t>s</w:t>
      </w:r>
      <w:r w:rsidR="004B1177" w:rsidRPr="00CE7C3E">
        <w:t xml:space="preserve"> </w:t>
      </w:r>
      <w:r w:rsidR="004F51BB">
        <w:t xml:space="preserve">them </w:t>
      </w:r>
      <w:r w:rsidR="004B1177" w:rsidRPr="00CE7C3E">
        <w:t>of the rights enshrined in the Covenant, as well as frequently subject</w:t>
      </w:r>
      <w:r w:rsidR="004F51BB">
        <w:t>ing</w:t>
      </w:r>
      <w:r w:rsidR="004B1177" w:rsidRPr="00CE7C3E">
        <w:t xml:space="preserve"> </w:t>
      </w:r>
      <w:r w:rsidR="004F51BB">
        <w:t xml:space="preserve">them </w:t>
      </w:r>
      <w:r w:rsidR="004B1177" w:rsidRPr="00CE7C3E">
        <w:t xml:space="preserve">to </w:t>
      </w:r>
      <w:r w:rsidR="001A3E1B">
        <w:t>hazardous</w:t>
      </w:r>
      <w:r w:rsidR="001A3E1B" w:rsidRPr="00CE7C3E">
        <w:t xml:space="preserve"> </w:t>
      </w:r>
      <w:r w:rsidR="004B1177" w:rsidRPr="00CE7C3E">
        <w:t>working conditions and degrading treatment (art.</w:t>
      </w:r>
      <w:r w:rsidR="006537A5">
        <w:t> </w:t>
      </w:r>
      <w:r w:rsidR="004B1177" w:rsidRPr="00CE7C3E">
        <w:t>7).</w:t>
      </w:r>
    </w:p>
    <w:p w:rsidR="004B1177" w:rsidRPr="00B548CC" w:rsidRDefault="004B1177" w:rsidP="00CD1BA2">
      <w:pPr>
        <w:pStyle w:val="SingleTxtG"/>
        <w:rPr>
          <w:b/>
        </w:rPr>
      </w:pPr>
      <w:r w:rsidRPr="00B548CC">
        <w:rPr>
          <w:b/>
        </w:rPr>
        <w:t xml:space="preserve">The Committee recommends that the State party ensure that labour and trade union rights fully apply in the informal economy, and </w:t>
      </w:r>
      <w:r w:rsidR="002232FA">
        <w:rPr>
          <w:b/>
        </w:rPr>
        <w:t xml:space="preserve">that the informal economy </w:t>
      </w:r>
      <w:r w:rsidR="00410849">
        <w:rPr>
          <w:b/>
        </w:rPr>
        <w:t xml:space="preserve">be subject </w:t>
      </w:r>
      <w:r w:rsidR="008B621F">
        <w:rPr>
          <w:b/>
        </w:rPr>
        <w:t>to</w:t>
      </w:r>
      <w:r w:rsidR="00410849">
        <w:rPr>
          <w:b/>
        </w:rPr>
        <w:t xml:space="preserve"> labour inspection on a regular basis. </w:t>
      </w:r>
      <w:r w:rsidRPr="00B548CC">
        <w:rPr>
          <w:b/>
        </w:rPr>
        <w:t>Furthermore, the Committee recommends that the State party gradually regularize the situation of persons employed in the informal economy.</w:t>
      </w:r>
    </w:p>
    <w:p w:rsidR="004B1177" w:rsidRPr="007B338E" w:rsidRDefault="006537A5" w:rsidP="007B338E">
      <w:pPr>
        <w:pStyle w:val="H23G"/>
      </w:pPr>
      <w:r>
        <w:rPr>
          <w:lang w:val="en-US" w:eastAsia="de-DE"/>
        </w:rPr>
        <w:tab/>
      </w:r>
      <w:r>
        <w:rPr>
          <w:lang w:val="en-US" w:eastAsia="de-DE"/>
        </w:rPr>
        <w:tab/>
      </w:r>
      <w:r w:rsidR="004B1177">
        <w:rPr>
          <w:lang w:val="en-US" w:eastAsia="de-DE"/>
        </w:rPr>
        <w:t>Health and safety</w:t>
      </w:r>
      <w:r w:rsidR="004B1177" w:rsidRPr="00E03F84">
        <w:rPr>
          <w:lang w:val="en-US" w:eastAsia="de-DE"/>
        </w:rPr>
        <w:t xml:space="preserve"> conditions in the workplace</w:t>
      </w:r>
    </w:p>
    <w:p w:rsidR="004B1177" w:rsidRPr="00CE7C3E" w:rsidRDefault="00683BFD" w:rsidP="00683BFD">
      <w:pPr>
        <w:pStyle w:val="SingleTxtG"/>
      </w:pPr>
      <w:r w:rsidRPr="00CE7C3E">
        <w:t>12.</w:t>
      </w:r>
      <w:r w:rsidRPr="00CE7C3E">
        <w:tab/>
      </w:r>
      <w:r w:rsidR="004B1177" w:rsidRPr="00E03F84">
        <w:t xml:space="preserve">The Committee is concerned about the </w:t>
      </w:r>
      <w:r w:rsidR="004B1177" w:rsidRPr="00CE7C3E">
        <w:t>prevalence of occupational diseases and injuries, including cases of fatalities, particularly in mining, construction and the production and distribution of electricity, gas and water (</w:t>
      </w:r>
      <w:r w:rsidR="00D54F68">
        <w:t>art. </w:t>
      </w:r>
      <w:r w:rsidR="004B1177" w:rsidRPr="00CE7C3E">
        <w:t>7).</w:t>
      </w:r>
    </w:p>
    <w:p w:rsidR="004B1177" w:rsidRPr="00B548CC" w:rsidRDefault="004B1177" w:rsidP="00CD1BA2">
      <w:pPr>
        <w:pStyle w:val="SingleTxtG"/>
        <w:rPr>
          <w:b/>
          <w:lang w:eastAsia="de-DE"/>
        </w:rPr>
      </w:pPr>
      <w:r w:rsidRPr="009A7584">
        <w:rPr>
          <w:b/>
        </w:rPr>
        <w:t>The Committee recommends that the State party ensure</w:t>
      </w:r>
      <w:r w:rsidR="008B621F">
        <w:rPr>
          <w:b/>
        </w:rPr>
        <w:t xml:space="preserve"> th</w:t>
      </w:r>
      <w:r w:rsidR="002232FA">
        <w:rPr>
          <w:b/>
        </w:rPr>
        <w:t>at</w:t>
      </w:r>
      <w:r w:rsidRPr="009A7584">
        <w:rPr>
          <w:b/>
        </w:rPr>
        <w:t xml:space="preserve"> </w:t>
      </w:r>
      <w:r w:rsidRPr="00B548CC">
        <w:rPr>
          <w:b/>
          <w:lang w:eastAsia="de-DE"/>
        </w:rPr>
        <w:t xml:space="preserve">labour legislation </w:t>
      </w:r>
      <w:r w:rsidR="00C5642B">
        <w:rPr>
          <w:b/>
          <w:lang w:eastAsia="de-DE"/>
        </w:rPr>
        <w:t>on</w:t>
      </w:r>
      <w:r w:rsidR="00C5642B" w:rsidRPr="00B548CC">
        <w:rPr>
          <w:b/>
          <w:lang w:eastAsia="de-DE"/>
        </w:rPr>
        <w:t xml:space="preserve"> </w:t>
      </w:r>
      <w:r w:rsidRPr="00B548CC">
        <w:rPr>
          <w:b/>
          <w:lang w:eastAsia="de-DE"/>
        </w:rPr>
        <w:t xml:space="preserve">occupational health and safety </w:t>
      </w:r>
      <w:r w:rsidR="00C5642B">
        <w:rPr>
          <w:b/>
          <w:lang w:eastAsia="de-DE"/>
        </w:rPr>
        <w:t xml:space="preserve">is properly </w:t>
      </w:r>
      <w:r w:rsidR="002232FA">
        <w:rPr>
          <w:b/>
        </w:rPr>
        <w:t>implement</w:t>
      </w:r>
      <w:r w:rsidR="00C5642B">
        <w:rPr>
          <w:b/>
        </w:rPr>
        <w:t>ed</w:t>
      </w:r>
      <w:r w:rsidRPr="00B548CC">
        <w:rPr>
          <w:b/>
          <w:lang w:eastAsia="de-DE"/>
        </w:rPr>
        <w:t xml:space="preserve">, including through regular inspections and training of employers and employees, and </w:t>
      </w:r>
      <w:r w:rsidR="00C5642B">
        <w:rPr>
          <w:b/>
          <w:lang w:eastAsia="de-DE"/>
        </w:rPr>
        <w:t xml:space="preserve">that </w:t>
      </w:r>
      <w:r w:rsidR="00C5642B" w:rsidRPr="00B548CC">
        <w:rPr>
          <w:b/>
          <w:lang w:eastAsia="de-DE"/>
        </w:rPr>
        <w:t>employees and their families</w:t>
      </w:r>
      <w:r w:rsidRPr="00B548CC">
        <w:rPr>
          <w:b/>
          <w:lang w:eastAsia="de-DE"/>
        </w:rPr>
        <w:t xml:space="preserve"> </w:t>
      </w:r>
      <w:r w:rsidR="00C5642B">
        <w:rPr>
          <w:b/>
          <w:lang w:eastAsia="de-DE"/>
        </w:rPr>
        <w:t>have</w:t>
      </w:r>
      <w:r w:rsidRPr="00B548CC">
        <w:rPr>
          <w:b/>
          <w:lang w:eastAsia="de-DE"/>
        </w:rPr>
        <w:t xml:space="preserve"> access to adequate compensation for injury and work-related diseases.</w:t>
      </w:r>
    </w:p>
    <w:p w:rsidR="004B1177" w:rsidRPr="007B338E" w:rsidRDefault="006537A5" w:rsidP="007B338E">
      <w:pPr>
        <w:pStyle w:val="H23G"/>
      </w:pPr>
      <w:r>
        <w:rPr>
          <w:lang w:val="en-US" w:eastAsia="de-DE"/>
        </w:rPr>
        <w:tab/>
      </w:r>
      <w:r>
        <w:rPr>
          <w:lang w:val="en-US" w:eastAsia="de-DE"/>
        </w:rPr>
        <w:tab/>
      </w:r>
      <w:r w:rsidR="004B1177" w:rsidRPr="00E03F84">
        <w:rPr>
          <w:lang w:val="en-US" w:eastAsia="de-DE"/>
        </w:rPr>
        <w:t xml:space="preserve">Kyrgyz migrant workers </w:t>
      </w:r>
    </w:p>
    <w:p w:rsidR="004B1177" w:rsidRDefault="00683BFD" w:rsidP="00683BFD">
      <w:pPr>
        <w:pStyle w:val="SingleTxtG"/>
      </w:pPr>
      <w:r>
        <w:t>13.</w:t>
      </w:r>
      <w:r>
        <w:tab/>
      </w:r>
      <w:r w:rsidR="004B1177" w:rsidRPr="00CE7C3E">
        <w:t xml:space="preserve">The Committee is concerned </w:t>
      </w:r>
      <w:r w:rsidR="00BF4DCD">
        <w:t xml:space="preserve">about </w:t>
      </w:r>
      <w:r w:rsidR="004B1177" w:rsidRPr="00CE7C3E">
        <w:t>the</w:t>
      </w:r>
      <w:r w:rsidR="00BF4DCD">
        <w:t xml:space="preserve"> insufficient</w:t>
      </w:r>
      <w:r w:rsidR="000B7DAA">
        <w:t xml:space="preserve"> protection o</w:t>
      </w:r>
      <w:r w:rsidR="00BF4DCD">
        <w:t>f Kyrgyz migrant workers</w:t>
      </w:r>
      <w:r w:rsidR="004B1177" w:rsidRPr="00CE7C3E">
        <w:t>, many of whom are subjected to labour exploitation, abuse and intimidation by employers and public officials in the countr</w:t>
      </w:r>
      <w:r w:rsidR="00C5642B">
        <w:t>ies in which they are</w:t>
      </w:r>
      <w:r w:rsidR="004B1177" w:rsidRPr="00CE7C3E">
        <w:t xml:space="preserve"> employe</w:t>
      </w:r>
      <w:r w:rsidR="00C5642B">
        <w:t>d</w:t>
      </w:r>
      <w:r w:rsidR="004B1177" w:rsidRPr="00CE7C3E">
        <w:t xml:space="preserve">. The Committee </w:t>
      </w:r>
      <w:r w:rsidR="00C5642B">
        <w:t xml:space="preserve">is </w:t>
      </w:r>
      <w:r w:rsidR="004B1177" w:rsidRPr="00CE7C3E">
        <w:t>also concern</w:t>
      </w:r>
      <w:r w:rsidR="00C5642B">
        <w:t>ed</w:t>
      </w:r>
      <w:r w:rsidR="004B1177" w:rsidRPr="00CE7C3E">
        <w:t xml:space="preserve"> that children of Kyrgyz migrant workers </w:t>
      </w:r>
      <w:r w:rsidR="00C5642B">
        <w:t xml:space="preserve">who are </w:t>
      </w:r>
      <w:r w:rsidR="004B1177" w:rsidRPr="00CE7C3E">
        <w:t>in the care of other peo</w:t>
      </w:r>
      <w:r w:rsidR="00C5642B">
        <w:t>ple</w:t>
      </w:r>
      <w:r w:rsidR="004B1177" w:rsidRPr="00CE7C3E">
        <w:t xml:space="preserve"> whil</w:t>
      </w:r>
      <w:r w:rsidR="00257637">
        <w:t>e</w:t>
      </w:r>
      <w:r w:rsidR="004B1177" w:rsidRPr="00CE7C3E">
        <w:t xml:space="preserve"> their parents work abroad are frequently subjected to sexual abuse (arts.</w:t>
      </w:r>
      <w:r w:rsidR="006537A5">
        <w:t> </w:t>
      </w:r>
      <w:r w:rsidR="004B1177" w:rsidRPr="00CE7C3E">
        <w:t>6, 7 and 10).</w:t>
      </w:r>
    </w:p>
    <w:p w:rsidR="0093539B" w:rsidRPr="00B548CC" w:rsidRDefault="004B1177" w:rsidP="00CD1BA2">
      <w:pPr>
        <w:pStyle w:val="SingleTxtG"/>
        <w:rPr>
          <w:b/>
          <w:lang w:val="en-US" w:eastAsia="de-DE"/>
        </w:rPr>
      </w:pPr>
      <w:r w:rsidRPr="00B548CC">
        <w:rPr>
          <w:b/>
          <w:lang w:val="en-US" w:eastAsia="de-DE"/>
        </w:rPr>
        <w:t xml:space="preserve">The Committee recommends that the State party </w:t>
      </w:r>
      <w:r w:rsidR="00707CEB">
        <w:rPr>
          <w:b/>
          <w:lang w:val="en-US" w:eastAsia="de-DE"/>
        </w:rPr>
        <w:t>step up its efforts to</w:t>
      </w:r>
      <w:r w:rsidRPr="00B548CC">
        <w:rPr>
          <w:b/>
          <w:lang w:val="en-US" w:eastAsia="de-DE"/>
        </w:rPr>
        <w:t xml:space="preserve"> conclude bilateral and multilateral agreements </w:t>
      </w:r>
      <w:r w:rsidR="00707CEB">
        <w:rPr>
          <w:b/>
          <w:lang w:val="en-US" w:eastAsia="de-DE"/>
        </w:rPr>
        <w:t>with a view to extend</w:t>
      </w:r>
      <w:r w:rsidR="00AE72A3">
        <w:rPr>
          <w:b/>
          <w:lang w:val="en-US" w:eastAsia="de-DE"/>
        </w:rPr>
        <w:t>i</w:t>
      </w:r>
      <w:r w:rsidR="008B621F">
        <w:rPr>
          <w:b/>
          <w:lang w:val="en-US" w:eastAsia="de-DE"/>
        </w:rPr>
        <w:t>ng</w:t>
      </w:r>
      <w:r w:rsidR="00707CEB">
        <w:rPr>
          <w:b/>
          <w:lang w:val="en-US" w:eastAsia="de-DE"/>
        </w:rPr>
        <w:t xml:space="preserve"> protection to Kyrgyz migrant workers abroad</w:t>
      </w:r>
      <w:r w:rsidRPr="00B548CC">
        <w:rPr>
          <w:b/>
          <w:lang w:val="en-US" w:eastAsia="de-DE"/>
        </w:rPr>
        <w:t>, and provid</w:t>
      </w:r>
      <w:r w:rsidR="00C5642B">
        <w:rPr>
          <w:b/>
          <w:lang w:val="en-US" w:eastAsia="de-DE"/>
        </w:rPr>
        <w:t>e</w:t>
      </w:r>
      <w:r w:rsidRPr="00B548CC">
        <w:rPr>
          <w:b/>
          <w:lang w:val="en-US" w:eastAsia="de-DE"/>
        </w:rPr>
        <w:t xml:space="preserve"> counselling and legal advice to potential migrant workers. The Committee also recommends that the State party </w:t>
      </w:r>
      <w:r w:rsidR="00FF2DD8">
        <w:rPr>
          <w:b/>
          <w:lang w:val="en-US" w:eastAsia="de-DE"/>
        </w:rPr>
        <w:t>m</w:t>
      </w:r>
      <w:r w:rsidRPr="00B548CC">
        <w:rPr>
          <w:b/>
          <w:lang w:val="en-US" w:eastAsia="de-DE"/>
        </w:rPr>
        <w:t xml:space="preserve">ake all efforts </w:t>
      </w:r>
      <w:r w:rsidR="00FF2DD8" w:rsidRPr="00B548CC">
        <w:rPr>
          <w:b/>
          <w:lang w:val="en-US" w:eastAsia="de-DE"/>
        </w:rPr>
        <w:t xml:space="preserve">necessary </w:t>
      </w:r>
      <w:r w:rsidRPr="00B548CC">
        <w:rPr>
          <w:b/>
          <w:lang w:val="en-US" w:eastAsia="de-DE"/>
        </w:rPr>
        <w:t xml:space="preserve">to ensure that the spouses and children of Kyrgyz migrant workers obtain adequate residence permits in the country of employment. Furthermore, the Committee recommends </w:t>
      </w:r>
      <w:r w:rsidR="00AE72A3">
        <w:rPr>
          <w:b/>
          <w:lang w:val="en-US" w:eastAsia="de-DE"/>
        </w:rPr>
        <w:t xml:space="preserve">that the State party </w:t>
      </w:r>
      <w:r w:rsidRPr="00B548CC">
        <w:rPr>
          <w:b/>
          <w:lang w:val="en-US" w:eastAsia="de-DE"/>
        </w:rPr>
        <w:t xml:space="preserve">increase </w:t>
      </w:r>
      <w:r w:rsidR="00FF2DD8">
        <w:rPr>
          <w:b/>
          <w:lang w:val="en-US" w:eastAsia="de-DE"/>
        </w:rPr>
        <w:t xml:space="preserve">its </w:t>
      </w:r>
      <w:r w:rsidRPr="00B548CC">
        <w:rPr>
          <w:b/>
          <w:lang w:val="en-US" w:eastAsia="de-DE"/>
        </w:rPr>
        <w:t>efforts to protect children without parental care from sexual exploitation and abuse, to ensure that perpetrators are prosecuted and punished and to provide access to recovery and reintegration to child victims of sexual abuse.</w:t>
      </w:r>
    </w:p>
    <w:p w:rsidR="004B1177" w:rsidRPr="00E03F84" w:rsidRDefault="00B548CC" w:rsidP="00B548CC">
      <w:pPr>
        <w:pStyle w:val="H23G"/>
        <w:rPr>
          <w:lang w:val="en-US"/>
        </w:rPr>
      </w:pPr>
      <w:r>
        <w:rPr>
          <w:lang w:val="en-US"/>
        </w:rPr>
        <w:lastRenderedPageBreak/>
        <w:tab/>
      </w:r>
      <w:r>
        <w:rPr>
          <w:lang w:val="en-US"/>
        </w:rPr>
        <w:tab/>
      </w:r>
      <w:r w:rsidR="004B1177" w:rsidRPr="00E03F84">
        <w:rPr>
          <w:lang w:val="en-US"/>
        </w:rPr>
        <w:t>Economic exploitation</w:t>
      </w:r>
    </w:p>
    <w:p w:rsidR="001D7FEB" w:rsidRPr="00E03F84" w:rsidRDefault="00683BFD" w:rsidP="00683BFD">
      <w:pPr>
        <w:pStyle w:val="SingleTxtG"/>
      </w:pPr>
      <w:r w:rsidRPr="00E03F84">
        <w:t>14.</w:t>
      </w:r>
      <w:r w:rsidRPr="00E03F84">
        <w:tab/>
      </w:r>
      <w:r w:rsidR="001D7FEB" w:rsidRPr="00E03F84">
        <w:t xml:space="preserve">The Committee is concerned about the significant number of child </w:t>
      </w:r>
      <w:r w:rsidR="00FF2DD8">
        <w:t>victims of</w:t>
      </w:r>
      <w:r w:rsidR="001D7FEB" w:rsidRPr="00E03F84">
        <w:t xml:space="preserve"> </w:t>
      </w:r>
      <w:r w:rsidR="001D7FEB" w:rsidRPr="00CE7C3E">
        <w:t>labour</w:t>
      </w:r>
      <w:r w:rsidR="00FF2DD8">
        <w:t xml:space="preserve"> </w:t>
      </w:r>
      <w:r w:rsidR="00FF2DD8" w:rsidRPr="00E03F84">
        <w:t>exploit</w:t>
      </w:r>
      <w:r w:rsidR="00FF2DD8">
        <w:t>ation</w:t>
      </w:r>
      <w:r w:rsidR="001D7FEB" w:rsidRPr="00CE7C3E">
        <w:t xml:space="preserve">, including </w:t>
      </w:r>
      <w:r w:rsidR="00FF2DD8">
        <w:t>the</w:t>
      </w:r>
      <w:r w:rsidR="001D7FEB" w:rsidRPr="00CE7C3E">
        <w:t xml:space="preserve"> </w:t>
      </w:r>
      <w:r w:rsidR="001D7FEB" w:rsidRPr="00E03F84">
        <w:t xml:space="preserve">worst forms </w:t>
      </w:r>
      <w:r w:rsidR="00FF2DD8">
        <w:t xml:space="preserve">of child labour </w:t>
      </w:r>
      <w:r w:rsidR="001D7FEB" w:rsidRPr="00E03F84">
        <w:t>in tobacco cultivation</w:t>
      </w:r>
      <w:r w:rsidR="00FF2DD8">
        <w:t>. The Committee is</w:t>
      </w:r>
      <w:r w:rsidR="001D7FEB" w:rsidRPr="00E03F84">
        <w:t xml:space="preserve"> also concern</w:t>
      </w:r>
      <w:r w:rsidR="00FF2DD8">
        <w:t>ed</w:t>
      </w:r>
      <w:r w:rsidR="001D7FEB" w:rsidRPr="00E03F84">
        <w:t xml:space="preserve"> that children in boarding schools are reportedly subjected to forced labour</w:t>
      </w:r>
      <w:r w:rsidR="001D7FEB">
        <w:t xml:space="preserve">. The Committee </w:t>
      </w:r>
      <w:r w:rsidR="00FF2DD8">
        <w:t xml:space="preserve">is </w:t>
      </w:r>
      <w:r w:rsidR="001D7FEB">
        <w:t>further concern</w:t>
      </w:r>
      <w:r w:rsidR="00FF2DD8">
        <w:t>ed</w:t>
      </w:r>
      <w:r w:rsidR="001D7FEB">
        <w:t xml:space="preserve"> that child labour is insufficiently prohibited and criminalized, and that enforcement and coordination to </w:t>
      </w:r>
      <w:r w:rsidR="00FF2DD8">
        <w:t>implement</w:t>
      </w:r>
      <w:r w:rsidR="001D7FEB">
        <w:t xml:space="preserve"> the existing l</w:t>
      </w:r>
      <w:r w:rsidR="00FF2DD8">
        <w:t>egislation</w:t>
      </w:r>
      <w:r w:rsidR="001D7FEB">
        <w:t xml:space="preserve"> is weak </w:t>
      </w:r>
      <w:r w:rsidR="001D7FEB" w:rsidRPr="00E03F84">
        <w:t>(arts.</w:t>
      </w:r>
      <w:r w:rsidR="006537A5">
        <w:t> </w:t>
      </w:r>
      <w:r w:rsidR="001D7FEB" w:rsidRPr="00E03F84">
        <w:t>7, 10 (3) and 13).</w:t>
      </w:r>
    </w:p>
    <w:p w:rsidR="001D7FEB" w:rsidRDefault="001D7FEB" w:rsidP="00CD1BA2">
      <w:pPr>
        <w:pStyle w:val="SingleTxtG"/>
        <w:rPr>
          <w:b/>
          <w:lang w:eastAsia="de-DE"/>
        </w:rPr>
      </w:pPr>
      <w:r w:rsidRPr="00B548CC">
        <w:rPr>
          <w:b/>
        </w:rPr>
        <w:t>The Committee recommends that the State party i</w:t>
      </w:r>
      <w:r w:rsidRPr="00B548CC">
        <w:rPr>
          <w:b/>
          <w:lang w:eastAsia="de-DE"/>
        </w:rPr>
        <w:t xml:space="preserve">ntensify its efforts to combat </w:t>
      </w:r>
      <w:r w:rsidR="00FF2DD8">
        <w:rPr>
          <w:b/>
          <w:lang w:eastAsia="de-DE"/>
        </w:rPr>
        <w:t xml:space="preserve">the </w:t>
      </w:r>
      <w:r w:rsidRPr="00B548CC">
        <w:rPr>
          <w:b/>
          <w:lang w:eastAsia="de-DE"/>
        </w:rPr>
        <w:t>labour exploitation</w:t>
      </w:r>
      <w:r w:rsidR="00FF2DD8">
        <w:rPr>
          <w:b/>
          <w:lang w:eastAsia="de-DE"/>
        </w:rPr>
        <w:t xml:space="preserve"> of </w:t>
      </w:r>
      <w:r w:rsidR="00FF2DD8" w:rsidRPr="00B548CC">
        <w:rPr>
          <w:b/>
          <w:lang w:eastAsia="de-DE"/>
        </w:rPr>
        <w:t>child</w:t>
      </w:r>
      <w:r w:rsidR="00FF2DD8">
        <w:rPr>
          <w:b/>
          <w:lang w:eastAsia="de-DE"/>
        </w:rPr>
        <w:t>ren</w:t>
      </w:r>
      <w:r w:rsidRPr="00B548CC">
        <w:rPr>
          <w:b/>
          <w:lang w:eastAsia="de-DE"/>
        </w:rPr>
        <w:t>, with a particular focus on forced labour</w:t>
      </w:r>
      <w:r>
        <w:rPr>
          <w:b/>
          <w:lang w:eastAsia="de-DE"/>
        </w:rPr>
        <w:t>. The Committee</w:t>
      </w:r>
      <w:r w:rsidR="00C7647C">
        <w:rPr>
          <w:b/>
          <w:lang w:eastAsia="de-DE"/>
        </w:rPr>
        <w:t xml:space="preserve"> also recommends </w:t>
      </w:r>
      <w:r w:rsidR="000469A7">
        <w:rPr>
          <w:b/>
          <w:lang w:eastAsia="de-DE"/>
        </w:rPr>
        <w:t>that the State party</w:t>
      </w:r>
      <w:r w:rsidR="00C7647C">
        <w:rPr>
          <w:b/>
          <w:lang w:eastAsia="de-DE"/>
        </w:rPr>
        <w:t xml:space="preserve"> </w:t>
      </w:r>
      <w:r>
        <w:rPr>
          <w:b/>
          <w:lang w:eastAsia="de-DE"/>
        </w:rPr>
        <w:t>ensure that child labour and the recruitment of children into labour is explicitly prohibited and criminalized</w:t>
      </w:r>
      <w:r w:rsidR="00FF2DD8">
        <w:rPr>
          <w:b/>
          <w:lang w:eastAsia="de-DE"/>
        </w:rPr>
        <w:t>,</w:t>
      </w:r>
      <w:r>
        <w:rPr>
          <w:b/>
          <w:lang w:eastAsia="de-DE"/>
        </w:rPr>
        <w:t xml:space="preserve"> in accordance with international standards</w:t>
      </w:r>
      <w:r w:rsidRPr="00B548CC">
        <w:rPr>
          <w:b/>
          <w:lang w:eastAsia="de-DE"/>
        </w:rPr>
        <w:t xml:space="preserve">. </w:t>
      </w:r>
      <w:r>
        <w:rPr>
          <w:b/>
          <w:lang w:eastAsia="de-DE"/>
        </w:rPr>
        <w:t>Furthermore, the Committee recommends that the State party</w:t>
      </w:r>
      <w:r w:rsidR="00356107">
        <w:rPr>
          <w:b/>
          <w:lang w:eastAsia="de-DE"/>
        </w:rPr>
        <w:t>,</w:t>
      </w:r>
      <w:r>
        <w:rPr>
          <w:b/>
          <w:lang w:eastAsia="de-DE"/>
        </w:rPr>
        <w:t xml:space="preserve"> inter alia</w:t>
      </w:r>
      <w:r w:rsidR="00356107">
        <w:rPr>
          <w:b/>
          <w:lang w:eastAsia="de-DE"/>
        </w:rPr>
        <w:t>,</w:t>
      </w:r>
      <w:r>
        <w:rPr>
          <w:b/>
          <w:lang w:eastAsia="de-DE"/>
        </w:rPr>
        <w:t xml:space="preserve"> </w:t>
      </w:r>
      <w:r w:rsidRPr="00B548CC">
        <w:rPr>
          <w:b/>
          <w:lang w:eastAsia="de-DE"/>
        </w:rPr>
        <w:t xml:space="preserve">increase labour inspections in </w:t>
      </w:r>
      <w:r w:rsidR="00356107">
        <w:rPr>
          <w:b/>
          <w:lang w:eastAsia="de-DE"/>
        </w:rPr>
        <w:t xml:space="preserve">the </w:t>
      </w:r>
      <w:r w:rsidRPr="00B548CC">
        <w:rPr>
          <w:b/>
          <w:lang w:eastAsia="de-DE"/>
        </w:rPr>
        <w:t>agricultur</w:t>
      </w:r>
      <w:r w:rsidR="00356107">
        <w:rPr>
          <w:b/>
          <w:lang w:eastAsia="de-DE"/>
        </w:rPr>
        <w:t>al</w:t>
      </w:r>
      <w:r w:rsidRPr="00B548CC">
        <w:rPr>
          <w:b/>
          <w:lang w:eastAsia="de-DE"/>
        </w:rPr>
        <w:t xml:space="preserve"> and informal sector</w:t>
      </w:r>
      <w:r w:rsidR="00356107">
        <w:rPr>
          <w:b/>
          <w:lang w:eastAsia="de-DE"/>
        </w:rPr>
        <w:t>s</w:t>
      </w:r>
      <w:r w:rsidRPr="00B548CC">
        <w:rPr>
          <w:b/>
          <w:lang w:eastAsia="de-DE"/>
        </w:rPr>
        <w:t>, ensur</w:t>
      </w:r>
      <w:r>
        <w:rPr>
          <w:b/>
          <w:lang w:eastAsia="de-DE"/>
        </w:rPr>
        <w:t>e</w:t>
      </w:r>
      <w:r w:rsidRPr="00B548CC">
        <w:rPr>
          <w:b/>
          <w:lang w:eastAsia="de-DE"/>
        </w:rPr>
        <w:t xml:space="preserve"> that employers are held </w:t>
      </w:r>
      <w:r>
        <w:rPr>
          <w:b/>
          <w:lang w:eastAsia="de-DE"/>
        </w:rPr>
        <w:t>accountable</w:t>
      </w:r>
      <w:r w:rsidRPr="00B548CC">
        <w:rPr>
          <w:b/>
          <w:lang w:eastAsia="de-DE"/>
        </w:rPr>
        <w:t xml:space="preserve"> </w:t>
      </w:r>
      <w:r w:rsidR="00356107">
        <w:rPr>
          <w:b/>
          <w:lang w:eastAsia="de-DE"/>
        </w:rPr>
        <w:t xml:space="preserve">for violations of employment legislation </w:t>
      </w:r>
      <w:r w:rsidRPr="00B548CC">
        <w:rPr>
          <w:b/>
          <w:lang w:eastAsia="de-DE"/>
        </w:rPr>
        <w:t>a</w:t>
      </w:r>
      <w:r w:rsidR="00356107">
        <w:rPr>
          <w:b/>
          <w:lang w:eastAsia="de-DE"/>
        </w:rPr>
        <w:t>nd</w:t>
      </w:r>
      <w:r>
        <w:rPr>
          <w:b/>
          <w:lang w:eastAsia="de-DE"/>
        </w:rPr>
        <w:t xml:space="preserve"> carry out</w:t>
      </w:r>
      <w:r w:rsidRPr="00B548CC">
        <w:rPr>
          <w:b/>
          <w:lang w:eastAsia="de-DE"/>
        </w:rPr>
        <w:t xml:space="preserve"> awareness-raising campaigns to eradicate child labour.</w:t>
      </w:r>
    </w:p>
    <w:p w:rsidR="004B1177" w:rsidRPr="007B338E" w:rsidRDefault="00B548CC">
      <w:pPr>
        <w:pStyle w:val="H23G"/>
      </w:pPr>
      <w:r>
        <w:rPr>
          <w:lang w:val="en-US"/>
        </w:rPr>
        <w:tab/>
      </w:r>
      <w:r>
        <w:rPr>
          <w:lang w:val="en-US"/>
        </w:rPr>
        <w:tab/>
      </w:r>
      <w:r w:rsidR="004B1177" w:rsidRPr="00E03F84">
        <w:rPr>
          <w:lang w:val="en-US"/>
        </w:rPr>
        <w:t>Access to social security</w:t>
      </w:r>
    </w:p>
    <w:p w:rsidR="001D7FEB" w:rsidRDefault="00683BFD" w:rsidP="00683BFD">
      <w:pPr>
        <w:pStyle w:val="SingleTxtG"/>
      </w:pPr>
      <w:r>
        <w:t>15.</w:t>
      </w:r>
      <w:r>
        <w:tab/>
      </w:r>
      <w:r w:rsidR="001D7FEB">
        <w:t xml:space="preserve">The Committee is concerned about the lack of universal social security coverage in the State party. The Committee </w:t>
      </w:r>
      <w:r w:rsidR="00356107">
        <w:t xml:space="preserve">is </w:t>
      </w:r>
      <w:r w:rsidR="001D7FEB">
        <w:t>also concern</w:t>
      </w:r>
      <w:r w:rsidR="00356107">
        <w:t>ed</w:t>
      </w:r>
      <w:r w:rsidR="001D7FEB">
        <w:t xml:space="preserve"> that the amounts of old</w:t>
      </w:r>
      <w:r w:rsidR="00356107">
        <w:t>-</w:t>
      </w:r>
      <w:r w:rsidR="001D7FEB">
        <w:t>age pension</w:t>
      </w:r>
      <w:r w:rsidR="000469A7">
        <w:t>s are particularly low. Furtherm</w:t>
      </w:r>
      <w:r w:rsidR="001D7FEB">
        <w:t>ore, the Committee is concerned that refugees and asylum</w:t>
      </w:r>
      <w:r w:rsidR="00FC6F63">
        <w:t xml:space="preserve"> </w:t>
      </w:r>
      <w:r w:rsidR="001D7FEB">
        <w:t xml:space="preserve">seekers do not have access to adequate social assistance </w:t>
      </w:r>
      <w:r w:rsidR="00356107">
        <w:t>or</w:t>
      </w:r>
      <w:r w:rsidR="001D7FEB">
        <w:t xml:space="preserve"> basic health</w:t>
      </w:r>
      <w:r w:rsidR="00FC6F63">
        <w:t xml:space="preserve"> </w:t>
      </w:r>
      <w:r w:rsidR="001D7FEB">
        <w:t xml:space="preserve">care </w:t>
      </w:r>
      <w:r w:rsidR="001D7FEB" w:rsidRPr="00CE7C3E">
        <w:t>(arts.</w:t>
      </w:r>
      <w:r w:rsidR="006537A5">
        <w:t> </w:t>
      </w:r>
      <w:r w:rsidR="001D7FEB" w:rsidRPr="00CE7C3E">
        <w:t>9 and 11).</w:t>
      </w:r>
    </w:p>
    <w:p w:rsidR="001D7FEB" w:rsidRPr="006721DF" w:rsidRDefault="001D7FEB" w:rsidP="00CD1BA2">
      <w:pPr>
        <w:pStyle w:val="SingleTxtG"/>
        <w:rPr>
          <w:b/>
        </w:rPr>
      </w:pPr>
      <w:r w:rsidRPr="006721DF">
        <w:rPr>
          <w:b/>
        </w:rPr>
        <w:t xml:space="preserve">The Committee </w:t>
      </w:r>
      <w:r>
        <w:rPr>
          <w:b/>
        </w:rPr>
        <w:t>recommends that the State party step up its efforts to establish a social protection floor as an initial step towards a universal comprehensive social security system. In this regard</w:t>
      </w:r>
      <w:r w:rsidR="00860588">
        <w:rPr>
          <w:b/>
        </w:rPr>
        <w:t>,</w:t>
      </w:r>
      <w:r>
        <w:rPr>
          <w:b/>
        </w:rPr>
        <w:t xml:space="preserve"> the Committee draws the atten</w:t>
      </w:r>
      <w:r w:rsidR="00990085">
        <w:rPr>
          <w:b/>
        </w:rPr>
        <w:t>tion of the State party to its g</w:t>
      </w:r>
      <w:r>
        <w:rPr>
          <w:b/>
        </w:rPr>
        <w:t xml:space="preserve">eneral </w:t>
      </w:r>
      <w:r w:rsidR="00990085">
        <w:rPr>
          <w:b/>
        </w:rPr>
        <w:t>c</w:t>
      </w:r>
      <w:r>
        <w:rPr>
          <w:b/>
        </w:rPr>
        <w:t>omment</w:t>
      </w:r>
      <w:r w:rsidR="00D911BB">
        <w:rPr>
          <w:b/>
        </w:rPr>
        <w:t xml:space="preserve"> No. </w:t>
      </w:r>
      <w:r>
        <w:rPr>
          <w:b/>
        </w:rPr>
        <w:t xml:space="preserve">19 </w:t>
      </w:r>
      <w:r w:rsidR="00860588">
        <w:rPr>
          <w:b/>
        </w:rPr>
        <w:t xml:space="preserve">(2007) </w:t>
      </w:r>
      <w:r>
        <w:rPr>
          <w:b/>
        </w:rPr>
        <w:t>on the right to social security</w:t>
      </w:r>
      <w:r w:rsidR="00860588">
        <w:rPr>
          <w:b/>
        </w:rPr>
        <w:t>,</w:t>
      </w:r>
      <w:r>
        <w:rPr>
          <w:b/>
        </w:rPr>
        <w:t xml:space="preserve"> a</w:t>
      </w:r>
      <w:r w:rsidR="00860588">
        <w:rPr>
          <w:b/>
        </w:rPr>
        <w:t>nd</w:t>
      </w:r>
      <w:r>
        <w:rPr>
          <w:b/>
        </w:rPr>
        <w:t xml:space="preserve"> its </w:t>
      </w:r>
      <w:r w:rsidR="00860588">
        <w:rPr>
          <w:b/>
        </w:rPr>
        <w:t xml:space="preserve">2015 </w:t>
      </w:r>
      <w:r>
        <w:rPr>
          <w:b/>
        </w:rPr>
        <w:t xml:space="preserve">statement on </w:t>
      </w:r>
      <w:r w:rsidRPr="00B548CC">
        <w:rPr>
          <w:b/>
        </w:rPr>
        <w:t>social protection floors</w:t>
      </w:r>
      <w:r w:rsidR="007100CD">
        <w:rPr>
          <w:b/>
        </w:rPr>
        <w:t xml:space="preserve"> </w:t>
      </w:r>
      <w:r w:rsidRPr="00B548CC">
        <w:rPr>
          <w:b/>
        </w:rPr>
        <w:t>(E/C.12/</w:t>
      </w:r>
      <w:r w:rsidR="00DE33CB">
        <w:rPr>
          <w:b/>
        </w:rPr>
        <w:t>2015</w:t>
      </w:r>
      <w:r w:rsidRPr="00B548CC">
        <w:rPr>
          <w:b/>
        </w:rPr>
        <w:t>/</w:t>
      </w:r>
      <w:r w:rsidR="00DE33CB">
        <w:rPr>
          <w:b/>
        </w:rPr>
        <w:t>1</w:t>
      </w:r>
      <w:r w:rsidRPr="00B548CC">
        <w:rPr>
          <w:b/>
        </w:rPr>
        <w:t>)</w:t>
      </w:r>
      <w:r w:rsidRPr="008B4B5B">
        <w:rPr>
          <w:b/>
        </w:rPr>
        <w:t xml:space="preserve">. The Committee </w:t>
      </w:r>
      <w:r w:rsidR="00860588">
        <w:rPr>
          <w:b/>
        </w:rPr>
        <w:t>also</w:t>
      </w:r>
      <w:r w:rsidRPr="008B4B5B">
        <w:rPr>
          <w:b/>
        </w:rPr>
        <w:t xml:space="preserve"> recommends that the State party progressively increase the amounts of old</w:t>
      </w:r>
      <w:r w:rsidR="00860588">
        <w:rPr>
          <w:b/>
        </w:rPr>
        <w:t>-</w:t>
      </w:r>
      <w:r w:rsidRPr="008B4B5B">
        <w:rPr>
          <w:b/>
        </w:rPr>
        <w:t>age pensions so as to ensure that pensioners and their families enjoy a decent standard of living.</w:t>
      </w:r>
      <w:r>
        <w:rPr>
          <w:b/>
        </w:rPr>
        <w:t xml:space="preserve"> The Committee further recommends that adequate social assistance and basic health</w:t>
      </w:r>
      <w:r w:rsidR="00FC6F63">
        <w:rPr>
          <w:b/>
        </w:rPr>
        <w:t xml:space="preserve"> </w:t>
      </w:r>
      <w:r>
        <w:rPr>
          <w:b/>
        </w:rPr>
        <w:t>care are extended to refugees and asylum seekers.</w:t>
      </w:r>
    </w:p>
    <w:p w:rsidR="004B1177" w:rsidRPr="00E03F84" w:rsidRDefault="00B548CC" w:rsidP="00B548CC">
      <w:pPr>
        <w:pStyle w:val="H23G"/>
        <w:rPr>
          <w:lang w:val="en-US"/>
        </w:rPr>
      </w:pPr>
      <w:r>
        <w:rPr>
          <w:lang w:val="en-US"/>
        </w:rPr>
        <w:tab/>
      </w:r>
      <w:r>
        <w:rPr>
          <w:lang w:val="en-US"/>
        </w:rPr>
        <w:tab/>
      </w:r>
      <w:r w:rsidR="004B1177" w:rsidRPr="00E03F84">
        <w:rPr>
          <w:lang w:val="en-US"/>
        </w:rPr>
        <w:t>Domestic violence</w:t>
      </w:r>
    </w:p>
    <w:p w:rsidR="004B1177" w:rsidRPr="00CE7C3E" w:rsidRDefault="00683BFD" w:rsidP="00683BFD">
      <w:pPr>
        <w:pStyle w:val="SingleTxtG"/>
      </w:pPr>
      <w:r w:rsidRPr="00CE7C3E">
        <w:t>16.</w:t>
      </w:r>
      <w:r w:rsidRPr="00CE7C3E">
        <w:tab/>
      </w:r>
      <w:r w:rsidR="004B1177" w:rsidRPr="00CE7C3E">
        <w:t xml:space="preserve">The Committee </w:t>
      </w:r>
      <w:r w:rsidR="00064BF4">
        <w:t>is</w:t>
      </w:r>
      <w:r w:rsidR="004B1177" w:rsidRPr="00CE7C3E">
        <w:t xml:space="preserve"> concern</w:t>
      </w:r>
      <w:r w:rsidR="00064BF4">
        <w:t>ed</w:t>
      </w:r>
      <w:r w:rsidR="004B1177" w:rsidRPr="00CE7C3E">
        <w:t xml:space="preserve"> that domestic violence against women and children is prevalent and underreported, frequently leads to life-threatening physical injuries, and includes food deprivation or </w:t>
      </w:r>
      <w:r w:rsidR="009D23C0">
        <w:t xml:space="preserve">being </w:t>
      </w:r>
      <w:r w:rsidR="004B1177" w:rsidRPr="00CE7C3E">
        <w:t>lock</w:t>
      </w:r>
      <w:r w:rsidR="009D23C0">
        <w:t xml:space="preserve">ed </w:t>
      </w:r>
      <w:r w:rsidR="004B1177" w:rsidRPr="00CE7C3E">
        <w:t xml:space="preserve">out in the cold. The Committee is </w:t>
      </w:r>
      <w:r w:rsidR="00064BF4">
        <w:t>also</w:t>
      </w:r>
      <w:r w:rsidR="004B1177" w:rsidRPr="00CE7C3E">
        <w:t xml:space="preserve"> concerned </w:t>
      </w:r>
      <w:r w:rsidR="008B796C">
        <w:t xml:space="preserve">that domestic violence </w:t>
      </w:r>
      <w:r w:rsidR="00064BF4">
        <w:t>that</w:t>
      </w:r>
      <w:r w:rsidR="008B796C">
        <w:t xml:space="preserve"> causes </w:t>
      </w:r>
      <w:r w:rsidR="004B1177" w:rsidRPr="00CE7C3E">
        <w:t>slight physical harm to health or physical or psychological suffering</w:t>
      </w:r>
      <w:r w:rsidR="008B796C">
        <w:t xml:space="preserve"> is addressed under the administrative liability</w:t>
      </w:r>
      <w:r w:rsidR="00064BF4">
        <w:t xml:space="preserve"> code</w:t>
      </w:r>
      <w:r w:rsidR="008B796C">
        <w:t xml:space="preserve">, rather than </w:t>
      </w:r>
      <w:r w:rsidR="00064BF4">
        <w:t xml:space="preserve">being </w:t>
      </w:r>
      <w:r w:rsidR="00AA631A">
        <w:t>subject to</w:t>
      </w:r>
      <w:r w:rsidR="008B796C">
        <w:t xml:space="preserve"> criminal sanctions</w:t>
      </w:r>
      <w:r w:rsidR="00064BF4">
        <w:t>, which would allow for</w:t>
      </w:r>
      <w:r w:rsidR="00AA631A">
        <w:t xml:space="preserve"> reparation to victims. </w:t>
      </w:r>
      <w:r w:rsidR="00064BF4">
        <w:t>T</w:t>
      </w:r>
      <w:r w:rsidR="00AA631A">
        <w:t xml:space="preserve">he Committee is </w:t>
      </w:r>
      <w:r w:rsidR="00064BF4">
        <w:t xml:space="preserve">further </w:t>
      </w:r>
      <w:r w:rsidR="00AA631A">
        <w:t xml:space="preserve">concerned </w:t>
      </w:r>
      <w:r w:rsidR="00064BF4">
        <w:t xml:space="preserve">that </w:t>
      </w:r>
      <w:r w:rsidR="004B1177" w:rsidRPr="00CE7C3E">
        <w:t xml:space="preserve">inaction </w:t>
      </w:r>
      <w:r w:rsidR="00064BF4">
        <w:t>on the part of</w:t>
      </w:r>
      <w:r w:rsidR="004B1177" w:rsidRPr="00CE7C3E">
        <w:t xml:space="preserve"> law enforcement </w:t>
      </w:r>
      <w:r w:rsidR="00064BF4">
        <w:t xml:space="preserve">officials </w:t>
      </w:r>
      <w:r w:rsidR="004B1177" w:rsidRPr="00CE7C3E">
        <w:t xml:space="preserve">and </w:t>
      </w:r>
      <w:r w:rsidR="00064BF4">
        <w:t xml:space="preserve">the </w:t>
      </w:r>
      <w:r w:rsidR="004B1177" w:rsidRPr="00CE7C3E">
        <w:t>courts</w:t>
      </w:r>
      <w:r w:rsidR="00064BF4">
        <w:t xml:space="preserve"> is common in cases of domestic violence</w:t>
      </w:r>
      <w:r w:rsidR="004B1177" w:rsidRPr="00CE7C3E">
        <w:t>, th</w:t>
      </w:r>
      <w:r w:rsidR="00064BF4">
        <w:t>at</w:t>
      </w:r>
      <w:r w:rsidR="004B1177" w:rsidRPr="00CE7C3E">
        <w:t xml:space="preserve"> many cases </w:t>
      </w:r>
      <w:r w:rsidR="00064BF4">
        <w:t xml:space="preserve">are referred </w:t>
      </w:r>
      <w:r w:rsidR="004B1177" w:rsidRPr="00CE7C3E">
        <w:t>to community elders</w:t>
      </w:r>
      <w:r w:rsidR="00064BF4">
        <w:t>’</w:t>
      </w:r>
      <w:r w:rsidR="00584A0F">
        <w:t xml:space="preserve"> </w:t>
      </w:r>
      <w:r w:rsidR="00584A0F" w:rsidRPr="00CE7C3E">
        <w:t>(</w:t>
      </w:r>
      <w:r w:rsidR="00584A0F" w:rsidRPr="00F56235">
        <w:rPr>
          <w:i/>
          <w:iCs/>
        </w:rPr>
        <w:t>aksakals</w:t>
      </w:r>
      <w:r w:rsidR="00584A0F" w:rsidRPr="00CE7C3E">
        <w:t xml:space="preserve">) </w:t>
      </w:r>
      <w:r w:rsidR="004B1177" w:rsidRPr="00CE7C3E">
        <w:t xml:space="preserve"> courts and </w:t>
      </w:r>
      <w:r w:rsidR="00064BF4">
        <w:t xml:space="preserve">that there is a </w:t>
      </w:r>
      <w:r w:rsidR="004B1177" w:rsidRPr="00CE7C3E">
        <w:t>lack of shelters for victims (</w:t>
      </w:r>
      <w:r w:rsidR="00D54F68">
        <w:t>art. </w:t>
      </w:r>
      <w:r w:rsidR="004B1177" w:rsidRPr="00CE7C3E">
        <w:t>10).</w:t>
      </w:r>
    </w:p>
    <w:p w:rsidR="004B1177" w:rsidRPr="00B548CC" w:rsidRDefault="004B1177" w:rsidP="00683BFD">
      <w:pPr>
        <w:pStyle w:val="SingleTxtG"/>
        <w:rPr>
          <w:b/>
        </w:rPr>
      </w:pPr>
      <w:r w:rsidRPr="00B548CC">
        <w:rPr>
          <w:b/>
        </w:rPr>
        <w:t xml:space="preserve">The Committee </w:t>
      </w:r>
      <w:r w:rsidRPr="00683BFD">
        <w:rPr>
          <w:b/>
          <w:bCs/>
        </w:rPr>
        <w:t>recommends</w:t>
      </w:r>
      <w:r w:rsidRPr="00B548CC">
        <w:rPr>
          <w:b/>
        </w:rPr>
        <w:t xml:space="preserve"> that the State party </w:t>
      </w:r>
      <w:r w:rsidR="00DB61B3">
        <w:rPr>
          <w:b/>
        </w:rPr>
        <w:t>m</w:t>
      </w:r>
      <w:r w:rsidRPr="00B548CC">
        <w:rPr>
          <w:b/>
        </w:rPr>
        <w:t xml:space="preserve">ake the necessary legal amendments to ensure </w:t>
      </w:r>
      <w:r w:rsidR="000469A7">
        <w:rPr>
          <w:b/>
        </w:rPr>
        <w:t>that</w:t>
      </w:r>
      <w:r w:rsidRPr="00B548CC">
        <w:rPr>
          <w:b/>
        </w:rPr>
        <w:t xml:space="preserve"> all forms of domestic violence</w:t>
      </w:r>
      <w:r w:rsidR="000469A7">
        <w:rPr>
          <w:b/>
        </w:rPr>
        <w:t xml:space="preserve"> are criminalized</w:t>
      </w:r>
      <w:r w:rsidRPr="00B548CC">
        <w:rPr>
          <w:b/>
        </w:rPr>
        <w:t xml:space="preserve">, that victims have access to </w:t>
      </w:r>
      <w:r w:rsidR="00AA631A">
        <w:rPr>
          <w:b/>
        </w:rPr>
        <w:t>effective remedies</w:t>
      </w:r>
      <w:r w:rsidR="00064BF4">
        <w:rPr>
          <w:b/>
        </w:rPr>
        <w:t>,</w:t>
      </w:r>
      <w:r w:rsidR="00AA631A">
        <w:rPr>
          <w:b/>
        </w:rPr>
        <w:t xml:space="preserve"> </w:t>
      </w:r>
      <w:r w:rsidRPr="00B548CC">
        <w:rPr>
          <w:b/>
        </w:rPr>
        <w:t xml:space="preserve">adequate shelter and support, that judges, prosecutors and law enforcement officials receive mandatory training on </w:t>
      </w:r>
      <w:r w:rsidR="00DB61B3">
        <w:rPr>
          <w:b/>
        </w:rPr>
        <w:t>handl</w:t>
      </w:r>
      <w:r w:rsidRPr="00B548CC">
        <w:rPr>
          <w:b/>
        </w:rPr>
        <w:t xml:space="preserve">ing domestic violence cases, and that these cases are always referred to criminal courts. The Committee also recommends </w:t>
      </w:r>
      <w:r w:rsidR="00064BF4">
        <w:rPr>
          <w:b/>
        </w:rPr>
        <w:t xml:space="preserve">that the State party take steps </w:t>
      </w:r>
      <w:r w:rsidRPr="00B548CC">
        <w:rPr>
          <w:b/>
        </w:rPr>
        <w:t>to</w:t>
      </w:r>
      <w:r w:rsidR="000469A7">
        <w:rPr>
          <w:b/>
        </w:rPr>
        <w:t xml:space="preserve"> </w:t>
      </w:r>
      <w:r w:rsidRPr="00B548CC">
        <w:rPr>
          <w:b/>
        </w:rPr>
        <w:t xml:space="preserve">encourage </w:t>
      </w:r>
      <w:r w:rsidR="00064BF4">
        <w:rPr>
          <w:b/>
        </w:rPr>
        <w:t xml:space="preserve">the </w:t>
      </w:r>
      <w:r w:rsidRPr="00B548CC">
        <w:rPr>
          <w:b/>
        </w:rPr>
        <w:t>reporting of domestic violence</w:t>
      </w:r>
      <w:r w:rsidR="00064BF4">
        <w:rPr>
          <w:b/>
        </w:rPr>
        <w:t>,</w:t>
      </w:r>
      <w:r w:rsidRPr="00B548CC">
        <w:rPr>
          <w:b/>
        </w:rPr>
        <w:t xml:space="preserve"> including by </w:t>
      </w:r>
      <w:r w:rsidR="00064BF4">
        <w:rPr>
          <w:b/>
        </w:rPr>
        <w:t>raising awareness among</w:t>
      </w:r>
      <w:r w:rsidRPr="00B548CC">
        <w:rPr>
          <w:b/>
        </w:rPr>
        <w:t xml:space="preserve"> health</w:t>
      </w:r>
      <w:r w:rsidR="00FC6F63">
        <w:rPr>
          <w:b/>
        </w:rPr>
        <w:t>-</w:t>
      </w:r>
      <w:r w:rsidRPr="00B548CC">
        <w:rPr>
          <w:b/>
        </w:rPr>
        <w:t xml:space="preserve">care providers and other relevant professionals </w:t>
      </w:r>
      <w:r w:rsidR="00064BF4">
        <w:rPr>
          <w:b/>
        </w:rPr>
        <w:t>about</w:t>
      </w:r>
      <w:r w:rsidRPr="00B548CC">
        <w:rPr>
          <w:b/>
        </w:rPr>
        <w:t xml:space="preserve"> domestic violence and </w:t>
      </w:r>
      <w:r w:rsidR="00064BF4">
        <w:rPr>
          <w:b/>
        </w:rPr>
        <w:t xml:space="preserve">ensuring </w:t>
      </w:r>
      <w:r w:rsidRPr="00B548CC">
        <w:rPr>
          <w:b/>
        </w:rPr>
        <w:t xml:space="preserve">that victims are adequately protected against retaliation. </w:t>
      </w:r>
    </w:p>
    <w:p w:rsidR="004B1177" w:rsidRPr="00E03F84" w:rsidRDefault="00B548CC" w:rsidP="00B548CC">
      <w:pPr>
        <w:pStyle w:val="H23G"/>
        <w:rPr>
          <w:lang w:val="en-US"/>
        </w:rPr>
      </w:pPr>
      <w:r>
        <w:rPr>
          <w:lang w:val="en-US"/>
        </w:rPr>
        <w:tab/>
      </w:r>
      <w:r>
        <w:rPr>
          <w:lang w:val="en-US"/>
        </w:rPr>
        <w:tab/>
      </w:r>
      <w:r w:rsidR="004B1177" w:rsidRPr="00E03F84">
        <w:rPr>
          <w:lang w:val="en-US"/>
        </w:rPr>
        <w:t>Bride kidnapping</w:t>
      </w:r>
    </w:p>
    <w:p w:rsidR="004B1177" w:rsidRPr="00CE7C3E" w:rsidRDefault="00683BFD" w:rsidP="00683BFD">
      <w:pPr>
        <w:pStyle w:val="SingleTxtG"/>
      </w:pPr>
      <w:r w:rsidRPr="00CE7C3E">
        <w:t>17.</w:t>
      </w:r>
      <w:r w:rsidRPr="00CE7C3E">
        <w:tab/>
      </w:r>
      <w:r w:rsidR="004B1177" w:rsidRPr="00CE7C3E">
        <w:t xml:space="preserve">The Committee is concerned </w:t>
      </w:r>
      <w:r w:rsidR="00DB61B3">
        <w:t xml:space="preserve">that, </w:t>
      </w:r>
      <w:r w:rsidR="00DB61B3" w:rsidRPr="00CE7C3E">
        <w:t xml:space="preserve">despite its criminalization, </w:t>
      </w:r>
      <w:r w:rsidR="004B1177" w:rsidRPr="00CE7C3E">
        <w:t xml:space="preserve">bride kidnapping </w:t>
      </w:r>
      <w:r w:rsidR="00DB61B3">
        <w:t>is</w:t>
      </w:r>
      <w:r w:rsidR="00DB61B3" w:rsidRPr="00CE7C3E">
        <w:t xml:space="preserve"> prevalen</w:t>
      </w:r>
      <w:r w:rsidR="00DB61B3">
        <w:t xml:space="preserve">t, </w:t>
      </w:r>
      <w:r w:rsidR="004B1177" w:rsidRPr="00CE7C3E">
        <w:t>affect</w:t>
      </w:r>
      <w:r w:rsidR="00DB61B3">
        <w:t>ing</w:t>
      </w:r>
      <w:r w:rsidR="004B1177" w:rsidRPr="00CE7C3E">
        <w:t xml:space="preserve"> both women a</w:t>
      </w:r>
      <w:r w:rsidR="00DB61B3">
        <w:t>nd</w:t>
      </w:r>
      <w:r w:rsidR="004B1177" w:rsidRPr="00CE7C3E">
        <w:t xml:space="preserve"> underage girls, and that kidnapped wom</w:t>
      </w:r>
      <w:r w:rsidR="00DB61B3">
        <w:t>e</w:t>
      </w:r>
      <w:r w:rsidR="004B1177" w:rsidRPr="00CE7C3E">
        <w:t xml:space="preserve">n </w:t>
      </w:r>
      <w:r w:rsidR="00DB61B3">
        <w:t>and</w:t>
      </w:r>
      <w:r w:rsidR="004B1177" w:rsidRPr="00CE7C3E">
        <w:t xml:space="preserve"> girl</w:t>
      </w:r>
      <w:r w:rsidR="00DB61B3">
        <w:t>s</w:t>
      </w:r>
      <w:r w:rsidR="004B1177" w:rsidRPr="00CE7C3E">
        <w:t xml:space="preserve"> </w:t>
      </w:r>
      <w:r w:rsidR="00DB61B3">
        <w:t>are</w:t>
      </w:r>
      <w:r w:rsidR="004B1177" w:rsidRPr="00CE7C3E">
        <w:t xml:space="preserve"> often left with the kidnapper by </w:t>
      </w:r>
      <w:r w:rsidR="00DB61B3">
        <w:t>their</w:t>
      </w:r>
      <w:r w:rsidR="004B1177" w:rsidRPr="00CE7C3E">
        <w:t xml:space="preserve"> famil</w:t>
      </w:r>
      <w:r w:rsidR="00DB61B3">
        <w:t>ies</w:t>
      </w:r>
      <w:r w:rsidR="004B1177" w:rsidRPr="00CE7C3E">
        <w:t xml:space="preserve"> for economic reasons or because </w:t>
      </w:r>
      <w:r w:rsidR="00DB61B3">
        <w:t>the bride</w:t>
      </w:r>
      <w:r w:rsidR="004B1177" w:rsidRPr="00CE7C3E">
        <w:t xml:space="preserve"> is considered to be tainted. Furthermore, the Committee is concerned that upon marriage, the bride is considered to belong to her husband’s family, wh</w:t>
      </w:r>
      <w:r w:rsidR="00DB61B3">
        <w:t>ich</w:t>
      </w:r>
      <w:r w:rsidR="004B1177" w:rsidRPr="00CE7C3E">
        <w:t xml:space="preserve"> has the power to hamper her access to education and employment (</w:t>
      </w:r>
      <w:r w:rsidR="00D54F68">
        <w:t>art. </w:t>
      </w:r>
      <w:r w:rsidR="004B1177" w:rsidRPr="00CE7C3E">
        <w:t>10).</w:t>
      </w:r>
    </w:p>
    <w:p w:rsidR="004B1177" w:rsidRPr="00B548CC" w:rsidRDefault="004B1177" w:rsidP="00CD1BA2">
      <w:pPr>
        <w:pStyle w:val="SingleTxtG"/>
        <w:rPr>
          <w:b/>
        </w:rPr>
      </w:pPr>
      <w:r w:rsidRPr="00B548CC">
        <w:rPr>
          <w:b/>
        </w:rPr>
        <w:t xml:space="preserve">The Committee </w:t>
      </w:r>
      <w:r w:rsidR="0007129F">
        <w:rPr>
          <w:b/>
        </w:rPr>
        <w:t>urges</w:t>
      </w:r>
      <w:r w:rsidR="0007129F" w:rsidRPr="00B548CC">
        <w:rPr>
          <w:b/>
        </w:rPr>
        <w:t xml:space="preserve"> </w:t>
      </w:r>
      <w:r w:rsidRPr="00B548CC">
        <w:rPr>
          <w:b/>
        </w:rPr>
        <w:t xml:space="preserve">the State party </w:t>
      </w:r>
      <w:r w:rsidR="00F57D0F">
        <w:rPr>
          <w:b/>
        </w:rPr>
        <w:t xml:space="preserve">to </w:t>
      </w:r>
      <w:r w:rsidRPr="00B548CC">
        <w:rPr>
          <w:b/>
        </w:rPr>
        <w:t xml:space="preserve">increase </w:t>
      </w:r>
      <w:r w:rsidR="0007129F">
        <w:rPr>
          <w:b/>
        </w:rPr>
        <w:t xml:space="preserve">its efforts to </w:t>
      </w:r>
      <w:r w:rsidRPr="00B548CC">
        <w:rPr>
          <w:b/>
        </w:rPr>
        <w:t>enforce the criminalization of bride kidnapping a</w:t>
      </w:r>
      <w:r w:rsidR="00F57D0F">
        <w:rPr>
          <w:b/>
        </w:rPr>
        <w:t>nd</w:t>
      </w:r>
      <w:r w:rsidRPr="00B548CC">
        <w:rPr>
          <w:b/>
        </w:rPr>
        <w:t xml:space="preserve"> </w:t>
      </w:r>
      <w:r w:rsidR="00F57D0F">
        <w:rPr>
          <w:b/>
        </w:rPr>
        <w:t xml:space="preserve">to </w:t>
      </w:r>
      <w:r w:rsidRPr="00B548CC">
        <w:rPr>
          <w:b/>
        </w:rPr>
        <w:t>carry out awareness-raising campaigns on the illegality of bride kidnapping. The Committee recommends that the State party provide shelters and support for kidnapped girls and women who have been rejected by their families.</w:t>
      </w:r>
    </w:p>
    <w:p w:rsidR="004B1177" w:rsidRPr="00E03F84" w:rsidRDefault="00B548CC" w:rsidP="00B548CC">
      <w:pPr>
        <w:pStyle w:val="H23G"/>
        <w:rPr>
          <w:lang w:val="en-US"/>
        </w:rPr>
      </w:pPr>
      <w:r>
        <w:rPr>
          <w:lang w:val="en-US"/>
        </w:rPr>
        <w:tab/>
      </w:r>
      <w:r>
        <w:rPr>
          <w:lang w:val="en-US"/>
        </w:rPr>
        <w:tab/>
      </w:r>
      <w:r w:rsidR="004B1177" w:rsidRPr="00E03F84">
        <w:rPr>
          <w:lang w:val="en-US"/>
        </w:rPr>
        <w:t xml:space="preserve">Detention </w:t>
      </w:r>
      <w:r w:rsidR="00E803A8">
        <w:rPr>
          <w:lang w:val="en-US"/>
        </w:rPr>
        <w:t>conditions</w:t>
      </w:r>
    </w:p>
    <w:p w:rsidR="004B1177" w:rsidRPr="00CE7C3E" w:rsidRDefault="00683BFD" w:rsidP="00683BFD">
      <w:pPr>
        <w:pStyle w:val="SingleTxtG"/>
      </w:pPr>
      <w:r w:rsidRPr="00CE7C3E">
        <w:t>18.</w:t>
      </w:r>
      <w:r w:rsidRPr="00CE7C3E">
        <w:tab/>
      </w:r>
      <w:r w:rsidR="004B1177" w:rsidRPr="00CE7C3E">
        <w:t>The Committee is concerned about the particularly poor conditions in detention facilities, including overcrowding and insufficient access to food and drinking water. The Committee is also concerned about the lack of assistance provided to former detainees to reintegrate into society (</w:t>
      </w:r>
      <w:r w:rsidR="00D54F68">
        <w:t>art. </w:t>
      </w:r>
      <w:r w:rsidR="004B1177" w:rsidRPr="00CE7C3E">
        <w:t>10).</w:t>
      </w:r>
    </w:p>
    <w:p w:rsidR="004B1177" w:rsidRPr="00B548CC" w:rsidRDefault="004B1177" w:rsidP="00683BFD">
      <w:pPr>
        <w:pStyle w:val="SingleTxtG"/>
        <w:rPr>
          <w:b/>
        </w:rPr>
      </w:pPr>
      <w:r w:rsidRPr="00B548CC">
        <w:rPr>
          <w:b/>
        </w:rPr>
        <w:t xml:space="preserve">The Committee recommends </w:t>
      </w:r>
      <w:r w:rsidR="00E803A8">
        <w:rPr>
          <w:b/>
        </w:rPr>
        <w:t xml:space="preserve">that the State party </w:t>
      </w:r>
      <w:r w:rsidR="00F57D0F">
        <w:rPr>
          <w:b/>
        </w:rPr>
        <w:t>improve</w:t>
      </w:r>
      <w:r w:rsidR="00E803A8">
        <w:rPr>
          <w:b/>
        </w:rPr>
        <w:t xml:space="preserve"> living conditions in prison</w:t>
      </w:r>
      <w:r w:rsidR="00F57D0F">
        <w:rPr>
          <w:b/>
        </w:rPr>
        <w:t>s,</w:t>
      </w:r>
      <w:r w:rsidR="00E803A8">
        <w:rPr>
          <w:b/>
        </w:rPr>
        <w:t xml:space="preserve"> </w:t>
      </w:r>
      <w:r w:rsidR="0071534F">
        <w:rPr>
          <w:b/>
        </w:rPr>
        <w:t xml:space="preserve">including by </w:t>
      </w:r>
      <w:r w:rsidRPr="00B548CC">
        <w:rPr>
          <w:b/>
        </w:rPr>
        <w:t>allocat</w:t>
      </w:r>
      <w:r w:rsidR="0071534F">
        <w:rPr>
          <w:b/>
        </w:rPr>
        <w:t>ing</w:t>
      </w:r>
      <w:r w:rsidRPr="00B548CC">
        <w:rPr>
          <w:b/>
        </w:rPr>
        <w:t xml:space="preserve"> the necessary funds to ensure </w:t>
      </w:r>
      <w:r w:rsidR="00F57D0F">
        <w:rPr>
          <w:b/>
        </w:rPr>
        <w:t xml:space="preserve">that detainees receive </w:t>
      </w:r>
      <w:r w:rsidRPr="00B548CC">
        <w:rPr>
          <w:b/>
        </w:rPr>
        <w:t>sufficient food and safe drinking water. T</w:t>
      </w:r>
      <w:r w:rsidR="00875B28">
        <w:rPr>
          <w:b/>
        </w:rPr>
        <w:t xml:space="preserve">he Committee also recommends </w:t>
      </w:r>
      <w:r w:rsidR="000469A7">
        <w:rPr>
          <w:b/>
        </w:rPr>
        <w:t xml:space="preserve">that the State party </w:t>
      </w:r>
      <w:r w:rsidRPr="00B548CC">
        <w:rPr>
          <w:b/>
        </w:rPr>
        <w:t xml:space="preserve">set up a specialized system for </w:t>
      </w:r>
      <w:r w:rsidR="00DB423F">
        <w:rPr>
          <w:b/>
        </w:rPr>
        <w:t xml:space="preserve">the </w:t>
      </w:r>
      <w:r w:rsidR="00DB423F" w:rsidRPr="00B548CC">
        <w:rPr>
          <w:b/>
        </w:rPr>
        <w:t>reintegration</w:t>
      </w:r>
      <w:r w:rsidR="00DB423F">
        <w:rPr>
          <w:b/>
        </w:rPr>
        <w:t xml:space="preserve"> of </w:t>
      </w:r>
      <w:r w:rsidRPr="00B548CC">
        <w:rPr>
          <w:b/>
        </w:rPr>
        <w:t xml:space="preserve">former detainees </w:t>
      </w:r>
      <w:r w:rsidR="00DB423F">
        <w:rPr>
          <w:b/>
        </w:rPr>
        <w:t>that</w:t>
      </w:r>
      <w:r w:rsidRPr="00B548CC">
        <w:rPr>
          <w:b/>
        </w:rPr>
        <w:t xml:space="preserve"> provides them with assistance, including vocational training, to reintegrate into the labour </w:t>
      </w:r>
      <w:r w:rsidR="00DB423F">
        <w:rPr>
          <w:b/>
        </w:rPr>
        <w:t>market</w:t>
      </w:r>
      <w:r w:rsidRPr="00B548CC">
        <w:rPr>
          <w:b/>
        </w:rPr>
        <w:t>.</w:t>
      </w:r>
    </w:p>
    <w:p w:rsidR="004B1177" w:rsidRPr="00E03F84" w:rsidRDefault="00B548CC" w:rsidP="00B548CC">
      <w:pPr>
        <w:pStyle w:val="H23G"/>
        <w:rPr>
          <w:szCs w:val="24"/>
          <w:lang w:val="en-US"/>
        </w:rPr>
      </w:pPr>
      <w:r>
        <w:tab/>
      </w:r>
      <w:r>
        <w:tab/>
      </w:r>
      <w:r w:rsidR="004B1177" w:rsidRPr="00E03F84">
        <w:t xml:space="preserve">Homelessness and the right to adequate housing </w:t>
      </w:r>
    </w:p>
    <w:p w:rsidR="004B1177" w:rsidRPr="00CE7C3E" w:rsidRDefault="00683BFD" w:rsidP="00683BFD">
      <w:pPr>
        <w:pStyle w:val="SingleTxtG"/>
      </w:pPr>
      <w:r w:rsidRPr="00CE7C3E">
        <w:t>19.</w:t>
      </w:r>
      <w:r w:rsidRPr="00CE7C3E">
        <w:tab/>
      </w:r>
      <w:r w:rsidR="004B1177" w:rsidRPr="00CE7C3E">
        <w:t>The Committee is concerned about the high number of homeless pe</w:t>
      </w:r>
      <w:r w:rsidR="00DB423F">
        <w:t>ople</w:t>
      </w:r>
      <w:r w:rsidR="004B1177" w:rsidRPr="00CE7C3E">
        <w:t xml:space="preserve"> in the State party and the lack of a comprehensive housing policy </w:t>
      </w:r>
      <w:r w:rsidR="00DB423F">
        <w:t>that</w:t>
      </w:r>
      <w:r w:rsidR="004B1177" w:rsidRPr="00CE7C3E">
        <w:t xml:space="preserve"> adequately </w:t>
      </w:r>
      <w:r w:rsidR="00DB423F">
        <w:t>responds</w:t>
      </w:r>
      <w:r w:rsidR="004B1177" w:rsidRPr="00CE7C3E">
        <w:t xml:space="preserve"> </w:t>
      </w:r>
      <w:r w:rsidR="00DB423F">
        <w:t>t</w:t>
      </w:r>
      <w:r w:rsidR="004B1177" w:rsidRPr="00CE7C3E">
        <w:t xml:space="preserve">o the housing needs of all </w:t>
      </w:r>
      <w:r w:rsidR="00DB423F">
        <w:t>the State party’s</w:t>
      </w:r>
      <w:r w:rsidR="004B1177" w:rsidRPr="00CE7C3E">
        <w:t xml:space="preserve"> residents</w:t>
      </w:r>
      <w:r w:rsidR="00DB423F">
        <w:t>. Of particular concern are</w:t>
      </w:r>
      <w:r w:rsidR="004B1177" w:rsidRPr="00CE7C3E">
        <w:t xml:space="preserve"> disadvantaged and marginalized individuals and groups who </w:t>
      </w:r>
      <w:r w:rsidR="00DB423F">
        <w:t>f</w:t>
      </w:r>
      <w:r w:rsidR="004B1177" w:rsidRPr="00CE7C3E">
        <w:t>a</w:t>
      </w:r>
      <w:r w:rsidR="00DB423F">
        <w:t>c</w:t>
      </w:r>
      <w:r w:rsidR="004B1177" w:rsidRPr="00CE7C3E">
        <w:t xml:space="preserve">e </w:t>
      </w:r>
      <w:r w:rsidR="00DB423F">
        <w:t>an acute</w:t>
      </w:r>
      <w:r w:rsidR="004B1177" w:rsidRPr="00CE7C3E">
        <w:t xml:space="preserve"> risk of homelessness, </w:t>
      </w:r>
      <w:r w:rsidR="00DB423F">
        <w:t>especially</w:t>
      </w:r>
      <w:r w:rsidR="0071534F" w:rsidRPr="00CE7C3E">
        <w:t xml:space="preserve"> </w:t>
      </w:r>
      <w:r w:rsidR="004B1177" w:rsidRPr="00CE7C3E">
        <w:t xml:space="preserve">persons living in poverty, women single heads of households, persons with disabilities, migrants, children </w:t>
      </w:r>
      <w:r w:rsidR="00C623AC">
        <w:t xml:space="preserve">who are </w:t>
      </w:r>
      <w:r w:rsidR="004B1177" w:rsidRPr="00CE7C3E">
        <w:t xml:space="preserve">leaving institutions </w:t>
      </w:r>
      <w:r w:rsidR="00C623AC">
        <w:t>and</w:t>
      </w:r>
      <w:r w:rsidR="004B1177" w:rsidRPr="00CE7C3E">
        <w:t xml:space="preserve"> former detainees.</w:t>
      </w:r>
      <w:r w:rsidR="00754A1C">
        <w:t xml:space="preserve"> </w:t>
      </w:r>
      <w:r w:rsidR="00C623AC">
        <w:t>The Committee</w:t>
      </w:r>
      <w:r w:rsidR="004B1177" w:rsidRPr="00CE7C3E">
        <w:t xml:space="preserve"> is also concerned about the lack of social housing units for low</w:t>
      </w:r>
      <w:r w:rsidR="00C623AC">
        <w:t>-</w:t>
      </w:r>
      <w:r w:rsidR="004B1177" w:rsidRPr="00CE7C3E">
        <w:t>income and marginalized and disadvantaged</w:t>
      </w:r>
      <w:r w:rsidR="0061743C">
        <w:t xml:space="preserve"> individuals and</w:t>
      </w:r>
      <w:r w:rsidR="004B1177" w:rsidRPr="00CE7C3E">
        <w:t xml:space="preserve"> groups. The Committee furthermore notes with concern:</w:t>
      </w:r>
    </w:p>
    <w:p w:rsidR="004B1177" w:rsidRPr="00B548CC" w:rsidRDefault="00683BFD" w:rsidP="00683BFD">
      <w:pPr>
        <w:pStyle w:val="SingleTxtG"/>
        <w:widowControl w:val="0"/>
        <w:ind w:firstLine="567"/>
      </w:pPr>
      <w:r w:rsidRPr="00B548CC">
        <w:t>(a)</w:t>
      </w:r>
      <w:r w:rsidRPr="00B548CC">
        <w:tab/>
      </w:r>
      <w:r w:rsidR="002C2FF9">
        <w:t>The s</w:t>
      </w:r>
      <w:r w:rsidR="004B1177" w:rsidRPr="00B548CC">
        <w:t xml:space="preserve">ignificant number of persons, particular internal migrants, living in </w:t>
      </w:r>
      <w:r w:rsidR="00C623AC" w:rsidRPr="00B548CC">
        <w:t xml:space="preserve">both </w:t>
      </w:r>
      <w:r w:rsidR="004B1177" w:rsidRPr="00B548CC">
        <w:t>formal and informal settlements, who lack access to safe drinking water and sanitation, electricity or garbage disposal and who are vulnerable to forced evictions;</w:t>
      </w:r>
    </w:p>
    <w:p w:rsidR="004B1177" w:rsidRPr="00B548CC" w:rsidRDefault="00683BFD" w:rsidP="00683BFD">
      <w:pPr>
        <w:pStyle w:val="SingleTxtG"/>
        <w:widowControl w:val="0"/>
        <w:ind w:firstLine="567"/>
      </w:pPr>
      <w:r w:rsidRPr="00B548CC">
        <w:t>(b)</w:t>
      </w:r>
      <w:r w:rsidRPr="00B548CC">
        <w:tab/>
      </w:r>
      <w:r w:rsidR="002C2FF9">
        <w:t>The l</w:t>
      </w:r>
      <w:r w:rsidR="004B1177" w:rsidRPr="00B548CC">
        <w:t>ack of adequate consultation and compensation in case</w:t>
      </w:r>
      <w:r w:rsidR="00C623AC">
        <w:t>s</w:t>
      </w:r>
      <w:r w:rsidR="004B1177" w:rsidRPr="00B548CC">
        <w:t xml:space="preserve"> of forced evictions (</w:t>
      </w:r>
      <w:r w:rsidR="00D54F68">
        <w:t>art. </w:t>
      </w:r>
      <w:r w:rsidR="004B1177" w:rsidRPr="00B548CC">
        <w:t>11)</w:t>
      </w:r>
      <w:r w:rsidR="0067425B">
        <w:t>.</w:t>
      </w:r>
    </w:p>
    <w:p w:rsidR="004B1177" w:rsidRPr="00B548CC" w:rsidRDefault="004B1177" w:rsidP="00683BFD">
      <w:pPr>
        <w:pStyle w:val="SingleTxtG"/>
        <w:rPr>
          <w:b/>
          <w:lang w:val="en-US" w:eastAsia="de-DE"/>
        </w:rPr>
      </w:pPr>
      <w:r w:rsidRPr="00B548CC">
        <w:rPr>
          <w:b/>
          <w:bCs/>
          <w:lang w:val="en-US"/>
        </w:rPr>
        <w:t xml:space="preserve">The Committee recommends </w:t>
      </w:r>
      <w:r w:rsidRPr="00683BFD">
        <w:t>that</w:t>
      </w:r>
      <w:r w:rsidRPr="00B548CC">
        <w:rPr>
          <w:b/>
          <w:bCs/>
          <w:lang w:val="en-US"/>
        </w:rPr>
        <w:t xml:space="preserve"> the State party i</w:t>
      </w:r>
      <w:r w:rsidRPr="00B548CC">
        <w:rPr>
          <w:b/>
          <w:lang w:val="en-US" w:eastAsia="de-DE"/>
        </w:rPr>
        <w:t xml:space="preserve">mplement a national strategy for </w:t>
      </w:r>
      <w:r w:rsidR="00C623AC">
        <w:rPr>
          <w:b/>
          <w:lang w:val="en-US" w:eastAsia="de-DE"/>
        </w:rPr>
        <w:t xml:space="preserve">the </w:t>
      </w:r>
      <w:r w:rsidRPr="00B548CC">
        <w:rPr>
          <w:b/>
          <w:lang w:val="en-US" w:eastAsia="de-DE"/>
        </w:rPr>
        <w:t xml:space="preserve">reduction of homelessness that includes measurable goals and timetables. The Committee also recommends that the State party: </w:t>
      </w:r>
    </w:p>
    <w:p w:rsidR="004B1177" w:rsidRPr="008D63DC" w:rsidRDefault="00683BFD" w:rsidP="00683BFD">
      <w:pPr>
        <w:pStyle w:val="SingleTxtG"/>
        <w:ind w:firstLine="567"/>
        <w:rPr>
          <w:b/>
        </w:rPr>
      </w:pPr>
      <w:r w:rsidRPr="008D63DC">
        <w:rPr>
          <w:bCs/>
        </w:rPr>
        <w:t>(a)</w:t>
      </w:r>
      <w:r w:rsidRPr="008D63DC">
        <w:rPr>
          <w:bCs/>
        </w:rPr>
        <w:tab/>
      </w:r>
      <w:r w:rsidR="004B1177" w:rsidRPr="008D63DC">
        <w:rPr>
          <w:b/>
        </w:rPr>
        <w:t>Ensure that</w:t>
      </w:r>
      <w:r w:rsidR="00C623AC">
        <w:rPr>
          <w:b/>
        </w:rPr>
        <w:t>,</w:t>
      </w:r>
      <w:r w:rsidR="004B1177" w:rsidRPr="008D63DC">
        <w:rPr>
          <w:b/>
        </w:rPr>
        <w:t xml:space="preserve"> in cases </w:t>
      </w:r>
      <w:r w:rsidR="00C623AC">
        <w:rPr>
          <w:b/>
        </w:rPr>
        <w:t xml:space="preserve">in </w:t>
      </w:r>
      <w:r w:rsidR="004B1177" w:rsidRPr="008D63DC">
        <w:rPr>
          <w:b/>
        </w:rPr>
        <w:t>wh</w:t>
      </w:r>
      <w:r w:rsidR="00C623AC">
        <w:rPr>
          <w:b/>
        </w:rPr>
        <w:t>ich</w:t>
      </w:r>
      <w:r w:rsidR="004B1177" w:rsidRPr="008D63DC">
        <w:rPr>
          <w:b/>
        </w:rPr>
        <w:t xml:space="preserve"> eviction or relocation is considered to be justified, it is carried out in strict compliance with the relevant provisions of international human rights law;</w:t>
      </w:r>
    </w:p>
    <w:p w:rsidR="004B1177" w:rsidRPr="008D63DC" w:rsidRDefault="00683BFD" w:rsidP="00683BFD">
      <w:pPr>
        <w:pStyle w:val="SingleTxtG"/>
        <w:ind w:firstLine="567"/>
        <w:rPr>
          <w:b/>
        </w:rPr>
      </w:pPr>
      <w:r w:rsidRPr="008D63DC">
        <w:rPr>
          <w:bCs/>
        </w:rPr>
        <w:t>(b)</w:t>
      </w:r>
      <w:r w:rsidRPr="008D63DC">
        <w:rPr>
          <w:bCs/>
        </w:rPr>
        <w:tab/>
      </w:r>
      <w:r w:rsidR="004B1177" w:rsidRPr="008D63DC">
        <w:rPr>
          <w:b/>
        </w:rPr>
        <w:t xml:space="preserve">Invest more resources for the improvement of basic infrastructure and ensure access </w:t>
      </w:r>
      <w:r w:rsidR="00C623AC">
        <w:rPr>
          <w:b/>
        </w:rPr>
        <w:t>for</w:t>
      </w:r>
      <w:r w:rsidR="004B1177" w:rsidRPr="008D63DC">
        <w:rPr>
          <w:b/>
        </w:rPr>
        <w:t xml:space="preserve"> everyone to safe drinking water and sanitation, electricity, gas, heating and sewage and garbage disposal.</w:t>
      </w:r>
    </w:p>
    <w:p w:rsidR="004B1177" w:rsidRPr="00B548CC" w:rsidRDefault="004B1177" w:rsidP="00C623AC">
      <w:pPr>
        <w:pStyle w:val="SingleTxtG"/>
        <w:rPr>
          <w:b/>
        </w:rPr>
      </w:pPr>
      <w:r w:rsidRPr="00B548CC">
        <w:rPr>
          <w:b/>
        </w:rPr>
        <w:t>In this regard, the Committee draws the attention of the State party to its general comment</w:t>
      </w:r>
      <w:r w:rsidR="00C623AC">
        <w:rPr>
          <w:b/>
        </w:rPr>
        <w:t>s</w:t>
      </w:r>
      <w:r w:rsidR="00D911BB">
        <w:rPr>
          <w:b/>
        </w:rPr>
        <w:t xml:space="preserve"> No. </w:t>
      </w:r>
      <w:r w:rsidRPr="00B548CC">
        <w:rPr>
          <w:b/>
        </w:rPr>
        <w:t xml:space="preserve">4 (1991) on the right to adequate housing and </w:t>
      </w:r>
      <w:r w:rsidR="00D911BB">
        <w:rPr>
          <w:b/>
        </w:rPr>
        <w:t>No. </w:t>
      </w:r>
      <w:r w:rsidRPr="00B548CC">
        <w:rPr>
          <w:b/>
        </w:rPr>
        <w:t xml:space="preserve">7 (1997) </w:t>
      </w:r>
      <w:r w:rsidR="00DE4CE7">
        <w:rPr>
          <w:b/>
        </w:rPr>
        <w:t xml:space="preserve">on the right to adequate </w:t>
      </w:r>
      <w:r w:rsidR="00DE4CE7" w:rsidRPr="009C22A2">
        <w:rPr>
          <w:b/>
        </w:rPr>
        <w:t>housing (</w:t>
      </w:r>
      <w:r w:rsidR="00D54F68">
        <w:rPr>
          <w:b/>
        </w:rPr>
        <w:t>art. </w:t>
      </w:r>
      <w:r w:rsidR="00DE4CE7" w:rsidRPr="009C22A2">
        <w:rPr>
          <w:b/>
        </w:rPr>
        <w:t>11</w:t>
      </w:r>
      <w:r w:rsidR="00F85BA7">
        <w:rPr>
          <w:b/>
        </w:rPr>
        <w:t xml:space="preserve"> (</w:t>
      </w:r>
      <w:r w:rsidR="00DE4CE7" w:rsidRPr="009C22A2">
        <w:rPr>
          <w:b/>
        </w:rPr>
        <w:t>1</w:t>
      </w:r>
      <w:r w:rsidR="00F85BA7">
        <w:rPr>
          <w:b/>
        </w:rPr>
        <w:t>)</w:t>
      </w:r>
      <w:r w:rsidR="00DE4CE7" w:rsidRPr="009C22A2">
        <w:rPr>
          <w:b/>
        </w:rPr>
        <w:t xml:space="preserve"> of the Covenant): </w:t>
      </w:r>
      <w:r w:rsidR="00860588">
        <w:rPr>
          <w:b/>
        </w:rPr>
        <w:t>F</w:t>
      </w:r>
      <w:r w:rsidR="00DE4CE7" w:rsidRPr="009C22A2">
        <w:rPr>
          <w:b/>
        </w:rPr>
        <w:t>orced</w:t>
      </w:r>
      <w:r w:rsidR="00DE4CE7" w:rsidRPr="00B548CC">
        <w:rPr>
          <w:b/>
        </w:rPr>
        <w:t xml:space="preserve"> evictions.</w:t>
      </w:r>
    </w:p>
    <w:p w:rsidR="004B1177" w:rsidRPr="00E03F84" w:rsidRDefault="00B548CC" w:rsidP="00B548CC">
      <w:pPr>
        <w:pStyle w:val="H23G"/>
        <w:rPr>
          <w:lang w:val="en-US"/>
        </w:rPr>
      </w:pPr>
      <w:r>
        <w:rPr>
          <w:lang w:val="en-US"/>
        </w:rPr>
        <w:tab/>
      </w:r>
      <w:r>
        <w:rPr>
          <w:lang w:val="en-US"/>
        </w:rPr>
        <w:tab/>
      </w:r>
      <w:r w:rsidR="004B1177" w:rsidRPr="00E03F84">
        <w:rPr>
          <w:lang w:val="en-US"/>
        </w:rPr>
        <w:t>Poverty</w:t>
      </w:r>
    </w:p>
    <w:p w:rsidR="004B1177" w:rsidRPr="00CE7C3E" w:rsidRDefault="00683BFD" w:rsidP="00683BFD">
      <w:pPr>
        <w:pStyle w:val="SingleTxtG"/>
      </w:pPr>
      <w:r w:rsidRPr="00CE7C3E">
        <w:t>20.</w:t>
      </w:r>
      <w:r w:rsidRPr="00CE7C3E">
        <w:tab/>
      </w:r>
      <w:r w:rsidR="004B1177" w:rsidRPr="00CE7C3E">
        <w:t xml:space="preserve">The Committee is concerned </w:t>
      </w:r>
      <w:r w:rsidR="00C623AC">
        <w:t>that poverty is</w:t>
      </w:r>
      <w:r w:rsidR="004B1177" w:rsidRPr="00CE7C3E">
        <w:t xml:space="preserve"> widespread and increasing </w:t>
      </w:r>
      <w:r w:rsidR="00C623AC">
        <w:t>in the State party</w:t>
      </w:r>
      <w:r w:rsidR="004B1177" w:rsidRPr="00CE7C3E">
        <w:t>, affecting nearly 40</w:t>
      </w:r>
      <w:r w:rsidR="00F85BA7">
        <w:t xml:space="preserve"> per cent</w:t>
      </w:r>
      <w:r w:rsidR="004B1177" w:rsidRPr="00CE7C3E">
        <w:t xml:space="preserve"> of the population, including a</w:t>
      </w:r>
      <w:r w:rsidR="00C623AC">
        <w:t xml:space="preserve"> growing</w:t>
      </w:r>
      <w:r w:rsidR="004B1177" w:rsidRPr="00CE7C3E">
        <w:t xml:space="preserve"> number of women and children. </w:t>
      </w:r>
      <w:r w:rsidR="00C623AC">
        <w:t>T</w:t>
      </w:r>
      <w:r w:rsidR="004B1177" w:rsidRPr="00CE7C3E">
        <w:t xml:space="preserve">he Committee </w:t>
      </w:r>
      <w:r w:rsidR="00C623AC">
        <w:t>is also</w:t>
      </w:r>
      <w:r w:rsidR="004B1177" w:rsidRPr="00CE7C3E">
        <w:t xml:space="preserve"> concern</w:t>
      </w:r>
      <w:r w:rsidR="00C623AC">
        <w:t>ed</w:t>
      </w:r>
      <w:r w:rsidR="004B1177" w:rsidRPr="00CE7C3E">
        <w:t xml:space="preserve"> that families place their children, including many children with disabilities, in childcare institutions and boarding schools o</w:t>
      </w:r>
      <w:r w:rsidR="00176A5F">
        <w:t>wing to</w:t>
      </w:r>
      <w:r w:rsidR="004B1177" w:rsidRPr="00CE7C3E">
        <w:t xml:space="preserve"> economic hardship, and that the living conditions in </w:t>
      </w:r>
      <w:r w:rsidR="00176A5F">
        <w:t>those</w:t>
      </w:r>
      <w:r w:rsidR="004B1177" w:rsidRPr="00CE7C3E">
        <w:t xml:space="preserve"> institutions are poor, particularly with regard to nutrition and access to adequate health care (arts.</w:t>
      </w:r>
      <w:r w:rsidR="006537A5">
        <w:t> </w:t>
      </w:r>
      <w:r w:rsidR="004B1177" w:rsidRPr="00CE7C3E">
        <w:t>10 and 11).</w:t>
      </w:r>
    </w:p>
    <w:p w:rsidR="004B1177" w:rsidRPr="00B548CC" w:rsidRDefault="004B1177" w:rsidP="00CD1BA2">
      <w:pPr>
        <w:pStyle w:val="SingleTxtG"/>
        <w:rPr>
          <w:b/>
        </w:rPr>
      </w:pPr>
      <w:r w:rsidRPr="00B548CC">
        <w:rPr>
          <w:b/>
        </w:rPr>
        <w:t xml:space="preserve">The Committee recommends that the State party implement a poverty reduction strategy that integrates economic, social and cultural rights, in line with the </w:t>
      </w:r>
      <w:r w:rsidRPr="007100CD">
        <w:rPr>
          <w:b/>
        </w:rPr>
        <w:t xml:space="preserve">Committee’s </w:t>
      </w:r>
      <w:r w:rsidR="00F85BA7" w:rsidRPr="007100CD">
        <w:rPr>
          <w:b/>
        </w:rPr>
        <w:t>s</w:t>
      </w:r>
      <w:r w:rsidRPr="007100CD">
        <w:rPr>
          <w:b/>
        </w:rPr>
        <w:t xml:space="preserve">tatement on </w:t>
      </w:r>
      <w:r w:rsidR="00F85BA7" w:rsidRPr="007100CD">
        <w:rPr>
          <w:b/>
        </w:rPr>
        <w:t>p</w:t>
      </w:r>
      <w:r w:rsidRPr="007100CD">
        <w:rPr>
          <w:b/>
        </w:rPr>
        <w:t>overty adopted on 4 May 2001 (</w:t>
      </w:r>
      <w:r w:rsidR="00F85BA7" w:rsidRPr="007100CD">
        <w:rPr>
          <w:b/>
        </w:rPr>
        <w:t xml:space="preserve">see </w:t>
      </w:r>
      <w:r w:rsidRPr="007100CD">
        <w:rPr>
          <w:b/>
        </w:rPr>
        <w:t>E/2002/22</w:t>
      </w:r>
      <w:r w:rsidRPr="007100CD">
        <w:rPr>
          <w:b/>
        </w:rPr>
        <w:noBreakHyphen/>
      </w:r>
      <w:r w:rsidR="006537A5" w:rsidRPr="007100CD">
        <w:rPr>
          <w:b/>
        </w:rPr>
        <w:br/>
      </w:r>
      <w:r w:rsidRPr="007100CD">
        <w:rPr>
          <w:b/>
        </w:rPr>
        <w:t xml:space="preserve">E/C.12/2001/17, </w:t>
      </w:r>
      <w:r w:rsidR="00F85BA7" w:rsidRPr="007100CD">
        <w:rPr>
          <w:b/>
        </w:rPr>
        <w:t>a</w:t>
      </w:r>
      <w:r w:rsidRPr="007100CD">
        <w:rPr>
          <w:b/>
        </w:rPr>
        <w:t>nnex VII),</w:t>
      </w:r>
      <w:r w:rsidRPr="00B548CC">
        <w:rPr>
          <w:b/>
        </w:rPr>
        <w:t xml:space="preserve"> </w:t>
      </w:r>
      <w:r w:rsidR="00861FA6">
        <w:rPr>
          <w:b/>
        </w:rPr>
        <w:t>pay</w:t>
      </w:r>
      <w:r w:rsidR="003C02D4">
        <w:rPr>
          <w:b/>
        </w:rPr>
        <w:t>ing</w:t>
      </w:r>
      <w:r w:rsidR="003C02D4" w:rsidRPr="00B548CC">
        <w:rPr>
          <w:b/>
        </w:rPr>
        <w:t xml:space="preserve"> </w:t>
      </w:r>
      <w:r w:rsidRPr="00B548CC">
        <w:rPr>
          <w:b/>
        </w:rPr>
        <w:t xml:space="preserve">particular attention </w:t>
      </w:r>
      <w:r w:rsidR="00754904">
        <w:rPr>
          <w:b/>
        </w:rPr>
        <w:t>to</w:t>
      </w:r>
      <w:r w:rsidR="00754904" w:rsidRPr="00B548CC">
        <w:rPr>
          <w:b/>
        </w:rPr>
        <w:t xml:space="preserve"> </w:t>
      </w:r>
      <w:r w:rsidRPr="00B548CC">
        <w:rPr>
          <w:b/>
        </w:rPr>
        <w:t xml:space="preserve">disadvantaged and marginalized </w:t>
      </w:r>
      <w:r w:rsidR="008B4D7A">
        <w:rPr>
          <w:b/>
        </w:rPr>
        <w:t xml:space="preserve">individuals and </w:t>
      </w:r>
      <w:r w:rsidRPr="00B548CC">
        <w:rPr>
          <w:b/>
        </w:rPr>
        <w:t xml:space="preserve">groups and </w:t>
      </w:r>
      <w:r w:rsidR="00754904">
        <w:rPr>
          <w:b/>
        </w:rPr>
        <w:t>to</w:t>
      </w:r>
      <w:r w:rsidR="00754904" w:rsidRPr="00B548CC">
        <w:rPr>
          <w:b/>
        </w:rPr>
        <w:t xml:space="preserve"> </w:t>
      </w:r>
      <w:r w:rsidRPr="00B548CC">
        <w:rPr>
          <w:b/>
        </w:rPr>
        <w:t xml:space="preserve">women, as well as </w:t>
      </w:r>
      <w:r w:rsidR="00754904">
        <w:rPr>
          <w:b/>
        </w:rPr>
        <w:t>to</w:t>
      </w:r>
      <w:r w:rsidR="00754904" w:rsidRPr="00B548CC">
        <w:rPr>
          <w:b/>
        </w:rPr>
        <w:t xml:space="preserve"> </w:t>
      </w:r>
      <w:r w:rsidRPr="00B548CC">
        <w:rPr>
          <w:b/>
        </w:rPr>
        <w:t xml:space="preserve">regions </w:t>
      </w:r>
      <w:r w:rsidR="00861FA6">
        <w:rPr>
          <w:b/>
        </w:rPr>
        <w:t>that</w:t>
      </w:r>
      <w:r w:rsidRPr="00B548CC">
        <w:rPr>
          <w:b/>
        </w:rPr>
        <w:t xml:space="preserve"> are particularly affected by poverty. Furthermore, the Committee recommends </w:t>
      </w:r>
      <w:r w:rsidR="00754904">
        <w:rPr>
          <w:b/>
        </w:rPr>
        <w:t>that the State party</w:t>
      </w:r>
      <w:r w:rsidR="00754904" w:rsidRPr="00B548CC">
        <w:rPr>
          <w:b/>
        </w:rPr>
        <w:t xml:space="preserve"> </w:t>
      </w:r>
      <w:r w:rsidRPr="00B548CC">
        <w:rPr>
          <w:b/>
        </w:rPr>
        <w:t xml:space="preserve">provide adequate child benefits for families living in poverty, and ensure that </w:t>
      </w:r>
      <w:r w:rsidR="00861FA6">
        <w:rPr>
          <w:b/>
        </w:rPr>
        <w:t xml:space="preserve">families do not place their children in institutions owing to </w:t>
      </w:r>
      <w:r w:rsidRPr="00B548CC">
        <w:rPr>
          <w:b/>
        </w:rPr>
        <w:t xml:space="preserve">insufficient economic </w:t>
      </w:r>
      <w:r w:rsidR="00861FA6">
        <w:rPr>
          <w:b/>
        </w:rPr>
        <w:t>resources</w:t>
      </w:r>
      <w:r w:rsidRPr="00B548CC">
        <w:rPr>
          <w:b/>
        </w:rPr>
        <w:t>.</w:t>
      </w:r>
    </w:p>
    <w:p w:rsidR="004B1177" w:rsidRPr="00E03F84" w:rsidRDefault="00B548CC" w:rsidP="00B548CC">
      <w:pPr>
        <w:pStyle w:val="H23G"/>
        <w:rPr>
          <w:lang w:val="en-US" w:eastAsia="de-DE"/>
        </w:rPr>
      </w:pPr>
      <w:r>
        <w:rPr>
          <w:lang w:val="en-US" w:eastAsia="de-DE"/>
        </w:rPr>
        <w:tab/>
      </w:r>
      <w:r>
        <w:rPr>
          <w:lang w:val="en-US" w:eastAsia="de-DE"/>
        </w:rPr>
        <w:tab/>
      </w:r>
      <w:r w:rsidR="004B1177" w:rsidRPr="00E03F84">
        <w:rPr>
          <w:lang w:val="en-US" w:eastAsia="de-DE"/>
        </w:rPr>
        <w:t>Malnutrition and the right to food</w:t>
      </w:r>
    </w:p>
    <w:p w:rsidR="004B1177" w:rsidRPr="00CE7C3E" w:rsidRDefault="00683BFD" w:rsidP="00683BFD">
      <w:pPr>
        <w:pStyle w:val="SingleTxtG"/>
      </w:pPr>
      <w:r w:rsidRPr="00CE7C3E">
        <w:t>21.</w:t>
      </w:r>
      <w:r w:rsidRPr="00CE7C3E">
        <w:tab/>
      </w:r>
      <w:r w:rsidR="004B1177" w:rsidRPr="00CE7C3E">
        <w:t>The Committee is concerned about the prevalence of food insecurity and malnutrition</w:t>
      </w:r>
      <w:r w:rsidR="00EA2DB9">
        <w:t xml:space="preserve"> which</w:t>
      </w:r>
      <w:r w:rsidR="004B1177" w:rsidRPr="00CE7C3E">
        <w:t>, inter alia</w:t>
      </w:r>
      <w:r w:rsidR="00EA2DB9">
        <w:t>,</w:t>
      </w:r>
      <w:r w:rsidR="004B1177" w:rsidRPr="00CE7C3E">
        <w:t xml:space="preserve"> </w:t>
      </w:r>
      <w:r w:rsidR="00EA2DB9">
        <w:t xml:space="preserve">is </w:t>
      </w:r>
      <w:r w:rsidR="004B1177" w:rsidRPr="00CE7C3E">
        <w:t xml:space="preserve">leading to high rates of </w:t>
      </w:r>
      <w:r w:rsidR="00290711" w:rsidRPr="00CE7C3E">
        <w:t>anaemia</w:t>
      </w:r>
      <w:r w:rsidR="004B1177" w:rsidRPr="00CE7C3E">
        <w:t xml:space="preserve"> and other malnutrition-related diseases</w:t>
      </w:r>
      <w:r w:rsidR="00754904">
        <w:t>.</w:t>
      </w:r>
      <w:r w:rsidR="004B1177" w:rsidRPr="00CE7C3E">
        <w:t xml:space="preserve"> </w:t>
      </w:r>
      <w:r w:rsidR="00EA2DB9" w:rsidRPr="00CE7C3E">
        <w:t>The Committee</w:t>
      </w:r>
      <w:r w:rsidR="00754904">
        <w:t xml:space="preserve"> </w:t>
      </w:r>
      <w:r w:rsidR="004B1177" w:rsidRPr="00CE7C3E">
        <w:t>also notes with concern that</w:t>
      </w:r>
      <w:r w:rsidR="00EA2DB9">
        <w:t>,</w:t>
      </w:r>
      <w:r w:rsidR="004B1177" w:rsidRPr="00CE7C3E">
        <w:t xml:space="preserve"> despite rising food prices, food allowance</w:t>
      </w:r>
      <w:r w:rsidR="00EA2DB9">
        <w:t>s</w:t>
      </w:r>
      <w:r w:rsidR="004B1177" w:rsidRPr="00CE7C3E">
        <w:t xml:space="preserve"> </w:t>
      </w:r>
      <w:r w:rsidR="00EA2DB9">
        <w:t>for</w:t>
      </w:r>
      <w:r w:rsidR="004B1177" w:rsidRPr="00CE7C3E">
        <w:t xml:space="preserve"> persons and families </w:t>
      </w:r>
      <w:r w:rsidR="00EA2DB9">
        <w:t>who are experiencing</w:t>
      </w:r>
      <w:r w:rsidR="004B1177" w:rsidRPr="00CE7C3E">
        <w:t xml:space="preserve"> poverty and food insecurity ha</w:t>
      </w:r>
      <w:r w:rsidR="00EA2DB9">
        <w:t>ve</w:t>
      </w:r>
      <w:r w:rsidR="004B1177" w:rsidRPr="00CE7C3E">
        <w:t xml:space="preserve"> been insufficient (</w:t>
      </w:r>
      <w:r w:rsidR="00D54F68">
        <w:t>art. </w:t>
      </w:r>
      <w:r w:rsidR="004B1177" w:rsidRPr="00CE7C3E">
        <w:t xml:space="preserve">11). </w:t>
      </w:r>
    </w:p>
    <w:p w:rsidR="004B1177" w:rsidRPr="00B548CC" w:rsidRDefault="004B1177" w:rsidP="00683BFD">
      <w:pPr>
        <w:pStyle w:val="SingleTxtG"/>
        <w:rPr>
          <w:rFonts w:cs="Verdana"/>
          <w:b/>
          <w:szCs w:val="24"/>
          <w:lang w:val="en-US" w:eastAsia="de-DE"/>
        </w:rPr>
      </w:pPr>
      <w:r w:rsidRPr="00B548CC">
        <w:rPr>
          <w:b/>
          <w:lang w:val="en-US" w:eastAsia="de-DE"/>
        </w:rPr>
        <w:t xml:space="preserve">The Committee recommends that the State party expeditiously address chronic food insecurity and malnutrition, including the critical nutritional needs of children and pregnant women. The Committee </w:t>
      </w:r>
      <w:r w:rsidR="00EA2DB9">
        <w:rPr>
          <w:b/>
          <w:lang w:val="en-US" w:eastAsia="de-DE"/>
        </w:rPr>
        <w:t>also</w:t>
      </w:r>
      <w:r w:rsidR="00EA2DB9" w:rsidRPr="00B548CC">
        <w:rPr>
          <w:b/>
          <w:lang w:val="en-US" w:eastAsia="de-DE"/>
        </w:rPr>
        <w:t xml:space="preserve"> </w:t>
      </w:r>
      <w:r w:rsidRPr="00B548CC">
        <w:rPr>
          <w:b/>
          <w:lang w:val="en-US" w:eastAsia="de-DE"/>
        </w:rPr>
        <w:t xml:space="preserve">recommends </w:t>
      </w:r>
      <w:r w:rsidR="00EA5C4B">
        <w:rPr>
          <w:b/>
          <w:lang w:val="en-US" w:eastAsia="de-DE"/>
        </w:rPr>
        <w:t>that the State party</w:t>
      </w:r>
      <w:r w:rsidR="00EA5C4B" w:rsidRPr="00B548CC">
        <w:rPr>
          <w:b/>
          <w:lang w:val="en-US" w:eastAsia="de-DE"/>
        </w:rPr>
        <w:t xml:space="preserve"> </w:t>
      </w:r>
      <w:r w:rsidRPr="00B548CC">
        <w:rPr>
          <w:b/>
          <w:lang w:val="en-US" w:eastAsia="de-DE"/>
        </w:rPr>
        <w:t xml:space="preserve">set </w:t>
      </w:r>
      <w:r w:rsidRPr="00B548CC">
        <w:rPr>
          <w:rFonts w:cs="Verdana"/>
          <w:b/>
          <w:szCs w:val="24"/>
          <w:lang w:val="en-US" w:eastAsia="de-DE"/>
        </w:rPr>
        <w:t xml:space="preserve">up a public food distribution system for disadvantaged and marginalized </w:t>
      </w:r>
      <w:r w:rsidR="008B4D7A">
        <w:rPr>
          <w:rFonts w:cs="Verdana"/>
          <w:b/>
          <w:szCs w:val="24"/>
          <w:lang w:val="en-US" w:eastAsia="de-DE"/>
        </w:rPr>
        <w:t xml:space="preserve">individuals and </w:t>
      </w:r>
      <w:r w:rsidRPr="00B548CC">
        <w:rPr>
          <w:rFonts w:cs="Verdana"/>
          <w:b/>
          <w:szCs w:val="24"/>
          <w:lang w:val="en-US" w:eastAsia="de-DE"/>
        </w:rPr>
        <w:t xml:space="preserve">groups and </w:t>
      </w:r>
      <w:r w:rsidR="00EA2DB9">
        <w:rPr>
          <w:rFonts w:cs="Verdana"/>
          <w:b/>
          <w:szCs w:val="24"/>
          <w:lang w:val="en-US" w:eastAsia="de-DE"/>
        </w:rPr>
        <w:t xml:space="preserve">those living in </w:t>
      </w:r>
      <w:r w:rsidRPr="00B548CC">
        <w:rPr>
          <w:rFonts w:cs="Verdana"/>
          <w:b/>
          <w:szCs w:val="24"/>
          <w:lang w:val="en-US" w:eastAsia="de-DE"/>
        </w:rPr>
        <w:t xml:space="preserve">remote regions, significantly strengthen the school feeding </w:t>
      </w:r>
      <w:r w:rsidRPr="0090763C">
        <w:rPr>
          <w:rFonts w:cs="Verdana"/>
          <w:b/>
          <w:szCs w:val="24"/>
          <w:lang w:eastAsia="de-DE"/>
        </w:rPr>
        <w:t>program</w:t>
      </w:r>
      <w:r w:rsidR="00EA2DB9" w:rsidRPr="0090763C">
        <w:rPr>
          <w:rFonts w:cs="Verdana"/>
          <w:b/>
          <w:szCs w:val="24"/>
          <w:lang w:eastAsia="de-DE"/>
        </w:rPr>
        <w:t>me</w:t>
      </w:r>
      <w:r w:rsidRPr="0090763C">
        <w:rPr>
          <w:rFonts w:cs="Verdana"/>
          <w:b/>
          <w:szCs w:val="24"/>
          <w:lang w:eastAsia="de-DE"/>
        </w:rPr>
        <w:t>s</w:t>
      </w:r>
      <w:r w:rsidRPr="00B548CC">
        <w:rPr>
          <w:rFonts w:cs="Verdana"/>
          <w:b/>
          <w:szCs w:val="24"/>
          <w:lang w:val="en-US" w:eastAsia="de-DE"/>
        </w:rPr>
        <w:t xml:space="preserve"> in the country </w:t>
      </w:r>
      <w:r w:rsidR="00EA2DB9">
        <w:rPr>
          <w:rFonts w:cs="Verdana"/>
          <w:b/>
          <w:szCs w:val="24"/>
          <w:lang w:val="en-US" w:eastAsia="de-DE"/>
        </w:rPr>
        <w:t>through</w:t>
      </w:r>
      <w:r w:rsidRPr="00B548CC">
        <w:rPr>
          <w:rFonts w:cs="Verdana"/>
          <w:b/>
          <w:szCs w:val="24"/>
          <w:lang w:val="en-US" w:eastAsia="de-DE"/>
        </w:rPr>
        <w:t xml:space="preserve"> increased funding, and effectively tackle</w:t>
      </w:r>
      <w:r w:rsidRPr="00B548CC">
        <w:rPr>
          <w:b/>
          <w:lang w:val="en-US" w:eastAsia="de-DE"/>
        </w:rPr>
        <w:t xml:space="preserve"> </w:t>
      </w:r>
      <w:r w:rsidRPr="00B548CC">
        <w:rPr>
          <w:rFonts w:cs="Verdana"/>
          <w:b/>
          <w:szCs w:val="24"/>
          <w:lang w:val="en-US" w:eastAsia="de-DE"/>
        </w:rPr>
        <w:t xml:space="preserve">structural problems related to food insecurity. </w:t>
      </w:r>
      <w:r w:rsidRPr="00B548CC">
        <w:rPr>
          <w:b/>
          <w:szCs w:val="24"/>
        </w:rPr>
        <w:t>In this regard, the Committee draws the State party’s attention to its general comment</w:t>
      </w:r>
      <w:r w:rsidR="00D911BB">
        <w:rPr>
          <w:b/>
          <w:szCs w:val="24"/>
        </w:rPr>
        <w:t xml:space="preserve"> No. </w:t>
      </w:r>
      <w:r w:rsidRPr="00B548CC">
        <w:rPr>
          <w:b/>
          <w:szCs w:val="24"/>
        </w:rPr>
        <w:t xml:space="preserve">12 (1999) on the right to adequate food and to the </w:t>
      </w:r>
      <w:r w:rsidR="000B2A65" w:rsidRPr="000B2A65">
        <w:rPr>
          <w:b/>
          <w:szCs w:val="24"/>
        </w:rPr>
        <w:t>v</w:t>
      </w:r>
      <w:r w:rsidRPr="000B2A65">
        <w:rPr>
          <w:b/>
          <w:szCs w:val="24"/>
        </w:rPr>
        <w:t xml:space="preserve">oluntary </w:t>
      </w:r>
      <w:r w:rsidR="000B2A65" w:rsidRPr="000B2A65">
        <w:rPr>
          <w:b/>
          <w:szCs w:val="24"/>
        </w:rPr>
        <w:t>g</w:t>
      </w:r>
      <w:r w:rsidRPr="000B2A65">
        <w:rPr>
          <w:b/>
          <w:szCs w:val="24"/>
        </w:rPr>
        <w:t>uidelines to support the progressive realization of the right to adequate food in the context of national food security, adopted by the Council of the Food and Agriculture Organization of the United Nations in 2004</w:t>
      </w:r>
      <w:r w:rsidRPr="00B548CC">
        <w:rPr>
          <w:b/>
          <w:szCs w:val="24"/>
        </w:rPr>
        <w:t>.</w:t>
      </w:r>
    </w:p>
    <w:p w:rsidR="004B1177" w:rsidRPr="00E03F84" w:rsidRDefault="00B548CC" w:rsidP="00B548CC">
      <w:pPr>
        <w:pStyle w:val="H23G"/>
        <w:rPr>
          <w:bCs/>
          <w:szCs w:val="24"/>
          <w:lang w:val="en-US"/>
        </w:rPr>
      </w:pPr>
      <w:r>
        <w:tab/>
      </w:r>
      <w:r>
        <w:tab/>
      </w:r>
      <w:r w:rsidR="004B1177" w:rsidRPr="00E03F84">
        <w:t>Access to health</w:t>
      </w:r>
      <w:r w:rsidR="00F85BA7">
        <w:t xml:space="preserve"> </w:t>
      </w:r>
      <w:r w:rsidR="004B1177" w:rsidRPr="00E03F84">
        <w:t>care</w:t>
      </w:r>
    </w:p>
    <w:p w:rsidR="00350530" w:rsidRDefault="00683BFD" w:rsidP="00683BFD">
      <w:pPr>
        <w:pStyle w:val="SingleTxtG"/>
      </w:pPr>
      <w:r>
        <w:t>22.</w:t>
      </w:r>
      <w:r>
        <w:tab/>
      </w:r>
      <w:r w:rsidR="004B1177" w:rsidRPr="00AE6EFD">
        <w:t>The Committee notes with concern that access to health</w:t>
      </w:r>
      <w:r w:rsidR="00F85BA7">
        <w:t xml:space="preserve"> </w:t>
      </w:r>
      <w:r w:rsidR="004B1177" w:rsidRPr="00AE6EFD">
        <w:t>care is frequently limited, that health</w:t>
      </w:r>
      <w:r w:rsidR="00F85BA7">
        <w:t>-care</w:t>
      </w:r>
      <w:r w:rsidR="004B1177" w:rsidRPr="00AE6EFD">
        <w:t xml:space="preserve"> facilities are of poor quality and inadequately equipped, that the number of staff is insufficient</w:t>
      </w:r>
      <w:r w:rsidR="000B2A65">
        <w:t xml:space="preserve"> and that they are poorly qualified</w:t>
      </w:r>
      <w:r w:rsidR="004B1177" w:rsidRPr="00AE6EFD">
        <w:t xml:space="preserve">. The Committee </w:t>
      </w:r>
      <w:r w:rsidR="000B2A65">
        <w:t>also</w:t>
      </w:r>
      <w:r w:rsidR="004B1177" w:rsidRPr="00AE6EFD">
        <w:t xml:space="preserve"> notes with concern that:</w:t>
      </w:r>
    </w:p>
    <w:p w:rsidR="0067425B" w:rsidRPr="00290711" w:rsidRDefault="00B84278" w:rsidP="00683BFD">
      <w:pPr>
        <w:pStyle w:val="SingleTxtG"/>
        <w:ind w:firstLine="567"/>
      </w:pPr>
      <w:r w:rsidRPr="00290711">
        <w:t>(a)</w:t>
      </w:r>
      <w:r w:rsidRPr="00290711">
        <w:tab/>
      </w:r>
      <w:r w:rsidR="004B1177" w:rsidRPr="00290711">
        <w:t>Discrimination in access to health</w:t>
      </w:r>
      <w:r w:rsidR="00F85BA7">
        <w:t xml:space="preserve"> </w:t>
      </w:r>
      <w:r w:rsidR="004B1177" w:rsidRPr="00290711">
        <w:t xml:space="preserve">care persists against </w:t>
      </w:r>
      <w:r w:rsidR="00F85BA7" w:rsidRPr="00F85BA7">
        <w:t>lesbian, gay, bisexual, transgender and intersex</w:t>
      </w:r>
      <w:r w:rsidR="004B1177" w:rsidRPr="00290711">
        <w:t xml:space="preserve"> persons, women involved in prostitution, persons with disabilities, and persons living with HIV/AIDS; </w:t>
      </w:r>
    </w:p>
    <w:p w:rsidR="0067425B" w:rsidRPr="00290711" w:rsidRDefault="00290711" w:rsidP="00F57D0F">
      <w:pPr>
        <w:pStyle w:val="SingleTxtG"/>
        <w:ind w:firstLine="567"/>
      </w:pPr>
      <w:r w:rsidRPr="00290711">
        <w:t>(b)</w:t>
      </w:r>
      <w:r w:rsidRPr="00290711">
        <w:tab/>
      </w:r>
      <w:r w:rsidR="004B1177" w:rsidRPr="00290711">
        <w:t>While abortion is legal, it is not covered by public health insurance, leading many women to resort to unsafe abortions;</w:t>
      </w:r>
    </w:p>
    <w:p w:rsidR="004B1177" w:rsidRPr="00290711" w:rsidRDefault="00290711" w:rsidP="00683BFD">
      <w:pPr>
        <w:pStyle w:val="SingleTxtG"/>
        <w:ind w:firstLine="567"/>
      </w:pPr>
      <w:r w:rsidRPr="00290711">
        <w:t>(c)</w:t>
      </w:r>
      <w:r w:rsidRPr="00290711">
        <w:tab/>
      </w:r>
      <w:r w:rsidR="004B1177" w:rsidRPr="00290711">
        <w:t xml:space="preserve">Legislation on </w:t>
      </w:r>
      <w:r w:rsidR="00012AD9">
        <w:t xml:space="preserve">the </w:t>
      </w:r>
      <w:r w:rsidR="004B1177" w:rsidRPr="00290711">
        <w:t>rights of patients concerning, inter alia, professional ethics and redress for medical errors is insufficiently implemented (</w:t>
      </w:r>
      <w:r w:rsidR="00D54F68">
        <w:t>art. </w:t>
      </w:r>
      <w:r w:rsidR="004B1177" w:rsidRPr="00290711">
        <w:t>12).</w:t>
      </w:r>
    </w:p>
    <w:p w:rsidR="004B1177" w:rsidRPr="00B548CC" w:rsidRDefault="004B1177" w:rsidP="00683BFD">
      <w:pPr>
        <w:pStyle w:val="SingleTxtG"/>
        <w:rPr>
          <w:rFonts w:cs="Verdana"/>
          <w:b/>
          <w:bCs/>
          <w:szCs w:val="24"/>
          <w:lang w:val="en-US" w:eastAsia="de-DE"/>
        </w:rPr>
      </w:pPr>
      <w:r w:rsidRPr="00B548CC">
        <w:rPr>
          <w:b/>
        </w:rPr>
        <w:t xml:space="preserve">The Committee recommends that the State </w:t>
      </w:r>
      <w:r w:rsidRPr="00B548CC">
        <w:rPr>
          <w:b/>
          <w:lang w:val="en-US"/>
        </w:rPr>
        <w:t xml:space="preserve">party increase human, technical and financial resources allocated to </w:t>
      </w:r>
      <w:r w:rsidRPr="00B548CC">
        <w:rPr>
          <w:b/>
        </w:rPr>
        <w:t>the health sector</w:t>
      </w:r>
      <w:r w:rsidRPr="00B548CC">
        <w:rPr>
          <w:rFonts w:cs="Verdana"/>
          <w:b/>
          <w:bCs/>
          <w:szCs w:val="24"/>
          <w:lang w:val="en-US" w:eastAsia="de-DE"/>
        </w:rPr>
        <w:t>, and:</w:t>
      </w:r>
    </w:p>
    <w:p w:rsidR="004B1177" w:rsidRPr="008D63DC" w:rsidRDefault="00683BFD" w:rsidP="00683BFD">
      <w:pPr>
        <w:pStyle w:val="SingleTxtG"/>
        <w:ind w:firstLine="567"/>
        <w:rPr>
          <w:b/>
        </w:rPr>
      </w:pPr>
      <w:r w:rsidRPr="008D63DC">
        <w:rPr>
          <w:bCs/>
        </w:rPr>
        <w:t>(a)</w:t>
      </w:r>
      <w:r w:rsidRPr="008D63DC">
        <w:rPr>
          <w:bCs/>
        </w:rPr>
        <w:tab/>
      </w:r>
      <w:r w:rsidR="004B1177" w:rsidRPr="008D63DC">
        <w:rPr>
          <w:b/>
        </w:rPr>
        <w:t xml:space="preserve">Monitor discrimination in access to health services and ensure that health professionals </w:t>
      </w:r>
      <w:r w:rsidR="00012AD9">
        <w:rPr>
          <w:b/>
        </w:rPr>
        <w:t xml:space="preserve">who </w:t>
      </w:r>
      <w:r w:rsidR="004B1177" w:rsidRPr="008D63DC">
        <w:rPr>
          <w:b/>
        </w:rPr>
        <w:t>hamper a</w:t>
      </w:r>
      <w:r w:rsidR="00012AD9">
        <w:rPr>
          <w:b/>
        </w:rPr>
        <w:t>nyone</w:t>
      </w:r>
      <w:r w:rsidR="004B1177" w:rsidRPr="008D63DC">
        <w:rPr>
          <w:b/>
        </w:rPr>
        <w:t>’s access are duly sanctioned;</w:t>
      </w:r>
    </w:p>
    <w:p w:rsidR="004B1177" w:rsidRPr="008D63DC" w:rsidRDefault="00683BFD" w:rsidP="00683BFD">
      <w:pPr>
        <w:pStyle w:val="SingleTxtG"/>
        <w:ind w:firstLine="567"/>
        <w:rPr>
          <w:b/>
        </w:rPr>
      </w:pPr>
      <w:r w:rsidRPr="008D63DC">
        <w:rPr>
          <w:bCs/>
        </w:rPr>
        <w:t>(b)</w:t>
      </w:r>
      <w:r w:rsidRPr="008D63DC">
        <w:rPr>
          <w:bCs/>
        </w:rPr>
        <w:tab/>
      </w:r>
      <w:r w:rsidR="004B1177" w:rsidRPr="008D63DC">
        <w:rPr>
          <w:b/>
        </w:rPr>
        <w:t xml:space="preserve">Provide confidential access for everyone, including adolescents, to contraceptives and safe abortion services, </w:t>
      </w:r>
      <w:r w:rsidR="00012AD9">
        <w:rPr>
          <w:b/>
        </w:rPr>
        <w:t>and ensure that these services</w:t>
      </w:r>
      <w:r w:rsidR="004B1177" w:rsidRPr="008D63DC">
        <w:rPr>
          <w:b/>
        </w:rPr>
        <w:t xml:space="preserve"> are fully covered by health insurance;</w:t>
      </w:r>
    </w:p>
    <w:p w:rsidR="004B1177" w:rsidRPr="008D63DC" w:rsidRDefault="00683BFD" w:rsidP="00683BFD">
      <w:pPr>
        <w:pStyle w:val="SingleTxtG"/>
        <w:ind w:firstLine="567"/>
        <w:rPr>
          <w:b/>
        </w:rPr>
      </w:pPr>
      <w:r w:rsidRPr="008D63DC">
        <w:rPr>
          <w:bCs/>
        </w:rPr>
        <w:t>(c)</w:t>
      </w:r>
      <w:r w:rsidRPr="008D63DC">
        <w:rPr>
          <w:bCs/>
        </w:rPr>
        <w:tab/>
      </w:r>
      <w:r w:rsidR="004B1177" w:rsidRPr="008D63DC">
        <w:rPr>
          <w:b/>
        </w:rPr>
        <w:t>Disseminate information on patients’ rights and ensure the availability of adequate implementation mechanisms, with particular focus on access to appropriate compensation in the event of medical errors.</w:t>
      </w:r>
    </w:p>
    <w:p w:rsidR="004B1177" w:rsidRDefault="00B548CC" w:rsidP="00B548CC">
      <w:pPr>
        <w:pStyle w:val="H23G"/>
        <w:rPr>
          <w:lang w:val="en-US" w:eastAsia="de-DE"/>
        </w:rPr>
      </w:pPr>
      <w:r>
        <w:rPr>
          <w:lang w:val="en-US" w:eastAsia="de-DE"/>
        </w:rPr>
        <w:tab/>
      </w:r>
      <w:r>
        <w:rPr>
          <w:lang w:val="en-US" w:eastAsia="de-DE"/>
        </w:rPr>
        <w:tab/>
      </w:r>
      <w:r w:rsidR="004B1177">
        <w:rPr>
          <w:lang w:val="en-US" w:eastAsia="de-DE"/>
        </w:rPr>
        <w:t xml:space="preserve">Drug policy and </w:t>
      </w:r>
      <w:r w:rsidR="00012AD9">
        <w:rPr>
          <w:lang w:val="en-US" w:eastAsia="de-DE"/>
        </w:rPr>
        <w:t xml:space="preserve">the </w:t>
      </w:r>
      <w:r w:rsidR="004B1177">
        <w:rPr>
          <w:lang w:val="en-US" w:eastAsia="de-DE"/>
        </w:rPr>
        <w:t>right to health</w:t>
      </w:r>
    </w:p>
    <w:p w:rsidR="004B1177" w:rsidRPr="00CE7C3E" w:rsidRDefault="00683BFD" w:rsidP="00683BFD">
      <w:pPr>
        <w:pStyle w:val="SingleTxtG"/>
      </w:pPr>
      <w:r w:rsidRPr="00CE7C3E">
        <w:t>23.</w:t>
      </w:r>
      <w:r w:rsidRPr="00CE7C3E">
        <w:tab/>
      </w:r>
      <w:r w:rsidR="004B1177" w:rsidRPr="00CE7C3E">
        <w:t>The Committee, while appreciating the provision of drug re</w:t>
      </w:r>
      <w:r w:rsidR="00CB27E2">
        <w:t>placement</w:t>
      </w:r>
      <w:r w:rsidR="004B1177" w:rsidRPr="00CE7C3E">
        <w:t xml:space="preserve"> therapies by the State party, notes with concern that drug users and those providing harm reduction services are frequently harassed by law enforcement officials, </w:t>
      </w:r>
      <w:r w:rsidR="00012AD9">
        <w:t xml:space="preserve">and </w:t>
      </w:r>
      <w:r w:rsidR="00012AD9" w:rsidRPr="00CE7C3E">
        <w:t>methadone programme participant</w:t>
      </w:r>
      <w:r w:rsidR="00012AD9">
        <w:t>s have been</w:t>
      </w:r>
      <w:r w:rsidR="004B1177" w:rsidRPr="00CE7C3E">
        <w:t xml:space="preserve"> </w:t>
      </w:r>
      <w:r w:rsidR="00012AD9">
        <w:t xml:space="preserve">victims of </w:t>
      </w:r>
      <w:r w:rsidR="004B1177" w:rsidRPr="00CE7C3E">
        <w:t xml:space="preserve">arbitrary detention. </w:t>
      </w:r>
      <w:r w:rsidR="005658AB">
        <w:t>T</w:t>
      </w:r>
      <w:r w:rsidR="004B1177" w:rsidRPr="00CE7C3E">
        <w:t xml:space="preserve">he Committee </w:t>
      </w:r>
      <w:r w:rsidR="005658AB">
        <w:t xml:space="preserve">also </w:t>
      </w:r>
      <w:r w:rsidR="004B1177" w:rsidRPr="00CE7C3E">
        <w:t xml:space="preserve">notes with concern that persons with a drug addiction are frequently subjected to discrimination in their access </w:t>
      </w:r>
      <w:r w:rsidR="00EA5C4B">
        <w:t>to</w:t>
      </w:r>
      <w:r w:rsidR="00EA5C4B" w:rsidRPr="00CE7C3E">
        <w:t xml:space="preserve"> </w:t>
      </w:r>
      <w:r w:rsidR="004B1177" w:rsidRPr="00CE7C3E">
        <w:t xml:space="preserve">health services, including </w:t>
      </w:r>
      <w:r w:rsidR="005658AB">
        <w:t>by being asked for</w:t>
      </w:r>
      <w:r w:rsidR="004B1177" w:rsidRPr="00CE7C3E">
        <w:t xml:space="preserve"> informal payments. </w:t>
      </w:r>
    </w:p>
    <w:p w:rsidR="004B1177" w:rsidRPr="00B548CC" w:rsidRDefault="004B1177" w:rsidP="00683BFD">
      <w:pPr>
        <w:pStyle w:val="SingleTxtG"/>
        <w:rPr>
          <w:b/>
        </w:rPr>
      </w:pPr>
      <w:r w:rsidRPr="00B548CC">
        <w:rPr>
          <w:b/>
        </w:rPr>
        <w:t xml:space="preserve">The </w:t>
      </w:r>
      <w:r w:rsidRPr="00FB40F0">
        <w:rPr>
          <w:b/>
        </w:rPr>
        <w:t xml:space="preserve">Committee recommends that the State party adequately monitor and sanction discrimination in access to health services </w:t>
      </w:r>
      <w:r w:rsidR="005658AB" w:rsidRPr="00FB40F0">
        <w:rPr>
          <w:b/>
        </w:rPr>
        <w:t>for</w:t>
      </w:r>
      <w:r w:rsidRPr="00FB40F0">
        <w:rPr>
          <w:b/>
        </w:rPr>
        <w:t xml:space="preserve"> persons with a drug addiction. </w:t>
      </w:r>
      <w:r w:rsidR="005658AB" w:rsidRPr="00FB40F0">
        <w:rPr>
          <w:b/>
        </w:rPr>
        <w:t>T</w:t>
      </w:r>
      <w:r w:rsidRPr="00FB40F0">
        <w:rPr>
          <w:b/>
        </w:rPr>
        <w:t xml:space="preserve">he Committee </w:t>
      </w:r>
      <w:r w:rsidR="005658AB" w:rsidRPr="00FB40F0">
        <w:rPr>
          <w:b/>
        </w:rPr>
        <w:t xml:space="preserve">also </w:t>
      </w:r>
      <w:r w:rsidRPr="00FB40F0">
        <w:rPr>
          <w:b/>
        </w:rPr>
        <w:t xml:space="preserve">recommends </w:t>
      </w:r>
      <w:r w:rsidR="00EA5C4B" w:rsidRPr="00FB40F0">
        <w:rPr>
          <w:b/>
        </w:rPr>
        <w:t xml:space="preserve">that the State party increase </w:t>
      </w:r>
      <w:r w:rsidRPr="00FB40F0">
        <w:rPr>
          <w:b/>
        </w:rPr>
        <w:t>full access to free and adequate drug substitution therapies</w:t>
      </w:r>
      <w:r w:rsidRPr="00B548CC">
        <w:rPr>
          <w:b/>
        </w:rPr>
        <w:t xml:space="preserve"> </w:t>
      </w:r>
      <w:r w:rsidR="00FB40F0">
        <w:rPr>
          <w:b/>
        </w:rPr>
        <w:t>that</w:t>
      </w:r>
      <w:r w:rsidRPr="00B548CC">
        <w:rPr>
          <w:b/>
        </w:rPr>
        <w:t xml:space="preserve"> respect the dignity of patients. The Committee </w:t>
      </w:r>
      <w:r w:rsidR="00FB40F0">
        <w:rPr>
          <w:b/>
        </w:rPr>
        <w:t>further</w:t>
      </w:r>
      <w:r w:rsidRPr="00B548CC">
        <w:rPr>
          <w:b/>
        </w:rPr>
        <w:t xml:space="preserve"> recommends that the State party ensure that persons with a drug</w:t>
      </w:r>
      <w:r w:rsidR="00FB40F0">
        <w:rPr>
          <w:b/>
        </w:rPr>
        <w:t xml:space="preserve"> </w:t>
      </w:r>
      <w:r w:rsidRPr="00B548CC">
        <w:rPr>
          <w:b/>
        </w:rPr>
        <w:t xml:space="preserve">addiction and providers of harm reduction services are not subjected to any harassment or arbitrary detention by the authorities. </w:t>
      </w:r>
    </w:p>
    <w:p w:rsidR="004B1177" w:rsidRPr="00E03F84" w:rsidRDefault="00B548CC" w:rsidP="00B548CC">
      <w:pPr>
        <w:pStyle w:val="H23G"/>
        <w:rPr>
          <w:lang w:val="en-US"/>
        </w:rPr>
      </w:pPr>
      <w:r>
        <w:rPr>
          <w:lang w:val="en-US"/>
        </w:rPr>
        <w:tab/>
      </w:r>
      <w:r>
        <w:rPr>
          <w:lang w:val="en-US"/>
        </w:rPr>
        <w:tab/>
      </w:r>
      <w:r w:rsidR="004B1177" w:rsidRPr="00E03F84">
        <w:rPr>
          <w:lang w:val="en-US"/>
        </w:rPr>
        <w:t>Maternal mortality</w:t>
      </w:r>
    </w:p>
    <w:p w:rsidR="004B1177" w:rsidRPr="00CE7C3E" w:rsidRDefault="00683BFD" w:rsidP="00683BFD">
      <w:pPr>
        <w:pStyle w:val="SingleTxtG"/>
      </w:pPr>
      <w:r w:rsidRPr="00CE7C3E">
        <w:t>24.</w:t>
      </w:r>
      <w:r w:rsidRPr="00CE7C3E">
        <w:tab/>
      </w:r>
      <w:r w:rsidR="004B1177" w:rsidRPr="00CE7C3E">
        <w:t xml:space="preserve">The Committee is concerned </w:t>
      </w:r>
      <w:r w:rsidR="00EA5C4B">
        <w:t>about</w:t>
      </w:r>
      <w:r w:rsidR="00EA5C4B" w:rsidRPr="00CE7C3E">
        <w:t xml:space="preserve"> </w:t>
      </w:r>
      <w:r w:rsidR="004B1177" w:rsidRPr="00CE7C3E">
        <w:t>the very high maternal mortality rate</w:t>
      </w:r>
      <w:r w:rsidR="00FB40F0">
        <w:t xml:space="preserve">, which is still </w:t>
      </w:r>
      <w:r w:rsidR="00FB40F0" w:rsidRPr="00CE7C3E">
        <w:t>rising</w:t>
      </w:r>
      <w:r w:rsidR="004B1177" w:rsidRPr="00CE7C3E">
        <w:t>, and notes with concern that trained medical personnel and obstetric health services are insufficient or lacking (</w:t>
      </w:r>
      <w:r w:rsidR="00D54F68">
        <w:t>art. </w:t>
      </w:r>
      <w:r w:rsidR="004B1177" w:rsidRPr="00CE7C3E">
        <w:t xml:space="preserve">12). </w:t>
      </w:r>
    </w:p>
    <w:p w:rsidR="004B1177" w:rsidRPr="00B548CC" w:rsidRDefault="004B1177" w:rsidP="00683BFD">
      <w:pPr>
        <w:pStyle w:val="SingleTxtG"/>
        <w:rPr>
          <w:rFonts w:eastAsia="Malgun Gothic"/>
          <w:b/>
        </w:rPr>
      </w:pPr>
      <w:r w:rsidRPr="00B548CC">
        <w:rPr>
          <w:b/>
        </w:rPr>
        <w:t>The Committee recommends that the State party step up its efforts and address as a matter of priority the problem of maternal mortality, including by significantly increasing access to maternal health services, in particular in remote and rural areas, and establish</w:t>
      </w:r>
      <w:r w:rsidR="00886760">
        <w:rPr>
          <w:b/>
        </w:rPr>
        <w:t>ing</w:t>
      </w:r>
      <w:r w:rsidRPr="00B548CC">
        <w:rPr>
          <w:b/>
        </w:rPr>
        <w:t xml:space="preserve"> community-based maternal health-care systems and referral systems for obstetric emergencies. The Committee </w:t>
      </w:r>
      <w:r w:rsidR="00886760">
        <w:rPr>
          <w:b/>
        </w:rPr>
        <w:t>also</w:t>
      </w:r>
      <w:r w:rsidRPr="00B548CC">
        <w:rPr>
          <w:b/>
        </w:rPr>
        <w:t xml:space="preserve"> recommends that the State party expeditiously address the underlying causes of maternal mortality, which may be connected to </w:t>
      </w:r>
      <w:r w:rsidR="00886760" w:rsidRPr="00B548CC">
        <w:rPr>
          <w:b/>
        </w:rPr>
        <w:t>women</w:t>
      </w:r>
      <w:r w:rsidR="00886760">
        <w:rPr>
          <w:b/>
        </w:rPr>
        <w:t xml:space="preserve">’s </w:t>
      </w:r>
      <w:r w:rsidRPr="00B548CC">
        <w:rPr>
          <w:b/>
        </w:rPr>
        <w:t>low social status, poverty, lack of independence or the remoteness of their home</w:t>
      </w:r>
      <w:r w:rsidR="00886760">
        <w:rPr>
          <w:b/>
        </w:rPr>
        <w:t>s</w:t>
      </w:r>
      <w:r w:rsidRPr="00B548CC">
        <w:rPr>
          <w:b/>
        </w:rPr>
        <w:t xml:space="preserve">. In this regard, the Committee recommends that the State party take into account the </w:t>
      </w:r>
      <w:r w:rsidR="00886760">
        <w:rPr>
          <w:b/>
        </w:rPr>
        <w:t>t</w:t>
      </w:r>
      <w:r w:rsidRPr="00B548CC">
        <w:rPr>
          <w:b/>
        </w:rPr>
        <w:t>echnical guidance on the application of a human rights</w:t>
      </w:r>
      <w:r w:rsidR="00886760">
        <w:rPr>
          <w:b/>
        </w:rPr>
        <w:t>-</w:t>
      </w:r>
      <w:r w:rsidRPr="00B548CC">
        <w:rPr>
          <w:b/>
        </w:rPr>
        <w:t xml:space="preserve">based approach to the implementation of policies and programmes to reduce preventable maternal morbidity and mortality </w:t>
      </w:r>
      <w:r w:rsidR="00F94F0C">
        <w:rPr>
          <w:b/>
        </w:rPr>
        <w:t xml:space="preserve">in the report of the </w:t>
      </w:r>
      <w:r w:rsidR="00F94F0C" w:rsidRPr="00F94F0C">
        <w:rPr>
          <w:b/>
        </w:rPr>
        <w:t>Office of the United Nations High Commissioner for Human Rights</w:t>
      </w:r>
      <w:r w:rsidR="00F94F0C">
        <w:rPr>
          <w:b/>
        </w:rPr>
        <w:t xml:space="preserve"> </w:t>
      </w:r>
      <w:r w:rsidRPr="00B548CC">
        <w:rPr>
          <w:b/>
        </w:rPr>
        <w:t>(A/HRC/21/22</w:t>
      </w:r>
      <w:r w:rsidR="00F94F0C">
        <w:rPr>
          <w:b/>
        </w:rPr>
        <w:t xml:space="preserve"> and Corr.1 and 2</w:t>
      </w:r>
      <w:r w:rsidRPr="00B548CC">
        <w:rPr>
          <w:b/>
        </w:rPr>
        <w:t>)</w:t>
      </w:r>
      <w:r w:rsidR="006537A5">
        <w:rPr>
          <w:rFonts w:eastAsia="Malgun Gothic"/>
          <w:b/>
        </w:rPr>
        <w:t>.</w:t>
      </w:r>
    </w:p>
    <w:p w:rsidR="004B1177" w:rsidRPr="00E03F84" w:rsidRDefault="00B548CC" w:rsidP="00B548CC">
      <w:pPr>
        <w:pStyle w:val="H23G"/>
        <w:rPr>
          <w:rFonts w:eastAsia="Malgun Gothic"/>
          <w:lang w:eastAsia="zh-CN"/>
        </w:rPr>
      </w:pPr>
      <w:r>
        <w:rPr>
          <w:rFonts w:eastAsia="Malgun Gothic"/>
          <w:lang w:eastAsia="zh-CN"/>
        </w:rPr>
        <w:tab/>
      </w:r>
      <w:r>
        <w:rPr>
          <w:rFonts w:eastAsia="Malgun Gothic"/>
          <w:lang w:eastAsia="zh-CN"/>
        </w:rPr>
        <w:tab/>
      </w:r>
      <w:r w:rsidR="004B1177" w:rsidRPr="00E03F84">
        <w:rPr>
          <w:rFonts w:eastAsia="Malgun Gothic"/>
          <w:lang w:eastAsia="zh-CN"/>
        </w:rPr>
        <w:t>Pollution and ground contamination</w:t>
      </w:r>
    </w:p>
    <w:p w:rsidR="004B1177" w:rsidRPr="00CE7C3E" w:rsidRDefault="00683BFD" w:rsidP="00683BFD">
      <w:pPr>
        <w:pStyle w:val="SingleTxtG"/>
      </w:pPr>
      <w:r w:rsidRPr="00CE7C3E">
        <w:t>25.</w:t>
      </w:r>
      <w:r w:rsidRPr="00CE7C3E">
        <w:tab/>
      </w:r>
      <w:r w:rsidR="004B1177" w:rsidRPr="00CE7C3E">
        <w:t xml:space="preserve">The Committee is concerned about the adverse effects on health and the environment caused by </w:t>
      </w:r>
      <w:r w:rsidR="00F94F0C">
        <w:t xml:space="preserve">the </w:t>
      </w:r>
      <w:r w:rsidR="004B1177" w:rsidRPr="00CE7C3E">
        <w:t xml:space="preserve">high </w:t>
      </w:r>
      <w:r w:rsidR="00F94F0C">
        <w:t xml:space="preserve">level of </w:t>
      </w:r>
      <w:r w:rsidR="004B1177" w:rsidRPr="00CE7C3E">
        <w:t>industrial pollution</w:t>
      </w:r>
      <w:r w:rsidR="00F94F0C">
        <w:t xml:space="preserve"> in the State party</w:t>
      </w:r>
      <w:r w:rsidR="004B1177" w:rsidRPr="00CE7C3E">
        <w:t>, and by:</w:t>
      </w:r>
    </w:p>
    <w:p w:rsidR="004B1177" w:rsidRPr="00B548CC" w:rsidRDefault="00683BFD" w:rsidP="00683BFD">
      <w:pPr>
        <w:pStyle w:val="SingleTxtG"/>
        <w:ind w:firstLine="567"/>
      </w:pPr>
      <w:r w:rsidRPr="00B548CC">
        <w:t>(a)</w:t>
      </w:r>
      <w:r w:rsidRPr="00B548CC">
        <w:tab/>
      </w:r>
      <w:r w:rsidR="004B1177" w:rsidRPr="00B548CC">
        <w:t xml:space="preserve">Ground contamination </w:t>
      </w:r>
      <w:r w:rsidR="00F94F0C">
        <w:t>resulting from</w:t>
      </w:r>
      <w:r w:rsidR="004B1177" w:rsidRPr="00B548CC">
        <w:t xml:space="preserve"> uranium tailings, toxic waste dumps and burial sites for </w:t>
      </w:r>
      <w:r w:rsidR="00D51D25" w:rsidRPr="00B548CC">
        <w:t>pesticides</w:t>
      </w:r>
      <w:r w:rsidR="00D51D25">
        <w:t xml:space="preserve"> that are </w:t>
      </w:r>
      <w:r w:rsidR="004B1177" w:rsidRPr="00B548CC">
        <w:t>persistent</w:t>
      </w:r>
      <w:r w:rsidR="00AC74C4">
        <w:t xml:space="preserve"> </w:t>
      </w:r>
      <w:r w:rsidR="004B1177" w:rsidRPr="00B548CC">
        <w:t>organic</w:t>
      </w:r>
      <w:r w:rsidR="00AC74C4">
        <w:t xml:space="preserve"> </w:t>
      </w:r>
      <w:r w:rsidR="004B1177" w:rsidRPr="00B548CC">
        <w:t>pollutant</w:t>
      </w:r>
      <w:r w:rsidR="00D51D25">
        <w:t>s</w:t>
      </w:r>
      <w:r w:rsidR="004B1177" w:rsidRPr="00B548CC">
        <w:t xml:space="preserve">; </w:t>
      </w:r>
    </w:p>
    <w:p w:rsidR="004B1177" w:rsidRPr="00B548CC" w:rsidRDefault="00683BFD" w:rsidP="00683BFD">
      <w:pPr>
        <w:pStyle w:val="SingleTxtG"/>
        <w:ind w:firstLine="567"/>
      </w:pPr>
      <w:r w:rsidRPr="00B548CC">
        <w:t>(b)</w:t>
      </w:r>
      <w:r w:rsidRPr="00B548CC">
        <w:tab/>
      </w:r>
      <w:r w:rsidR="004B1177" w:rsidRPr="00B548CC">
        <w:t>Continuing import of obsolete, prohibited or poor</w:t>
      </w:r>
      <w:r w:rsidR="00FF680A">
        <w:t>-</w:t>
      </w:r>
      <w:r w:rsidR="004B1177" w:rsidRPr="00B548CC">
        <w:t>quality pesticides;</w:t>
      </w:r>
    </w:p>
    <w:p w:rsidR="004B1177" w:rsidRPr="00B548CC" w:rsidRDefault="00683BFD" w:rsidP="00683BFD">
      <w:pPr>
        <w:pStyle w:val="SingleTxtG"/>
        <w:ind w:firstLine="567"/>
      </w:pPr>
      <w:r w:rsidRPr="00B548CC">
        <w:t>(c)</w:t>
      </w:r>
      <w:r w:rsidRPr="00B548CC">
        <w:tab/>
      </w:r>
      <w:r w:rsidR="004B1177" w:rsidRPr="00B548CC">
        <w:t xml:space="preserve">The </w:t>
      </w:r>
      <w:r w:rsidR="00FF680A">
        <w:t>location</w:t>
      </w:r>
      <w:r w:rsidR="004B1177" w:rsidRPr="00B548CC">
        <w:t xml:space="preserve"> of the </w:t>
      </w:r>
      <w:r w:rsidR="00FF680A" w:rsidRPr="00B548CC">
        <w:t xml:space="preserve">Ala-Too </w:t>
      </w:r>
      <w:r w:rsidR="004B1177" w:rsidRPr="00B548CC">
        <w:t>residential area near a burial ground for cattle with anthrax;</w:t>
      </w:r>
    </w:p>
    <w:p w:rsidR="004B1177" w:rsidRPr="00B548CC" w:rsidRDefault="00683BFD" w:rsidP="00683BFD">
      <w:pPr>
        <w:pStyle w:val="SingleTxtG"/>
        <w:ind w:firstLine="567"/>
      </w:pPr>
      <w:r w:rsidRPr="00B548CC">
        <w:t>(d)</w:t>
      </w:r>
      <w:r w:rsidRPr="00B548CC">
        <w:tab/>
      </w:r>
      <w:r w:rsidR="004B1177" w:rsidRPr="00B548CC">
        <w:t>Mining, including the operation of the world’s last</w:t>
      </w:r>
      <w:r w:rsidR="00CB58A6">
        <w:t>-</w:t>
      </w:r>
      <w:r w:rsidR="004B1177" w:rsidRPr="00B548CC">
        <w:t xml:space="preserve">known mercury mine in Khaidarkan. </w:t>
      </w:r>
    </w:p>
    <w:p w:rsidR="004B1177" w:rsidRPr="00CE7C3E" w:rsidRDefault="004B1177" w:rsidP="00683BFD">
      <w:pPr>
        <w:pStyle w:val="SingleTxtG"/>
      </w:pPr>
      <w:r w:rsidRPr="00CE7C3E">
        <w:t xml:space="preserve">The Committee </w:t>
      </w:r>
      <w:r w:rsidR="00CB27E2">
        <w:t xml:space="preserve">is also </w:t>
      </w:r>
      <w:r w:rsidRPr="00CE7C3E">
        <w:t>concern</w:t>
      </w:r>
      <w:r w:rsidR="00CB27E2">
        <w:t>ed</w:t>
      </w:r>
      <w:r w:rsidRPr="00CE7C3E">
        <w:t xml:space="preserve"> that awareness among the population </w:t>
      </w:r>
      <w:r w:rsidR="00CB58A6">
        <w:t>about</w:t>
      </w:r>
      <w:r w:rsidRPr="00CE7C3E">
        <w:t xml:space="preserve"> the presence of radioactive and toxic substances and the risks the</w:t>
      </w:r>
      <w:r w:rsidR="007A1D92">
        <w:t>y</w:t>
      </w:r>
      <w:r w:rsidRPr="00CE7C3E">
        <w:t xml:space="preserve"> pose to health and </w:t>
      </w:r>
      <w:r w:rsidR="007A1D92">
        <w:t xml:space="preserve">the </w:t>
      </w:r>
      <w:r w:rsidRPr="00CE7C3E">
        <w:t>environment is particularly low (arts.</w:t>
      </w:r>
      <w:r w:rsidR="006537A5">
        <w:t> </w:t>
      </w:r>
      <w:r w:rsidRPr="00CE7C3E">
        <w:t>11 and 12).</w:t>
      </w:r>
    </w:p>
    <w:p w:rsidR="004B1177" w:rsidRPr="00B548CC" w:rsidRDefault="004B1177" w:rsidP="00683BFD">
      <w:pPr>
        <w:pStyle w:val="SingleTxtG"/>
        <w:rPr>
          <w:b/>
          <w:lang w:val="en-US"/>
        </w:rPr>
      </w:pPr>
      <w:r w:rsidRPr="00B548CC">
        <w:rPr>
          <w:b/>
          <w:lang w:val="en-US"/>
        </w:rPr>
        <w:t xml:space="preserve">The Committee </w:t>
      </w:r>
      <w:r w:rsidRPr="00B548CC">
        <w:rPr>
          <w:b/>
        </w:rPr>
        <w:t>recommends</w:t>
      </w:r>
      <w:r w:rsidRPr="00B548CC">
        <w:rPr>
          <w:b/>
          <w:lang w:val="en-US"/>
        </w:rPr>
        <w:t xml:space="preserve"> that the State party:</w:t>
      </w:r>
    </w:p>
    <w:p w:rsidR="004B1177" w:rsidRPr="00B548CC" w:rsidRDefault="00683BFD" w:rsidP="00683BFD">
      <w:pPr>
        <w:pStyle w:val="SingleTxtG"/>
        <w:ind w:firstLine="567"/>
        <w:rPr>
          <w:b/>
        </w:rPr>
      </w:pPr>
      <w:r w:rsidRPr="00B548CC">
        <w:rPr>
          <w:bCs/>
        </w:rPr>
        <w:t>(a)</w:t>
      </w:r>
      <w:r w:rsidRPr="00B548CC">
        <w:rPr>
          <w:bCs/>
        </w:rPr>
        <w:tab/>
      </w:r>
      <w:r w:rsidR="004B1177" w:rsidRPr="00B548CC">
        <w:rPr>
          <w:b/>
        </w:rPr>
        <w:t xml:space="preserve">Relocate uranium tailings, </w:t>
      </w:r>
      <w:r w:rsidR="00D51D25" w:rsidRPr="00683BFD">
        <w:rPr>
          <w:b/>
          <w:bCs/>
        </w:rPr>
        <w:t>pesticides that are</w:t>
      </w:r>
      <w:r w:rsidR="00D51D25">
        <w:t xml:space="preserve"> </w:t>
      </w:r>
      <w:r w:rsidR="00F85BA7" w:rsidRPr="00F57D0F">
        <w:rPr>
          <w:b/>
          <w:bCs/>
        </w:rPr>
        <w:t>persistent</w:t>
      </w:r>
      <w:r w:rsidR="00AC74C4">
        <w:rPr>
          <w:b/>
          <w:bCs/>
        </w:rPr>
        <w:t xml:space="preserve"> </w:t>
      </w:r>
      <w:r w:rsidR="00F85BA7" w:rsidRPr="00F57D0F">
        <w:rPr>
          <w:b/>
          <w:bCs/>
        </w:rPr>
        <w:t>organic</w:t>
      </w:r>
      <w:r w:rsidR="00AC74C4">
        <w:rPr>
          <w:b/>
          <w:bCs/>
        </w:rPr>
        <w:t xml:space="preserve"> </w:t>
      </w:r>
      <w:r w:rsidR="00F85BA7" w:rsidRPr="00F57D0F">
        <w:rPr>
          <w:b/>
          <w:bCs/>
        </w:rPr>
        <w:t>pollutant</w:t>
      </w:r>
      <w:r w:rsidR="004B1177" w:rsidRPr="00B548CC">
        <w:rPr>
          <w:b/>
        </w:rPr>
        <w:t>s and radioactive and hazardous waste;</w:t>
      </w:r>
    </w:p>
    <w:p w:rsidR="004B1177" w:rsidRPr="00B548CC" w:rsidRDefault="00683BFD" w:rsidP="00683BFD">
      <w:pPr>
        <w:pStyle w:val="SingleTxtG"/>
        <w:ind w:firstLine="567"/>
        <w:rPr>
          <w:b/>
        </w:rPr>
      </w:pPr>
      <w:r w:rsidRPr="00B548CC">
        <w:rPr>
          <w:bCs/>
        </w:rPr>
        <w:t>(b)</w:t>
      </w:r>
      <w:r w:rsidRPr="00B548CC">
        <w:rPr>
          <w:bCs/>
        </w:rPr>
        <w:tab/>
      </w:r>
      <w:r w:rsidR="004B1177" w:rsidRPr="00B548CC">
        <w:rPr>
          <w:b/>
        </w:rPr>
        <w:t>Close the mine in Khaidarkan and take measures to provide access to other economic activities in the region;</w:t>
      </w:r>
    </w:p>
    <w:p w:rsidR="004B1177" w:rsidRPr="00B548CC" w:rsidRDefault="00683BFD" w:rsidP="00683BFD">
      <w:pPr>
        <w:pStyle w:val="SingleTxtG"/>
        <w:ind w:firstLine="567"/>
        <w:rPr>
          <w:b/>
        </w:rPr>
      </w:pPr>
      <w:r w:rsidRPr="00B548CC">
        <w:rPr>
          <w:bCs/>
        </w:rPr>
        <w:t>(c)</w:t>
      </w:r>
      <w:r w:rsidRPr="00B548CC">
        <w:rPr>
          <w:bCs/>
        </w:rPr>
        <w:tab/>
      </w:r>
      <w:r w:rsidR="004B1177" w:rsidRPr="00B548CC">
        <w:rPr>
          <w:b/>
        </w:rPr>
        <w:t xml:space="preserve">Ensure that residential areas are not </w:t>
      </w:r>
      <w:r w:rsidR="007A1D92">
        <w:rPr>
          <w:b/>
        </w:rPr>
        <w:t>located</w:t>
      </w:r>
      <w:r w:rsidR="004B1177" w:rsidRPr="00B548CC">
        <w:rPr>
          <w:b/>
        </w:rPr>
        <w:t xml:space="preserve"> on or close to contaminated ground;</w:t>
      </w:r>
    </w:p>
    <w:p w:rsidR="004B1177" w:rsidRPr="00B548CC" w:rsidRDefault="00683BFD" w:rsidP="00683BFD">
      <w:pPr>
        <w:pStyle w:val="SingleTxtG"/>
        <w:ind w:firstLine="567"/>
        <w:rPr>
          <w:b/>
        </w:rPr>
      </w:pPr>
      <w:r w:rsidRPr="00B548CC">
        <w:rPr>
          <w:bCs/>
        </w:rPr>
        <w:t>(d)</w:t>
      </w:r>
      <w:r w:rsidRPr="00B548CC">
        <w:rPr>
          <w:bCs/>
        </w:rPr>
        <w:tab/>
      </w:r>
      <w:r w:rsidR="004B1177" w:rsidRPr="00B548CC">
        <w:rPr>
          <w:b/>
        </w:rPr>
        <w:t>Reduce industrial pollution and enforce the prohibition of certain pesticides;</w:t>
      </w:r>
    </w:p>
    <w:p w:rsidR="004B1177" w:rsidRPr="00B548CC" w:rsidRDefault="00683BFD" w:rsidP="00683BFD">
      <w:pPr>
        <w:pStyle w:val="SingleTxtG"/>
        <w:ind w:firstLine="567"/>
        <w:rPr>
          <w:b/>
        </w:rPr>
      </w:pPr>
      <w:r w:rsidRPr="00B548CC">
        <w:rPr>
          <w:bCs/>
        </w:rPr>
        <w:t>(e)</w:t>
      </w:r>
      <w:r w:rsidRPr="00B548CC">
        <w:rPr>
          <w:bCs/>
        </w:rPr>
        <w:tab/>
      </w:r>
      <w:r w:rsidR="004B1177" w:rsidRPr="00B548CC">
        <w:rPr>
          <w:b/>
        </w:rPr>
        <w:t>Establish normative framework</w:t>
      </w:r>
      <w:r w:rsidR="0016763C">
        <w:rPr>
          <w:b/>
        </w:rPr>
        <w:t>s</w:t>
      </w:r>
      <w:r w:rsidR="004B1177" w:rsidRPr="00B548CC">
        <w:rPr>
          <w:b/>
        </w:rPr>
        <w:t xml:space="preserve"> on radiation and nuclear safety, as well as on pollution and chemicals management, </w:t>
      </w:r>
      <w:r w:rsidR="0016763C">
        <w:rPr>
          <w:b/>
        </w:rPr>
        <w:t>that</w:t>
      </w:r>
      <w:r w:rsidR="004B1177" w:rsidRPr="00B548CC">
        <w:rPr>
          <w:b/>
        </w:rPr>
        <w:t xml:space="preserve"> are in line with international standards;</w:t>
      </w:r>
    </w:p>
    <w:p w:rsidR="004B1177" w:rsidRPr="00B548CC" w:rsidRDefault="00683BFD" w:rsidP="00683BFD">
      <w:pPr>
        <w:pStyle w:val="SingleTxtG"/>
        <w:ind w:firstLine="567"/>
        <w:rPr>
          <w:b/>
        </w:rPr>
      </w:pPr>
      <w:r w:rsidRPr="00B548CC">
        <w:rPr>
          <w:bCs/>
        </w:rPr>
        <w:t>(f)</w:t>
      </w:r>
      <w:r w:rsidRPr="00B548CC">
        <w:rPr>
          <w:bCs/>
        </w:rPr>
        <w:tab/>
      </w:r>
      <w:r w:rsidR="004B1177" w:rsidRPr="00B548CC">
        <w:rPr>
          <w:b/>
        </w:rPr>
        <w:t>Carry out awareness</w:t>
      </w:r>
      <w:r w:rsidR="0016763C">
        <w:rPr>
          <w:b/>
        </w:rPr>
        <w:t>-</w:t>
      </w:r>
      <w:r w:rsidR="004B1177" w:rsidRPr="00B548CC">
        <w:rPr>
          <w:b/>
        </w:rPr>
        <w:t>raising campaigns on the presence and risks of radioactive and toxic substances</w:t>
      </w:r>
      <w:r w:rsidR="0016763C">
        <w:rPr>
          <w:b/>
        </w:rPr>
        <w:t>,</w:t>
      </w:r>
      <w:r w:rsidR="004B1177" w:rsidRPr="00B548CC">
        <w:rPr>
          <w:b/>
        </w:rPr>
        <w:t xml:space="preserve"> as well as on safety measures to minimize risks.</w:t>
      </w:r>
    </w:p>
    <w:p w:rsidR="004B1177" w:rsidRPr="00E03F84" w:rsidRDefault="00B548CC" w:rsidP="00B548CC">
      <w:pPr>
        <w:pStyle w:val="H23G"/>
        <w:rPr>
          <w:lang w:val="en-US"/>
        </w:rPr>
      </w:pPr>
      <w:r>
        <w:rPr>
          <w:lang w:val="en-US"/>
        </w:rPr>
        <w:tab/>
      </w:r>
      <w:r>
        <w:rPr>
          <w:lang w:val="en-US"/>
        </w:rPr>
        <w:tab/>
      </w:r>
      <w:r w:rsidR="004B1177" w:rsidRPr="00E03F84">
        <w:rPr>
          <w:lang w:val="en-US"/>
        </w:rPr>
        <w:t>Access to education</w:t>
      </w:r>
    </w:p>
    <w:p w:rsidR="004B1177" w:rsidRPr="00CE7C3E" w:rsidRDefault="00683BFD" w:rsidP="00683BFD">
      <w:pPr>
        <w:pStyle w:val="SingleTxtG"/>
      </w:pPr>
      <w:r w:rsidRPr="00CE7C3E">
        <w:t>26.</w:t>
      </w:r>
      <w:r w:rsidRPr="00CE7C3E">
        <w:tab/>
      </w:r>
      <w:r w:rsidR="004B1177" w:rsidRPr="00CE7C3E">
        <w:t xml:space="preserve">The Committee is concerned </w:t>
      </w:r>
      <w:r w:rsidR="0016763C">
        <w:t>that a</w:t>
      </w:r>
      <w:r w:rsidR="004B1177" w:rsidRPr="00CE7C3E">
        <w:t xml:space="preserve"> high number of children have never been to school or drop out </w:t>
      </w:r>
      <w:r w:rsidR="004B1177" w:rsidRPr="00290711">
        <w:t>of</w:t>
      </w:r>
      <w:r w:rsidR="004B1177" w:rsidRPr="00CE7C3E">
        <w:t xml:space="preserve"> school, including many children with disabilities. The Committee is also concerned about the hidden costs of education and that many schools require administrative fees, as they receive insufficient </w:t>
      </w:r>
      <w:r w:rsidR="0016763C">
        <w:t>S</w:t>
      </w:r>
      <w:r w:rsidR="004B1177" w:rsidRPr="00CE7C3E">
        <w:t>tate support (arts.</w:t>
      </w:r>
      <w:r w:rsidR="006537A5">
        <w:t> </w:t>
      </w:r>
      <w:r w:rsidR="004B1177" w:rsidRPr="00CE7C3E">
        <w:t xml:space="preserve">13 </w:t>
      </w:r>
      <w:r w:rsidR="00290711">
        <w:t>and</w:t>
      </w:r>
      <w:r w:rsidR="004B1177" w:rsidRPr="00CE7C3E">
        <w:t xml:space="preserve"> 14).</w:t>
      </w:r>
    </w:p>
    <w:p w:rsidR="00290711" w:rsidRDefault="004B1177" w:rsidP="00683BFD">
      <w:pPr>
        <w:pStyle w:val="SingleTxtG"/>
      </w:pPr>
      <w:r w:rsidRPr="007A1D92">
        <w:rPr>
          <w:b/>
          <w:bCs/>
        </w:rPr>
        <w:t>The Committee</w:t>
      </w:r>
      <w:r w:rsidR="00EA5C4B" w:rsidRPr="007A1D92">
        <w:rPr>
          <w:b/>
          <w:bCs/>
        </w:rPr>
        <w:t xml:space="preserve"> </w:t>
      </w:r>
      <w:r w:rsidR="0016763C">
        <w:rPr>
          <w:b/>
          <w:bCs/>
        </w:rPr>
        <w:t>draws</w:t>
      </w:r>
      <w:r w:rsidR="00EA5C4B" w:rsidRPr="007A1D92">
        <w:rPr>
          <w:b/>
          <w:bCs/>
        </w:rPr>
        <w:t xml:space="preserve"> attention to</w:t>
      </w:r>
      <w:r w:rsidR="00990085" w:rsidRPr="007A1D92">
        <w:rPr>
          <w:b/>
          <w:bCs/>
        </w:rPr>
        <w:t xml:space="preserve"> its g</w:t>
      </w:r>
      <w:r w:rsidR="00EA5C4B" w:rsidRPr="007A1D92">
        <w:rPr>
          <w:b/>
          <w:bCs/>
        </w:rPr>
        <w:t>ener</w:t>
      </w:r>
      <w:r w:rsidR="00990085" w:rsidRPr="007A1D92">
        <w:rPr>
          <w:b/>
          <w:bCs/>
        </w:rPr>
        <w:t>al c</w:t>
      </w:r>
      <w:r w:rsidR="00EA5C4B" w:rsidRPr="007A1D92">
        <w:rPr>
          <w:b/>
          <w:bCs/>
        </w:rPr>
        <w:t>omment</w:t>
      </w:r>
      <w:r w:rsidR="00D911BB" w:rsidRPr="007A1D92">
        <w:rPr>
          <w:b/>
          <w:bCs/>
        </w:rPr>
        <w:t xml:space="preserve"> No. </w:t>
      </w:r>
      <w:r w:rsidR="004A0674" w:rsidRPr="007A1D92">
        <w:rPr>
          <w:b/>
          <w:bCs/>
        </w:rPr>
        <w:t xml:space="preserve">13 (1999) </w:t>
      </w:r>
      <w:r w:rsidR="00EA5C4B" w:rsidRPr="007A1D92">
        <w:rPr>
          <w:b/>
          <w:bCs/>
        </w:rPr>
        <w:t xml:space="preserve">on the right to education and </w:t>
      </w:r>
      <w:r w:rsidRPr="007A1D92">
        <w:rPr>
          <w:b/>
          <w:bCs/>
        </w:rPr>
        <w:t xml:space="preserve">recommends that the State party increase budgetary allocations to education to ensure free access to quality education, including to inclusive education, </w:t>
      </w:r>
      <w:r w:rsidR="0016763C">
        <w:rPr>
          <w:b/>
          <w:bCs/>
        </w:rPr>
        <w:t>and</w:t>
      </w:r>
      <w:r w:rsidRPr="007A1D92">
        <w:rPr>
          <w:b/>
          <w:bCs/>
          <w:szCs w:val="24"/>
        </w:rPr>
        <w:t xml:space="preserve"> provide families who live in poverty with adequate support to cover the hidden costs of education.</w:t>
      </w:r>
    </w:p>
    <w:p w:rsidR="007E2790" w:rsidRDefault="00290711">
      <w:pPr>
        <w:pStyle w:val="H23G"/>
        <w:rPr>
          <w:lang w:eastAsia="en-GB"/>
        </w:rPr>
      </w:pPr>
      <w:r>
        <w:rPr>
          <w:lang w:eastAsia="en-GB"/>
        </w:rPr>
        <w:tab/>
      </w:r>
      <w:r>
        <w:rPr>
          <w:lang w:eastAsia="en-GB"/>
        </w:rPr>
        <w:tab/>
      </w:r>
      <w:r w:rsidR="007E2790">
        <w:rPr>
          <w:lang w:eastAsia="en-GB"/>
        </w:rPr>
        <w:t xml:space="preserve">Cultural rights </w:t>
      </w:r>
    </w:p>
    <w:p w:rsidR="0093539B" w:rsidRPr="00CE7C3E" w:rsidRDefault="00683BFD" w:rsidP="00683BFD">
      <w:pPr>
        <w:pStyle w:val="SingleTxtG"/>
      </w:pPr>
      <w:r w:rsidRPr="00CE7C3E">
        <w:t>27.</w:t>
      </w:r>
      <w:r w:rsidRPr="00CE7C3E">
        <w:tab/>
      </w:r>
      <w:r w:rsidR="007E2790" w:rsidRPr="00CE7C3E">
        <w:t>The Committee is concerned about the limited and decreasing use of minority languages</w:t>
      </w:r>
      <w:r w:rsidR="0016763C">
        <w:t>,</w:t>
      </w:r>
      <w:r w:rsidR="007E2790" w:rsidRPr="00CE7C3E">
        <w:t xml:space="preserve"> </w:t>
      </w:r>
      <w:r w:rsidR="0016763C" w:rsidRPr="00CE7C3E">
        <w:t>particularly Uzbek</w:t>
      </w:r>
      <w:r w:rsidR="0016763C">
        <w:t xml:space="preserve">, </w:t>
      </w:r>
      <w:r w:rsidR="007E2790" w:rsidRPr="00CE7C3E">
        <w:t>in education, the media and cultural life (</w:t>
      </w:r>
      <w:r w:rsidR="00D54F68">
        <w:t>art. </w:t>
      </w:r>
      <w:r w:rsidR="007E2790" w:rsidRPr="00CE7C3E">
        <w:t xml:space="preserve">15). </w:t>
      </w:r>
    </w:p>
    <w:p w:rsidR="007D0C58" w:rsidRPr="007A1D92" w:rsidRDefault="007E2790" w:rsidP="00CD1BA2">
      <w:pPr>
        <w:pStyle w:val="SingleTxtG"/>
        <w:rPr>
          <w:b/>
          <w:lang w:val="en-US" w:eastAsia="de-DE"/>
        </w:rPr>
      </w:pPr>
      <w:r w:rsidRPr="007A1D92">
        <w:rPr>
          <w:b/>
          <w:lang w:eastAsia="en-GB"/>
        </w:rPr>
        <w:t>The Committee recommends that the State party allocate specific budgetary resources to promot</w:t>
      </w:r>
      <w:r w:rsidR="0016763C">
        <w:rPr>
          <w:b/>
          <w:lang w:eastAsia="en-GB"/>
        </w:rPr>
        <w:t>ing</w:t>
      </w:r>
      <w:r w:rsidRPr="007A1D92">
        <w:rPr>
          <w:b/>
          <w:lang w:eastAsia="en-GB"/>
        </w:rPr>
        <w:t xml:space="preserve"> the cultural diversity of ethnic minorities, allow mother tongue education and minority language press, and enable all groups to express and develop their culture, language, traditions and customs.</w:t>
      </w:r>
    </w:p>
    <w:p w:rsidR="004B1177" w:rsidRPr="00E03F84" w:rsidRDefault="00290711" w:rsidP="00683BFD">
      <w:pPr>
        <w:pStyle w:val="H1G"/>
        <w:rPr>
          <w:lang w:eastAsia="de-DE"/>
        </w:rPr>
      </w:pPr>
      <w:r w:rsidRPr="00F57D0F">
        <w:rPr>
          <w:lang w:val="en-US"/>
        </w:rPr>
        <w:tab/>
      </w:r>
      <w:r w:rsidR="007D0C58" w:rsidRPr="00683BFD">
        <w:t>D</w:t>
      </w:r>
      <w:r w:rsidR="007D0C58">
        <w:rPr>
          <w:lang w:eastAsia="de-DE"/>
        </w:rPr>
        <w:t>.</w:t>
      </w:r>
      <w:r w:rsidR="007D0C58" w:rsidRPr="00CB27E2">
        <w:rPr>
          <w:lang w:val="en-GB" w:eastAsia="de-DE"/>
        </w:rPr>
        <w:tab/>
      </w:r>
      <w:r w:rsidR="004B1177" w:rsidRPr="00E03F84">
        <w:rPr>
          <w:lang w:eastAsia="de-DE"/>
        </w:rPr>
        <w:t xml:space="preserve">Other recommendations </w:t>
      </w:r>
    </w:p>
    <w:p w:rsidR="004B1177" w:rsidRPr="007D0C58" w:rsidRDefault="00683BFD" w:rsidP="00683BFD">
      <w:pPr>
        <w:pStyle w:val="SingleTxtG"/>
        <w:rPr>
          <w:b/>
        </w:rPr>
      </w:pPr>
      <w:r w:rsidRPr="007D0C58">
        <w:t>28.</w:t>
      </w:r>
      <w:r w:rsidRPr="007D0C58">
        <w:tab/>
      </w:r>
      <w:r w:rsidR="004B1177" w:rsidRPr="007D0C58">
        <w:rPr>
          <w:b/>
        </w:rPr>
        <w:t xml:space="preserve">The Committee encourages the State party to consider ratifying the Optional Protocol to the International Covenant on Economic, Social and Cultural Rights. </w:t>
      </w:r>
    </w:p>
    <w:p w:rsidR="004B1177" w:rsidRPr="007D0C58" w:rsidRDefault="00683BFD" w:rsidP="00683BFD">
      <w:pPr>
        <w:pStyle w:val="SingleTxtG"/>
        <w:rPr>
          <w:b/>
        </w:rPr>
      </w:pPr>
      <w:r w:rsidRPr="007D0C58">
        <w:t>29.</w:t>
      </w:r>
      <w:r w:rsidRPr="007D0C58">
        <w:tab/>
      </w:r>
      <w:r w:rsidR="004B1177" w:rsidRPr="007D0C58">
        <w:rPr>
          <w:b/>
        </w:rPr>
        <w:t>The Committee encourages the State party to consider ratifying</w:t>
      </w:r>
      <w:r w:rsidR="0016763C">
        <w:rPr>
          <w:b/>
        </w:rPr>
        <w:t>,</w:t>
      </w:r>
      <w:r w:rsidR="004B1177" w:rsidRPr="007D0C58">
        <w:rPr>
          <w:b/>
        </w:rPr>
        <w:t xml:space="preserve"> as soon as possible</w:t>
      </w:r>
      <w:r w:rsidR="0016763C">
        <w:rPr>
          <w:b/>
        </w:rPr>
        <w:t>,</w:t>
      </w:r>
      <w:r w:rsidR="004B1177" w:rsidRPr="007D0C58">
        <w:rPr>
          <w:b/>
        </w:rPr>
        <w:t xml:space="preserve"> the Convention on the Rights of Persons with Disabilities.</w:t>
      </w:r>
    </w:p>
    <w:p w:rsidR="004B1177" w:rsidRPr="007D0C58" w:rsidRDefault="00683BFD" w:rsidP="00683BFD">
      <w:pPr>
        <w:pStyle w:val="SingleTxtG"/>
        <w:rPr>
          <w:b/>
        </w:rPr>
      </w:pPr>
      <w:r w:rsidRPr="007D0C58">
        <w:t>30.</w:t>
      </w:r>
      <w:r w:rsidRPr="007D0C58">
        <w:tab/>
      </w:r>
      <w:r w:rsidR="004B1177" w:rsidRPr="007D0C58">
        <w:rPr>
          <w:b/>
        </w:rPr>
        <w:t xml:space="preserve">The Committee encourages the State party to extend standing invitations to </w:t>
      </w:r>
      <w:r w:rsidR="0016763C">
        <w:rPr>
          <w:b/>
        </w:rPr>
        <w:t>s</w:t>
      </w:r>
      <w:r w:rsidR="004B1177" w:rsidRPr="007D0C58">
        <w:rPr>
          <w:b/>
        </w:rPr>
        <w:t xml:space="preserve">pecial </w:t>
      </w:r>
      <w:r w:rsidR="0016763C">
        <w:rPr>
          <w:b/>
        </w:rPr>
        <w:t>r</w:t>
      </w:r>
      <w:r w:rsidR="004B1177" w:rsidRPr="007D0C58">
        <w:rPr>
          <w:b/>
        </w:rPr>
        <w:t>apporteurs with mandates relevant to economic, social and cultural rights.</w:t>
      </w:r>
    </w:p>
    <w:p w:rsidR="004B1177" w:rsidRPr="007D0C58" w:rsidRDefault="00683BFD" w:rsidP="00683BFD">
      <w:pPr>
        <w:pStyle w:val="SingleTxtG"/>
        <w:rPr>
          <w:b/>
        </w:rPr>
      </w:pPr>
      <w:r w:rsidRPr="007D0C58">
        <w:t>31.</w:t>
      </w:r>
      <w:r w:rsidRPr="007D0C58">
        <w:tab/>
      </w:r>
      <w:r w:rsidR="004B1177" w:rsidRPr="007D0C58">
        <w:rPr>
          <w:b/>
        </w:rPr>
        <w:t xml:space="preserve">The Committee requests that the State party disseminate the present concluding observations widely among all levels of society, particularly government officials, members of </w:t>
      </w:r>
      <w:r w:rsidR="00DE33CB">
        <w:rPr>
          <w:b/>
        </w:rPr>
        <w:t>p</w:t>
      </w:r>
      <w:r w:rsidR="004B1177" w:rsidRPr="007D0C58">
        <w:rPr>
          <w:b/>
        </w:rPr>
        <w:t xml:space="preserve">arliament, judicial authorities and civil society organizations, and inform the Committee, in its next periodic report, on all steps taken to implement them. It also encourages the State party to engage non-governmental organizations and other members of civil society in the process of discussion at the national level prior to the submission of its next periodic report and in the consultation on follow-up measures to the present concluding observations. </w:t>
      </w:r>
    </w:p>
    <w:p w:rsidR="004B1177" w:rsidRPr="007D0C58" w:rsidRDefault="00683BFD" w:rsidP="00683BFD">
      <w:pPr>
        <w:pStyle w:val="SingleTxtG"/>
        <w:rPr>
          <w:b/>
        </w:rPr>
      </w:pPr>
      <w:r w:rsidRPr="007D0C58">
        <w:t>32.</w:t>
      </w:r>
      <w:r w:rsidRPr="007D0C58">
        <w:tab/>
      </w:r>
      <w:r w:rsidR="004B1177" w:rsidRPr="007D0C58">
        <w:rPr>
          <w:b/>
        </w:rPr>
        <w:t>The Committee encourages the State party to engage civil society organizations in constructive cooperation in order to implement the</w:t>
      </w:r>
      <w:r w:rsidR="0016763C">
        <w:rPr>
          <w:b/>
        </w:rPr>
        <w:t xml:space="preserve"> present</w:t>
      </w:r>
      <w:r w:rsidR="004B1177" w:rsidRPr="007D0C58">
        <w:rPr>
          <w:b/>
        </w:rPr>
        <w:t xml:space="preserve"> concluding observations </w:t>
      </w:r>
      <w:r w:rsidR="0016763C" w:rsidRPr="007D0C58">
        <w:rPr>
          <w:b/>
        </w:rPr>
        <w:t>at the national level</w:t>
      </w:r>
      <w:r w:rsidR="007100CD">
        <w:rPr>
          <w:b/>
        </w:rPr>
        <w:t>,</w:t>
      </w:r>
      <w:r w:rsidR="0016763C" w:rsidRPr="007D0C58">
        <w:rPr>
          <w:b/>
        </w:rPr>
        <w:t xml:space="preserve"> </w:t>
      </w:r>
      <w:r w:rsidR="004B1177" w:rsidRPr="007D0C58">
        <w:rPr>
          <w:b/>
        </w:rPr>
        <w:t>as well as for the preparation and submission of its next periodic report.</w:t>
      </w:r>
    </w:p>
    <w:p w:rsidR="004B1177" w:rsidRPr="007D0C58" w:rsidRDefault="00683BFD" w:rsidP="00683BFD">
      <w:pPr>
        <w:pStyle w:val="SingleTxtG"/>
      </w:pPr>
      <w:r w:rsidRPr="007D0C58">
        <w:t>33.</w:t>
      </w:r>
      <w:r w:rsidRPr="007D0C58">
        <w:tab/>
      </w:r>
      <w:r w:rsidR="004B1177" w:rsidRPr="007D0C58">
        <w:rPr>
          <w:b/>
        </w:rPr>
        <w:t xml:space="preserve">The Committee requests the State party to submit its </w:t>
      </w:r>
      <w:r w:rsidR="0016763C">
        <w:rPr>
          <w:b/>
        </w:rPr>
        <w:t>four</w:t>
      </w:r>
      <w:r w:rsidR="004B1177" w:rsidRPr="007D0C58">
        <w:rPr>
          <w:b/>
        </w:rPr>
        <w:t>th periodic report by 30 June 2020, and invites the State party to update its common core document in accordance with the harmonized guidelines on reporting under the international human rights treaties (</w:t>
      </w:r>
      <w:r w:rsidR="0016763C">
        <w:rPr>
          <w:b/>
        </w:rPr>
        <w:t xml:space="preserve">see </w:t>
      </w:r>
      <w:r w:rsidR="004B1177" w:rsidRPr="007D0C58">
        <w:rPr>
          <w:b/>
        </w:rPr>
        <w:t>HRI/GEN/2/Rev.6, chap.</w:t>
      </w:r>
      <w:r w:rsidR="006537A5">
        <w:rPr>
          <w:b/>
        </w:rPr>
        <w:t> </w:t>
      </w:r>
      <w:r w:rsidR="004B1177" w:rsidRPr="007D0C58">
        <w:rPr>
          <w:b/>
        </w:rPr>
        <w:t xml:space="preserve">I). The Committee also invites the State party to </w:t>
      </w:r>
      <w:r w:rsidR="0016763C">
        <w:rPr>
          <w:b/>
        </w:rPr>
        <w:t>m</w:t>
      </w:r>
      <w:r w:rsidR="004B1177" w:rsidRPr="007D0C58">
        <w:rPr>
          <w:b/>
        </w:rPr>
        <w:t xml:space="preserve">ake efforts to update its data on all issues </w:t>
      </w:r>
      <w:r w:rsidR="007100CD">
        <w:rPr>
          <w:b/>
        </w:rPr>
        <w:t>of</w:t>
      </w:r>
      <w:r w:rsidR="004B1177" w:rsidRPr="007D0C58">
        <w:rPr>
          <w:b/>
        </w:rPr>
        <w:t xml:space="preserve"> relevan</w:t>
      </w:r>
      <w:r w:rsidR="007100CD">
        <w:rPr>
          <w:b/>
        </w:rPr>
        <w:t>ce</w:t>
      </w:r>
      <w:r w:rsidR="004B1177" w:rsidRPr="007D0C58">
        <w:rPr>
          <w:b/>
        </w:rPr>
        <w:t xml:space="preserve"> to the Covenant. </w:t>
      </w:r>
    </w:p>
    <w:p w:rsidR="007D0C58" w:rsidRPr="00C70684" w:rsidRDefault="007D0C58" w:rsidP="007D0C58">
      <w:pPr>
        <w:pStyle w:val="SingleTxtG"/>
        <w:spacing w:before="240" w:after="0"/>
        <w:jc w:val="center"/>
        <w:rPr>
          <w:u w:val="single"/>
        </w:rPr>
      </w:pPr>
      <w:r w:rsidRPr="005D15EF">
        <w:rPr>
          <w:u w:val="single"/>
        </w:rPr>
        <w:tab/>
      </w:r>
      <w:r w:rsidRPr="005D15EF">
        <w:rPr>
          <w:u w:val="single"/>
        </w:rPr>
        <w:tab/>
      </w:r>
      <w:r w:rsidRPr="005D15EF">
        <w:rPr>
          <w:u w:val="single"/>
        </w:rPr>
        <w:tab/>
      </w:r>
    </w:p>
    <w:p w:rsidR="004B1177" w:rsidRPr="009842B9" w:rsidRDefault="004B1177">
      <w:pPr>
        <w:pStyle w:val="SingleTxtG"/>
        <w:tabs>
          <w:tab w:val="left" w:pos="1701"/>
        </w:tabs>
        <w:rPr>
          <w:color w:val="0000FF"/>
        </w:rPr>
      </w:pPr>
    </w:p>
    <w:sectPr w:rsidR="004B1177" w:rsidRPr="009842B9" w:rsidSect="00B86227">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7T16:42:00Z" w:initials="Start">
    <w:p w:rsidR="00B86227" w:rsidRDefault="00B862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NO&gt;&gt;N1515029E&lt;&lt;ODS JOB NO&gt;&gt;</w:t>
      </w:r>
    </w:p>
    <w:p w:rsidR="00B86227" w:rsidRDefault="00B86227">
      <w:pPr>
        <w:pStyle w:val="CommentText"/>
      </w:pPr>
      <w:r>
        <w:t>&lt;&lt;ODS DOC SYMBOL1&gt;&gt;E/C.12/KGZ/CO/2-3&lt;&lt;ODS DOC SYMBOL1&gt;&gt;</w:t>
      </w:r>
    </w:p>
    <w:p w:rsidR="00B86227" w:rsidRDefault="00B8622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3F" w:rsidRDefault="00DB423F"/>
  </w:endnote>
  <w:endnote w:type="continuationSeparator" w:id="0">
    <w:p w:rsidR="00DB423F" w:rsidRDefault="00DB423F"/>
  </w:endnote>
  <w:endnote w:type="continuationNotice" w:id="1">
    <w:p w:rsidR="00DB423F" w:rsidRDefault="00DB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3F" w:rsidRPr="0024165B" w:rsidRDefault="00DB423F" w:rsidP="004B1177">
    <w:pPr>
      <w:pStyle w:val="Footer"/>
      <w:tabs>
        <w:tab w:val="right" w:pos="9598"/>
      </w:tabs>
    </w:pPr>
    <w:r w:rsidRPr="0024165B">
      <w:rPr>
        <w:b/>
        <w:sz w:val="18"/>
      </w:rPr>
      <w:fldChar w:fldCharType="begin"/>
    </w:r>
    <w:r w:rsidRPr="0024165B">
      <w:rPr>
        <w:b/>
        <w:sz w:val="18"/>
      </w:rPr>
      <w:instrText xml:space="preserve"> </w:instrText>
    </w:r>
    <w:r>
      <w:rPr>
        <w:b/>
        <w:sz w:val="18"/>
      </w:rPr>
      <w:instrText>PAGE</w:instrText>
    </w:r>
    <w:r w:rsidRPr="0024165B">
      <w:rPr>
        <w:b/>
        <w:sz w:val="18"/>
      </w:rPr>
      <w:instrText xml:space="preserve">  \* MERGEFORMAT </w:instrText>
    </w:r>
    <w:r w:rsidRPr="0024165B">
      <w:rPr>
        <w:b/>
        <w:sz w:val="18"/>
      </w:rPr>
      <w:fldChar w:fldCharType="separate"/>
    </w:r>
    <w:r w:rsidR="00CE19F6">
      <w:rPr>
        <w:b/>
        <w:noProof/>
        <w:sz w:val="18"/>
      </w:rPr>
      <w:t>10</w:t>
    </w:r>
    <w:r w:rsidRPr="002416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3F" w:rsidRPr="0024165B" w:rsidRDefault="00DB423F" w:rsidP="00C03769">
    <w:pPr>
      <w:pStyle w:val="Footer"/>
      <w:tabs>
        <w:tab w:val="right" w:pos="9598"/>
      </w:tabs>
      <w:rPr>
        <w:b/>
        <w:sz w:val="18"/>
      </w:rPr>
    </w:pPr>
    <w:r>
      <w:tab/>
    </w:r>
    <w:r w:rsidRPr="0024165B">
      <w:rPr>
        <w:b/>
        <w:sz w:val="18"/>
      </w:rPr>
      <w:fldChar w:fldCharType="begin"/>
    </w:r>
    <w:r w:rsidRPr="0024165B">
      <w:rPr>
        <w:b/>
        <w:sz w:val="18"/>
      </w:rPr>
      <w:instrText xml:space="preserve"> </w:instrText>
    </w:r>
    <w:r>
      <w:rPr>
        <w:b/>
        <w:sz w:val="18"/>
      </w:rPr>
      <w:instrText>PAGE</w:instrText>
    </w:r>
    <w:r w:rsidRPr="0024165B">
      <w:rPr>
        <w:b/>
        <w:sz w:val="18"/>
      </w:rPr>
      <w:instrText xml:space="preserve">  \* MERGEFORMAT </w:instrText>
    </w:r>
    <w:r w:rsidRPr="0024165B">
      <w:rPr>
        <w:b/>
        <w:sz w:val="18"/>
      </w:rPr>
      <w:fldChar w:fldCharType="separate"/>
    </w:r>
    <w:r w:rsidR="00CE19F6">
      <w:rPr>
        <w:b/>
        <w:noProof/>
        <w:sz w:val="18"/>
      </w:rPr>
      <w:t>9</w:t>
    </w:r>
    <w:r w:rsidRPr="00241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86227" w:rsidTr="00B86227">
      <w:tc>
        <w:tcPr>
          <w:tcW w:w="3614" w:type="dxa"/>
          <w:shd w:val="clear" w:color="auto" w:fill="auto"/>
        </w:tcPr>
        <w:p w:rsidR="00B86227" w:rsidRDefault="00B86227" w:rsidP="00B86227">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KGZ/CO/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KGZ/CO/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GE.15-11212(E)</w:t>
          </w:r>
        </w:p>
        <w:p w:rsidR="00B86227" w:rsidRPr="00B86227" w:rsidRDefault="00B86227" w:rsidP="00B86227">
          <w:pPr>
            <w:pStyle w:val="Footer"/>
            <w:rPr>
              <w:rFonts w:ascii="Barcode 3 of 9 by request" w:hAnsi="Barcode 3 of 9 by request"/>
              <w:sz w:val="24"/>
            </w:rPr>
          </w:pPr>
          <w:r>
            <w:rPr>
              <w:rFonts w:ascii="Barcode 3 of 9 by request" w:hAnsi="Barcode 3 of 9 by request"/>
              <w:sz w:val="24"/>
            </w:rPr>
            <w:t>*1511212*</w:t>
          </w:r>
        </w:p>
      </w:tc>
      <w:tc>
        <w:tcPr>
          <w:tcW w:w="4752" w:type="dxa"/>
          <w:shd w:val="clear" w:color="auto" w:fill="auto"/>
        </w:tcPr>
        <w:p w:rsidR="00B86227" w:rsidRDefault="00B86227" w:rsidP="00B86227">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86227" w:rsidRPr="00B86227" w:rsidRDefault="00B86227" w:rsidP="00B8622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3F" w:rsidRPr="000B175B" w:rsidRDefault="00DB423F" w:rsidP="004B1177">
      <w:pPr>
        <w:tabs>
          <w:tab w:val="right" w:pos="2155"/>
        </w:tabs>
        <w:spacing w:after="80"/>
        <w:ind w:left="680"/>
        <w:rPr>
          <w:u w:val="single"/>
        </w:rPr>
      </w:pPr>
      <w:r>
        <w:rPr>
          <w:u w:val="single"/>
        </w:rPr>
        <w:tab/>
      </w:r>
    </w:p>
  </w:footnote>
  <w:footnote w:type="continuationSeparator" w:id="0">
    <w:p w:rsidR="00DB423F" w:rsidRPr="00FC68B7" w:rsidRDefault="00DB423F" w:rsidP="004B1177">
      <w:pPr>
        <w:tabs>
          <w:tab w:val="left" w:pos="2155"/>
        </w:tabs>
        <w:spacing w:after="80"/>
        <w:ind w:left="680"/>
        <w:rPr>
          <w:u w:val="single"/>
        </w:rPr>
      </w:pPr>
      <w:r>
        <w:rPr>
          <w:u w:val="single"/>
        </w:rPr>
        <w:tab/>
      </w:r>
    </w:p>
  </w:footnote>
  <w:footnote w:type="continuationNotice" w:id="1">
    <w:p w:rsidR="00DB423F" w:rsidRDefault="00DB423F"/>
  </w:footnote>
  <w:footnote w:id="2">
    <w:p w:rsidR="00DB423F" w:rsidRPr="00694AC8" w:rsidRDefault="00DB423F" w:rsidP="00331932">
      <w:pPr>
        <w:pStyle w:val="FootnoteText"/>
      </w:pPr>
      <w:r>
        <w:tab/>
      </w:r>
      <w:r w:rsidRPr="007B338E">
        <w:rPr>
          <w:rStyle w:val="FootnoteReference"/>
          <w:sz w:val="20"/>
          <w:vertAlign w:val="baseline"/>
        </w:rPr>
        <w:t>*</w:t>
      </w:r>
      <w:r>
        <w:rPr>
          <w:sz w:val="20"/>
        </w:rPr>
        <w:tab/>
      </w:r>
      <w:r w:rsidRPr="00E057FE">
        <w:t xml:space="preserve">Adopted by the Committee at its </w:t>
      </w:r>
      <w:r w:rsidRPr="00997965">
        <w:t>fifty-</w:t>
      </w:r>
      <w:r>
        <w:t>fifth</w:t>
      </w:r>
      <w:r w:rsidRPr="00997965">
        <w:t xml:space="preserve"> session (</w:t>
      </w:r>
      <w:r>
        <w:t>1–19 June 2015</w:t>
      </w:r>
      <w:r w:rsidRPr="009979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3F" w:rsidRDefault="00DB423F" w:rsidP="00C03769">
    <w:pPr>
      <w:pStyle w:val="Header"/>
    </w:pPr>
    <w:r w:rsidRPr="00CF12C1">
      <w:t>E/C.12/KGZ/CO/2-3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3F" w:rsidRPr="00B548CC" w:rsidRDefault="00DB423F" w:rsidP="00C03769">
    <w:pPr>
      <w:pStyle w:val="Header"/>
      <w:jc w:val="right"/>
      <w:rPr>
        <w:lang w:val="fr-CH"/>
      </w:rPr>
    </w:pPr>
    <w:r>
      <w:rPr>
        <w:lang w:val="fr-CH"/>
      </w:rPr>
      <w:t>E/C.12</w:t>
    </w:r>
    <w:r w:rsidRPr="00E81E2D">
      <w:rPr>
        <w:lang w:val="fr-CH"/>
      </w:rPr>
      <w:t>/KGZ/CO/2-3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5953F2"/>
    <w:multiLevelType w:val="hybridMultilevel"/>
    <w:tmpl w:val="42D41688"/>
    <w:lvl w:ilvl="0" w:tplc="AC9ED27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67F3F69"/>
    <w:multiLevelType w:val="hybridMultilevel"/>
    <w:tmpl w:val="C09826A2"/>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614A6B"/>
    <w:multiLevelType w:val="hybridMultilevel"/>
    <w:tmpl w:val="3D6EFC2A"/>
    <w:lvl w:ilvl="0" w:tplc="85D6C7AC">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1DE196B"/>
    <w:multiLevelType w:val="hybridMultilevel"/>
    <w:tmpl w:val="9790E848"/>
    <w:lvl w:ilvl="0" w:tplc="AC9ED27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481E7674"/>
    <w:multiLevelType w:val="hybridMultilevel"/>
    <w:tmpl w:val="19E0E7B8"/>
    <w:lvl w:ilvl="0" w:tplc="AC9ED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70794A"/>
    <w:multiLevelType w:val="hybridMultilevel"/>
    <w:tmpl w:val="385C94B6"/>
    <w:lvl w:ilvl="0" w:tplc="7D3862FA">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F0E0B64"/>
    <w:multiLevelType w:val="hybridMultilevel"/>
    <w:tmpl w:val="AE3266D2"/>
    <w:lvl w:ilvl="0" w:tplc="F6CC99B6">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50DA7895"/>
    <w:multiLevelType w:val="hybridMultilevel"/>
    <w:tmpl w:val="3F24BA36"/>
    <w:lvl w:ilvl="0" w:tplc="0FC8CF16">
      <w:start w:val="6"/>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1C03E15"/>
    <w:multiLevelType w:val="hybridMultilevel"/>
    <w:tmpl w:val="DB5AA062"/>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63143DBA"/>
    <w:multiLevelType w:val="hybridMultilevel"/>
    <w:tmpl w:val="3F180960"/>
    <w:lvl w:ilvl="0" w:tplc="7D2431A0">
      <w:start w:val="25"/>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6">
    <w:nsid w:val="6884533E"/>
    <w:multiLevelType w:val="hybridMultilevel"/>
    <w:tmpl w:val="C2523574"/>
    <w:lvl w:ilvl="0" w:tplc="1E146DEA">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69715A78"/>
    <w:multiLevelType w:val="hybridMultilevel"/>
    <w:tmpl w:val="D0D2BF8C"/>
    <w:lvl w:ilvl="0" w:tplc="89F4D194">
      <w:start w:val="1"/>
      <w:numFmt w:val="decimal"/>
      <w:lvlText w:val="%1."/>
      <w:lvlJc w:val="left"/>
      <w:pPr>
        <w:ind w:left="1636"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9CC0804"/>
    <w:multiLevelType w:val="hybridMultilevel"/>
    <w:tmpl w:val="C218BB9E"/>
    <w:lvl w:ilvl="0" w:tplc="14C62D76">
      <w:start w:val="1"/>
      <w:numFmt w:val="lowerLetter"/>
      <w:lvlText w:val="(%1)"/>
      <w:lvlJc w:val="left"/>
      <w:pPr>
        <w:ind w:left="1854" w:hanging="360"/>
      </w:pPr>
      <w:rPr>
        <w:rFonts w:hint="default"/>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D1E73FD"/>
    <w:multiLevelType w:val="hybridMultilevel"/>
    <w:tmpl w:val="DF02EAD4"/>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E061F9B"/>
    <w:multiLevelType w:val="hybridMultilevel"/>
    <w:tmpl w:val="87A2B970"/>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6E16162C"/>
    <w:multiLevelType w:val="hybridMultilevel"/>
    <w:tmpl w:val="ADBC7CEE"/>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61972B7"/>
    <w:multiLevelType w:val="hybridMultilevel"/>
    <w:tmpl w:val="542ECA48"/>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9212FB5"/>
    <w:multiLevelType w:val="hybridMultilevel"/>
    <w:tmpl w:val="E31AFD74"/>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nsid w:val="7D3B07EB"/>
    <w:multiLevelType w:val="hybridMultilevel"/>
    <w:tmpl w:val="CEA2C3D0"/>
    <w:lvl w:ilvl="0" w:tplc="AC9ED2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3"/>
  </w:num>
  <w:num w:numId="15">
    <w:abstractNumId w:val="13"/>
  </w:num>
  <w:num w:numId="16">
    <w:abstractNumId w:val="12"/>
  </w:num>
  <w:num w:numId="17">
    <w:abstractNumId w:val="32"/>
  </w:num>
  <w:num w:numId="18">
    <w:abstractNumId w:val="20"/>
  </w:num>
  <w:num w:numId="19">
    <w:abstractNumId w:val="27"/>
  </w:num>
  <w:num w:numId="20">
    <w:abstractNumId w:val="21"/>
  </w:num>
  <w:num w:numId="21">
    <w:abstractNumId w:val="34"/>
  </w:num>
  <w:num w:numId="22">
    <w:abstractNumId w:val="17"/>
  </w:num>
  <w:num w:numId="23">
    <w:abstractNumId w:val="29"/>
  </w:num>
  <w:num w:numId="24">
    <w:abstractNumId w:val="26"/>
  </w:num>
  <w:num w:numId="25">
    <w:abstractNumId w:val="33"/>
  </w:num>
  <w:num w:numId="26">
    <w:abstractNumId w:val="28"/>
  </w:num>
  <w:num w:numId="27">
    <w:abstractNumId w:val="14"/>
  </w:num>
  <w:num w:numId="28">
    <w:abstractNumId w:val="31"/>
  </w:num>
  <w:num w:numId="29">
    <w:abstractNumId w:val="30"/>
  </w:num>
  <w:num w:numId="30">
    <w:abstractNumId w:val="22"/>
  </w:num>
  <w:num w:numId="31">
    <w:abstractNumId w:val="25"/>
  </w:num>
  <w:num w:numId="32">
    <w:abstractNumId w:val="11"/>
  </w:num>
  <w:num w:numId="33">
    <w:abstractNumId w:val="24"/>
  </w:num>
  <w:num w:numId="34">
    <w:abstractNumId w:val="18"/>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12AD9"/>
    <w:rsid w:val="0002330E"/>
    <w:rsid w:val="00033AE8"/>
    <w:rsid w:val="00046649"/>
    <w:rsid w:val="000469A7"/>
    <w:rsid w:val="00047609"/>
    <w:rsid w:val="00064BF4"/>
    <w:rsid w:val="0007129F"/>
    <w:rsid w:val="00087C65"/>
    <w:rsid w:val="000A0D57"/>
    <w:rsid w:val="000B1C0E"/>
    <w:rsid w:val="000B2A65"/>
    <w:rsid w:val="000B7DAA"/>
    <w:rsid w:val="000F40C9"/>
    <w:rsid w:val="00116AC3"/>
    <w:rsid w:val="00134B2D"/>
    <w:rsid w:val="001510BC"/>
    <w:rsid w:val="00153887"/>
    <w:rsid w:val="00156B8D"/>
    <w:rsid w:val="0016763C"/>
    <w:rsid w:val="00176A5F"/>
    <w:rsid w:val="001A3E1B"/>
    <w:rsid w:val="001B5457"/>
    <w:rsid w:val="001D7FEB"/>
    <w:rsid w:val="001F4A7B"/>
    <w:rsid w:val="00200B31"/>
    <w:rsid w:val="002232FA"/>
    <w:rsid w:val="00242A93"/>
    <w:rsid w:val="00257637"/>
    <w:rsid w:val="002635C6"/>
    <w:rsid w:val="00280E52"/>
    <w:rsid w:val="00290711"/>
    <w:rsid w:val="002C2FF9"/>
    <w:rsid w:val="002D7040"/>
    <w:rsid w:val="00331932"/>
    <w:rsid w:val="00350530"/>
    <w:rsid w:val="00356107"/>
    <w:rsid w:val="00363C95"/>
    <w:rsid w:val="00385A2C"/>
    <w:rsid w:val="00390A0E"/>
    <w:rsid w:val="003C02D4"/>
    <w:rsid w:val="003C068A"/>
    <w:rsid w:val="00410849"/>
    <w:rsid w:val="004113CB"/>
    <w:rsid w:val="00412E25"/>
    <w:rsid w:val="004252FE"/>
    <w:rsid w:val="00436220"/>
    <w:rsid w:val="00452CCE"/>
    <w:rsid w:val="00467CE6"/>
    <w:rsid w:val="00476695"/>
    <w:rsid w:val="00480B21"/>
    <w:rsid w:val="004A0674"/>
    <w:rsid w:val="004B1177"/>
    <w:rsid w:val="004C1400"/>
    <w:rsid w:val="004F51BB"/>
    <w:rsid w:val="0052773F"/>
    <w:rsid w:val="005658AB"/>
    <w:rsid w:val="005727F9"/>
    <w:rsid w:val="00584A0F"/>
    <w:rsid w:val="00587AD4"/>
    <w:rsid w:val="00590153"/>
    <w:rsid w:val="005D0CA9"/>
    <w:rsid w:val="005D15EF"/>
    <w:rsid w:val="00604616"/>
    <w:rsid w:val="0061743C"/>
    <w:rsid w:val="006228D8"/>
    <w:rsid w:val="0062318D"/>
    <w:rsid w:val="00632956"/>
    <w:rsid w:val="006537A5"/>
    <w:rsid w:val="0067425B"/>
    <w:rsid w:val="00683BFD"/>
    <w:rsid w:val="00694306"/>
    <w:rsid w:val="006C5302"/>
    <w:rsid w:val="00707CEB"/>
    <w:rsid w:val="007100CD"/>
    <w:rsid w:val="00710CC2"/>
    <w:rsid w:val="0071205B"/>
    <w:rsid w:val="007128F9"/>
    <w:rsid w:val="0071534F"/>
    <w:rsid w:val="00754904"/>
    <w:rsid w:val="00754A1C"/>
    <w:rsid w:val="00762961"/>
    <w:rsid w:val="007A01BA"/>
    <w:rsid w:val="007A1D92"/>
    <w:rsid w:val="007B0889"/>
    <w:rsid w:val="007B338E"/>
    <w:rsid w:val="007C0CA9"/>
    <w:rsid w:val="007D0C58"/>
    <w:rsid w:val="007E2790"/>
    <w:rsid w:val="007E45BA"/>
    <w:rsid w:val="008062E5"/>
    <w:rsid w:val="008152DF"/>
    <w:rsid w:val="0082068B"/>
    <w:rsid w:val="00844452"/>
    <w:rsid w:val="00856099"/>
    <w:rsid w:val="00860588"/>
    <w:rsid w:val="00861FA6"/>
    <w:rsid w:val="008750FC"/>
    <w:rsid w:val="00875B28"/>
    <w:rsid w:val="00886760"/>
    <w:rsid w:val="00896F0A"/>
    <w:rsid w:val="008B1D10"/>
    <w:rsid w:val="008B4D7A"/>
    <w:rsid w:val="008B621F"/>
    <w:rsid w:val="008B796C"/>
    <w:rsid w:val="008D2EFD"/>
    <w:rsid w:val="008D63DC"/>
    <w:rsid w:val="0090763C"/>
    <w:rsid w:val="0093539B"/>
    <w:rsid w:val="00972FC8"/>
    <w:rsid w:val="009835E4"/>
    <w:rsid w:val="00987A85"/>
    <w:rsid w:val="00990085"/>
    <w:rsid w:val="009A051E"/>
    <w:rsid w:val="009A7584"/>
    <w:rsid w:val="009B3C77"/>
    <w:rsid w:val="009C5AC7"/>
    <w:rsid w:val="009C6449"/>
    <w:rsid w:val="009C6C39"/>
    <w:rsid w:val="009D23C0"/>
    <w:rsid w:val="00A256D5"/>
    <w:rsid w:val="00A30733"/>
    <w:rsid w:val="00A53030"/>
    <w:rsid w:val="00A652E9"/>
    <w:rsid w:val="00A95CFE"/>
    <w:rsid w:val="00AA631A"/>
    <w:rsid w:val="00AC74C4"/>
    <w:rsid w:val="00AE5E03"/>
    <w:rsid w:val="00AE6EFD"/>
    <w:rsid w:val="00AE72A3"/>
    <w:rsid w:val="00B351F4"/>
    <w:rsid w:val="00B52E4F"/>
    <w:rsid w:val="00B53A1F"/>
    <w:rsid w:val="00B548CC"/>
    <w:rsid w:val="00B84278"/>
    <w:rsid w:val="00B86227"/>
    <w:rsid w:val="00BA3969"/>
    <w:rsid w:val="00BA4E02"/>
    <w:rsid w:val="00BF4DCD"/>
    <w:rsid w:val="00C03769"/>
    <w:rsid w:val="00C25EDA"/>
    <w:rsid w:val="00C40C79"/>
    <w:rsid w:val="00C44CB4"/>
    <w:rsid w:val="00C5642B"/>
    <w:rsid w:val="00C61CA1"/>
    <w:rsid w:val="00C623AC"/>
    <w:rsid w:val="00C6539F"/>
    <w:rsid w:val="00C70684"/>
    <w:rsid w:val="00C7647C"/>
    <w:rsid w:val="00C866F8"/>
    <w:rsid w:val="00CA6AAB"/>
    <w:rsid w:val="00CB27E2"/>
    <w:rsid w:val="00CB58A6"/>
    <w:rsid w:val="00CD1BA2"/>
    <w:rsid w:val="00CE19F6"/>
    <w:rsid w:val="00CE7C3E"/>
    <w:rsid w:val="00CF12C1"/>
    <w:rsid w:val="00D32A6A"/>
    <w:rsid w:val="00D500E1"/>
    <w:rsid w:val="00D511CB"/>
    <w:rsid w:val="00D51D25"/>
    <w:rsid w:val="00D54F68"/>
    <w:rsid w:val="00D77A70"/>
    <w:rsid w:val="00D91079"/>
    <w:rsid w:val="00D911BB"/>
    <w:rsid w:val="00D93CDB"/>
    <w:rsid w:val="00D97BF9"/>
    <w:rsid w:val="00DB423F"/>
    <w:rsid w:val="00DB5BF1"/>
    <w:rsid w:val="00DB61B3"/>
    <w:rsid w:val="00DD3148"/>
    <w:rsid w:val="00DE2B99"/>
    <w:rsid w:val="00DE33CB"/>
    <w:rsid w:val="00DE4CE7"/>
    <w:rsid w:val="00E01D85"/>
    <w:rsid w:val="00E23704"/>
    <w:rsid w:val="00E34699"/>
    <w:rsid w:val="00E46804"/>
    <w:rsid w:val="00E540C1"/>
    <w:rsid w:val="00E564CA"/>
    <w:rsid w:val="00E803A8"/>
    <w:rsid w:val="00E81E2D"/>
    <w:rsid w:val="00E96C71"/>
    <w:rsid w:val="00EA0EE8"/>
    <w:rsid w:val="00EA2DB9"/>
    <w:rsid w:val="00EA5C4B"/>
    <w:rsid w:val="00EC6DCB"/>
    <w:rsid w:val="00EE1F56"/>
    <w:rsid w:val="00F15647"/>
    <w:rsid w:val="00F23747"/>
    <w:rsid w:val="00F2619E"/>
    <w:rsid w:val="00F37ABE"/>
    <w:rsid w:val="00F54C2C"/>
    <w:rsid w:val="00F57D0F"/>
    <w:rsid w:val="00F61ECE"/>
    <w:rsid w:val="00F6680D"/>
    <w:rsid w:val="00F819DF"/>
    <w:rsid w:val="00F85BA7"/>
    <w:rsid w:val="00F94F0C"/>
    <w:rsid w:val="00FA5130"/>
    <w:rsid w:val="00FB40F0"/>
    <w:rsid w:val="00FB442F"/>
    <w:rsid w:val="00FC388B"/>
    <w:rsid w:val="00FC6F63"/>
    <w:rsid w:val="00FE5073"/>
    <w:rsid w:val="00FE5BE6"/>
    <w:rsid w:val="00FF2DD8"/>
    <w:rsid w:val="00FF68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54A1C"/>
    <w:rPr>
      <w:rFonts w:ascii="Times New Roman" w:hAnsi="Times New Roman"/>
      <w:sz w:val="18"/>
      <w:vertAlign w:val="superscript"/>
    </w:rPr>
  </w:style>
  <w:style w:type="paragraph" w:styleId="FootnoteText">
    <w:name w:val="footnote text"/>
    <w:aliases w:val="5_G"/>
    <w:basedOn w:val="Normal"/>
    <w:link w:val="FootnoteTextChar"/>
    <w:qFormat/>
    <w:rsid w:val="00754A1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FootnoteTextChar">
    <w:name w:val="Footnote Text Char"/>
    <w:aliases w:val="5_G Char"/>
    <w:link w:val="FootnoteText"/>
    <w:locked/>
    <w:rsid w:val="009842B9"/>
    <w:rPr>
      <w:rFonts w:eastAsia="SimSun"/>
      <w:sz w:val="18"/>
      <w:lang w:val="en-US"/>
    </w:rPr>
  </w:style>
  <w:style w:type="paragraph" w:styleId="CommentSubject">
    <w:name w:val="annotation subject"/>
    <w:basedOn w:val="CommentText"/>
    <w:next w:val="CommentText"/>
    <w:link w:val="CommentSubjectChar"/>
    <w:rsid w:val="00272F46"/>
    <w:rPr>
      <w:b/>
      <w:bCs/>
    </w:rPr>
  </w:style>
  <w:style w:type="character" w:customStyle="1" w:styleId="CommentTextChar">
    <w:name w:val="Comment Text Char"/>
    <w:link w:val="CommentText"/>
    <w:semiHidden/>
    <w:rsid w:val="00272F46"/>
    <w:rPr>
      <w:lang w:eastAsia="en-US"/>
    </w:rPr>
  </w:style>
  <w:style w:type="character" w:customStyle="1" w:styleId="CommentSubjectChar">
    <w:name w:val="Comment Subject Char"/>
    <w:link w:val="CommentSubject"/>
    <w:rsid w:val="00272F46"/>
    <w:rPr>
      <w:b/>
      <w:bCs/>
      <w:lang w:eastAsia="en-US"/>
    </w:rPr>
  </w:style>
  <w:style w:type="paragraph" w:customStyle="1" w:styleId="Default">
    <w:name w:val="Default"/>
    <w:rsid w:val="0008629F"/>
    <w:pPr>
      <w:autoSpaceDE w:val="0"/>
      <w:autoSpaceDN w:val="0"/>
      <w:adjustRightInd w:val="0"/>
    </w:pPr>
    <w:rPr>
      <w:color w:val="000000"/>
      <w:sz w:val="24"/>
      <w:szCs w:val="24"/>
      <w:lang w:eastAsia="en-GB"/>
    </w:rPr>
  </w:style>
  <w:style w:type="paragraph" w:customStyle="1" w:styleId="DarkList-Accent51">
    <w:name w:val="Dark List - Accent 51"/>
    <w:basedOn w:val="Normal"/>
    <w:link w:val="DarkList-Accent5Char"/>
    <w:uiPriority w:val="34"/>
    <w:qFormat/>
    <w:rsid w:val="000202B1"/>
    <w:pPr>
      <w:suppressAutoHyphens w:val="0"/>
      <w:spacing w:line="240" w:lineRule="auto"/>
      <w:ind w:left="720"/>
      <w:contextualSpacing/>
    </w:pPr>
    <w:rPr>
      <w:sz w:val="24"/>
      <w:szCs w:val="24"/>
      <w:lang w:val="en-US"/>
    </w:rPr>
  </w:style>
  <w:style w:type="character" w:customStyle="1" w:styleId="DarkList-Accent5Char">
    <w:name w:val="Dark List - Accent 5 Char"/>
    <w:link w:val="DarkList-Accent51"/>
    <w:uiPriority w:val="34"/>
    <w:locked/>
    <w:rsid w:val="000202B1"/>
    <w:rPr>
      <w:sz w:val="24"/>
      <w:szCs w:val="24"/>
      <w:lang w:val="en-US" w:eastAsia="en-US"/>
    </w:rPr>
  </w:style>
  <w:style w:type="paragraph" w:customStyle="1" w:styleId="SingleTxt">
    <w:name w:val="__Single Txt"/>
    <w:basedOn w:val="Normal"/>
    <w:rsid w:val="001D5C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LightList-Accent51">
    <w:name w:val="Light List - Accent 51"/>
    <w:basedOn w:val="Normal"/>
    <w:link w:val="LightList-Accent5Char"/>
    <w:uiPriority w:val="34"/>
    <w:qFormat/>
    <w:rsid w:val="000E5D16"/>
    <w:pPr>
      <w:ind w:left="720"/>
    </w:pPr>
  </w:style>
  <w:style w:type="character" w:customStyle="1" w:styleId="LightList-Accent5Char">
    <w:name w:val="Light List - Accent 5 Char"/>
    <w:link w:val="LightList-Accent51"/>
    <w:uiPriority w:val="34"/>
    <w:locked/>
    <w:rsid w:val="00C343CD"/>
    <w:rPr>
      <w:lang w:val="en-GB" w:eastAsia="en-US"/>
    </w:rPr>
  </w:style>
  <w:style w:type="paragraph" w:customStyle="1" w:styleId="MediumList2-Accent41">
    <w:name w:val="Medium List 2 - Accent 41"/>
    <w:basedOn w:val="Normal"/>
    <w:link w:val="MediumList2-Accent4Char"/>
    <w:uiPriority w:val="34"/>
    <w:qFormat/>
    <w:rsid w:val="005F7175"/>
    <w:pPr>
      <w:ind w:left="720"/>
    </w:pPr>
  </w:style>
  <w:style w:type="character" w:customStyle="1" w:styleId="MediumList2-Accent4Char">
    <w:name w:val="Medium List 2 - Accent 4 Char"/>
    <w:link w:val="MediumList2-Accent41"/>
    <w:uiPriority w:val="34"/>
    <w:locked/>
    <w:rsid w:val="00952A17"/>
    <w:rPr>
      <w:lang w:val="en-GB" w:eastAsia="en-US"/>
    </w:rPr>
  </w:style>
  <w:style w:type="character" w:customStyle="1" w:styleId="highlight1">
    <w:name w:val="highlight1"/>
    <w:rsid w:val="00C01C46"/>
    <w:rPr>
      <w:shd w:val="clear" w:color="auto" w:fill="FFCC33"/>
    </w:rPr>
  </w:style>
  <w:style w:type="paragraph" w:customStyle="1" w:styleId="ColorfulShading-Accent31">
    <w:name w:val="Colorful Shading - Accent 31"/>
    <w:basedOn w:val="Normal"/>
    <w:qFormat/>
    <w:rsid w:val="00C46163"/>
    <w:pPr>
      <w:ind w:left="720"/>
    </w:pPr>
  </w:style>
  <w:style w:type="paragraph" w:customStyle="1" w:styleId="MediumGrid1-Accent21">
    <w:name w:val="Medium Grid 1 - Accent 21"/>
    <w:basedOn w:val="Normal"/>
    <w:qFormat/>
    <w:rsid w:val="00A002D8"/>
    <w:pPr>
      <w:ind w:left="720"/>
    </w:pPr>
  </w:style>
  <w:style w:type="paragraph" w:customStyle="1" w:styleId="ColorfulList-Accent11">
    <w:name w:val="Colorful List - Accent 11"/>
    <w:basedOn w:val="Normal"/>
    <w:qFormat/>
    <w:rsid w:val="00AA3CA3"/>
    <w:pPr>
      <w:ind w:left="720"/>
    </w:pPr>
  </w:style>
  <w:style w:type="paragraph" w:customStyle="1" w:styleId="MediumGrid21">
    <w:name w:val="Medium Grid 21"/>
    <w:link w:val="MediumGrid2Char"/>
    <w:uiPriority w:val="1"/>
    <w:qFormat/>
    <w:rsid w:val="00186837"/>
    <w:rPr>
      <w:rFonts w:ascii="Calibri" w:eastAsia="MS Mincho" w:hAnsi="Calibri"/>
      <w:sz w:val="22"/>
      <w:szCs w:val="22"/>
      <w:lang w:val="en-US" w:eastAsia="ja-JP"/>
    </w:rPr>
  </w:style>
  <w:style w:type="character" w:customStyle="1" w:styleId="MediumGrid2Char">
    <w:name w:val="Medium Grid 2 Char"/>
    <w:link w:val="MediumGrid21"/>
    <w:uiPriority w:val="1"/>
    <w:rsid w:val="00186837"/>
    <w:rPr>
      <w:rFonts w:ascii="Calibri" w:eastAsia="MS Mincho" w:hAnsi="Calibri"/>
      <w:sz w:val="22"/>
      <w:szCs w:val="22"/>
      <w:lang w:val="en-US" w:eastAsia="ja-JP" w:bidi="ar-SA"/>
    </w:rPr>
  </w:style>
  <w:style w:type="character" w:customStyle="1" w:styleId="H1GChar">
    <w:name w:val="_ H_1_G Char"/>
    <w:link w:val="H1G"/>
    <w:locked/>
    <w:rsid w:val="004D4C76"/>
    <w:rPr>
      <w:b/>
      <w:sz w:val="24"/>
      <w:lang w:eastAsia="en-US"/>
    </w:rPr>
  </w:style>
  <w:style w:type="paragraph" w:styleId="Revision">
    <w:name w:val="Revision"/>
    <w:hidden/>
    <w:rsid w:val="007A1D9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54A1C"/>
    <w:rPr>
      <w:rFonts w:ascii="Times New Roman" w:hAnsi="Times New Roman"/>
      <w:sz w:val="18"/>
      <w:vertAlign w:val="superscript"/>
    </w:rPr>
  </w:style>
  <w:style w:type="paragraph" w:styleId="FootnoteText">
    <w:name w:val="footnote text"/>
    <w:aliases w:val="5_G"/>
    <w:basedOn w:val="Normal"/>
    <w:link w:val="FootnoteTextChar"/>
    <w:qFormat/>
    <w:rsid w:val="00754A1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FootnoteTextChar">
    <w:name w:val="Footnote Text Char"/>
    <w:aliases w:val="5_G Char"/>
    <w:link w:val="FootnoteText"/>
    <w:locked/>
    <w:rsid w:val="009842B9"/>
    <w:rPr>
      <w:rFonts w:eastAsia="SimSun"/>
      <w:sz w:val="18"/>
      <w:lang w:val="en-US"/>
    </w:rPr>
  </w:style>
  <w:style w:type="paragraph" w:styleId="CommentSubject">
    <w:name w:val="annotation subject"/>
    <w:basedOn w:val="CommentText"/>
    <w:next w:val="CommentText"/>
    <w:link w:val="CommentSubjectChar"/>
    <w:rsid w:val="00272F46"/>
    <w:rPr>
      <w:b/>
      <w:bCs/>
    </w:rPr>
  </w:style>
  <w:style w:type="character" w:customStyle="1" w:styleId="CommentTextChar">
    <w:name w:val="Comment Text Char"/>
    <w:link w:val="CommentText"/>
    <w:semiHidden/>
    <w:rsid w:val="00272F46"/>
    <w:rPr>
      <w:lang w:eastAsia="en-US"/>
    </w:rPr>
  </w:style>
  <w:style w:type="character" w:customStyle="1" w:styleId="CommentSubjectChar">
    <w:name w:val="Comment Subject Char"/>
    <w:link w:val="CommentSubject"/>
    <w:rsid w:val="00272F46"/>
    <w:rPr>
      <w:b/>
      <w:bCs/>
      <w:lang w:eastAsia="en-US"/>
    </w:rPr>
  </w:style>
  <w:style w:type="paragraph" w:customStyle="1" w:styleId="Default">
    <w:name w:val="Default"/>
    <w:rsid w:val="0008629F"/>
    <w:pPr>
      <w:autoSpaceDE w:val="0"/>
      <w:autoSpaceDN w:val="0"/>
      <w:adjustRightInd w:val="0"/>
    </w:pPr>
    <w:rPr>
      <w:color w:val="000000"/>
      <w:sz w:val="24"/>
      <w:szCs w:val="24"/>
      <w:lang w:eastAsia="en-GB"/>
    </w:rPr>
  </w:style>
  <w:style w:type="paragraph" w:customStyle="1" w:styleId="DarkList-Accent51">
    <w:name w:val="Dark List - Accent 51"/>
    <w:basedOn w:val="Normal"/>
    <w:link w:val="DarkList-Accent5Char"/>
    <w:uiPriority w:val="34"/>
    <w:qFormat/>
    <w:rsid w:val="000202B1"/>
    <w:pPr>
      <w:suppressAutoHyphens w:val="0"/>
      <w:spacing w:line="240" w:lineRule="auto"/>
      <w:ind w:left="720"/>
      <w:contextualSpacing/>
    </w:pPr>
    <w:rPr>
      <w:sz w:val="24"/>
      <w:szCs w:val="24"/>
      <w:lang w:val="en-US"/>
    </w:rPr>
  </w:style>
  <w:style w:type="character" w:customStyle="1" w:styleId="DarkList-Accent5Char">
    <w:name w:val="Dark List - Accent 5 Char"/>
    <w:link w:val="DarkList-Accent51"/>
    <w:uiPriority w:val="34"/>
    <w:locked/>
    <w:rsid w:val="000202B1"/>
    <w:rPr>
      <w:sz w:val="24"/>
      <w:szCs w:val="24"/>
      <w:lang w:val="en-US" w:eastAsia="en-US"/>
    </w:rPr>
  </w:style>
  <w:style w:type="paragraph" w:customStyle="1" w:styleId="SingleTxt">
    <w:name w:val="__Single Txt"/>
    <w:basedOn w:val="Normal"/>
    <w:rsid w:val="001D5C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LightList-Accent51">
    <w:name w:val="Light List - Accent 51"/>
    <w:basedOn w:val="Normal"/>
    <w:link w:val="LightList-Accent5Char"/>
    <w:uiPriority w:val="34"/>
    <w:qFormat/>
    <w:rsid w:val="000E5D16"/>
    <w:pPr>
      <w:ind w:left="720"/>
    </w:pPr>
  </w:style>
  <w:style w:type="character" w:customStyle="1" w:styleId="LightList-Accent5Char">
    <w:name w:val="Light List - Accent 5 Char"/>
    <w:link w:val="LightList-Accent51"/>
    <w:uiPriority w:val="34"/>
    <w:locked/>
    <w:rsid w:val="00C343CD"/>
    <w:rPr>
      <w:lang w:val="en-GB" w:eastAsia="en-US"/>
    </w:rPr>
  </w:style>
  <w:style w:type="paragraph" w:customStyle="1" w:styleId="MediumList2-Accent41">
    <w:name w:val="Medium List 2 - Accent 41"/>
    <w:basedOn w:val="Normal"/>
    <w:link w:val="MediumList2-Accent4Char"/>
    <w:uiPriority w:val="34"/>
    <w:qFormat/>
    <w:rsid w:val="005F7175"/>
    <w:pPr>
      <w:ind w:left="720"/>
    </w:pPr>
  </w:style>
  <w:style w:type="character" w:customStyle="1" w:styleId="MediumList2-Accent4Char">
    <w:name w:val="Medium List 2 - Accent 4 Char"/>
    <w:link w:val="MediumList2-Accent41"/>
    <w:uiPriority w:val="34"/>
    <w:locked/>
    <w:rsid w:val="00952A17"/>
    <w:rPr>
      <w:lang w:val="en-GB" w:eastAsia="en-US"/>
    </w:rPr>
  </w:style>
  <w:style w:type="character" w:customStyle="1" w:styleId="highlight1">
    <w:name w:val="highlight1"/>
    <w:rsid w:val="00C01C46"/>
    <w:rPr>
      <w:shd w:val="clear" w:color="auto" w:fill="FFCC33"/>
    </w:rPr>
  </w:style>
  <w:style w:type="paragraph" w:customStyle="1" w:styleId="ColorfulShading-Accent31">
    <w:name w:val="Colorful Shading - Accent 31"/>
    <w:basedOn w:val="Normal"/>
    <w:qFormat/>
    <w:rsid w:val="00C46163"/>
    <w:pPr>
      <w:ind w:left="720"/>
    </w:pPr>
  </w:style>
  <w:style w:type="paragraph" w:customStyle="1" w:styleId="MediumGrid1-Accent21">
    <w:name w:val="Medium Grid 1 - Accent 21"/>
    <w:basedOn w:val="Normal"/>
    <w:qFormat/>
    <w:rsid w:val="00A002D8"/>
    <w:pPr>
      <w:ind w:left="720"/>
    </w:pPr>
  </w:style>
  <w:style w:type="paragraph" w:customStyle="1" w:styleId="ColorfulList-Accent11">
    <w:name w:val="Colorful List - Accent 11"/>
    <w:basedOn w:val="Normal"/>
    <w:qFormat/>
    <w:rsid w:val="00AA3CA3"/>
    <w:pPr>
      <w:ind w:left="720"/>
    </w:pPr>
  </w:style>
  <w:style w:type="paragraph" w:customStyle="1" w:styleId="MediumGrid21">
    <w:name w:val="Medium Grid 21"/>
    <w:link w:val="MediumGrid2Char"/>
    <w:uiPriority w:val="1"/>
    <w:qFormat/>
    <w:rsid w:val="00186837"/>
    <w:rPr>
      <w:rFonts w:ascii="Calibri" w:eastAsia="MS Mincho" w:hAnsi="Calibri"/>
      <w:sz w:val="22"/>
      <w:szCs w:val="22"/>
      <w:lang w:val="en-US" w:eastAsia="ja-JP"/>
    </w:rPr>
  </w:style>
  <w:style w:type="character" w:customStyle="1" w:styleId="MediumGrid2Char">
    <w:name w:val="Medium Grid 2 Char"/>
    <w:link w:val="MediumGrid21"/>
    <w:uiPriority w:val="1"/>
    <w:rsid w:val="00186837"/>
    <w:rPr>
      <w:rFonts w:ascii="Calibri" w:eastAsia="MS Mincho" w:hAnsi="Calibri"/>
      <w:sz w:val="22"/>
      <w:szCs w:val="22"/>
      <w:lang w:val="en-US" w:eastAsia="ja-JP" w:bidi="ar-SA"/>
    </w:rPr>
  </w:style>
  <w:style w:type="character" w:customStyle="1" w:styleId="H1GChar">
    <w:name w:val="_ H_1_G Char"/>
    <w:link w:val="H1G"/>
    <w:locked/>
    <w:rsid w:val="004D4C76"/>
    <w:rPr>
      <w:b/>
      <w:sz w:val="24"/>
      <w:lang w:eastAsia="en-US"/>
    </w:rPr>
  </w:style>
  <w:style w:type="paragraph" w:styleId="Revision">
    <w:name w:val="Revision"/>
    <w:hidden/>
    <w:rsid w:val="007A1D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2721">
      <w:bodyDiv w:val="1"/>
      <w:marLeft w:val="0"/>
      <w:marRight w:val="0"/>
      <w:marTop w:val="0"/>
      <w:marBottom w:val="0"/>
      <w:divBdr>
        <w:top w:val="none" w:sz="0" w:space="0" w:color="auto"/>
        <w:left w:val="none" w:sz="0" w:space="0" w:color="auto"/>
        <w:bottom w:val="none" w:sz="0" w:space="0" w:color="auto"/>
        <w:right w:val="none" w:sz="0" w:space="0" w:color="auto"/>
      </w:divBdr>
      <w:divsChild>
        <w:div w:id="1125124390">
          <w:marLeft w:val="0"/>
          <w:marRight w:val="0"/>
          <w:marTop w:val="0"/>
          <w:marBottom w:val="0"/>
          <w:divBdr>
            <w:top w:val="none" w:sz="0" w:space="0" w:color="auto"/>
            <w:left w:val="none" w:sz="0" w:space="0" w:color="auto"/>
            <w:bottom w:val="none" w:sz="0" w:space="0" w:color="auto"/>
            <w:right w:val="none" w:sz="0" w:space="0" w:color="auto"/>
          </w:divBdr>
        </w:div>
      </w:divsChild>
    </w:div>
    <w:div w:id="116602985">
      <w:bodyDiv w:val="1"/>
      <w:marLeft w:val="0"/>
      <w:marRight w:val="0"/>
      <w:marTop w:val="0"/>
      <w:marBottom w:val="0"/>
      <w:divBdr>
        <w:top w:val="none" w:sz="0" w:space="0" w:color="auto"/>
        <w:left w:val="none" w:sz="0" w:space="0" w:color="auto"/>
        <w:bottom w:val="none" w:sz="0" w:space="0" w:color="auto"/>
        <w:right w:val="none" w:sz="0" w:space="0" w:color="auto"/>
      </w:divBdr>
      <w:divsChild>
        <w:div w:id="1881473197">
          <w:marLeft w:val="0"/>
          <w:marRight w:val="0"/>
          <w:marTop w:val="0"/>
          <w:marBottom w:val="0"/>
          <w:divBdr>
            <w:top w:val="none" w:sz="0" w:space="0" w:color="auto"/>
            <w:left w:val="none" w:sz="0" w:space="0" w:color="auto"/>
            <w:bottom w:val="none" w:sz="0" w:space="0" w:color="auto"/>
            <w:right w:val="none" w:sz="0" w:space="0" w:color="auto"/>
          </w:divBdr>
        </w:div>
      </w:divsChild>
    </w:div>
    <w:div w:id="193277125">
      <w:bodyDiv w:val="1"/>
      <w:marLeft w:val="0"/>
      <w:marRight w:val="0"/>
      <w:marTop w:val="0"/>
      <w:marBottom w:val="0"/>
      <w:divBdr>
        <w:top w:val="none" w:sz="0" w:space="0" w:color="auto"/>
        <w:left w:val="none" w:sz="0" w:space="0" w:color="auto"/>
        <w:bottom w:val="none" w:sz="0" w:space="0" w:color="auto"/>
        <w:right w:val="none" w:sz="0" w:space="0" w:color="auto"/>
      </w:divBdr>
      <w:divsChild>
        <w:div w:id="1152715503">
          <w:marLeft w:val="0"/>
          <w:marRight w:val="0"/>
          <w:marTop w:val="0"/>
          <w:marBottom w:val="0"/>
          <w:divBdr>
            <w:top w:val="none" w:sz="0" w:space="0" w:color="auto"/>
            <w:left w:val="none" w:sz="0" w:space="0" w:color="auto"/>
            <w:bottom w:val="none" w:sz="0" w:space="0" w:color="auto"/>
            <w:right w:val="none" w:sz="0" w:space="0" w:color="auto"/>
          </w:divBdr>
          <w:divsChild>
            <w:div w:id="353699242">
              <w:marLeft w:val="0"/>
              <w:marRight w:val="0"/>
              <w:marTop w:val="0"/>
              <w:marBottom w:val="0"/>
              <w:divBdr>
                <w:top w:val="none" w:sz="0" w:space="0" w:color="auto"/>
                <w:left w:val="none" w:sz="0" w:space="0" w:color="auto"/>
                <w:bottom w:val="none" w:sz="0" w:space="0" w:color="auto"/>
                <w:right w:val="none" w:sz="0" w:space="0" w:color="auto"/>
              </w:divBdr>
              <w:divsChild>
                <w:div w:id="1566143240">
                  <w:marLeft w:val="0"/>
                  <w:marRight w:val="0"/>
                  <w:marTop w:val="0"/>
                  <w:marBottom w:val="0"/>
                  <w:divBdr>
                    <w:top w:val="none" w:sz="0" w:space="0" w:color="auto"/>
                    <w:left w:val="none" w:sz="0" w:space="0" w:color="auto"/>
                    <w:bottom w:val="none" w:sz="0" w:space="0" w:color="auto"/>
                    <w:right w:val="none" w:sz="0" w:space="0" w:color="auto"/>
                  </w:divBdr>
                </w:div>
              </w:divsChild>
            </w:div>
            <w:div w:id="1960182329">
              <w:marLeft w:val="0"/>
              <w:marRight w:val="0"/>
              <w:marTop w:val="0"/>
              <w:marBottom w:val="0"/>
              <w:divBdr>
                <w:top w:val="none" w:sz="0" w:space="0" w:color="auto"/>
                <w:left w:val="none" w:sz="0" w:space="0" w:color="auto"/>
                <w:bottom w:val="none" w:sz="0" w:space="0" w:color="auto"/>
                <w:right w:val="none" w:sz="0" w:space="0" w:color="auto"/>
              </w:divBdr>
              <w:divsChild>
                <w:div w:id="1389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269">
          <w:marLeft w:val="0"/>
          <w:marRight w:val="0"/>
          <w:marTop w:val="0"/>
          <w:marBottom w:val="0"/>
          <w:divBdr>
            <w:top w:val="none" w:sz="0" w:space="0" w:color="auto"/>
            <w:left w:val="none" w:sz="0" w:space="0" w:color="auto"/>
            <w:bottom w:val="none" w:sz="0" w:space="0" w:color="auto"/>
            <w:right w:val="none" w:sz="0" w:space="0" w:color="auto"/>
          </w:divBdr>
        </w:div>
      </w:divsChild>
    </w:div>
    <w:div w:id="197208966">
      <w:bodyDiv w:val="1"/>
      <w:marLeft w:val="0"/>
      <w:marRight w:val="0"/>
      <w:marTop w:val="0"/>
      <w:marBottom w:val="0"/>
      <w:divBdr>
        <w:top w:val="none" w:sz="0" w:space="0" w:color="auto"/>
        <w:left w:val="none" w:sz="0" w:space="0" w:color="auto"/>
        <w:bottom w:val="none" w:sz="0" w:space="0" w:color="auto"/>
        <w:right w:val="none" w:sz="0" w:space="0" w:color="auto"/>
      </w:divBdr>
    </w:div>
    <w:div w:id="311640379">
      <w:bodyDiv w:val="1"/>
      <w:marLeft w:val="0"/>
      <w:marRight w:val="0"/>
      <w:marTop w:val="0"/>
      <w:marBottom w:val="0"/>
      <w:divBdr>
        <w:top w:val="none" w:sz="0" w:space="0" w:color="auto"/>
        <w:left w:val="none" w:sz="0" w:space="0" w:color="auto"/>
        <w:bottom w:val="none" w:sz="0" w:space="0" w:color="auto"/>
        <w:right w:val="none" w:sz="0" w:space="0" w:color="auto"/>
      </w:divBdr>
    </w:div>
    <w:div w:id="624851207">
      <w:bodyDiv w:val="1"/>
      <w:marLeft w:val="0"/>
      <w:marRight w:val="0"/>
      <w:marTop w:val="0"/>
      <w:marBottom w:val="0"/>
      <w:divBdr>
        <w:top w:val="none" w:sz="0" w:space="0" w:color="auto"/>
        <w:left w:val="none" w:sz="0" w:space="0" w:color="auto"/>
        <w:bottom w:val="none" w:sz="0" w:space="0" w:color="auto"/>
        <w:right w:val="none" w:sz="0" w:space="0" w:color="auto"/>
      </w:divBdr>
      <w:divsChild>
        <w:div w:id="225802756">
          <w:marLeft w:val="0"/>
          <w:marRight w:val="0"/>
          <w:marTop w:val="0"/>
          <w:marBottom w:val="0"/>
          <w:divBdr>
            <w:top w:val="none" w:sz="0" w:space="0" w:color="auto"/>
            <w:left w:val="none" w:sz="0" w:space="0" w:color="auto"/>
            <w:bottom w:val="none" w:sz="0" w:space="0" w:color="auto"/>
            <w:right w:val="none" w:sz="0" w:space="0" w:color="auto"/>
          </w:divBdr>
        </w:div>
      </w:divsChild>
    </w:div>
    <w:div w:id="665329159">
      <w:bodyDiv w:val="1"/>
      <w:marLeft w:val="0"/>
      <w:marRight w:val="0"/>
      <w:marTop w:val="0"/>
      <w:marBottom w:val="0"/>
      <w:divBdr>
        <w:top w:val="none" w:sz="0" w:space="0" w:color="auto"/>
        <w:left w:val="none" w:sz="0" w:space="0" w:color="auto"/>
        <w:bottom w:val="none" w:sz="0" w:space="0" w:color="auto"/>
        <w:right w:val="none" w:sz="0" w:space="0" w:color="auto"/>
      </w:divBdr>
    </w:div>
    <w:div w:id="839076641">
      <w:bodyDiv w:val="1"/>
      <w:marLeft w:val="0"/>
      <w:marRight w:val="0"/>
      <w:marTop w:val="0"/>
      <w:marBottom w:val="0"/>
      <w:divBdr>
        <w:top w:val="none" w:sz="0" w:space="0" w:color="auto"/>
        <w:left w:val="none" w:sz="0" w:space="0" w:color="auto"/>
        <w:bottom w:val="none" w:sz="0" w:space="0" w:color="auto"/>
        <w:right w:val="none" w:sz="0" w:space="0" w:color="auto"/>
      </w:divBdr>
    </w:div>
    <w:div w:id="950285405">
      <w:bodyDiv w:val="1"/>
      <w:marLeft w:val="0"/>
      <w:marRight w:val="0"/>
      <w:marTop w:val="0"/>
      <w:marBottom w:val="0"/>
      <w:divBdr>
        <w:top w:val="none" w:sz="0" w:space="0" w:color="auto"/>
        <w:left w:val="none" w:sz="0" w:space="0" w:color="auto"/>
        <w:bottom w:val="none" w:sz="0" w:space="0" w:color="auto"/>
        <w:right w:val="none" w:sz="0" w:space="0" w:color="auto"/>
      </w:divBdr>
    </w:div>
    <w:div w:id="969474511">
      <w:bodyDiv w:val="1"/>
      <w:marLeft w:val="0"/>
      <w:marRight w:val="0"/>
      <w:marTop w:val="0"/>
      <w:marBottom w:val="0"/>
      <w:divBdr>
        <w:top w:val="none" w:sz="0" w:space="0" w:color="auto"/>
        <w:left w:val="none" w:sz="0" w:space="0" w:color="auto"/>
        <w:bottom w:val="none" w:sz="0" w:space="0" w:color="auto"/>
        <w:right w:val="none" w:sz="0" w:space="0" w:color="auto"/>
      </w:divBdr>
    </w:div>
    <w:div w:id="1038824423">
      <w:bodyDiv w:val="1"/>
      <w:marLeft w:val="0"/>
      <w:marRight w:val="0"/>
      <w:marTop w:val="0"/>
      <w:marBottom w:val="0"/>
      <w:divBdr>
        <w:top w:val="none" w:sz="0" w:space="0" w:color="auto"/>
        <w:left w:val="none" w:sz="0" w:space="0" w:color="auto"/>
        <w:bottom w:val="none" w:sz="0" w:space="0" w:color="auto"/>
        <w:right w:val="none" w:sz="0" w:space="0" w:color="auto"/>
      </w:divBdr>
    </w:div>
    <w:div w:id="1072890986">
      <w:bodyDiv w:val="1"/>
      <w:marLeft w:val="0"/>
      <w:marRight w:val="0"/>
      <w:marTop w:val="0"/>
      <w:marBottom w:val="0"/>
      <w:divBdr>
        <w:top w:val="none" w:sz="0" w:space="0" w:color="auto"/>
        <w:left w:val="none" w:sz="0" w:space="0" w:color="auto"/>
        <w:bottom w:val="none" w:sz="0" w:space="0" w:color="auto"/>
        <w:right w:val="none" w:sz="0" w:space="0" w:color="auto"/>
      </w:divBdr>
      <w:divsChild>
        <w:div w:id="2045593093">
          <w:marLeft w:val="0"/>
          <w:marRight w:val="0"/>
          <w:marTop w:val="0"/>
          <w:marBottom w:val="0"/>
          <w:divBdr>
            <w:top w:val="none" w:sz="0" w:space="0" w:color="auto"/>
            <w:left w:val="none" w:sz="0" w:space="0" w:color="auto"/>
            <w:bottom w:val="none" w:sz="0" w:space="0" w:color="auto"/>
            <w:right w:val="none" w:sz="0" w:space="0" w:color="auto"/>
          </w:divBdr>
        </w:div>
      </w:divsChild>
    </w:div>
    <w:div w:id="1449199596">
      <w:bodyDiv w:val="1"/>
      <w:marLeft w:val="0"/>
      <w:marRight w:val="0"/>
      <w:marTop w:val="0"/>
      <w:marBottom w:val="0"/>
      <w:divBdr>
        <w:top w:val="none" w:sz="0" w:space="0" w:color="auto"/>
        <w:left w:val="none" w:sz="0" w:space="0" w:color="auto"/>
        <w:bottom w:val="none" w:sz="0" w:space="0" w:color="auto"/>
        <w:right w:val="none" w:sz="0" w:space="0" w:color="auto"/>
      </w:divBdr>
    </w:div>
    <w:div w:id="1747920449">
      <w:bodyDiv w:val="1"/>
      <w:marLeft w:val="0"/>
      <w:marRight w:val="0"/>
      <w:marTop w:val="0"/>
      <w:marBottom w:val="0"/>
      <w:divBdr>
        <w:top w:val="none" w:sz="0" w:space="0" w:color="auto"/>
        <w:left w:val="none" w:sz="0" w:space="0" w:color="auto"/>
        <w:bottom w:val="none" w:sz="0" w:space="0" w:color="auto"/>
        <w:right w:val="none" w:sz="0" w:space="0" w:color="auto"/>
      </w:divBdr>
      <w:divsChild>
        <w:div w:id="715931688">
          <w:marLeft w:val="0"/>
          <w:marRight w:val="0"/>
          <w:marTop w:val="0"/>
          <w:marBottom w:val="0"/>
          <w:divBdr>
            <w:top w:val="none" w:sz="0" w:space="0" w:color="auto"/>
            <w:left w:val="none" w:sz="0" w:space="0" w:color="auto"/>
            <w:bottom w:val="none" w:sz="0" w:space="0" w:color="auto"/>
            <w:right w:val="none" w:sz="0" w:space="0" w:color="auto"/>
          </w:divBdr>
        </w:div>
      </w:divsChild>
    </w:div>
    <w:div w:id="1896817649">
      <w:bodyDiv w:val="1"/>
      <w:marLeft w:val="0"/>
      <w:marRight w:val="0"/>
      <w:marTop w:val="0"/>
      <w:marBottom w:val="0"/>
      <w:divBdr>
        <w:top w:val="none" w:sz="0" w:space="0" w:color="auto"/>
        <w:left w:val="none" w:sz="0" w:space="0" w:color="auto"/>
        <w:bottom w:val="none" w:sz="0" w:space="0" w:color="auto"/>
        <w:right w:val="none" w:sz="0" w:space="0" w:color="auto"/>
      </w:divBdr>
      <w:divsChild>
        <w:div w:id="518859585">
          <w:marLeft w:val="0"/>
          <w:marRight w:val="0"/>
          <w:marTop w:val="0"/>
          <w:marBottom w:val="0"/>
          <w:divBdr>
            <w:top w:val="none" w:sz="0" w:space="0" w:color="auto"/>
            <w:left w:val="none" w:sz="0" w:space="0" w:color="auto"/>
            <w:bottom w:val="none" w:sz="0" w:space="0" w:color="auto"/>
            <w:right w:val="none" w:sz="0" w:space="0" w:color="auto"/>
          </w:divBdr>
        </w:div>
      </w:divsChild>
    </w:div>
    <w:div w:id="1908029301">
      <w:bodyDiv w:val="1"/>
      <w:marLeft w:val="0"/>
      <w:marRight w:val="0"/>
      <w:marTop w:val="0"/>
      <w:marBottom w:val="0"/>
      <w:divBdr>
        <w:top w:val="none" w:sz="0" w:space="0" w:color="auto"/>
        <w:left w:val="none" w:sz="0" w:space="0" w:color="auto"/>
        <w:bottom w:val="none" w:sz="0" w:space="0" w:color="auto"/>
        <w:right w:val="none" w:sz="0" w:space="0" w:color="auto"/>
      </w:divBdr>
    </w:div>
    <w:div w:id="1948612163">
      <w:bodyDiv w:val="1"/>
      <w:marLeft w:val="0"/>
      <w:marRight w:val="0"/>
      <w:marTop w:val="0"/>
      <w:marBottom w:val="0"/>
      <w:divBdr>
        <w:top w:val="none" w:sz="0" w:space="0" w:color="auto"/>
        <w:left w:val="none" w:sz="0" w:space="0" w:color="auto"/>
        <w:bottom w:val="none" w:sz="0" w:space="0" w:color="auto"/>
        <w:right w:val="none" w:sz="0" w:space="0" w:color="auto"/>
      </w:divBdr>
    </w:div>
    <w:div w:id="20193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DFC0-8044-42D8-8B0A-8DF7A6AA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Template>
  <TotalTime>0</TotalTime>
  <Pages>10</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Temporaire</cp:lastModifiedBy>
  <cp:revision>3</cp:revision>
  <cp:lastPrinted>2015-07-07T14:43:00Z</cp:lastPrinted>
  <dcterms:created xsi:type="dcterms:W3CDTF">2015-07-07T14:43:00Z</dcterms:created>
  <dcterms:modified xsi:type="dcterms:W3CDTF">2015-07-07T14:43:00Z</dcterms:modified>
</cp:coreProperties>
</file>