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F073B80" w14:textId="77777777" w:rsidTr="00DD44B1">
        <w:trPr>
          <w:trHeight w:hRule="exact" w:val="851"/>
        </w:trPr>
        <w:tc>
          <w:tcPr>
            <w:tcW w:w="142" w:type="dxa"/>
            <w:tcBorders>
              <w:bottom w:val="single" w:sz="4" w:space="0" w:color="auto"/>
            </w:tcBorders>
          </w:tcPr>
          <w:p w14:paraId="206ACDDE" w14:textId="77777777" w:rsidR="002D5AAC" w:rsidRDefault="002D5AAC" w:rsidP="005B416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C687386" w14:textId="77777777"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E24A629" w14:textId="3BF9667D" w:rsidR="002D5AAC" w:rsidRDefault="005B416E" w:rsidP="005B416E">
            <w:pPr>
              <w:jc w:val="right"/>
            </w:pPr>
            <w:r w:rsidRPr="005B416E">
              <w:rPr>
                <w:sz w:val="40"/>
              </w:rPr>
              <w:t>E</w:t>
            </w:r>
            <w:r>
              <w:t>/C.12/KGZ/4</w:t>
            </w:r>
          </w:p>
        </w:tc>
      </w:tr>
      <w:tr w:rsidR="002D5AAC" w:rsidRPr="00CB66A1" w14:paraId="16281977" w14:textId="77777777" w:rsidTr="00DD44B1">
        <w:trPr>
          <w:trHeight w:hRule="exact" w:val="2835"/>
        </w:trPr>
        <w:tc>
          <w:tcPr>
            <w:tcW w:w="1280" w:type="dxa"/>
            <w:gridSpan w:val="2"/>
            <w:tcBorders>
              <w:top w:val="single" w:sz="4" w:space="0" w:color="auto"/>
              <w:bottom w:val="single" w:sz="12" w:space="0" w:color="auto"/>
            </w:tcBorders>
          </w:tcPr>
          <w:p w14:paraId="438277B7" w14:textId="77777777" w:rsidR="002D5AAC" w:rsidRDefault="002E5067" w:rsidP="00DD44B1">
            <w:pPr>
              <w:spacing w:before="120"/>
              <w:jc w:val="center"/>
            </w:pPr>
            <w:r>
              <w:rPr>
                <w:noProof/>
                <w:lang w:val="fr-CH" w:eastAsia="fr-CH"/>
              </w:rPr>
              <w:drawing>
                <wp:inline distT="0" distB="0" distL="0" distR="0" wp14:anchorId="277676DD" wp14:editId="06BAC0E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F3775A1" w14:textId="77777777"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14:paraId="7B3011E9" w14:textId="77777777" w:rsidR="002D5AAC" w:rsidRDefault="005B416E" w:rsidP="00DD44B1">
            <w:pPr>
              <w:spacing w:before="240"/>
              <w:rPr>
                <w:lang w:val="en-US"/>
              </w:rPr>
            </w:pPr>
            <w:r>
              <w:rPr>
                <w:lang w:val="en-US"/>
              </w:rPr>
              <w:t>Distr.: General</w:t>
            </w:r>
          </w:p>
          <w:p w14:paraId="5868F1BE" w14:textId="0867C285" w:rsidR="005B416E" w:rsidRDefault="005B416E" w:rsidP="005B416E">
            <w:pPr>
              <w:spacing w:line="240" w:lineRule="exact"/>
              <w:rPr>
                <w:lang w:val="en-US"/>
              </w:rPr>
            </w:pPr>
            <w:r>
              <w:rPr>
                <w:lang w:val="en-US"/>
              </w:rPr>
              <w:t>2</w:t>
            </w:r>
            <w:r w:rsidR="00CB66A1">
              <w:rPr>
                <w:lang w:val="en-US"/>
              </w:rPr>
              <w:t>6</w:t>
            </w:r>
            <w:r>
              <w:rPr>
                <w:lang w:val="en-US"/>
              </w:rPr>
              <w:t xml:space="preserve"> August 2021</w:t>
            </w:r>
          </w:p>
          <w:p w14:paraId="4DC75076" w14:textId="1482B685" w:rsidR="005B416E" w:rsidRDefault="005B416E" w:rsidP="005B416E">
            <w:pPr>
              <w:spacing w:line="240" w:lineRule="exact"/>
              <w:rPr>
                <w:lang w:val="en-US"/>
              </w:rPr>
            </w:pPr>
          </w:p>
          <w:p w14:paraId="37CD9CDC" w14:textId="77777777" w:rsidR="005B416E" w:rsidRDefault="005B416E" w:rsidP="005B416E">
            <w:pPr>
              <w:spacing w:line="240" w:lineRule="exact"/>
              <w:rPr>
                <w:lang w:val="en-US"/>
              </w:rPr>
            </w:pPr>
            <w:r>
              <w:rPr>
                <w:lang w:val="en-US"/>
              </w:rPr>
              <w:t>Original: Russian</w:t>
            </w:r>
          </w:p>
          <w:p w14:paraId="0DA88CA4" w14:textId="49F761EC" w:rsidR="005B416E" w:rsidRPr="005B416E" w:rsidRDefault="005B416E" w:rsidP="005B416E">
            <w:pPr>
              <w:spacing w:line="240" w:lineRule="exact"/>
              <w:rPr>
                <w:lang w:val="en-US"/>
              </w:rPr>
            </w:pPr>
            <w:r w:rsidRPr="005B416E">
              <w:rPr>
                <w:lang w:val="en-US"/>
              </w:rPr>
              <w:t>English, French, Russian and Spanish only</w:t>
            </w:r>
          </w:p>
        </w:tc>
      </w:tr>
    </w:tbl>
    <w:p w14:paraId="01549035" w14:textId="635001CD" w:rsidR="005B416E" w:rsidRPr="004D6335" w:rsidRDefault="005B416E" w:rsidP="005B416E">
      <w:pPr>
        <w:spacing w:before="120"/>
        <w:rPr>
          <w:b/>
          <w:sz w:val="24"/>
          <w:szCs w:val="24"/>
        </w:rPr>
      </w:pPr>
      <w:r>
        <w:rPr>
          <w:b/>
          <w:sz w:val="24"/>
        </w:rPr>
        <w:t xml:space="preserve">Комитет по экономическим, социальным </w:t>
      </w:r>
      <w:r>
        <w:rPr>
          <w:b/>
          <w:sz w:val="24"/>
        </w:rPr>
        <w:br/>
        <w:t>и культурным правам</w:t>
      </w:r>
    </w:p>
    <w:p w14:paraId="242CFC26" w14:textId="6CDF9B4E" w:rsidR="005B416E" w:rsidRPr="00743674" w:rsidRDefault="005B416E" w:rsidP="005B416E">
      <w:pPr>
        <w:pStyle w:val="HMG"/>
      </w:pPr>
      <w:r w:rsidRPr="004D6335">
        <w:tab/>
      </w:r>
      <w:r w:rsidRPr="004D6335">
        <w:tab/>
      </w:r>
      <w:r w:rsidRPr="00743674">
        <w:t>Четвертый периодический доклад, представленный Кыргызстаном согласно статьям 16 и 17 Пакта и подлежащий представлению в 2020</w:t>
      </w:r>
      <w:r w:rsidRPr="005B416E">
        <w:t xml:space="preserve"> </w:t>
      </w:r>
      <w:r w:rsidRPr="00743674">
        <w:t>году</w:t>
      </w:r>
      <w:r w:rsidRPr="005B416E">
        <w:rPr>
          <w:b w:val="0"/>
          <w:sz w:val="20"/>
        </w:rPr>
        <w:footnoteReference w:customMarkFollows="1" w:id="1"/>
        <w:t>* **</w:t>
      </w:r>
    </w:p>
    <w:p w14:paraId="6CD20ECD" w14:textId="724FC963" w:rsidR="005B416E" w:rsidRPr="00F47971" w:rsidRDefault="005B416E" w:rsidP="005B416E">
      <w:pPr>
        <w:pStyle w:val="SingleTxtG"/>
        <w:jc w:val="right"/>
      </w:pPr>
      <w:r w:rsidRPr="00F47971">
        <w:t>[</w:t>
      </w:r>
      <w:r>
        <w:t>Дата получения</w:t>
      </w:r>
      <w:r w:rsidRPr="00F47971">
        <w:t xml:space="preserve">: 20 </w:t>
      </w:r>
      <w:r>
        <w:t>апреля</w:t>
      </w:r>
      <w:r w:rsidRPr="00F47971">
        <w:t xml:space="preserve"> 2020</w:t>
      </w:r>
      <w:r w:rsidRPr="009D5435">
        <w:t xml:space="preserve"> </w:t>
      </w:r>
      <w:r>
        <w:t>года</w:t>
      </w:r>
      <w:r w:rsidRPr="00F47971">
        <w:t>]</w:t>
      </w:r>
    </w:p>
    <w:p w14:paraId="1B65B250" w14:textId="0E7B28AB" w:rsidR="005B416E" w:rsidRPr="009D5435" w:rsidRDefault="005B416E">
      <w:pPr>
        <w:suppressAutoHyphens w:val="0"/>
        <w:spacing w:line="240" w:lineRule="auto"/>
      </w:pPr>
      <w:r w:rsidRPr="009D5435">
        <w:br w:type="page"/>
      </w:r>
    </w:p>
    <w:p w14:paraId="0FB829E5" w14:textId="77777777" w:rsidR="009D5435" w:rsidRPr="00BE433D" w:rsidRDefault="009D5435" w:rsidP="009D5435">
      <w:pPr>
        <w:pStyle w:val="SingleTxtG"/>
      </w:pPr>
      <w:r w:rsidRPr="00BE433D">
        <w:lastRenderedPageBreak/>
        <w:t>1.</w:t>
      </w:r>
      <w:r w:rsidRPr="00BE433D">
        <w:tab/>
        <w:t>Настоящий доклад включает информацию о выполнении Кыргызской Республикой положений Международного пакта об экономических, социальных и культурных правах.</w:t>
      </w:r>
    </w:p>
    <w:p w14:paraId="272BE8EB" w14:textId="77777777" w:rsidR="009D5435" w:rsidRPr="00BE433D" w:rsidRDefault="009D5435" w:rsidP="009D5435">
      <w:pPr>
        <w:pStyle w:val="SingleTxtG"/>
      </w:pPr>
      <w:r w:rsidRPr="00BE433D">
        <w:t>2.</w:t>
      </w:r>
      <w:r w:rsidRPr="00BE433D">
        <w:tab/>
        <w:t xml:space="preserve">Доклад подготовлен в соответствии со ст. 16 и 17 Международного пакта об экономических, социальных и культурных правах, с учетом заключительных замечаний Комитета ООН по экономическим, социальным и культурным правам от 7 июля 2015 года (E/C.12/KGZ/CO/2-3) и общих руководящих принципов в отношении формы и содержания докладов. </w:t>
      </w:r>
    </w:p>
    <w:p w14:paraId="5A935816" w14:textId="77777777" w:rsidR="009D5435" w:rsidRPr="00BE433D" w:rsidRDefault="009D5435" w:rsidP="009D5435">
      <w:pPr>
        <w:pStyle w:val="SingleTxtG"/>
      </w:pPr>
      <w:r w:rsidRPr="00BE433D">
        <w:t>3.</w:t>
      </w:r>
      <w:r w:rsidRPr="00BE433D">
        <w:tab/>
        <w:t xml:space="preserve">Подготовка доклада осуществлена межведомственной рабочей группой под руководством секретариата Координационного совета по правам человека при правительстве Кыргызской Республики, образованной вице-премьер-министром. </w:t>
      </w:r>
    </w:p>
    <w:p w14:paraId="61A7203A" w14:textId="77777777" w:rsidR="009D5435" w:rsidRPr="00BE433D" w:rsidRDefault="009D5435" w:rsidP="009D5435">
      <w:pPr>
        <w:pStyle w:val="SingleTxtG"/>
      </w:pPr>
      <w:r w:rsidRPr="00BE433D">
        <w:t>4.</w:t>
      </w:r>
      <w:r w:rsidRPr="00BE433D">
        <w:tab/>
        <w:t>По итогам подготовки данный доклад также был обсужден с некоммерческими организациями.</w:t>
      </w:r>
    </w:p>
    <w:p w14:paraId="638C41E9" w14:textId="77777777" w:rsidR="009D5435" w:rsidRPr="00BE433D" w:rsidRDefault="009D5435" w:rsidP="009D5435">
      <w:pPr>
        <w:pStyle w:val="SingleTxtG"/>
      </w:pPr>
      <w:r w:rsidRPr="00BE433D">
        <w:t>5.</w:t>
      </w:r>
      <w:r w:rsidRPr="00BE433D">
        <w:tab/>
        <w:t>В докладе представлен анализ нормативной правовой базы Кыргызской Республики, статистических данных и иной информации, касающихся выполнения Кыргызской Республикой обязательств по выполнению Международного пакта об экономических, социальных и культурных правах.</w:t>
      </w:r>
    </w:p>
    <w:p w14:paraId="16C9769E" w14:textId="77777777" w:rsidR="009D5435" w:rsidRPr="00BE433D" w:rsidRDefault="009D5435" w:rsidP="009D5435">
      <w:pPr>
        <w:pStyle w:val="H1G"/>
      </w:pPr>
      <w:r w:rsidRPr="00BE433D">
        <w:tab/>
      </w:r>
      <w:r w:rsidRPr="00BE433D">
        <w:tab/>
        <w:t>Статья 5</w:t>
      </w:r>
      <w:r w:rsidRPr="00BE433D">
        <w:br/>
        <w:t>Недискриминация</w:t>
      </w:r>
    </w:p>
    <w:p w14:paraId="49D83F40" w14:textId="77777777" w:rsidR="009D5435" w:rsidRPr="00BE433D" w:rsidRDefault="009D5435" w:rsidP="009D5435">
      <w:pPr>
        <w:pStyle w:val="SingleTxtG"/>
      </w:pPr>
      <w:r w:rsidRPr="00BE433D">
        <w:t>6.</w:t>
      </w:r>
      <w:r w:rsidRPr="00BE433D">
        <w:tab/>
        <w:t>Антидискриминационные нормы заложены в Конституции, конкретизированы в ряде законов.</w:t>
      </w:r>
    </w:p>
    <w:p w14:paraId="07FF4867" w14:textId="77777777" w:rsidR="009D5435" w:rsidRPr="00BE433D" w:rsidRDefault="009D5435" w:rsidP="009D5435">
      <w:pPr>
        <w:pStyle w:val="SingleTxtG"/>
      </w:pPr>
      <w:r w:rsidRPr="00BE433D">
        <w:t>7.</w:t>
      </w:r>
      <w:r w:rsidRPr="00BE433D">
        <w:tab/>
        <w:t xml:space="preserve">В соответствии с Конституцией права и свободы человека неотчуждаемы и принадлежат каждому от рождения. </w:t>
      </w:r>
    </w:p>
    <w:p w14:paraId="67895C33" w14:textId="77777777" w:rsidR="009D5435" w:rsidRPr="00BE433D" w:rsidRDefault="009D5435" w:rsidP="009D5435">
      <w:pPr>
        <w:pStyle w:val="SingleTxtG"/>
      </w:pPr>
      <w:r w:rsidRPr="00BE433D">
        <w:t>8.</w:t>
      </w:r>
      <w:r w:rsidRPr="00BE433D">
        <w:tab/>
        <w:t>Никто не может подвергаться дискриминации по признаку пола, расы, языка, инвалидности, этнической принадлежности, вероисповедания, возраста, политических или иных убеждений, образования, происхождения, имущественного или иного положения, а также других обстоятельств.</w:t>
      </w:r>
    </w:p>
    <w:p w14:paraId="1BA306FE" w14:textId="77777777" w:rsidR="009D5435" w:rsidRPr="00BE433D" w:rsidRDefault="009D5435" w:rsidP="009D5435">
      <w:pPr>
        <w:pStyle w:val="SingleTxtG"/>
      </w:pPr>
      <w:r w:rsidRPr="00BE433D">
        <w:t>9.</w:t>
      </w:r>
      <w:r w:rsidRPr="00BE433D">
        <w:tab/>
        <w:t xml:space="preserve">Не являются дискриминацией специальные меры, установленные законом и направленные на обеспечение равных возможностей для различных социальных групп в соответствии с международными обязательствами. </w:t>
      </w:r>
    </w:p>
    <w:p w14:paraId="584FF86B" w14:textId="77777777" w:rsidR="009D5435" w:rsidRPr="00BE433D" w:rsidRDefault="009D5435" w:rsidP="009D5435">
      <w:pPr>
        <w:pStyle w:val="SingleTxtG"/>
      </w:pPr>
      <w:r w:rsidRPr="00BE433D">
        <w:t>10.</w:t>
      </w:r>
      <w:r w:rsidRPr="00BE433D">
        <w:tab/>
        <w:t>Кыргызстан делает последовательные шаги в части адаптации национального законодательства к международным стандартам, предусмотренным международными конвенциями, участницей которых является Кыргызская Республика.</w:t>
      </w:r>
    </w:p>
    <w:p w14:paraId="0EF9F8EA" w14:textId="77777777" w:rsidR="009D5435" w:rsidRPr="00BE433D" w:rsidRDefault="009D5435" w:rsidP="009D5435">
      <w:pPr>
        <w:pStyle w:val="SingleTxtG"/>
      </w:pPr>
      <w:r w:rsidRPr="00BE433D">
        <w:t>11.</w:t>
      </w:r>
      <w:r w:rsidRPr="00BE433D">
        <w:tab/>
        <w:t xml:space="preserve">В Кыргызской Республике действует всеобъемлющее законодательство в области этнической принадлежности. Так, конституционный закон «О выборах Президента Кыргызской Республики и депутатов </w:t>
      </w:r>
      <w:proofErr w:type="spellStart"/>
      <w:r w:rsidRPr="00BE433D">
        <w:t>Жогорку</w:t>
      </w:r>
      <w:proofErr w:type="spellEnd"/>
      <w:r w:rsidRPr="00BE433D">
        <w:t xml:space="preserve"> </w:t>
      </w:r>
      <w:proofErr w:type="spellStart"/>
      <w:r w:rsidRPr="00BE433D">
        <w:t>Кенеша</w:t>
      </w:r>
      <w:proofErr w:type="spellEnd"/>
      <w:r w:rsidRPr="00BE433D">
        <w:t xml:space="preserve"> Кыргызской Республики» содержит обязательные квоты — не менее 15 % для граждан, имеющих различную этническую принадлежность.</w:t>
      </w:r>
    </w:p>
    <w:p w14:paraId="26CEECE5" w14:textId="77777777" w:rsidR="009D5435" w:rsidRPr="00BE433D" w:rsidRDefault="009D5435" w:rsidP="009D5435">
      <w:pPr>
        <w:pStyle w:val="SingleTxtG"/>
        <w:tabs>
          <w:tab w:val="clear" w:pos="1701"/>
          <w:tab w:val="clear" w:pos="2268"/>
          <w:tab w:val="clear" w:pos="2835"/>
        </w:tabs>
      </w:pPr>
      <w:r w:rsidRPr="00BE433D">
        <w:t>12.</w:t>
      </w:r>
      <w:r w:rsidRPr="00BE433D">
        <w:tab/>
        <w:t>Избирательное законодательство запрещает пропаганду национальной, этнической, расовой, религиозной, межрегиональной вражды, гендерного и иного социального превосходства, призывающего к дискриминации, вражде.</w:t>
      </w:r>
    </w:p>
    <w:p w14:paraId="6B62D665" w14:textId="77777777" w:rsidR="009D5435" w:rsidRPr="00BE433D" w:rsidRDefault="009D5435" w:rsidP="009D5435">
      <w:pPr>
        <w:pStyle w:val="SingleTxtG"/>
        <w:tabs>
          <w:tab w:val="clear" w:pos="2268"/>
        </w:tabs>
      </w:pPr>
      <w:r w:rsidRPr="00BE433D">
        <w:t>13.</w:t>
      </w:r>
      <w:r w:rsidRPr="00BE433D">
        <w:tab/>
        <w:t>Уголовное законодательство признает обстоятельствами, отягчающими наказание за совершение преступления на почве расовой, этнической, национальной, религиозной или межрегиональной вражды (розни). Кроме того, в УК предусмотрена ответственность в данной сфере.</w:t>
      </w:r>
    </w:p>
    <w:p w14:paraId="49C7CC4A" w14:textId="77777777" w:rsidR="009D5435" w:rsidRPr="00BE433D" w:rsidRDefault="009D5435" w:rsidP="009D5435">
      <w:pPr>
        <w:pStyle w:val="SingleTxtG"/>
        <w:tabs>
          <w:tab w:val="clear" w:pos="2268"/>
        </w:tabs>
      </w:pPr>
      <w:r w:rsidRPr="00BE433D">
        <w:t>14.</w:t>
      </w:r>
      <w:r w:rsidRPr="00BE433D">
        <w:tab/>
        <w:t>Действующее законодательство в отношении ЛГБТИ демонстрирует недискриминационное отношение и позитивную реализацию прав граждан.</w:t>
      </w:r>
    </w:p>
    <w:p w14:paraId="10F5066E" w14:textId="77777777" w:rsidR="009D5435" w:rsidRPr="00BE433D" w:rsidRDefault="009D5435" w:rsidP="009D5435">
      <w:pPr>
        <w:pStyle w:val="SingleTxtG"/>
        <w:tabs>
          <w:tab w:val="clear" w:pos="2268"/>
        </w:tabs>
      </w:pPr>
      <w:r w:rsidRPr="00BE433D">
        <w:t>15.</w:t>
      </w:r>
      <w:r w:rsidRPr="00BE433D">
        <w:tab/>
        <w:t>В целях обеспечения исполнения рекомендаций договорных органов ООН по правам человека, в 2019 году распоряжением правительства утвержден План действий по правам человека на 2019–2021 годы.</w:t>
      </w:r>
    </w:p>
    <w:p w14:paraId="230471BF" w14:textId="77777777" w:rsidR="009D5435" w:rsidRPr="00BE433D" w:rsidRDefault="009D5435" w:rsidP="009D5435">
      <w:pPr>
        <w:pStyle w:val="SingleTxtG"/>
        <w:tabs>
          <w:tab w:val="clear" w:pos="2268"/>
        </w:tabs>
      </w:pPr>
      <w:r w:rsidRPr="00BE433D">
        <w:lastRenderedPageBreak/>
        <w:t>16.</w:t>
      </w:r>
      <w:r w:rsidRPr="00BE433D">
        <w:tab/>
        <w:t>Принят специальный закон, обеспечивающий права людей, живущих с ВИЧ. Не менее важным событием стал вступивший в силу новый УК (вступил в силу с 2019 года), который разделяет ответственность за неумышленную и умышленную передачу ВИЧ, а также смягчает наказание. Отсутствует уголовная ответственность за добровольные однополые отношения.</w:t>
      </w:r>
    </w:p>
    <w:p w14:paraId="7C8C604F" w14:textId="77777777" w:rsidR="009D5435" w:rsidRPr="00BE433D" w:rsidRDefault="009D5435" w:rsidP="009D5435">
      <w:pPr>
        <w:pStyle w:val="SingleTxtG"/>
        <w:tabs>
          <w:tab w:val="clear" w:pos="2268"/>
        </w:tabs>
      </w:pPr>
      <w:r w:rsidRPr="00BE433D">
        <w:t>17.</w:t>
      </w:r>
      <w:r w:rsidRPr="00BE433D">
        <w:tab/>
        <w:t xml:space="preserve">В стране </w:t>
      </w:r>
      <w:proofErr w:type="spellStart"/>
      <w:r w:rsidRPr="00BE433D">
        <w:t>декриминализированы</w:t>
      </w:r>
      <w:proofErr w:type="spellEnd"/>
      <w:r w:rsidRPr="00BE433D">
        <w:t xml:space="preserve"> сексуальные услуги и сексуальные отношения между взрослыми людьми, включая ЛГБТ-сообщество. Среди положительных нововведений в первую очередь следует отметить разработанный новый порядок коррекции пола и смены паспортных данных </w:t>
      </w:r>
      <w:proofErr w:type="spellStart"/>
      <w:r w:rsidRPr="00BE433D">
        <w:t>трансгендерных</w:t>
      </w:r>
      <w:proofErr w:type="spellEnd"/>
      <w:r w:rsidRPr="00BE433D">
        <w:t xml:space="preserve"> людей.</w:t>
      </w:r>
    </w:p>
    <w:p w14:paraId="3057B22F" w14:textId="77777777" w:rsidR="009D5435" w:rsidRPr="00BE433D" w:rsidRDefault="009D5435" w:rsidP="009D5435">
      <w:pPr>
        <w:pStyle w:val="SingleTxtG"/>
        <w:tabs>
          <w:tab w:val="clear" w:pos="2268"/>
        </w:tabs>
      </w:pPr>
      <w:r w:rsidRPr="00BE433D">
        <w:t>18.</w:t>
      </w:r>
      <w:r w:rsidRPr="00BE433D">
        <w:tab/>
        <w:t>В Кыргызстане каждый имеет право на коррекцию пола. Данное право закреплено в Законе «Об охране здоровья граждан в Кыргызской Республике». Одной из мер по снижению уровня дискриминации на почве сексуальной ориентации и гендерной идентичности является принятие рекомендаций Комитета ООН по ликвидации расовой дискриминации и утверждение в 2019 году распоряжением правительства Межведомственного плана мероприятий на 2019–2022 годы по реализации рекомендаций Комитета по ликвидации расовой дискриминации.</w:t>
      </w:r>
    </w:p>
    <w:p w14:paraId="2F5B75BD" w14:textId="77777777" w:rsidR="009D5435" w:rsidRPr="00BE433D" w:rsidRDefault="009D5435" w:rsidP="009D5435">
      <w:pPr>
        <w:pStyle w:val="SingleTxtG"/>
        <w:tabs>
          <w:tab w:val="clear" w:pos="2268"/>
        </w:tabs>
      </w:pPr>
      <w:r w:rsidRPr="00BE433D">
        <w:t>19.</w:t>
      </w:r>
      <w:r w:rsidRPr="00BE433D">
        <w:tab/>
        <w:t xml:space="preserve">В 2017 году утверждены важные для здравоохранения клинические протоколы и руководства, среди которых «Руководство по оказанию медико-социальной помощи </w:t>
      </w:r>
      <w:proofErr w:type="spellStart"/>
      <w:r w:rsidRPr="00BE433D">
        <w:t>трансгендерным</w:t>
      </w:r>
      <w:proofErr w:type="spellEnd"/>
      <w:r w:rsidRPr="00BE433D">
        <w:t xml:space="preserve">, </w:t>
      </w:r>
      <w:proofErr w:type="spellStart"/>
      <w:r w:rsidRPr="00BE433D">
        <w:t>транссексуальным</w:t>
      </w:r>
      <w:proofErr w:type="spellEnd"/>
      <w:r w:rsidRPr="00BE433D">
        <w:t xml:space="preserve"> и гендерно </w:t>
      </w:r>
      <w:proofErr w:type="spellStart"/>
      <w:r w:rsidRPr="00BE433D">
        <w:t>неконформным</w:t>
      </w:r>
      <w:proofErr w:type="spellEnd"/>
      <w:r w:rsidRPr="00BE433D">
        <w:t xml:space="preserve"> людям для медицинских специалистов всех уровней здравоохранения и других ведомств Кыргызской Республики». </w:t>
      </w:r>
    </w:p>
    <w:p w14:paraId="62C0A422" w14:textId="77777777" w:rsidR="009D5435" w:rsidRPr="00BE433D" w:rsidRDefault="009D5435" w:rsidP="009D5435">
      <w:pPr>
        <w:pStyle w:val="SingleTxtG"/>
        <w:tabs>
          <w:tab w:val="clear" w:pos="2268"/>
        </w:tabs>
      </w:pPr>
      <w:r w:rsidRPr="00BE433D">
        <w:t>20.</w:t>
      </w:r>
      <w:r w:rsidRPr="00BE433D">
        <w:tab/>
        <w:t xml:space="preserve">Данное Руководство является национальным стандартом оказания медико-социальной помощи </w:t>
      </w:r>
      <w:proofErr w:type="spellStart"/>
      <w:r w:rsidRPr="00BE433D">
        <w:t>трансгендерным</w:t>
      </w:r>
      <w:proofErr w:type="spellEnd"/>
      <w:r w:rsidRPr="00BE433D">
        <w:t xml:space="preserve">, </w:t>
      </w:r>
      <w:proofErr w:type="spellStart"/>
      <w:r w:rsidRPr="00BE433D">
        <w:t>транссексуальным</w:t>
      </w:r>
      <w:proofErr w:type="spellEnd"/>
      <w:r w:rsidRPr="00BE433D">
        <w:t xml:space="preserve"> и гендерно </w:t>
      </w:r>
      <w:proofErr w:type="spellStart"/>
      <w:r w:rsidRPr="00BE433D">
        <w:t>неконформным</w:t>
      </w:r>
      <w:proofErr w:type="spellEnd"/>
      <w:r w:rsidRPr="00BE433D">
        <w:t xml:space="preserve"> людям.</w:t>
      </w:r>
    </w:p>
    <w:p w14:paraId="13658957" w14:textId="77777777" w:rsidR="009D5435" w:rsidRPr="00BE433D" w:rsidRDefault="009D5435" w:rsidP="009D5435">
      <w:pPr>
        <w:pStyle w:val="SingleTxtG"/>
        <w:tabs>
          <w:tab w:val="clear" w:pos="2268"/>
        </w:tabs>
      </w:pPr>
      <w:r w:rsidRPr="00BE433D">
        <w:t>21.</w:t>
      </w:r>
      <w:r w:rsidRPr="00BE433D">
        <w:tab/>
        <w:t xml:space="preserve">Министерством здравоохранения (далее — Минздрав) разработана и утверждена форма документа, необходимого и достаточного для предоставления в органы записи актов гражданского состояния с целью юридического признания гендера. Тем самым создана возможность для выполнения рекомендаций ООН и развития системы для «оперативной, транспарентной и доступной» процедуры смены паспортного пола (гендерного маркера) </w:t>
      </w:r>
      <w:proofErr w:type="spellStart"/>
      <w:r w:rsidRPr="00BE433D">
        <w:t>трансгендерным</w:t>
      </w:r>
      <w:proofErr w:type="spellEnd"/>
      <w:r w:rsidRPr="00BE433D">
        <w:t xml:space="preserve">, </w:t>
      </w:r>
      <w:proofErr w:type="spellStart"/>
      <w:r w:rsidRPr="00BE433D">
        <w:t>транссексуальным</w:t>
      </w:r>
      <w:proofErr w:type="spellEnd"/>
      <w:r w:rsidRPr="00BE433D">
        <w:t xml:space="preserve"> и гендерно </w:t>
      </w:r>
      <w:proofErr w:type="spellStart"/>
      <w:r w:rsidRPr="00BE433D">
        <w:t>неконформным</w:t>
      </w:r>
      <w:proofErr w:type="spellEnd"/>
      <w:r w:rsidRPr="00BE433D">
        <w:t xml:space="preserve"> людям.</w:t>
      </w:r>
    </w:p>
    <w:p w14:paraId="3952920B" w14:textId="77777777" w:rsidR="009D5435" w:rsidRPr="00BE433D" w:rsidRDefault="009D5435" w:rsidP="009D5435">
      <w:pPr>
        <w:pStyle w:val="SingleTxtG"/>
        <w:tabs>
          <w:tab w:val="clear" w:pos="2268"/>
        </w:tabs>
      </w:pPr>
      <w:r w:rsidRPr="00BE433D">
        <w:t>22.</w:t>
      </w:r>
      <w:r w:rsidRPr="00BE433D">
        <w:tab/>
        <w:t>В 2018 году начат процесс внедрения Руководства в практику врачей и образовательные программы медицинских учебных заведений. С Руководством ознакомлены медицинские специалисты, клиники и кафедры города Бишкек, Ошской и Джалал-</w:t>
      </w:r>
      <w:proofErr w:type="spellStart"/>
      <w:r w:rsidRPr="00BE433D">
        <w:t>Абадской</w:t>
      </w:r>
      <w:proofErr w:type="spellEnd"/>
      <w:r w:rsidRPr="00BE433D">
        <w:t xml:space="preserve"> областей. </w:t>
      </w:r>
    </w:p>
    <w:p w14:paraId="2FB975C1" w14:textId="77777777" w:rsidR="009D5435" w:rsidRPr="00BE433D" w:rsidRDefault="009D5435" w:rsidP="009D5435">
      <w:pPr>
        <w:pStyle w:val="SingleTxtG"/>
        <w:tabs>
          <w:tab w:val="clear" w:pos="2268"/>
        </w:tabs>
      </w:pPr>
      <w:r w:rsidRPr="00BE433D">
        <w:t>23.</w:t>
      </w:r>
      <w:r w:rsidRPr="00BE433D">
        <w:tab/>
        <w:t xml:space="preserve">В промежуточном отчете в 2018 году Кыргызская Республика отчиталась по выполненным рекомендациям в комитете КЛДЖ, включая рекомендацию по процедуре смены гендерного маркера в персональных документах для </w:t>
      </w:r>
      <w:proofErr w:type="spellStart"/>
      <w:r w:rsidRPr="00BE433D">
        <w:t>транслюдей</w:t>
      </w:r>
      <w:proofErr w:type="spellEnd"/>
      <w:r w:rsidRPr="00BE433D">
        <w:t>.</w:t>
      </w:r>
    </w:p>
    <w:p w14:paraId="78E74B12" w14:textId="77777777" w:rsidR="009D5435" w:rsidRPr="00BE433D" w:rsidRDefault="009D5435" w:rsidP="009D5435">
      <w:pPr>
        <w:pStyle w:val="SingleTxtG"/>
        <w:tabs>
          <w:tab w:val="clear" w:pos="2268"/>
        </w:tabs>
      </w:pPr>
      <w:r w:rsidRPr="00BE433D">
        <w:t>24.</w:t>
      </w:r>
      <w:r w:rsidRPr="00BE433D">
        <w:tab/>
        <w:t xml:space="preserve">Кыргызстан единственная страна в Центральной Азии, где создана правовая база и регламент оказания медико-социальной помощи и смены документов для </w:t>
      </w:r>
      <w:proofErr w:type="spellStart"/>
      <w:r w:rsidRPr="00BE433D">
        <w:t>транслюдей</w:t>
      </w:r>
      <w:proofErr w:type="spellEnd"/>
      <w:r w:rsidRPr="00BE433D">
        <w:t>.</w:t>
      </w:r>
    </w:p>
    <w:p w14:paraId="5C37E933" w14:textId="77777777" w:rsidR="009D5435" w:rsidRPr="00BE433D" w:rsidRDefault="009D5435" w:rsidP="009D5435">
      <w:pPr>
        <w:pStyle w:val="SingleTxtG"/>
        <w:tabs>
          <w:tab w:val="clear" w:pos="2268"/>
        </w:tabs>
      </w:pPr>
      <w:r w:rsidRPr="00BE433D">
        <w:t>25.</w:t>
      </w:r>
      <w:r w:rsidRPr="00BE433D">
        <w:tab/>
        <w:t xml:space="preserve">Следует учесть, что страна находится в переходном периоде своего демократического развития, поэтому вопросы формирования толерантности стоят остро на всех уровнях государственного устройства: на уровне государственных сервисных организаций, на уровне местных сообществ, в семье и отдельных граждан. Эта работа проводится скрупулезно весь период развития независимого Кыргызстана, но требует продолжения, которое связано с изменением мировоззрения для формирования демократического толерантного общества. Поэтому встречаются дискриминирующие правоприменительные практики, от которых больше всего страдают наиболее уязвимые группы населения, — женщины, секс-работники, представители ЛГБТ-сообщества, люди, живущие с ВИЧ и туберкулезом. </w:t>
      </w:r>
    </w:p>
    <w:p w14:paraId="67FA2683" w14:textId="77777777" w:rsidR="009D5435" w:rsidRPr="00BE433D" w:rsidRDefault="009D5435" w:rsidP="009D5435">
      <w:pPr>
        <w:pStyle w:val="SingleTxtG"/>
        <w:tabs>
          <w:tab w:val="clear" w:pos="2268"/>
        </w:tabs>
      </w:pPr>
      <w:r w:rsidRPr="00BE433D">
        <w:t>26.</w:t>
      </w:r>
      <w:r w:rsidRPr="00BE433D">
        <w:tab/>
        <w:t xml:space="preserve">Такие случаи документируются и являются предметом рассмотрения на уровне аппарата Омбудсмена и на уровне государственных организаций. Одновременно проводится обучение по правовым вопросам, связанным с оказанием медицинской </w:t>
      </w:r>
      <w:r w:rsidRPr="00BE433D">
        <w:lastRenderedPageBreak/>
        <w:t xml:space="preserve">помощи, и гендера в системе </w:t>
      </w:r>
      <w:proofErr w:type="spellStart"/>
      <w:r w:rsidRPr="00BE433D">
        <w:t>додипломного</w:t>
      </w:r>
      <w:proofErr w:type="spellEnd"/>
      <w:r w:rsidRPr="00BE433D">
        <w:t xml:space="preserve"> и последипломного непрерывного обучения в системе Минздрава, МВД, ГСИН, а также при обучении адвокатов, работников прокуратуры и судей.</w:t>
      </w:r>
    </w:p>
    <w:p w14:paraId="02A45965" w14:textId="77777777" w:rsidR="009D5435" w:rsidRPr="00BE433D" w:rsidRDefault="009D5435" w:rsidP="009D5435">
      <w:pPr>
        <w:pStyle w:val="SingleTxtG"/>
        <w:tabs>
          <w:tab w:val="clear" w:pos="2268"/>
        </w:tabs>
      </w:pPr>
      <w:r w:rsidRPr="00BE433D">
        <w:t>27.</w:t>
      </w:r>
      <w:r w:rsidRPr="00BE433D">
        <w:tab/>
        <w:t>В марте 2019 года Кыргызстан ратифицировал Конвенцию ООН о правах инвалидов. В связи с чем страна взяла обязательства обеспечивать и поощрять полную реализацию всех прав человека и основных свобод всеми инвалидами без какой бы то ни было дискриминации по признаку инвалидности.</w:t>
      </w:r>
    </w:p>
    <w:p w14:paraId="76061715" w14:textId="77777777" w:rsidR="009D5435" w:rsidRPr="00BE433D" w:rsidRDefault="009D5435" w:rsidP="009D5435">
      <w:pPr>
        <w:pStyle w:val="SingleTxtG"/>
        <w:tabs>
          <w:tab w:val="clear" w:pos="2268"/>
        </w:tabs>
      </w:pPr>
      <w:r w:rsidRPr="00BE433D">
        <w:t>28.</w:t>
      </w:r>
      <w:r w:rsidRPr="00BE433D">
        <w:tab/>
        <w:t xml:space="preserve">Разработан проект Плана первоочередных мер по реализации Конвенции ООН о правах инвалидов на 2021–2023 годы. Также разработана Программа «Доступная страна», направленная на создание доступной среды жизнедеятельности для лиц с инвалидностью. </w:t>
      </w:r>
    </w:p>
    <w:p w14:paraId="62B084F4" w14:textId="77777777" w:rsidR="009D5435" w:rsidRPr="00BE433D" w:rsidRDefault="009D5435" w:rsidP="009D5435">
      <w:pPr>
        <w:pStyle w:val="SingleTxtG"/>
        <w:tabs>
          <w:tab w:val="clear" w:pos="2268"/>
        </w:tabs>
      </w:pPr>
      <w:r w:rsidRPr="00BE433D">
        <w:t>29.</w:t>
      </w:r>
      <w:r w:rsidRPr="00BE433D">
        <w:tab/>
        <w:t>В рамках Национальной стратегии развития на 2018–2040 годы, утвержденной Указом Президента от 31 октября 2018 года № 221, определено, что создаются условия для формирования общества, в котором этничность, отношение к религии, региональная и родоплеменная принадлежность, другие культурные различия граждан не являются основаниями для дискриминации и не оказывают влияния на политические процессы.</w:t>
      </w:r>
    </w:p>
    <w:p w14:paraId="28E96D04" w14:textId="77777777" w:rsidR="009D5435" w:rsidRPr="00BE433D" w:rsidRDefault="009D5435" w:rsidP="009D5435">
      <w:pPr>
        <w:pStyle w:val="SingleTxtG"/>
        <w:tabs>
          <w:tab w:val="clear" w:pos="2268"/>
        </w:tabs>
      </w:pPr>
      <w:r w:rsidRPr="00BE433D">
        <w:t>30.</w:t>
      </w:r>
      <w:r w:rsidRPr="00BE433D">
        <w:tab/>
        <w:t>В целях предотвращения неправомочных практик в работе министерств и ведомств в большинстве организаций установлены камеры видеонаблюдения для контроля за обеспечением прав граждан, повышения качества государственных услуг и недискриминации.</w:t>
      </w:r>
    </w:p>
    <w:p w14:paraId="1E080D45" w14:textId="77777777" w:rsidR="009D5435" w:rsidRPr="00BE433D" w:rsidRDefault="009D5435" w:rsidP="009D5435">
      <w:pPr>
        <w:pStyle w:val="SingleTxtG"/>
        <w:tabs>
          <w:tab w:val="clear" w:pos="2268"/>
        </w:tabs>
      </w:pPr>
      <w:r w:rsidRPr="00BE433D">
        <w:t>31.</w:t>
      </w:r>
      <w:r w:rsidRPr="00BE433D">
        <w:tab/>
        <w:t>В органах прокуратуры утверждена инструкция по работе с уязвимыми группами при проведении профилактики ВИЧ, предусматривающая антидискриминационный блок в отношении уязвимых групп, а также обучающий модуль, раскрывающий особенности проведения прокурорских проверок по надзору за исполнением законодательства о правах и гарантиях лиц с ограниченными возможностями здоровья, включая особенности в отношении женщин с инвалидностью</w:t>
      </w:r>
      <w:r w:rsidRPr="00BE433D">
        <w:rPr>
          <w:rStyle w:val="a8"/>
        </w:rPr>
        <w:footnoteReference w:id="2"/>
      </w:r>
      <w:r w:rsidRPr="00BE433D">
        <w:t>.</w:t>
      </w:r>
    </w:p>
    <w:p w14:paraId="35F1C93D" w14:textId="77777777" w:rsidR="009D5435" w:rsidRPr="00BE433D" w:rsidRDefault="009D5435" w:rsidP="009D5435">
      <w:pPr>
        <w:pStyle w:val="SingleTxtG"/>
        <w:tabs>
          <w:tab w:val="clear" w:pos="2268"/>
        </w:tabs>
      </w:pPr>
      <w:r w:rsidRPr="00BE433D">
        <w:t>32.</w:t>
      </w:r>
      <w:r w:rsidRPr="00BE433D">
        <w:tab/>
        <w:t>Специфика работы с уязвимыми группами населения, включая женщин и пересекающимися формами насилия нашла отражение в документах, регулирующих работу органов внутренних дел</w:t>
      </w:r>
      <w:r w:rsidRPr="00BE433D">
        <w:rPr>
          <w:rStyle w:val="a8"/>
        </w:rPr>
        <w:footnoteReference w:id="3"/>
      </w:r>
      <w:r w:rsidRPr="00BE433D">
        <w:t xml:space="preserve">. В частности, установлено требование к сотрудникам ОВД обеспечивать равный доступ к правосудию женщинам из уязвимых групп населения, включая ЛОВЗ, освободившихся из мест лишения свободы, с алкогольной, наркотической зависимостью, представителей ЛГБТ-сообщества, </w:t>
      </w:r>
      <w:r w:rsidRPr="00BE433D">
        <w:br/>
        <w:t xml:space="preserve">секс-работниц и др. </w:t>
      </w:r>
    </w:p>
    <w:p w14:paraId="17C1F358" w14:textId="77777777" w:rsidR="009D5435" w:rsidRPr="00BE433D" w:rsidRDefault="009D5435" w:rsidP="009D5435">
      <w:pPr>
        <w:pStyle w:val="H1G"/>
      </w:pPr>
      <w:r w:rsidRPr="00BE433D">
        <w:tab/>
      </w:r>
      <w:r w:rsidRPr="00BE433D">
        <w:tab/>
        <w:t>Статья 6</w:t>
      </w:r>
      <w:r w:rsidRPr="00BE433D">
        <w:br/>
      </w:r>
      <w:r w:rsidRPr="00BE433D">
        <w:tab/>
        <w:t>Благоприятные условия для деятельности гражданского общества</w:t>
      </w:r>
    </w:p>
    <w:p w14:paraId="06A123B4" w14:textId="77777777" w:rsidR="009D5435" w:rsidRPr="00BE433D" w:rsidRDefault="009D5435" w:rsidP="009D5435">
      <w:pPr>
        <w:pStyle w:val="SingleTxtG"/>
        <w:tabs>
          <w:tab w:val="clear" w:pos="2268"/>
        </w:tabs>
      </w:pPr>
      <w:r w:rsidRPr="00BE433D">
        <w:t>33.</w:t>
      </w:r>
      <w:r w:rsidRPr="00BE433D">
        <w:tab/>
        <w:t>В 2014 году инициирован законопроект о внесении изменений в Закон «О некоммерческих организациях», который исключает право граждан на создание незарегистрированных некоммерческих организаций.</w:t>
      </w:r>
    </w:p>
    <w:p w14:paraId="6EE374B9" w14:textId="77777777" w:rsidR="009D5435" w:rsidRPr="00BE433D" w:rsidRDefault="009D5435" w:rsidP="009D5435">
      <w:pPr>
        <w:pStyle w:val="SingleTxtG"/>
        <w:tabs>
          <w:tab w:val="clear" w:pos="2268"/>
        </w:tabs>
      </w:pPr>
      <w:r w:rsidRPr="00BE433D">
        <w:t>34.</w:t>
      </w:r>
      <w:r w:rsidRPr="00BE433D">
        <w:tab/>
        <w:t xml:space="preserve">Законодательная инициатива была направлена на ограничение деятельности местных и международных некоммерческих организаций, о признании данных организаций «иностранными агентами» и введении контроля над их деятельностью, включая полномочия государственного органа, осуществляющего регистрацию, запрашивать информацию о деятельности, проводить проверки, приостанавливать деятельность НКО на шесть месяцев. </w:t>
      </w:r>
    </w:p>
    <w:p w14:paraId="2701D039" w14:textId="77777777" w:rsidR="009D5435" w:rsidRPr="00BE433D" w:rsidRDefault="009D5435" w:rsidP="009D5435">
      <w:pPr>
        <w:pStyle w:val="SingleTxtG"/>
        <w:tabs>
          <w:tab w:val="clear" w:pos="2268"/>
        </w:tabs>
      </w:pPr>
      <w:r w:rsidRPr="00BE433D">
        <w:t>35.</w:t>
      </w:r>
      <w:r w:rsidRPr="00BE433D">
        <w:tab/>
        <w:t xml:space="preserve">Указанный законопроект 12 мая 2016 года был отклонен Парламентом страны. </w:t>
      </w:r>
    </w:p>
    <w:p w14:paraId="0B9DEDA8" w14:textId="77777777" w:rsidR="009D5435" w:rsidRPr="00BE433D" w:rsidRDefault="009D5435" w:rsidP="009D5435">
      <w:pPr>
        <w:pStyle w:val="SingleTxtG"/>
        <w:tabs>
          <w:tab w:val="clear" w:pos="2268"/>
        </w:tabs>
      </w:pPr>
      <w:r w:rsidRPr="00BE433D">
        <w:t>36.</w:t>
      </w:r>
      <w:r w:rsidRPr="00BE433D">
        <w:tab/>
        <w:t xml:space="preserve">В стране по состоянию на 28 октября 2020 года, действует </w:t>
      </w:r>
      <w:r w:rsidRPr="00BE433D">
        <w:br/>
        <w:t xml:space="preserve">29 439 некоммерческих организаций (далее — НКО). НКО принимают активное участие в страновом диалоге по наиболее актуальным проблемам развития страны, участвуют в парламентских и иных общественных слушаниях, отстаивают свою позицию по наиболее злободневным вопросам. </w:t>
      </w:r>
    </w:p>
    <w:p w14:paraId="44B2FC6E" w14:textId="77777777" w:rsidR="009D5435" w:rsidRPr="00BE433D" w:rsidRDefault="009D5435" w:rsidP="009D5435">
      <w:pPr>
        <w:pStyle w:val="SingleTxtG"/>
        <w:tabs>
          <w:tab w:val="clear" w:pos="2268"/>
        </w:tabs>
      </w:pPr>
      <w:r w:rsidRPr="00BE433D">
        <w:t>37.</w:t>
      </w:r>
      <w:r w:rsidRPr="00BE433D">
        <w:tab/>
        <w:t xml:space="preserve">Представители гражданского сектора входят в общественные наблюдательные советы при министерствах и административных ведомствах, в состав попечительских советов государственных организаций и правительственных комиссий и др. </w:t>
      </w:r>
    </w:p>
    <w:p w14:paraId="218ADCDB" w14:textId="77777777" w:rsidR="009D5435" w:rsidRPr="00BE433D" w:rsidRDefault="009D5435" w:rsidP="009D5435">
      <w:pPr>
        <w:pStyle w:val="SingleTxtG"/>
        <w:tabs>
          <w:tab w:val="clear" w:pos="2268"/>
        </w:tabs>
      </w:pPr>
      <w:r w:rsidRPr="00BE433D">
        <w:t>38.</w:t>
      </w:r>
      <w:r w:rsidRPr="00BE433D">
        <w:tab/>
        <w:t xml:space="preserve">Так, в составе комитета по ВИЧ и туберкулезу при Комитете общественного здравоохранения при правительстве 40 % составляют представители гражданского общества, которые имеют равный голос при принятии решения данного Комитета. Представители НКО и сообществ также являются председателями подкомитетов, а также заместителем председателя Комитета. </w:t>
      </w:r>
    </w:p>
    <w:p w14:paraId="67478FAE" w14:textId="77777777" w:rsidR="009D5435" w:rsidRPr="00BE433D" w:rsidRDefault="009D5435" w:rsidP="009D5435">
      <w:pPr>
        <w:pStyle w:val="SingleTxtG"/>
        <w:tabs>
          <w:tab w:val="clear" w:pos="2268"/>
        </w:tabs>
      </w:pPr>
      <w:r w:rsidRPr="00BE433D">
        <w:t>39.</w:t>
      </w:r>
      <w:r w:rsidRPr="00BE433D">
        <w:tab/>
        <w:t>В стране расширяется система Государственного социального заказа (далее — ГСЗ). В 2018 году Минздравом утверждены Программа и План мероприятий по ГСЗ на 2018–2020 годы. Программа включает порядок предоставления грантов и финансирование организаций гражданского общества, выполняющих программы в сфере ВИЧ, туберкулеза, онкологических и психических заболеваний.</w:t>
      </w:r>
    </w:p>
    <w:p w14:paraId="3F5FE30C" w14:textId="77777777" w:rsidR="009D5435" w:rsidRPr="00BE433D" w:rsidRDefault="009D5435" w:rsidP="009D5435">
      <w:pPr>
        <w:pStyle w:val="H1G"/>
      </w:pPr>
      <w:r w:rsidRPr="00BE433D">
        <w:tab/>
      </w:r>
      <w:r w:rsidRPr="00BE433D">
        <w:tab/>
        <w:t>Статья 7</w:t>
      </w:r>
      <w:r w:rsidRPr="00BE433D">
        <w:br/>
      </w:r>
      <w:r w:rsidRPr="00BE433D">
        <w:tab/>
        <w:t>Коррупция</w:t>
      </w:r>
    </w:p>
    <w:p w14:paraId="5C961F38" w14:textId="77777777" w:rsidR="009D5435" w:rsidRPr="00BE433D" w:rsidRDefault="009D5435" w:rsidP="009D5435">
      <w:pPr>
        <w:pStyle w:val="SingleTxtG"/>
        <w:tabs>
          <w:tab w:val="clear" w:pos="2268"/>
        </w:tabs>
      </w:pPr>
      <w:r w:rsidRPr="00BE433D">
        <w:t>40.</w:t>
      </w:r>
      <w:r w:rsidRPr="00BE433D">
        <w:tab/>
        <w:t xml:space="preserve">В целях активизации борьбы с коррупцией в 2011 году образована Антикоррупционная служба ГКНБ, утверждена Государственная стратегия антикоррупционной политики, приняты меры по устранению причин политической и системной коррупции в органах власти. </w:t>
      </w:r>
    </w:p>
    <w:p w14:paraId="06389BB6" w14:textId="77777777" w:rsidR="009D5435" w:rsidRPr="00BE433D" w:rsidRDefault="009D5435" w:rsidP="009D5435">
      <w:pPr>
        <w:pStyle w:val="SingleTxtG"/>
        <w:tabs>
          <w:tab w:val="clear" w:pos="2268"/>
        </w:tabs>
      </w:pPr>
      <w:r w:rsidRPr="00BE433D">
        <w:t>41.</w:t>
      </w:r>
      <w:r w:rsidRPr="00BE433D">
        <w:tab/>
        <w:t xml:space="preserve">Активные меры по борьбе с коррупцией позволили стране подняться на 28 позиций по «Индексу восприятия коррупции» в рейтинге Трансперенси Интернешнл. В 2019 году Республика заняла 126-е место, а в 2012 году занимала </w:t>
      </w:r>
      <w:r w:rsidRPr="00BE433D">
        <w:br/>
        <w:t xml:space="preserve">154-е место. </w:t>
      </w:r>
    </w:p>
    <w:p w14:paraId="44BA4BF7" w14:textId="77777777" w:rsidR="009D5435" w:rsidRPr="00BE433D" w:rsidRDefault="009D5435" w:rsidP="009D5435">
      <w:pPr>
        <w:pStyle w:val="SingleTxtG"/>
        <w:tabs>
          <w:tab w:val="clear" w:pos="2268"/>
        </w:tabs>
      </w:pPr>
      <w:r w:rsidRPr="00BE433D">
        <w:t>42.</w:t>
      </w:r>
      <w:r w:rsidRPr="00BE433D">
        <w:tab/>
        <w:t>В стране выстроена многогранная система противодействия коррупции, включающая законодательные, предупредительные и (правоохранительные) карательные меры.</w:t>
      </w:r>
    </w:p>
    <w:p w14:paraId="3A011B12" w14:textId="77777777" w:rsidR="009D5435" w:rsidRPr="00BE433D" w:rsidRDefault="009D5435" w:rsidP="009D5435">
      <w:pPr>
        <w:pStyle w:val="SingleTxtG"/>
        <w:tabs>
          <w:tab w:val="clear" w:pos="2268"/>
        </w:tabs>
      </w:pPr>
      <w:r w:rsidRPr="00BE433D">
        <w:t>43.</w:t>
      </w:r>
      <w:r w:rsidRPr="00BE433D">
        <w:tab/>
        <w:t xml:space="preserve">В первую очередь приняты основополагающие нормативные правовые акты и другие документы в данной сфере: </w:t>
      </w:r>
    </w:p>
    <w:p w14:paraId="5778614C" w14:textId="77777777" w:rsidR="009D5435" w:rsidRPr="00BE433D" w:rsidRDefault="009D5435" w:rsidP="009D5435">
      <w:pPr>
        <w:pStyle w:val="Bullet1G"/>
        <w:numPr>
          <w:ilvl w:val="0"/>
          <w:numId w:val="0"/>
        </w:numPr>
        <w:tabs>
          <w:tab w:val="left" w:pos="1701"/>
        </w:tabs>
        <w:ind w:left="1701" w:hanging="170"/>
      </w:pPr>
      <w:r w:rsidRPr="00BE433D">
        <w:t>•</w:t>
      </w:r>
      <w:r w:rsidRPr="00BE433D">
        <w:tab/>
        <w:t>Закон «О противодействии коррупции» (2012 год);</w:t>
      </w:r>
    </w:p>
    <w:p w14:paraId="40397FB2" w14:textId="77777777" w:rsidR="009D5435" w:rsidRPr="00BE433D" w:rsidRDefault="009D5435" w:rsidP="009D5435">
      <w:pPr>
        <w:pStyle w:val="Bullet1G"/>
        <w:numPr>
          <w:ilvl w:val="0"/>
          <w:numId w:val="0"/>
        </w:numPr>
        <w:tabs>
          <w:tab w:val="left" w:pos="1701"/>
        </w:tabs>
        <w:ind w:left="1701" w:hanging="170"/>
      </w:pPr>
      <w:r w:rsidRPr="00BE433D">
        <w:t>•</w:t>
      </w:r>
      <w:r w:rsidRPr="00BE433D">
        <w:tab/>
        <w:t>Закон «О декларировании доходов, расходов, обязательств и имущества лиц, замещающих или занимающих государственные или муниципальные должности» (2017 год);</w:t>
      </w:r>
    </w:p>
    <w:p w14:paraId="78E49665" w14:textId="77777777" w:rsidR="009D5435" w:rsidRPr="00BE433D" w:rsidRDefault="009D5435" w:rsidP="009D5435">
      <w:pPr>
        <w:pStyle w:val="Bullet1G"/>
        <w:numPr>
          <w:ilvl w:val="0"/>
          <w:numId w:val="0"/>
        </w:numPr>
        <w:tabs>
          <w:tab w:val="left" w:pos="1701"/>
        </w:tabs>
        <w:ind w:left="1701" w:hanging="170"/>
      </w:pPr>
      <w:r w:rsidRPr="00BE433D">
        <w:t>•</w:t>
      </w:r>
      <w:r w:rsidRPr="00BE433D">
        <w:tab/>
        <w:t>Закон «О конфликте интересов» (2017 год);</w:t>
      </w:r>
    </w:p>
    <w:p w14:paraId="746A8C83" w14:textId="77777777" w:rsidR="009D5435" w:rsidRPr="00BE433D" w:rsidRDefault="009D5435" w:rsidP="009D5435">
      <w:pPr>
        <w:pStyle w:val="Bullet1G"/>
        <w:numPr>
          <w:ilvl w:val="0"/>
          <w:numId w:val="0"/>
        </w:numPr>
        <w:tabs>
          <w:tab w:val="left" w:pos="1701"/>
        </w:tabs>
        <w:ind w:left="1701" w:hanging="170"/>
      </w:pPr>
      <w:r w:rsidRPr="00BE433D">
        <w:t>•</w:t>
      </w:r>
      <w:r w:rsidRPr="00BE433D">
        <w:tab/>
        <w:t>Государственная стратегия антикоррупционной политики (2012 год);</w:t>
      </w:r>
    </w:p>
    <w:p w14:paraId="369D661E" w14:textId="77777777" w:rsidR="009D5435" w:rsidRPr="00BE433D" w:rsidRDefault="009D5435" w:rsidP="009D5435">
      <w:pPr>
        <w:pStyle w:val="Bullet1G"/>
        <w:numPr>
          <w:ilvl w:val="0"/>
          <w:numId w:val="0"/>
        </w:numPr>
        <w:tabs>
          <w:tab w:val="left" w:pos="1701"/>
        </w:tabs>
        <w:ind w:left="1701" w:hanging="170"/>
      </w:pPr>
      <w:r w:rsidRPr="00BE433D">
        <w:t>•</w:t>
      </w:r>
      <w:r w:rsidRPr="00BE433D">
        <w:tab/>
        <w:t xml:space="preserve">Национальная стратегия устойчивого развития на период 2013–2017 годы </w:t>
      </w:r>
      <w:r w:rsidRPr="00BE433D">
        <w:br/>
        <w:t>(2013 год), включающая раздел, посвященный борьбе с коррупцией;</w:t>
      </w:r>
    </w:p>
    <w:p w14:paraId="4F634F5C" w14:textId="77777777" w:rsidR="009D5435" w:rsidRPr="00BE433D" w:rsidRDefault="009D5435" w:rsidP="009D5435">
      <w:pPr>
        <w:pStyle w:val="Bullet1G"/>
        <w:numPr>
          <w:ilvl w:val="0"/>
          <w:numId w:val="0"/>
        </w:numPr>
        <w:tabs>
          <w:tab w:val="left" w:pos="1701"/>
        </w:tabs>
        <w:ind w:left="1701" w:hanging="170"/>
      </w:pPr>
      <w:r w:rsidRPr="00BE433D">
        <w:t>•</w:t>
      </w:r>
      <w:r w:rsidRPr="00BE433D">
        <w:tab/>
        <w:t xml:space="preserve">План мероприятий правительства по противодействию коррупции на </w:t>
      </w:r>
      <w:r w:rsidRPr="00BE433D">
        <w:br/>
        <w:t>2012–2014 годы (2012 год);</w:t>
      </w:r>
    </w:p>
    <w:p w14:paraId="2FE85AAF" w14:textId="77777777" w:rsidR="009D5435" w:rsidRPr="00BE433D" w:rsidRDefault="009D5435" w:rsidP="009D5435">
      <w:pPr>
        <w:pStyle w:val="Bullet1G"/>
        <w:numPr>
          <w:ilvl w:val="0"/>
          <w:numId w:val="0"/>
        </w:numPr>
        <w:tabs>
          <w:tab w:val="left" w:pos="1701"/>
        </w:tabs>
        <w:ind w:left="1701" w:hanging="170"/>
      </w:pPr>
      <w:r w:rsidRPr="00BE433D">
        <w:t>•</w:t>
      </w:r>
      <w:r w:rsidRPr="00BE433D">
        <w:tab/>
        <w:t>План мероприятий по реализации Государственной стратегии антикоррупционной политики на 2015–2017 годы (2015 год);</w:t>
      </w:r>
    </w:p>
    <w:p w14:paraId="7FEBB261" w14:textId="77777777" w:rsidR="009D5435" w:rsidRPr="00BE433D" w:rsidRDefault="009D5435" w:rsidP="009D5435">
      <w:pPr>
        <w:pStyle w:val="Bullet1G"/>
        <w:numPr>
          <w:ilvl w:val="0"/>
          <w:numId w:val="0"/>
        </w:numPr>
        <w:tabs>
          <w:tab w:val="left" w:pos="1701"/>
        </w:tabs>
        <w:ind w:left="1701" w:hanging="170"/>
      </w:pPr>
      <w:r w:rsidRPr="00BE433D">
        <w:t>•</w:t>
      </w:r>
      <w:r w:rsidRPr="00BE433D">
        <w:tab/>
        <w:t>План мероприятий государственных органов по противодействию коррупции на 2019–2021 годы (2019 год).</w:t>
      </w:r>
    </w:p>
    <w:p w14:paraId="10272608" w14:textId="77777777" w:rsidR="009D5435" w:rsidRPr="00BE433D" w:rsidRDefault="009D5435" w:rsidP="009D5435">
      <w:pPr>
        <w:pStyle w:val="SingleTxtG"/>
        <w:tabs>
          <w:tab w:val="clear" w:pos="2268"/>
        </w:tabs>
      </w:pPr>
      <w:r w:rsidRPr="00BE433D">
        <w:t>44.</w:t>
      </w:r>
      <w:r w:rsidRPr="00BE433D">
        <w:tab/>
        <w:t xml:space="preserve">В 2019 году принят Закон «О защите лиц, сообщивших о коррупционных правонарушениях», нормы которого позволяют выплачивать вознаграждение от возмещенной суммы коррупционного правонарушения лицу, сообщившему о коррупционном правонарушении. </w:t>
      </w:r>
    </w:p>
    <w:p w14:paraId="48EABEDF" w14:textId="77777777" w:rsidR="009D5435" w:rsidRPr="00BE433D" w:rsidRDefault="009D5435" w:rsidP="009D5435">
      <w:pPr>
        <w:pStyle w:val="SingleTxtG"/>
        <w:tabs>
          <w:tab w:val="clear" w:pos="2268"/>
        </w:tabs>
      </w:pPr>
      <w:r w:rsidRPr="00BE433D">
        <w:t>45.</w:t>
      </w:r>
      <w:r w:rsidRPr="00BE433D">
        <w:tab/>
        <w:t>Для организации и координации работы по предупреждению коррупции, в части устранения условий, способствующих коррупционным проявлениям, при Совете безопасности образована рабочая группа, в рамках которой осуществляют свою деятельность экспертные группы из числа независимых экспертов, профильных работников и сотрудников правоохранительных органов.</w:t>
      </w:r>
    </w:p>
    <w:p w14:paraId="70A9532A" w14:textId="77777777" w:rsidR="009D5435" w:rsidRPr="00BE433D" w:rsidRDefault="009D5435" w:rsidP="009D5435">
      <w:pPr>
        <w:pStyle w:val="SingleTxtG"/>
        <w:tabs>
          <w:tab w:val="clear" w:pos="2268"/>
        </w:tabs>
      </w:pPr>
      <w:r w:rsidRPr="00BE433D">
        <w:t>46.</w:t>
      </w:r>
      <w:r w:rsidRPr="00BE433D">
        <w:tab/>
        <w:t>Экспертные группы проводят изучение и анализ каждой отрасли и деятельности каждого государственного органа. По результатам данной работы разрабатываются рекомендации и детализированные планы мероприятий. Подобные планы утверждены практически во всех госорганах.</w:t>
      </w:r>
    </w:p>
    <w:p w14:paraId="2AE87083" w14:textId="77777777" w:rsidR="009D5435" w:rsidRPr="00BE433D" w:rsidRDefault="009D5435" w:rsidP="009D5435">
      <w:pPr>
        <w:pStyle w:val="SingleTxtG"/>
        <w:tabs>
          <w:tab w:val="clear" w:pos="2268"/>
        </w:tabs>
      </w:pPr>
      <w:r w:rsidRPr="00BE433D">
        <w:t>47.</w:t>
      </w:r>
      <w:r w:rsidRPr="00BE433D">
        <w:tab/>
        <w:t xml:space="preserve">При правительстве действует Антикоррупционный совет, основной целью которого является организация взаимодействия с общественностью в сфере противодействия коррупции. </w:t>
      </w:r>
    </w:p>
    <w:p w14:paraId="32312DFA" w14:textId="77777777" w:rsidR="009D5435" w:rsidRPr="00BE433D" w:rsidRDefault="009D5435" w:rsidP="009D5435">
      <w:pPr>
        <w:pStyle w:val="SingleTxtG"/>
        <w:tabs>
          <w:tab w:val="clear" w:pos="2268"/>
        </w:tabs>
      </w:pPr>
      <w:r w:rsidRPr="00BE433D">
        <w:t>48.</w:t>
      </w:r>
      <w:r w:rsidRPr="00BE433D">
        <w:tab/>
        <w:t>В целях построения открытого и прозрачного государства, повышения качества жизни граждан, а также улучшения условий для бизнеса правительство запустило общенациональную программу цифровой трансформации, результатом которой будет построение в стране развитого информационного общества, основанного на знаниях, эффективном и прозрачном государственном управлении, повсеместном доступе граждан к информации, развитой цифровой экономике и минимальной коррупции.</w:t>
      </w:r>
    </w:p>
    <w:p w14:paraId="23BDA83D" w14:textId="77777777" w:rsidR="009D5435" w:rsidRPr="00BE433D" w:rsidRDefault="009D5435" w:rsidP="009D5435">
      <w:pPr>
        <w:pStyle w:val="SingleTxtG"/>
        <w:tabs>
          <w:tab w:val="clear" w:pos="2268"/>
        </w:tabs>
      </w:pPr>
      <w:r w:rsidRPr="00BE433D">
        <w:t>49.</w:t>
      </w:r>
      <w:r w:rsidRPr="00BE433D">
        <w:tab/>
        <w:t xml:space="preserve">В соответствии с Программой правительства «Доверие. Единство. Созидание» на 2018–2022 годы для оказания всех государственных услуг в цифровом формате предполагается формирование единой платформы предоставления гражданам электронных услуг. </w:t>
      </w:r>
    </w:p>
    <w:p w14:paraId="3DEBEC86" w14:textId="77777777" w:rsidR="009D5435" w:rsidRPr="00BE433D" w:rsidRDefault="009D5435" w:rsidP="009D5435">
      <w:pPr>
        <w:pStyle w:val="SingleTxtG"/>
        <w:tabs>
          <w:tab w:val="clear" w:pos="2268"/>
        </w:tabs>
      </w:pPr>
      <w:r w:rsidRPr="00BE433D">
        <w:t>50.</w:t>
      </w:r>
      <w:r w:rsidRPr="00BE433D">
        <w:tab/>
        <w:t>В настоящее время правительством для повышения доверия граждан к государственным органам реализованы следующие социально значимые проекты:</w:t>
      </w:r>
    </w:p>
    <w:p w14:paraId="1EDDABA5" w14:textId="77777777" w:rsidR="009D5435" w:rsidRPr="00BE433D" w:rsidRDefault="009D5435" w:rsidP="009D5435">
      <w:pPr>
        <w:pStyle w:val="Bullet1G"/>
        <w:numPr>
          <w:ilvl w:val="0"/>
          <w:numId w:val="0"/>
        </w:numPr>
        <w:tabs>
          <w:tab w:val="left" w:pos="1701"/>
        </w:tabs>
        <w:ind w:left="1701" w:hanging="170"/>
      </w:pPr>
      <w:r w:rsidRPr="00BE433D">
        <w:t>•</w:t>
      </w:r>
      <w:r w:rsidRPr="00BE433D">
        <w:tab/>
        <w:t>информационные киоски, мобильные передвижные центры обслуживания населения для обслуживания граждан в отдаленных районах страны;</w:t>
      </w:r>
    </w:p>
    <w:p w14:paraId="390EA00D" w14:textId="77777777" w:rsidR="009D5435" w:rsidRPr="00BE433D" w:rsidRDefault="009D5435" w:rsidP="009D5435">
      <w:pPr>
        <w:pStyle w:val="Bullet1G"/>
        <w:numPr>
          <w:ilvl w:val="0"/>
          <w:numId w:val="0"/>
        </w:numPr>
        <w:tabs>
          <w:tab w:val="left" w:pos="1701"/>
        </w:tabs>
        <w:ind w:left="1701" w:hanging="170"/>
      </w:pPr>
      <w:r w:rsidRPr="00BE433D">
        <w:t>•</w:t>
      </w:r>
      <w:r w:rsidRPr="00BE433D">
        <w:tab/>
        <w:t xml:space="preserve">государственный портал электронных услуг для удаленного предоставления гражданам государственных услуг, что позволяет эффективно предоставлять около 200 видов государственных услуг; </w:t>
      </w:r>
    </w:p>
    <w:p w14:paraId="011ED4AA" w14:textId="77777777" w:rsidR="009D5435" w:rsidRPr="00BE433D" w:rsidRDefault="009D5435" w:rsidP="009D5435">
      <w:pPr>
        <w:pStyle w:val="Bullet1G"/>
        <w:numPr>
          <w:ilvl w:val="0"/>
          <w:numId w:val="0"/>
        </w:numPr>
        <w:tabs>
          <w:tab w:val="left" w:pos="1701"/>
        </w:tabs>
        <w:ind w:left="1701" w:hanging="170"/>
      </w:pPr>
      <w:r w:rsidRPr="00BE433D">
        <w:t>•</w:t>
      </w:r>
      <w:r w:rsidRPr="00BE433D">
        <w:tab/>
        <w:t>электронные ворота (e-</w:t>
      </w:r>
      <w:proofErr w:type="spellStart"/>
      <w:r w:rsidRPr="00BE433D">
        <w:t>gates</w:t>
      </w:r>
      <w:proofErr w:type="spellEnd"/>
      <w:r w:rsidRPr="00BE433D">
        <w:t>) в аэропортах страны для автоматического прохождения гражданами пограничного контроля;</w:t>
      </w:r>
    </w:p>
    <w:p w14:paraId="16D12B3E" w14:textId="77777777" w:rsidR="009D5435" w:rsidRPr="00BE433D" w:rsidRDefault="009D5435" w:rsidP="009D5435">
      <w:pPr>
        <w:pStyle w:val="Bullet1G"/>
        <w:numPr>
          <w:ilvl w:val="0"/>
          <w:numId w:val="0"/>
        </w:numPr>
        <w:tabs>
          <w:tab w:val="left" w:pos="1701"/>
        </w:tabs>
        <w:ind w:left="1701" w:hanging="170"/>
      </w:pPr>
      <w:r w:rsidRPr="00BE433D">
        <w:t>•</w:t>
      </w:r>
      <w:r w:rsidRPr="00BE433D">
        <w:tab/>
        <w:t xml:space="preserve">принимаются меры по внедрению электронной системы </w:t>
      </w:r>
      <w:proofErr w:type="spellStart"/>
      <w:r w:rsidRPr="00BE433D">
        <w:t>фискализации</w:t>
      </w:r>
      <w:proofErr w:type="spellEnd"/>
      <w:r w:rsidRPr="00BE433D">
        <w:t xml:space="preserve"> налоговых процедур, которая позволит значительно увеличить доходы государственного бюджета и уменьшить долю теневой экономики;</w:t>
      </w:r>
    </w:p>
    <w:p w14:paraId="7174A6D0" w14:textId="77777777" w:rsidR="009D5435" w:rsidRPr="00BE433D" w:rsidRDefault="009D5435" w:rsidP="009D5435">
      <w:pPr>
        <w:pStyle w:val="Bullet1G"/>
        <w:numPr>
          <w:ilvl w:val="0"/>
          <w:numId w:val="0"/>
        </w:numPr>
        <w:tabs>
          <w:tab w:val="left" w:pos="1701"/>
        </w:tabs>
        <w:ind w:left="1701" w:hanging="170"/>
      </w:pPr>
      <w:r w:rsidRPr="00BE433D">
        <w:t>•</w:t>
      </w:r>
      <w:r w:rsidRPr="00BE433D">
        <w:tab/>
        <w:t>запущена система межведомственного взаимодействия «</w:t>
      </w:r>
      <w:proofErr w:type="spellStart"/>
      <w:r w:rsidRPr="00BE433D">
        <w:t>Тундук</w:t>
      </w:r>
      <w:proofErr w:type="spellEnd"/>
      <w:r w:rsidRPr="00BE433D">
        <w:t>», благодаря которой отпадет необходимость в большом количестве справок на бумажной основе. Для бизнеса и граждан это означает сокращение сроков и повышение качества получаемых государственных услуг.</w:t>
      </w:r>
    </w:p>
    <w:p w14:paraId="2330753C" w14:textId="77777777" w:rsidR="009D5435" w:rsidRPr="00BE433D" w:rsidRDefault="009D5435" w:rsidP="009D5435">
      <w:pPr>
        <w:pStyle w:val="SingleTxtG"/>
        <w:tabs>
          <w:tab w:val="clear" w:pos="2268"/>
        </w:tabs>
      </w:pPr>
      <w:r w:rsidRPr="00BE433D">
        <w:t>51.</w:t>
      </w:r>
      <w:r w:rsidRPr="00BE433D">
        <w:tab/>
        <w:t>Кыргызстан является первой страной в Центральной Азии, которая в 2017 году официально стала членом Партнерства «Открытое правительство».</w:t>
      </w:r>
    </w:p>
    <w:p w14:paraId="150E3DD1" w14:textId="77777777" w:rsidR="009D5435" w:rsidRPr="00BE433D" w:rsidRDefault="009D5435" w:rsidP="009D5435">
      <w:pPr>
        <w:pStyle w:val="SingleTxtG"/>
        <w:tabs>
          <w:tab w:val="clear" w:pos="2268"/>
        </w:tabs>
      </w:pPr>
      <w:r w:rsidRPr="00BE433D">
        <w:t>52.</w:t>
      </w:r>
      <w:r w:rsidRPr="00BE433D">
        <w:tab/>
        <w:t xml:space="preserve">В 2018 году в целях обеспечения прозрачности деятельности органов государственной власти, снижения уровня коррупции, создания правовой и институциональной основы по защите прав, свобод и законных интересов субъектов предпринимательской деятельности постановлением правительства введена должность уполномоченного лица по защите прав, свобод и законных интересов субъектов предпринимательской деятельности (бизнес-омбудсмен) и утверждено соответствующее Положение. </w:t>
      </w:r>
    </w:p>
    <w:p w14:paraId="5E66252F" w14:textId="77777777" w:rsidR="009D5435" w:rsidRPr="00BE433D" w:rsidRDefault="009D5435" w:rsidP="009D5435">
      <w:pPr>
        <w:pStyle w:val="SingleTxtG"/>
        <w:tabs>
          <w:tab w:val="clear" w:pos="2268"/>
        </w:tabs>
      </w:pPr>
      <w:r w:rsidRPr="00BE433D">
        <w:t>53.</w:t>
      </w:r>
      <w:r w:rsidRPr="00BE433D">
        <w:tab/>
        <w:t>Кроме того, в целях создания благоприятных условий для развития бизнеса, улучшения инвестиционного климата, оказания поддержки экономической деятельности субъектов предпринимательства, обеспечения их правовой защиты, устранения необоснованного и излишнего вмешательства уполномоченных органов в деятельность субъектов предпринимательства постановлением правительства введен временный запрет (мораторий) на проверки субъектов предпринимательства, проводимые уполномоченными органами, имеющими право на проведение проверок субъектов предпринимательства.</w:t>
      </w:r>
    </w:p>
    <w:p w14:paraId="0FAD6700" w14:textId="77777777" w:rsidR="009D5435" w:rsidRPr="00BE433D" w:rsidRDefault="009D5435" w:rsidP="009D5435">
      <w:pPr>
        <w:pStyle w:val="H1G"/>
      </w:pPr>
      <w:r w:rsidRPr="00BE433D">
        <w:tab/>
      </w:r>
      <w:r w:rsidRPr="00BE433D">
        <w:tab/>
        <w:t>Статья 8</w:t>
      </w:r>
      <w:r w:rsidRPr="00BE433D">
        <w:br/>
        <w:t>Равенство между мужчинами и женщинами</w:t>
      </w:r>
    </w:p>
    <w:p w14:paraId="0A552632" w14:textId="77777777" w:rsidR="009D5435" w:rsidRPr="00BE433D" w:rsidRDefault="009D5435" w:rsidP="009D5435">
      <w:pPr>
        <w:pStyle w:val="SingleTxtG"/>
        <w:tabs>
          <w:tab w:val="clear" w:pos="2268"/>
        </w:tabs>
      </w:pPr>
      <w:r w:rsidRPr="00BE433D">
        <w:t>54.</w:t>
      </w:r>
      <w:r w:rsidRPr="00BE433D">
        <w:tab/>
        <w:t>В соответствии со ст. 42 Конституции каждый имеет право на свободу труда, распоряжаться своими способностями к труду, на выбор профессии и рода занятий, охрану и условия труда, отвечающие требованиям безопасности и гигиены, а также право на получение оплаты труда не ниже установленного законом прожиточного минимума.</w:t>
      </w:r>
    </w:p>
    <w:p w14:paraId="7FA712AB" w14:textId="77777777" w:rsidR="009D5435" w:rsidRPr="00BE433D" w:rsidRDefault="009D5435" w:rsidP="009D5435">
      <w:pPr>
        <w:pStyle w:val="SingleTxtG"/>
        <w:tabs>
          <w:tab w:val="clear" w:pos="2268"/>
        </w:tabs>
      </w:pPr>
      <w:r w:rsidRPr="00BE433D">
        <w:t>55.</w:t>
      </w:r>
      <w:r w:rsidRPr="00BE433D">
        <w:tab/>
        <w:t xml:space="preserve">Согласно ст. 9 Трудового кодекса, каждый имеет равные возможности для реализации своих трудовых прав и свобод. Никто не может быть ограничен в трудовых правах и свободах или получать какие-либо преимущества при их реализации в зависимости от пола, расы, национальности, языка, происхождения, имущественного и должностного положения, возраста, места жительства, отношения к религии, политических убеждений, принадлежности или непринадлежности к общественным объединениям, а также от других обстоятельств, не связанных с деловыми качествами работника и результатами его труда. Не допускается неравная оплата </w:t>
      </w:r>
      <w:proofErr w:type="gramStart"/>
      <w:r w:rsidRPr="00BE433D">
        <w:t>за равный труд</w:t>
      </w:r>
      <w:proofErr w:type="gramEnd"/>
      <w:r w:rsidRPr="00BE433D">
        <w:t>. Лица, считающие, что они подверглись дискриминации в сфере труда, вправе обратиться в суд с соответствующим заявлением о восстановлении нарушенных прав, возмещении материального ущерба и компенсации морального вреда.</w:t>
      </w:r>
    </w:p>
    <w:p w14:paraId="47842767" w14:textId="77777777" w:rsidR="009D5435" w:rsidRPr="00BE433D" w:rsidRDefault="009D5435" w:rsidP="009D5435">
      <w:pPr>
        <w:pStyle w:val="SingleTxtG"/>
        <w:tabs>
          <w:tab w:val="clear" w:pos="2268"/>
        </w:tabs>
      </w:pPr>
      <w:r w:rsidRPr="00BE433D">
        <w:t>56.</w:t>
      </w:r>
      <w:r w:rsidRPr="00BE433D">
        <w:tab/>
        <w:t>В Кыргызской Республике мужчины и женщины имеют равные права и свободы, равные возможности для их реализации. Реализация данной конституционной нормы обеспечивается Законом «О государственных гарантиях равных прав и равных возможностей для мужчин и женщин». Запрещается гендерная дискриминация в любой сфере деятельности по отношению к лицам разного пола.</w:t>
      </w:r>
    </w:p>
    <w:p w14:paraId="33E868DE" w14:textId="77777777" w:rsidR="009D5435" w:rsidRPr="00BE433D" w:rsidRDefault="009D5435" w:rsidP="009D5435">
      <w:pPr>
        <w:pStyle w:val="SingleTxtG"/>
        <w:tabs>
          <w:tab w:val="clear" w:pos="2268"/>
        </w:tabs>
      </w:pPr>
      <w:r w:rsidRPr="00BE433D">
        <w:t>57.</w:t>
      </w:r>
      <w:r w:rsidRPr="00BE433D">
        <w:tab/>
        <w:t xml:space="preserve">Органами прокуратуры за 2013–2018 годы по исполнению законодательства о государственных гарантиях равных прав и возможностей для мужчин и женщин проведено 895 проверок, по результатам которых внесено 576 представлений об устранении нарушений закона, 422 предписания, предостережено 189 лиц, за допущенные нарушения закона привлечено к дисциплинарной ответственности 361 должностное лицо, к административной — 2. </w:t>
      </w:r>
    </w:p>
    <w:p w14:paraId="760BED4E" w14:textId="77777777" w:rsidR="009D5435" w:rsidRPr="00BE433D" w:rsidRDefault="009D5435" w:rsidP="009D5435">
      <w:pPr>
        <w:pStyle w:val="SingleTxtG"/>
        <w:tabs>
          <w:tab w:val="clear" w:pos="2268"/>
        </w:tabs>
      </w:pPr>
      <w:r w:rsidRPr="00BE433D">
        <w:t>58.</w:t>
      </w:r>
      <w:r w:rsidRPr="00BE433D">
        <w:tab/>
        <w:t xml:space="preserve">В 2012 году постановлением правительства утверждена Национальная стратегия по достижению гендерного равенства до 2020 года, которая определяет приоритеты государственной гендерной политики. Конкретные меры по ее реализации на предстоящий период определены в очередном, пятом по счету Национальном плане по достижению гендерного равенства в Кыргызской Республике на период с 2018 по 2020 год. </w:t>
      </w:r>
    </w:p>
    <w:p w14:paraId="429BAF50" w14:textId="77777777" w:rsidR="009D5435" w:rsidRPr="00BE433D" w:rsidRDefault="009D5435" w:rsidP="009D5435">
      <w:pPr>
        <w:pStyle w:val="SingleTxtG"/>
        <w:tabs>
          <w:tab w:val="clear" w:pos="2268"/>
        </w:tabs>
      </w:pPr>
      <w:r w:rsidRPr="00BE433D">
        <w:t>59.</w:t>
      </w:r>
      <w:r w:rsidRPr="00BE433D">
        <w:tab/>
        <w:t>В рамках реализации Национальной стратегии приняты следующие документы:</w:t>
      </w:r>
    </w:p>
    <w:p w14:paraId="69A17224" w14:textId="77777777" w:rsidR="009D5435" w:rsidRPr="00BE433D" w:rsidRDefault="009D5435" w:rsidP="009D5435">
      <w:pPr>
        <w:pStyle w:val="Bullet1G"/>
        <w:numPr>
          <w:ilvl w:val="0"/>
          <w:numId w:val="0"/>
        </w:numPr>
        <w:tabs>
          <w:tab w:val="left" w:pos="1701"/>
        </w:tabs>
        <w:ind w:left="1701" w:hanging="170"/>
      </w:pPr>
      <w:r w:rsidRPr="00BE433D">
        <w:t>•</w:t>
      </w:r>
      <w:r w:rsidRPr="00BE433D">
        <w:tab/>
        <w:t>распоряжение МТСР разработке и апробированию проекта Инструкции по ежегодному мониторингу исполнения заключительных замечаний Конвенции Комитета ООН по ликвидации всех форм дискриминации в отношении женщин Национального плана действий по достижению гендерного равенства в Кыргызской Республике на 2018–2020 годы (2019 год);</w:t>
      </w:r>
    </w:p>
    <w:p w14:paraId="71A4C65C" w14:textId="77777777" w:rsidR="009D5435" w:rsidRPr="00BE433D" w:rsidRDefault="009D5435" w:rsidP="009D5435">
      <w:pPr>
        <w:pStyle w:val="Bullet1G"/>
        <w:numPr>
          <w:ilvl w:val="0"/>
          <w:numId w:val="0"/>
        </w:numPr>
        <w:tabs>
          <w:tab w:val="left" w:pos="1701"/>
        </w:tabs>
        <w:ind w:left="1701" w:hanging="170"/>
      </w:pPr>
      <w:r w:rsidRPr="00BE433D">
        <w:t>•</w:t>
      </w:r>
      <w:r w:rsidRPr="00BE433D">
        <w:tab/>
        <w:t>постановление правительства «О порядке осуществления охраны и защиты от семейного насилия» (2019 год);</w:t>
      </w:r>
    </w:p>
    <w:p w14:paraId="595ABE37" w14:textId="77777777" w:rsidR="009D5435" w:rsidRPr="00BE433D" w:rsidRDefault="009D5435" w:rsidP="009D5435">
      <w:pPr>
        <w:pStyle w:val="Bullet1G"/>
        <w:numPr>
          <w:ilvl w:val="0"/>
          <w:numId w:val="0"/>
        </w:numPr>
        <w:tabs>
          <w:tab w:val="left" w:pos="1701"/>
        </w:tabs>
        <w:ind w:left="1701" w:hanging="170"/>
      </w:pPr>
      <w:r w:rsidRPr="00BE433D">
        <w:t>•</w:t>
      </w:r>
      <w:r w:rsidRPr="00BE433D">
        <w:tab/>
        <w:t>постановление правительства «О внесении изменений в постановление правительства «Об образовании Национального совета по гендерному развитию при правительстве Кыргызской Республики» от 2 мая 2012 года № 268» (2019</w:t>
      </w:r>
      <w:r>
        <w:t> </w:t>
      </w:r>
      <w:r w:rsidRPr="00BE433D">
        <w:t>год);</w:t>
      </w:r>
    </w:p>
    <w:p w14:paraId="09403B7F" w14:textId="77777777" w:rsidR="009D5435" w:rsidRPr="00BE433D" w:rsidRDefault="009D5435" w:rsidP="009D5435">
      <w:pPr>
        <w:pStyle w:val="Bullet1G"/>
        <w:numPr>
          <w:ilvl w:val="0"/>
          <w:numId w:val="0"/>
        </w:numPr>
        <w:tabs>
          <w:tab w:val="left" w:pos="1701"/>
        </w:tabs>
        <w:ind w:left="1701" w:hanging="170"/>
      </w:pPr>
      <w:r w:rsidRPr="00BE433D">
        <w:t>•</w:t>
      </w:r>
      <w:r w:rsidRPr="00BE433D">
        <w:tab/>
        <w:t>распоряжение МТСР разработке предложений по специальным мерам обеспечения гендерного представительства на политических специальных государственных и муниципальных должностях (2019 год);</w:t>
      </w:r>
    </w:p>
    <w:p w14:paraId="00371FC1" w14:textId="77777777" w:rsidR="009D5435" w:rsidRPr="00BE433D" w:rsidRDefault="009D5435" w:rsidP="009D5435">
      <w:pPr>
        <w:pStyle w:val="Bullet1G"/>
        <w:numPr>
          <w:ilvl w:val="0"/>
          <w:numId w:val="0"/>
        </w:numPr>
        <w:tabs>
          <w:tab w:val="left" w:pos="1701"/>
        </w:tabs>
        <w:ind w:left="1701" w:hanging="170"/>
      </w:pPr>
      <w:r w:rsidRPr="00BE433D">
        <w:t>•</w:t>
      </w:r>
      <w:r w:rsidRPr="00BE433D">
        <w:tab/>
        <w:t>распоряжение МТСР разработке плана действий по предотвращению ранних браков с несовершеннолетними (2019 год).</w:t>
      </w:r>
    </w:p>
    <w:p w14:paraId="5DC9CD75" w14:textId="77777777" w:rsidR="009D5435" w:rsidRPr="00BE433D" w:rsidRDefault="009D5435" w:rsidP="009D5435">
      <w:pPr>
        <w:pStyle w:val="SingleTxtG"/>
        <w:tabs>
          <w:tab w:val="clear" w:pos="2268"/>
        </w:tabs>
      </w:pPr>
      <w:r w:rsidRPr="00BE433D">
        <w:t>60.</w:t>
      </w:r>
      <w:r w:rsidRPr="00BE433D">
        <w:tab/>
        <w:t>В 2012 году постановлением правительства образован Национальный совет по гендерному развитию при правительстве. Данный совет является консультативным, совещательным органом, координирующим разработку и реализацию государственной политики по вопросам гендерного развития, осуществляет аналитическую, экспертную работу по выработке согласованных решений по вопросам гендерного развития.</w:t>
      </w:r>
    </w:p>
    <w:p w14:paraId="21DBF100" w14:textId="77777777" w:rsidR="009D5435" w:rsidRPr="00BE433D" w:rsidRDefault="009D5435" w:rsidP="009D5435">
      <w:pPr>
        <w:pStyle w:val="SingleTxtG"/>
        <w:tabs>
          <w:tab w:val="clear" w:pos="2268"/>
        </w:tabs>
      </w:pPr>
      <w:r w:rsidRPr="00BE433D">
        <w:t>61.</w:t>
      </w:r>
      <w:r w:rsidRPr="00BE433D">
        <w:tab/>
        <w:t xml:space="preserve">Распоряжением правительства утвержден План действий по реализации </w:t>
      </w:r>
      <w:r>
        <w:t>р</w:t>
      </w:r>
      <w:r w:rsidRPr="00BE433D">
        <w:t>езолюции 1325 Совета Безопасности ООН о роли женщин в обеспечении мира и безопасности на 2018–2020 годы (2018 год).</w:t>
      </w:r>
    </w:p>
    <w:p w14:paraId="0DB959A8" w14:textId="77777777" w:rsidR="009D5435" w:rsidRPr="00BE433D" w:rsidRDefault="009D5435" w:rsidP="009D5435">
      <w:pPr>
        <w:pStyle w:val="SingleTxtG"/>
        <w:tabs>
          <w:tab w:val="clear" w:pos="2268"/>
        </w:tabs>
      </w:pPr>
      <w:r w:rsidRPr="00BE433D">
        <w:t>62.</w:t>
      </w:r>
      <w:r w:rsidRPr="00BE433D">
        <w:tab/>
        <w:t>Распоряжением правительства утвержден План действий по реализации заключительных рекомендаций Комитета ООН по Конвенции о ликвидации всех форм дискриминации в отношении женщин к четвертому периодическому докладу (2017 год).</w:t>
      </w:r>
    </w:p>
    <w:p w14:paraId="1AB12E8B" w14:textId="77777777" w:rsidR="009D5435" w:rsidRPr="00BE433D" w:rsidRDefault="009D5435" w:rsidP="009D5435">
      <w:pPr>
        <w:pStyle w:val="SingleTxtG"/>
        <w:tabs>
          <w:tab w:val="clear" w:pos="2268"/>
        </w:tabs>
      </w:pPr>
      <w:r w:rsidRPr="00BE433D">
        <w:t>63.</w:t>
      </w:r>
      <w:r w:rsidRPr="00BE433D">
        <w:tab/>
        <w:t>В рамках исполнения Плана действий по реализации Концепции государственной политики в религиозной сфере на 2015–2020 годы, утвержденного распоряжением правительства (2015 год), осуществляются информационно-профилактические мероприятия для священнослужителей. В рамках данных мероприятий информируют работников мечетей по вопросам соблюдения законов в религиозной сфере, а также предупреждают о недопустимости проведения религиозной свадебной церемонии нике до регистрации брака в уполномоченном государственном органе.</w:t>
      </w:r>
    </w:p>
    <w:p w14:paraId="1A5339EE" w14:textId="77777777" w:rsidR="009D5435" w:rsidRPr="00BE433D" w:rsidRDefault="009D5435" w:rsidP="009D5435">
      <w:pPr>
        <w:pStyle w:val="SingleTxtG"/>
        <w:tabs>
          <w:tab w:val="clear" w:pos="2268"/>
        </w:tabs>
      </w:pPr>
      <w:r w:rsidRPr="00BE433D">
        <w:t>64.</w:t>
      </w:r>
      <w:r w:rsidRPr="00BE433D">
        <w:tab/>
        <w:t>Также во исполнение постановления правительства «О Национальной стратегии Кыргызской Республики по достижению гендерного равенства до 2020 года и Национального плана действий по достижению гендерного равенства в Кыргызской Республике» (2012 год) разработано Положение о комиссии ГКДР по гендерным вопросам. Данная комиссия создана в целях координации работы по выполнению задач и мероприятий по достижению гендерного равенства, предусмотренных в государственных стратегических и других документах, а также организации соответствующих мероприятий по гендерным вопросам. В министерствах, ведомствах и органах МСУ также созданы комиссии по гендерным вопросам.</w:t>
      </w:r>
      <w:r w:rsidRPr="00BE433D">
        <w:tab/>
      </w:r>
    </w:p>
    <w:p w14:paraId="05E2121E" w14:textId="77777777" w:rsidR="009D5435" w:rsidRPr="00FE66EA" w:rsidRDefault="009D5435" w:rsidP="009D5435">
      <w:pPr>
        <w:pStyle w:val="SingleTxtG"/>
        <w:tabs>
          <w:tab w:val="clear" w:pos="2268"/>
        </w:tabs>
      </w:pPr>
      <w:r w:rsidRPr="00BE433D">
        <w:t>65.</w:t>
      </w:r>
      <w:r w:rsidRPr="00BE433D">
        <w:tab/>
        <w:t>17 ноября 2016 года принят Закон «О внесении изменений в некоторые законодательные акты (Семейный кодекс, УК)». В соответствии с указанным Законом в УК включена ст. 155</w:t>
      </w:r>
      <w:r w:rsidRPr="00BE433D">
        <w:rPr>
          <w:vertAlign w:val="superscript"/>
        </w:rPr>
        <w:t>1</w:t>
      </w:r>
      <w:r w:rsidRPr="00BE433D">
        <w:t xml:space="preserve"> о том, что «родители (лица, их заменяющие) лица, в отношении которого совершен религиозный обряд по бракосочетанию, лицо, совершившее религиозный обряд по бракосочетанию, а равно совершеннолетнее лицо, в отношении которого был совершен религиозный обряд по бракосочетанию с несовершеннолетним, с нарушением законодательства о брачном возрасте, наказываются лишением свободы на срок от трех до пяти лет». Положение, предусматривающее, что лица, виновные в нарушении требований Семейного кодекса, несут ответственность в соответствии с законодательством, включено в ст. 14 Семейного кодекса.</w:t>
      </w:r>
    </w:p>
    <w:p w14:paraId="4CDDB448" w14:textId="77777777" w:rsidR="009D5435" w:rsidRPr="00BE433D" w:rsidRDefault="009D5435" w:rsidP="009D5435">
      <w:pPr>
        <w:pStyle w:val="SingleTxtG"/>
        <w:tabs>
          <w:tab w:val="clear" w:pos="2268"/>
        </w:tabs>
      </w:pPr>
      <w:r w:rsidRPr="00BE433D">
        <w:t>66.</w:t>
      </w:r>
      <w:r w:rsidRPr="00BE433D">
        <w:tab/>
        <w:t xml:space="preserve">В соответствии с такими основополагающими законами, как «О государственных гарантиях обеспечения равных прав и равных возможностей для мужчин и женщин» и «О социально-правовой защите от насилия в семье», за весь период независимости Кыргызская Республика поддерживала идею равенства. </w:t>
      </w:r>
    </w:p>
    <w:p w14:paraId="705A0E83" w14:textId="77777777" w:rsidR="009D5435" w:rsidRPr="00BE433D" w:rsidRDefault="009D5435" w:rsidP="009D5435">
      <w:pPr>
        <w:pStyle w:val="SingleTxtG"/>
        <w:tabs>
          <w:tab w:val="clear" w:pos="2268"/>
        </w:tabs>
      </w:pPr>
      <w:r w:rsidRPr="00BE433D">
        <w:t>67.</w:t>
      </w:r>
      <w:r w:rsidRPr="00BE433D">
        <w:tab/>
        <w:t xml:space="preserve">Так, экономическая активность женщин обеспечивалась сетью дошкольных учреждений и других образовательных институтов, помогающих осуществлять заботу о развитии детей; карьерный рост поддерживался наличием ряда правил в области их продвижения по карьерной лестнице; социальная независимость существует благодаря возможности получения всех уровней образования, доступа к работе с постоянным и стабильным заработком, наличию компенсаций для разведенных матерей и льгот для женщин, воспитывающих детей без мужа, и т. д. </w:t>
      </w:r>
    </w:p>
    <w:p w14:paraId="49EBA80F" w14:textId="77777777" w:rsidR="009D5435" w:rsidRPr="00BE433D" w:rsidRDefault="009D5435" w:rsidP="009D5435">
      <w:pPr>
        <w:pStyle w:val="SingleTxtG"/>
        <w:tabs>
          <w:tab w:val="clear" w:pos="2268"/>
        </w:tabs>
      </w:pPr>
      <w:r w:rsidRPr="00BE433D">
        <w:t>68.</w:t>
      </w:r>
      <w:r w:rsidRPr="00BE433D">
        <w:tab/>
        <w:t>Также при получении государственных услуг женщины</w:t>
      </w:r>
      <w:r>
        <w:t>,</w:t>
      </w:r>
      <w:r w:rsidRPr="00BE433D">
        <w:t xml:space="preserve"> имеющие статус матери-одиночки, не имеют каких-либо ограничений при получении государственных услуг.</w:t>
      </w:r>
    </w:p>
    <w:p w14:paraId="709B13A6" w14:textId="77777777" w:rsidR="009D5435" w:rsidRPr="00BE433D" w:rsidRDefault="009D5435" w:rsidP="009D5435">
      <w:pPr>
        <w:pStyle w:val="SingleTxtG"/>
        <w:tabs>
          <w:tab w:val="clear" w:pos="2268"/>
        </w:tabs>
      </w:pPr>
      <w:r w:rsidRPr="00BE433D">
        <w:t>69.</w:t>
      </w:r>
      <w:r w:rsidRPr="00BE433D">
        <w:tab/>
        <w:t xml:space="preserve">В Кыргызской Республике действует всеобъемлющее законодательство в области гендерного равенства в части политического участия женщин. Так, в конституционный Закон «О выборах Президента Кыргызской Республики и депутатов </w:t>
      </w:r>
      <w:proofErr w:type="spellStart"/>
      <w:r w:rsidRPr="00BE433D">
        <w:t>Жогорку</w:t>
      </w:r>
      <w:proofErr w:type="spellEnd"/>
      <w:r w:rsidRPr="00BE433D">
        <w:t xml:space="preserve"> </w:t>
      </w:r>
      <w:proofErr w:type="spellStart"/>
      <w:r w:rsidRPr="00BE433D">
        <w:t>Кенеша</w:t>
      </w:r>
      <w:proofErr w:type="spellEnd"/>
      <w:r w:rsidRPr="00BE433D">
        <w:t xml:space="preserve"> Кыргызской Республики» включены обязательные гендерные квоты, а именно не более 70 % лиц одного пола должно быть представлено в законодательной власти. Также включена норма, что в случае досрочного прекращения полномочий депутата </w:t>
      </w:r>
      <w:proofErr w:type="spellStart"/>
      <w:r w:rsidRPr="00BE433D">
        <w:t>Жогорку</w:t>
      </w:r>
      <w:proofErr w:type="spellEnd"/>
      <w:r w:rsidRPr="00BE433D">
        <w:t xml:space="preserve"> </w:t>
      </w:r>
      <w:proofErr w:type="spellStart"/>
      <w:r w:rsidRPr="00BE433D">
        <w:t>Кенеша</w:t>
      </w:r>
      <w:proofErr w:type="spellEnd"/>
      <w:r w:rsidRPr="00BE433D">
        <w:t xml:space="preserve"> женского пола ее мандат передается следующему зарегистрированному кандидату из числа кандидатов женского пола. Аналогичная норма включена в Закон «О выборах депутатов местных </w:t>
      </w:r>
      <w:proofErr w:type="spellStart"/>
      <w:r w:rsidRPr="00BE433D">
        <w:t>кенешей</w:t>
      </w:r>
      <w:proofErr w:type="spellEnd"/>
      <w:r w:rsidRPr="00BE433D">
        <w:t xml:space="preserve">», при проведении выборов по мажоритарной системе депутатов местных </w:t>
      </w:r>
      <w:proofErr w:type="spellStart"/>
      <w:r w:rsidRPr="00BE433D">
        <w:t>кенешей</w:t>
      </w:r>
      <w:proofErr w:type="spellEnd"/>
      <w:r w:rsidRPr="00BE433D">
        <w:t xml:space="preserve"> предусмотрено резервирование не менее 30 % мандатов для женщин. </w:t>
      </w:r>
    </w:p>
    <w:p w14:paraId="084DBD18" w14:textId="77777777" w:rsidR="009D5435" w:rsidRPr="00BE433D" w:rsidRDefault="009D5435" w:rsidP="009D5435">
      <w:pPr>
        <w:pStyle w:val="SingleTxtG"/>
        <w:tabs>
          <w:tab w:val="clear" w:pos="2268"/>
        </w:tabs>
      </w:pPr>
      <w:r w:rsidRPr="00BE433D">
        <w:t>70.</w:t>
      </w:r>
      <w:r w:rsidRPr="00BE433D">
        <w:tab/>
        <w:t>Статьей 13 Закона «Об актах гражданского состояния» (2020 год) предусмотрено, что в случае отсутствия у родителей (родителя) документов, удостоверяющих их личность, государственная регистрация факта рождения ребенка осуществляется путем составления записи акта о рождении, с выдачей выписки из записи акта о рождении. Данная выписка приравнивается к документу, обеспечивающему право на получение социальных и медицинских услуг до момента предоставления родителями (родителем) документов, удостоверяющих их личность.</w:t>
      </w:r>
    </w:p>
    <w:p w14:paraId="295C09E0" w14:textId="77777777" w:rsidR="009D5435" w:rsidRPr="00BE433D" w:rsidRDefault="009D5435" w:rsidP="009D5435">
      <w:pPr>
        <w:pStyle w:val="SingleTxtG"/>
        <w:tabs>
          <w:tab w:val="clear" w:pos="2268"/>
        </w:tabs>
      </w:pPr>
      <w:r w:rsidRPr="00BE433D">
        <w:t>71.</w:t>
      </w:r>
      <w:r w:rsidRPr="00BE433D">
        <w:tab/>
        <w:t xml:space="preserve">Необходимо отметить, что браки, заключенные по религиозным обрядам, имеют место, хотя в основном такого рода браки параллельно регистрируются в органах записи актов гражданского состояния. Так, по данным </w:t>
      </w:r>
      <w:proofErr w:type="spellStart"/>
      <w:r w:rsidRPr="00BE433D">
        <w:t>Нацстаткома</w:t>
      </w:r>
      <w:proofErr w:type="spellEnd"/>
      <w:r w:rsidRPr="00BE433D">
        <w:t>, число детей, родившихся в незарегистрированном браке, сократилось с 25,9 % в 2014 году до 21,5 % в 2018 году.</w:t>
      </w:r>
    </w:p>
    <w:p w14:paraId="4AF3AD24" w14:textId="77777777" w:rsidR="009D5435" w:rsidRPr="00BE433D" w:rsidRDefault="009D5435" w:rsidP="009D5435">
      <w:pPr>
        <w:pStyle w:val="SingleTxtG"/>
        <w:tabs>
          <w:tab w:val="clear" w:pos="2268"/>
        </w:tabs>
        <w:rPr>
          <w:bCs/>
        </w:rPr>
      </w:pPr>
      <w:r w:rsidRPr="00BE433D">
        <w:rPr>
          <w:bCs/>
        </w:rPr>
        <w:t>72.</w:t>
      </w:r>
      <w:r w:rsidRPr="00BE433D">
        <w:rPr>
          <w:bCs/>
        </w:rPr>
        <w:tab/>
        <w:t>В соответствии с п. 2 ст. 1 Семейного кодекса признается брак, заключенный в государственных органах и органах местного самоуправления, наделенных полномочиями на государственную регистрацию актов гражданского состояния. Религиозные обряды, касающиеся вопросов брака и семьи, правового значения не имеют.</w:t>
      </w:r>
    </w:p>
    <w:p w14:paraId="014624F5" w14:textId="77777777" w:rsidR="009D5435" w:rsidRPr="00BE433D" w:rsidRDefault="009D5435" w:rsidP="009D5435">
      <w:pPr>
        <w:pStyle w:val="SingleTxtG"/>
        <w:tabs>
          <w:tab w:val="clear" w:pos="2268"/>
        </w:tabs>
        <w:rPr>
          <w:bCs/>
        </w:rPr>
      </w:pPr>
      <w:r w:rsidRPr="00BE433D">
        <w:rPr>
          <w:bCs/>
        </w:rPr>
        <w:t>73.</w:t>
      </w:r>
      <w:r w:rsidRPr="00BE433D">
        <w:rPr>
          <w:bCs/>
        </w:rPr>
        <w:tab/>
        <w:t>В Федерации профсоюзов Кыргызстана создан женсовет, которым в 2018 году проведены заседания Совета с приглашением представителей МТСР, НПО «Женская демократическая сеть» и гендерного эксперта. Члены женсовета были ознакомлены с Целью 5 «Гендерное равенство» ЦУР, информированы по НПД на 2018–2020 годы по приоритетным направлениям, также о Законе «Об охране и защите от семейного насилия» и об интеграции гендерных аспектов в шестой Национальный отчет по Конвенции о биоразнообразии.</w:t>
      </w:r>
    </w:p>
    <w:p w14:paraId="7B048D89" w14:textId="77777777" w:rsidR="009D5435" w:rsidRPr="00BE433D" w:rsidRDefault="009D5435" w:rsidP="009D5435">
      <w:pPr>
        <w:pStyle w:val="H1G"/>
      </w:pPr>
      <w:r w:rsidRPr="00BE433D">
        <w:tab/>
      </w:r>
      <w:r w:rsidRPr="00BE433D">
        <w:tab/>
        <w:t xml:space="preserve">Статья 9 </w:t>
      </w:r>
      <w:r w:rsidRPr="00BE433D">
        <w:br/>
        <w:t>Безработица</w:t>
      </w:r>
    </w:p>
    <w:p w14:paraId="78B6CC5C" w14:textId="77777777" w:rsidR="009D5435" w:rsidRPr="00BE433D" w:rsidRDefault="009D5435" w:rsidP="009D5435">
      <w:pPr>
        <w:pStyle w:val="SingleTxtG"/>
        <w:tabs>
          <w:tab w:val="clear" w:pos="2268"/>
        </w:tabs>
      </w:pPr>
      <w:r w:rsidRPr="00BE433D">
        <w:t>74.</w:t>
      </w:r>
      <w:r w:rsidRPr="00BE433D">
        <w:tab/>
        <w:t>В 2019 году рабочая сила составила 2583,6 тыс. человек, в том числе занятое население — 2442,7 тыс. человек, безработные — 140,9 тыс. человек. Уровень занятости составил 57,0 %, уровень безработицы — 5,5 %.</w:t>
      </w:r>
    </w:p>
    <w:p w14:paraId="17CADA17" w14:textId="77777777" w:rsidR="009D5435" w:rsidRPr="00BE433D" w:rsidRDefault="009D5435" w:rsidP="009D5435">
      <w:pPr>
        <w:pStyle w:val="SingleTxtG"/>
        <w:tabs>
          <w:tab w:val="clear" w:pos="2268"/>
        </w:tabs>
      </w:pPr>
      <w:r w:rsidRPr="00BE433D">
        <w:t>75.</w:t>
      </w:r>
      <w:r w:rsidRPr="00BE433D">
        <w:tab/>
        <w:t>Динамика уровня занятости за 2012–2018 годы показывает незначительные колебания. Динамика уровня безработицы показывает однозначное снижение. В 2019 году в экономике страны резких негативных изменений не было, отмечались положительные тенденции в развитии, и как следствие, рынок труда был стабильным.</w:t>
      </w:r>
    </w:p>
    <w:p w14:paraId="5C1D50C9" w14:textId="77777777" w:rsidR="009D5435" w:rsidRPr="00BE433D" w:rsidRDefault="009D5435" w:rsidP="009D5435">
      <w:pPr>
        <w:pStyle w:val="H23G"/>
      </w:pPr>
      <w:r w:rsidRPr="00BE433D">
        <w:tab/>
      </w:r>
      <w:r w:rsidRPr="00BE433D">
        <w:tab/>
      </w:r>
      <w:r w:rsidRPr="00BE433D">
        <w:rPr>
          <w:b w:val="0"/>
          <w:bCs/>
        </w:rPr>
        <w:t>Таблица 1</w:t>
      </w:r>
      <w:r w:rsidRPr="00BE433D">
        <w:br/>
        <w:t xml:space="preserve">Динамика показателей занятости и безработицы </w:t>
      </w:r>
    </w:p>
    <w:tbl>
      <w:tblPr>
        <w:tblW w:w="7370" w:type="dxa"/>
        <w:tblInd w:w="1134" w:type="dxa"/>
        <w:tblLayout w:type="fixed"/>
        <w:tblCellMar>
          <w:left w:w="0" w:type="dxa"/>
          <w:right w:w="0" w:type="dxa"/>
        </w:tblCellMar>
        <w:tblLook w:val="04A0" w:firstRow="1" w:lastRow="0" w:firstColumn="1" w:lastColumn="0" w:noHBand="0" w:noVBand="1"/>
      </w:tblPr>
      <w:tblGrid>
        <w:gridCol w:w="1134"/>
        <w:gridCol w:w="709"/>
        <w:gridCol w:w="703"/>
        <w:gridCol w:w="804"/>
        <w:gridCol w:w="804"/>
        <w:gridCol w:w="804"/>
        <w:gridCol w:w="804"/>
        <w:gridCol w:w="804"/>
        <w:gridCol w:w="804"/>
      </w:tblGrid>
      <w:tr w:rsidR="009D5435" w:rsidRPr="00BE433D" w14:paraId="4EBE3E49" w14:textId="77777777" w:rsidTr="006C46B1">
        <w:trPr>
          <w:tblHeader/>
        </w:trPr>
        <w:tc>
          <w:tcPr>
            <w:tcW w:w="1134" w:type="dxa"/>
            <w:tcBorders>
              <w:top w:val="single" w:sz="4" w:space="0" w:color="auto"/>
              <w:bottom w:val="single" w:sz="12" w:space="0" w:color="auto"/>
            </w:tcBorders>
            <w:shd w:val="clear" w:color="auto" w:fill="auto"/>
            <w:tcMar>
              <w:left w:w="28" w:type="dxa"/>
              <w:right w:w="28" w:type="dxa"/>
            </w:tcMar>
            <w:vAlign w:val="bottom"/>
          </w:tcPr>
          <w:p w14:paraId="6BB12434" w14:textId="77777777" w:rsidR="009D5435" w:rsidRPr="00BE433D" w:rsidRDefault="009D5435" w:rsidP="00D22F13">
            <w:pPr>
              <w:kinsoku w:val="0"/>
              <w:overflowPunct w:val="0"/>
              <w:autoSpaceDE w:val="0"/>
              <w:autoSpaceDN w:val="0"/>
              <w:adjustRightInd w:val="0"/>
              <w:snapToGrid w:val="0"/>
              <w:spacing w:before="80" w:after="80" w:line="200" w:lineRule="exact"/>
              <w:rPr>
                <w:i/>
                <w:sz w:val="16"/>
              </w:rPr>
            </w:pPr>
          </w:p>
        </w:tc>
        <w:tc>
          <w:tcPr>
            <w:tcW w:w="709" w:type="dxa"/>
            <w:tcBorders>
              <w:top w:val="single" w:sz="4" w:space="0" w:color="auto"/>
              <w:bottom w:val="single" w:sz="12" w:space="0" w:color="auto"/>
            </w:tcBorders>
            <w:shd w:val="clear" w:color="auto" w:fill="auto"/>
            <w:tcMar>
              <w:left w:w="28" w:type="dxa"/>
              <w:right w:w="28" w:type="dxa"/>
            </w:tcMar>
            <w:vAlign w:val="bottom"/>
          </w:tcPr>
          <w:p w14:paraId="05C6E265" w14:textId="77777777" w:rsidR="009D5435" w:rsidRPr="00BE433D" w:rsidRDefault="009D5435" w:rsidP="00D22F13">
            <w:pPr>
              <w:kinsoku w:val="0"/>
              <w:overflowPunct w:val="0"/>
              <w:autoSpaceDE w:val="0"/>
              <w:autoSpaceDN w:val="0"/>
              <w:adjustRightInd w:val="0"/>
              <w:snapToGrid w:val="0"/>
              <w:spacing w:before="80" w:after="80" w:line="200" w:lineRule="exact"/>
              <w:jc w:val="right"/>
              <w:rPr>
                <w:i/>
                <w:sz w:val="16"/>
              </w:rPr>
            </w:pPr>
            <w:r w:rsidRPr="00BE433D">
              <w:rPr>
                <w:i/>
                <w:sz w:val="16"/>
              </w:rPr>
              <w:t>2012</w:t>
            </w:r>
          </w:p>
        </w:tc>
        <w:tc>
          <w:tcPr>
            <w:tcW w:w="703" w:type="dxa"/>
            <w:tcBorders>
              <w:top w:val="single" w:sz="4" w:space="0" w:color="auto"/>
              <w:bottom w:val="single" w:sz="12" w:space="0" w:color="auto"/>
            </w:tcBorders>
            <w:shd w:val="clear" w:color="auto" w:fill="auto"/>
            <w:tcMar>
              <w:left w:w="28" w:type="dxa"/>
              <w:right w:w="28" w:type="dxa"/>
            </w:tcMar>
            <w:vAlign w:val="bottom"/>
          </w:tcPr>
          <w:p w14:paraId="39E7E7C7" w14:textId="77777777" w:rsidR="009D5435" w:rsidRPr="00BE433D" w:rsidRDefault="009D5435" w:rsidP="00D22F13">
            <w:pPr>
              <w:kinsoku w:val="0"/>
              <w:overflowPunct w:val="0"/>
              <w:autoSpaceDE w:val="0"/>
              <w:autoSpaceDN w:val="0"/>
              <w:adjustRightInd w:val="0"/>
              <w:snapToGrid w:val="0"/>
              <w:spacing w:before="80" w:after="80" w:line="200" w:lineRule="exact"/>
              <w:jc w:val="right"/>
              <w:rPr>
                <w:i/>
                <w:sz w:val="16"/>
              </w:rPr>
            </w:pPr>
            <w:r w:rsidRPr="00BE433D">
              <w:rPr>
                <w:i/>
                <w:sz w:val="16"/>
              </w:rPr>
              <w:t>2013</w:t>
            </w:r>
          </w:p>
        </w:tc>
        <w:tc>
          <w:tcPr>
            <w:tcW w:w="804" w:type="dxa"/>
            <w:tcBorders>
              <w:top w:val="single" w:sz="4" w:space="0" w:color="auto"/>
              <w:bottom w:val="single" w:sz="12" w:space="0" w:color="auto"/>
            </w:tcBorders>
            <w:shd w:val="clear" w:color="auto" w:fill="auto"/>
            <w:tcMar>
              <w:left w:w="28" w:type="dxa"/>
              <w:right w:w="28" w:type="dxa"/>
            </w:tcMar>
            <w:vAlign w:val="bottom"/>
          </w:tcPr>
          <w:p w14:paraId="10B381C8" w14:textId="77777777" w:rsidR="009D5435" w:rsidRPr="00BE433D" w:rsidRDefault="009D5435" w:rsidP="00D22F13">
            <w:pPr>
              <w:kinsoku w:val="0"/>
              <w:overflowPunct w:val="0"/>
              <w:autoSpaceDE w:val="0"/>
              <w:autoSpaceDN w:val="0"/>
              <w:adjustRightInd w:val="0"/>
              <w:snapToGrid w:val="0"/>
              <w:spacing w:before="80" w:after="80" w:line="200" w:lineRule="exact"/>
              <w:jc w:val="right"/>
              <w:rPr>
                <w:i/>
                <w:sz w:val="16"/>
              </w:rPr>
            </w:pPr>
            <w:r w:rsidRPr="00BE433D">
              <w:rPr>
                <w:i/>
                <w:sz w:val="16"/>
              </w:rPr>
              <w:t>2014</w:t>
            </w:r>
          </w:p>
        </w:tc>
        <w:tc>
          <w:tcPr>
            <w:tcW w:w="804" w:type="dxa"/>
            <w:tcBorders>
              <w:top w:val="single" w:sz="4" w:space="0" w:color="auto"/>
              <w:bottom w:val="single" w:sz="12" w:space="0" w:color="auto"/>
            </w:tcBorders>
            <w:shd w:val="clear" w:color="auto" w:fill="auto"/>
            <w:tcMar>
              <w:left w:w="28" w:type="dxa"/>
              <w:right w:w="28" w:type="dxa"/>
            </w:tcMar>
            <w:vAlign w:val="bottom"/>
          </w:tcPr>
          <w:p w14:paraId="518689E1" w14:textId="77777777" w:rsidR="009D5435" w:rsidRPr="00BE433D" w:rsidRDefault="009D5435" w:rsidP="00D22F13">
            <w:pPr>
              <w:kinsoku w:val="0"/>
              <w:overflowPunct w:val="0"/>
              <w:autoSpaceDE w:val="0"/>
              <w:autoSpaceDN w:val="0"/>
              <w:adjustRightInd w:val="0"/>
              <w:snapToGrid w:val="0"/>
              <w:spacing w:before="80" w:after="80" w:line="200" w:lineRule="exact"/>
              <w:jc w:val="right"/>
              <w:rPr>
                <w:i/>
                <w:sz w:val="16"/>
              </w:rPr>
            </w:pPr>
            <w:r w:rsidRPr="00BE433D">
              <w:rPr>
                <w:i/>
                <w:sz w:val="16"/>
              </w:rPr>
              <w:t>2015</w:t>
            </w:r>
          </w:p>
        </w:tc>
        <w:tc>
          <w:tcPr>
            <w:tcW w:w="804" w:type="dxa"/>
            <w:tcBorders>
              <w:top w:val="single" w:sz="4" w:space="0" w:color="auto"/>
              <w:bottom w:val="single" w:sz="12" w:space="0" w:color="auto"/>
            </w:tcBorders>
            <w:shd w:val="clear" w:color="auto" w:fill="auto"/>
            <w:tcMar>
              <w:left w:w="28" w:type="dxa"/>
              <w:right w:w="28" w:type="dxa"/>
            </w:tcMar>
            <w:vAlign w:val="bottom"/>
          </w:tcPr>
          <w:p w14:paraId="31646DBB" w14:textId="77777777" w:rsidR="009D5435" w:rsidRPr="00BE433D" w:rsidRDefault="009D5435" w:rsidP="00D22F13">
            <w:pPr>
              <w:kinsoku w:val="0"/>
              <w:overflowPunct w:val="0"/>
              <w:autoSpaceDE w:val="0"/>
              <w:autoSpaceDN w:val="0"/>
              <w:adjustRightInd w:val="0"/>
              <w:snapToGrid w:val="0"/>
              <w:spacing w:before="80" w:after="80" w:line="200" w:lineRule="exact"/>
              <w:jc w:val="right"/>
              <w:rPr>
                <w:i/>
                <w:sz w:val="16"/>
              </w:rPr>
            </w:pPr>
            <w:r w:rsidRPr="00BE433D">
              <w:rPr>
                <w:i/>
                <w:sz w:val="16"/>
              </w:rPr>
              <w:t>2016</w:t>
            </w:r>
          </w:p>
        </w:tc>
        <w:tc>
          <w:tcPr>
            <w:tcW w:w="804" w:type="dxa"/>
            <w:tcBorders>
              <w:top w:val="single" w:sz="4" w:space="0" w:color="auto"/>
              <w:bottom w:val="single" w:sz="12" w:space="0" w:color="auto"/>
            </w:tcBorders>
            <w:shd w:val="clear" w:color="auto" w:fill="auto"/>
            <w:tcMar>
              <w:left w:w="28" w:type="dxa"/>
              <w:right w:w="28" w:type="dxa"/>
            </w:tcMar>
            <w:vAlign w:val="bottom"/>
          </w:tcPr>
          <w:p w14:paraId="74D27579" w14:textId="77777777" w:rsidR="009D5435" w:rsidRPr="00BE433D" w:rsidRDefault="009D5435" w:rsidP="00D22F13">
            <w:pPr>
              <w:kinsoku w:val="0"/>
              <w:overflowPunct w:val="0"/>
              <w:autoSpaceDE w:val="0"/>
              <w:autoSpaceDN w:val="0"/>
              <w:adjustRightInd w:val="0"/>
              <w:snapToGrid w:val="0"/>
              <w:spacing w:before="80" w:after="80" w:line="200" w:lineRule="exact"/>
              <w:jc w:val="right"/>
              <w:rPr>
                <w:i/>
                <w:sz w:val="16"/>
              </w:rPr>
            </w:pPr>
            <w:r w:rsidRPr="00BE433D">
              <w:rPr>
                <w:i/>
                <w:sz w:val="16"/>
              </w:rPr>
              <w:t>2017</w:t>
            </w:r>
          </w:p>
        </w:tc>
        <w:tc>
          <w:tcPr>
            <w:tcW w:w="804" w:type="dxa"/>
            <w:tcBorders>
              <w:top w:val="single" w:sz="4" w:space="0" w:color="auto"/>
              <w:bottom w:val="single" w:sz="12" w:space="0" w:color="auto"/>
            </w:tcBorders>
            <w:shd w:val="clear" w:color="auto" w:fill="auto"/>
            <w:tcMar>
              <w:left w:w="28" w:type="dxa"/>
              <w:right w:w="28" w:type="dxa"/>
            </w:tcMar>
            <w:vAlign w:val="bottom"/>
          </w:tcPr>
          <w:p w14:paraId="48F19B4B" w14:textId="77777777" w:rsidR="009D5435" w:rsidRPr="00BE433D" w:rsidRDefault="009D5435" w:rsidP="00D22F13">
            <w:pPr>
              <w:kinsoku w:val="0"/>
              <w:overflowPunct w:val="0"/>
              <w:autoSpaceDE w:val="0"/>
              <w:autoSpaceDN w:val="0"/>
              <w:adjustRightInd w:val="0"/>
              <w:snapToGrid w:val="0"/>
              <w:spacing w:before="80" w:after="80" w:line="200" w:lineRule="exact"/>
              <w:jc w:val="right"/>
              <w:rPr>
                <w:i/>
                <w:sz w:val="16"/>
              </w:rPr>
            </w:pPr>
            <w:r w:rsidRPr="00BE433D">
              <w:rPr>
                <w:i/>
                <w:sz w:val="16"/>
              </w:rPr>
              <w:t>2018</w:t>
            </w:r>
          </w:p>
        </w:tc>
        <w:tc>
          <w:tcPr>
            <w:tcW w:w="804" w:type="dxa"/>
            <w:tcBorders>
              <w:top w:val="single" w:sz="4" w:space="0" w:color="auto"/>
              <w:bottom w:val="single" w:sz="12" w:space="0" w:color="auto"/>
            </w:tcBorders>
            <w:shd w:val="clear" w:color="auto" w:fill="auto"/>
            <w:tcMar>
              <w:left w:w="28" w:type="dxa"/>
              <w:right w:w="28" w:type="dxa"/>
            </w:tcMar>
            <w:vAlign w:val="bottom"/>
          </w:tcPr>
          <w:p w14:paraId="77DF5B4B" w14:textId="77777777" w:rsidR="009D5435" w:rsidRPr="00BE433D" w:rsidRDefault="009D5435" w:rsidP="00D22F13">
            <w:pPr>
              <w:kinsoku w:val="0"/>
              <w:overflowPunct w:val="0"/>
              <w:autoSpaceDE w:val="0"/>
              <w:autoSpaceDN w:val="0"/>
              <w:adjustRightInd w:val="0"/>
              <w:snapToGrid w:val="0"/>
              <w:spacing w:before="80" w:after="80" w:line="200" w:lineRule="exact"/>
              <w:jc w:val="right"/>
              <w:rPr>
                <w:i/>
                <w:sz w:val="16"/>
              </w:rPr>
            </w:pPr>
            <w:r w:rsidRPr="00BE433D">
              <w:rPr>
                <w:i/>
                <w:sz w:val="16"/>
              </w:rPr>
              <w:t>2019</w:t>
            </w:r>
          </w:p>
        </w:tc>
      </w:tr>
      <w:tr w:rsidR="009D5435" w:rsidRPr="00BE433D" w14:paraId="51780BA4" w14:textId="77777777" w:rsidTr="006C46B1">
        <w:tc>
          <w:tcPr>
            <w:tcW w:w="1134" w:type="dxa"/>
            <w:tcBorders>
              <w:top w:val="single" w:sz="12" w:space="0" w:color="auto"/>
            </w:tcBorders>
            <w:shd w:val="clear" w:color="auto" w:fill="auto"/>
            <w:tcMar>
              <w:left w:w="28" w:type="dxa"/>
              <w:right w:w="28" w:type="dxa"/>
            </w:tcMar>
          </w:tcPr>
          <w:p w14:paraId="7368620A" w14:textId="77777777" w:rsidR="009D5435" w:rsidRPr="00BE433D" w:rsidRDefault="009D5435" w:rsidP="00D22F13">
            <w:pPr>
              <w:kinsoku w:val="0"/>
              <w:overflowPunct w:val="0"/>
              <w:autoSpaceDE w:val="0"/>
              <w:autoSpaceDN w:val="0"/>
              <w:adjustRightInd w:val="0"/>
              <w:snapToGrid w:val="0"/>
              <w:spacing w:before="40" w:after="40" w:line="220" w:lineRule="exact"/>
              <w:rPr>
                <w:sz w:val="18"/>
              </w:rPr>
            </w:pPr>
            <w:r w:rsidRPr="00BE433D">
              <w:rPr>
                <w:sz w:val="18"/>
              </w:rPr>
              <w:t>Занятое население, тыс. чел.</w:t>
            </w:r>
          </w:p>
        </w:tc>
        <w:tc>
          <w:tcPr>
            <w:tcW w:w="709" w:type="dxa"/>
            <w:tcBorders>
              <w:top w:val="single" w:sz="12" w:space="0" w:color="auto"/>
            </w:tcBorders>
            <w:shd w:val="clear" w:color="auto" w:fill="auto"/>
            <w:tcMar>
              <w:left w:w="28" w:type="dxa"/>
              <w:right w:w="28" w:type="dxa"/>
            </w:tcMar>
            <w:vAlign w:val="bottom"/>
          </w:tcPr>
          <w:p w14:paraId="06860C94" w14:textId="77777777" w:rsidR="009D5435" w:rsidRPr="00BE433D" w:rsidRDefault="009D5435" w:rsidP="00D22F13">
            <w:pPr>
              <w:kinsoku w:val="0"/>
              <w:overflowPunct w:val="0"/>
              <w:autoSpaceDE w:val="0"/>
              <w:autoSpaceDN w:val="0"/>
              <w:adjustRightInd w:val="0"/>
              <w:snapToGrid w:val="0"/>
              <w:spacing w:before="40" w:after="40" w:line="220" w:lineRule="exact"/>
              <w:jc w:val="right"/>
              <w:rPr>
                <w:sz w:val="18"/>
              </w:rPr>
            </w:pPr>
            <w:r w:rsidRPr="00BE433D">
              <w:rPr>
                <w:sz w:val="18"/>
              </w:rPr>
              <w:t>2286,4</w:t>
            </w:r>
          </w:p>
        </w:tc>
        <w:tc>
          <w:tcPr>
            <w:tcW w:w="703" w:type="dxa"/>
            <w:tcBorders>
              <w:top w:val="single" w:sz="12" w:space="0" w:color="auto"/>
            </w:tcBorders>
            <w:shd w:val="clear" w:color="auto" w:fill="auto"/>
            <w:tcMar>
              <w:left w:w="28" w:type="dxa"/>
              <w:right w:w="28" w:type="dxa"/>
            </w:tcMar>
            <w:vAlign w:val="bottom"/>
          </w:tcPr>
          <w:p w14:paraId="5F9D2F74" w14:textId="77777777" w:rsidR="009D5435" w:rsidRPr="00BE433D" w:rsidRDefault="009D5435" w:rsidP="00D22F13">
            <w:pPr>
              <w:kinsoku w:val="0"/>
              <w:overflowPunct w:val="0"/>
              <w:autoSpaceDE w:val="0"/>
              <w:autoSpaceDN w:val="0"/>
              <w:adjustRightInd w:val="0"/>
              <w:snapToGrid w:val="0"/>
              <w:spacing w:before="40" w:after="40" w:line="220" w:lineRule="exact"/>
              <w:jc w:val="right"/>
              <w:rPr>
                <w:sz w:val="18"/>
              </w:rPr>
            </w:pPr>
            <w:r w:rsidRPr="00BE433D">
              <w:rPr>
                <w:sz w:val="18"/>
              </w:rPr>
              <w:t>2263,0</w:t>
            </w:r>
          </w:p>
        </w:tc>
        <w:tc>
          <w:tcPr>
            <w:tcW w:w="804" w:type="dxa"/>
            <w:tcBorders>
              <w:top w:val="single" w:sz="12" w:space="0" w:color="auto"/>
            </w:tcBorders>
            <w:shd w:val="clear" w:color="auto" w:fill="auto"/>
            <w:tcMar>
              <w:left w:w="28" w:type="dxa"/>
              <w:right w:w="28" w:type="dxa"/>
            </w:tcMar>
            <w:vAlign w:val="bottom"/>
          </w:tcPr>
          <w:p w14:paraId="2C325CFE" w14:textId="77777777" w:rsidR="009D5435" w:rsidRPr="00BE433D" w:rsidRDefault="009D5435" w:rsidP="00D22F13">
            <w:pPr>
              <w:kinsoku w:val="0"/>
              <w:overflowPunct w:val="0"/>
              <w:autoSpaceDE w:val="0"/>
              <w:autoSpaceDN w:val="0"/>
              <w:adjustRightInd w:val="0"/>
              <w:snapToGrid w:val="0"/>
              <w:spacing w:before="40" w:after="40" w:line="220" w:lineRule="exact"/>
              <w:jc w:val="right"/>
              <w:rPr>
                <w:sz w:val="18"/>
              </w:rPr>
            </w:pPr>
            <w:r w:rsidRPr="00BE433D">
              <w:rPr>
                <w:sz w:val="18"/>
              </w:rPr>
              <w:t>2302,7</w:t>
            </w:r>
          </w:p>
        </w:tc>
        <w:tc>
          <w:tcPr>
            <w:tcW w:w="804" w:type="dxa"/>
            <w:tcBorders>
              <w:top w:val="single" w:sz="12" w:space="0" w:color="auto"/>
            </w:tcBorders>
            <w:shd w:val="clear" w:color="auto" w:fill="auto"/>
            <w:tcMar>
              <w:left w:w="28" w:type="dxa"/>
              <w:right w:w="28" w:type="dxa"/>
            </w:tcMar>
            <w:vAlign w:val="bottom"/>
          </w:tcPr>
          <w:p w14:paraId="23264CAC" w14:textId="77777777" w:rsidR="009D5435" w:rsidRPr="00BE433D" w:rsidRDefault="009D5435" w:rsidP="00D22F13">
            <w:pPr>
              <w:kinsoku w:val="0"/>
              <w:overflowPunct w:val="0"/>
              <w:autoSpaceDE w:val="0"/>
              <w:autoSpaceDN w:val="0"/>
              <w:adjustRightInd w:val="0"/>
              <w:snapToGrid w:val="0"/>
              <w:spacing w:before="40" w:after="40" w:line="220" w:lineRule="exact"/>
              <w:jc w:val="right"/>
              <w:rPr>
                <w:sz w:val="18"/>
              </w:rPr>
            </w:pPr>
            <w:r w:rsidRPr="00BE433D">
              <w:rPr>
                <w:sz w:val="18"/>
              </w:rPr>
              <w:t>2352,1</w:t>
            </w:r>
          </w:p>
        </w:tc>
        <w:tc>
          <w:tcPr>
            <w:tcW w:w="804" w:type="dxa"/>
            <w:tcBorders>
              <w:top w:val="single" w:sz="12" w:space="0" w:color="auto"/>
            </w:tcBorders>
            <w:shd w:val="clear" w:color="auto" w:fill="auto"/>
            <w:tcMar>
              <w:left w:w="28" w:type="dxa"/>
              <w:right w:w="28" w:type="dxa"/>
            </w:tcMar>
            <w:vAlign w:val="bottom"/>
          </w:tcPr>
          <w:p w14:paraId="0F583881" w14:textId="77777777" w:rsidR="009D5435" w:rsidRPr="00BE433D" w:rsidRDefault="009D5435" w:rsidP="00D22F13">
            <w:pPr>
              <w:kinsoku w:val="0"/>
              <w:overflowPunct w:val="0"/>
              <w:autoSpaceDE w:val="0"/>
              <w:autoSpaceDN w:val="0"/>
              <w:adjustRightInd w:val="0"/>
              <w:snapToGrid w:val="0"/>
              <w:spacing w:before="40" w:after="40" w:line="220" w:lineRule="exact"/>
              <w:jc w:val="right"/>
              <w:rPr>
                <w:sz w:val="18"/>
              </w:rPr>
            </w:pPr>
            <w:r w:rsidRPr="00BE433D">
              <w:rPr>
                <w:sz w:val="18"/>
              </w:rPr>
              <w:t>2363,7</w:t>
            </w:r>
          </w:p>
        </w:tc>
        <w:tc>
          <w:tcPr>
            <w:tcW w:w="804" w:type="dxa"/>
            <w:tcBorders>
              <w:top w:val="single" w:sz="12" w:space="0" w:color="auto"/>
            </w:tcBorders>
            <w:shd w:val="clear" w:color="auto" w:fill="auto"/>
            <w:tcMar>
              <w:left w:w="28" w:type="dxa"/>
              <w:right w:w="28" w:type="dxa"/>
            </w:tcMar>
            <w:vAlign w:val="bottom"/>
          </w:tcPr>
          <w:p w14:paraId="467C746B" w14:textId="77777777" w:rsidR="009D5435" w:rsidRPr="00BE433D" w:rsidRDefault="009D5435" w:rsidP="00D22F13">
            <w:pPr>
              <w:kinsoku w:val="0"/>
              <w:overflowPunct w:val="0"/>
              <w:autoSpaceDE w:val="0"/>
              <w:autoSpaceDN w:val="0"/>
              <w:adjustRightInd w:val="0"/>
              <w:snapToGrid w:val="0"/>
              <w:spacing w:before="40" w:after="40" w:line="220" w:lineRule="exact"/>
              <w:jc w:val="right"/>
              <w:rPr>
                <w:sz w:val="18"/>
              </w:rPr>
            </w:pPr>
            <w:r w:rsidRPr="00BE433D">
              <w:rPr>
                <w:sz w:val="18"/>
              </w:rPr>
              <w:t>2351,2</w:t>
            </w:r>
          </w:p>
        </w:tc>
        <w:tc>
          <w:tcPr>
            <w:tcW w:w="804" w:type="dxa"/>
            <w:tcBorders>
              <w:top w:val="single" w:sz="12" w:space="0" w:color="auto"/>
            </w:tcBorders>
            <w:shd w:val="clear" w:color="auto" w:fill="auto"/>
            <w:tcMar>
              <w:left w:w="28" w:type="dxa"/>
              <w:right w:w="28" w:type="dxa"/>
            </w:tcMar>
            <w:vAlign w:val="bottom"/>
          </w:tcPr>
          <w:p w14:paraId="2F8B189F" w14:textId="77777777" w:rsidR="009D5435" w:rsidRPr="00BE433D" w:rsidRDefault="009D5435" w:rsidP="00D22F13">
            <w:pPr>
              <w:kinsoku w:val="0"/>
              <w:overflowPunct w:val="0"/>
              <w:autoSpaceDE w:val="0"/>
              <w:autoSpaceDN w:val="0"/>
              <w:adjustRightInd w:val="0"/>
              <w:snapToGrid w:val="0"/>
              <w:spacing w:before="40" w:after="40" w:line="220" w:lineRule="exact"/>
              <w:jc w:val="right"/>
              <w:rPr>
                <w:sz w:val="18"/>
              </w:rPr>
            </w:pPr>
            <w:r w:rsidRPr="00BE433D">
              <w:rPr>
                <w:sz w:val="18"/>
              </w:rPr>
              <w:t>2382,5</w:t>
            </w:r>
          </w:p>
        </w:tc>
        <w:tc>
          <w:tcPr>
            <w:tcW w:w="804" w:type="dxa"/>
            <w:tcBorders>
              <w:top w:val="single" w:sz="12" w:space="0" w:color="auto"/>
            </w:tcBorders>
            <w:shd w:val="clear" w:color="auto" w:fill="auto"/>
            <w:tcMar>
              <w:left w:w="28" w:type="dxa"/>
              <w:right w:w="28" w:type="dxa"/>
            </w:tcMar>
            <w:vAlign w:val="bottom"/>
          </w:tcPr>
          <w:p w14:paraId="063C46E2" w14:textId="77777777" w:rsidR="009D5435" w:rsidRPr="00BE433D" w:rsidRDefault="009D5435" w:rsidP="00D22F13">
            <w:pPr>
              <w:kinsoku w:val="0"/>
              <w:overflowPunct w:val="0"/>
              <w:autoSpaceDE w:val="0"/>
              <w:autoSpaceDN w:val="0"/>
              <w:adjustRightInd w:val="0"/>
              <w:snapToGrid w:val="0"/>
              <w:spacing w:before="40" w:after="40" w:line="220" w:lineRule="exact"/>
              <w:jc w:val="right"/>
              <w:rPr>
                <w:sz w:val="18"/>
              </w:rPr>
            </w:pPr>
            <w:r w:rsidRPr="00BE433D">
              <w:rPr>
                <w:sz w:val="18"/>
              </w:rPr>
              <w:t>2442,7</w:t>
            </w:r>
          </w:p>
        </w:tc>
      </w:tr>
      <w:tr w:rsidR="009D5435" w:rsidRPr="00BE433D" w14:paraId="619F9487" w14:textId="77777777" w:rsidTr="006C46B1">
        <w:tc>
          <w:tcPr>
            <w:tcW w:w="1134" w:type="dxa"/>
            <w:shd w:val="clear" w:color="auto" w:fill="auto"/>
            <w:tcMar>
              <w:left w:w="28" w:type="dxa"/>
              <w:right w:w="28" w:type="dxa"/>
            </w:tcMar>
          </w:tcPr>
          <w:p w14:paraId="05636D9F" w14:textId="77777777" w:rsidR="009D5435" w:rsidRPr="00BE433D" w:rsidRDefault="009D5435" w:rsidP="00D22F13">
            <w:pPr>
              <w:kinsoku w:val="0"/>
              <w:overflowPunct w:val="0"/>
              <w:autoSpaceDE w:val="0"/>
              <w:autoSpaceDN w:val="0"/>
              <w:adjustRightInd w:val="0"/>
              <w:snapToGrid w:val="0"/>
              <w:spacing w:before="40" w:after="40" w:line="220" w:lineRule="exact"/>
              <w:rPr>
                <w:sz w:val="18"/>
              </w:rPr>
            </w:pPr>
            <w:r w:rsidRPr="00BE433D">
              <w:rPr>
                <w:sz w:val="18"/>
              </w:rPr>
              <w:t xml:space="preserve">Уровень занятости, </w:t>
            </w:r>
            <w:r w:rsidRPr="00BE433D">
              <w:rPr>
                <w:sz w:val="18"/>
              </w:rPr>
              <w:br/>
              <w:t>в %</w:t>
            </w:r>
          </w:p>
        </w:tc>
        <w:tc>
          <w:tcPr>
            <w:tcW w:w="709" w:type="dxa"/>
            <w:shd w:val="clear" w:color="auto" w:fill="auto"/>
            <w:tcMar>
              <w:left w:w="28" w:type="dxa"/>
              <w:right w:w="28" w:type="dxa"/>
            </w:tcMar>
            <w:vAlign w:val="bottom"/>
          </w:tcPr>
          <w:p w14:paraId="52711479" w14:textId="77777777" w:rsidR="009D5435" w:rsidRPr="00BE433D" w:rsidRDefault="009D5435" w:rsidP="00D22F13">
            <w:pPr>
              <w:kinsoku w:val="0"/>
              <w:overflowPunct w:val="0"/>
              <w:autoSpaceDE w:val="0"/>
              <w:autoSpaceDN w:val="0"/>
              <w:adjustRightInd w:val="0"/>
              <w:snapToGrid w:val="0"/>
              <w:spacing w:before="40" w:after="40" w:line="220" w:lineRule="exact"/>
              <w:jc w:val="right"/>
              <w:rPr>
                <w:sz w:val="18"/>
              </w:rPr>
            </w:pPr>
            <w:r w:rsidRPr="00BE433D">
              <w:rPr>
                <w:sz w:val="18"/>
              </w:rPr>
              <w:t>58,8</w:t>
            </w:r>
          </w:p>
        </w:tc>
        <w:tc>
          <w:tcPr>
            <w:tcW w:w="703" w:type="dxa"/>
            <w:shd w:val="clear" w:color="auto" w:fill="auto"/>
            <w:tcMar>
              <w:left w:w="28" w:type="dxa"/>
              <w:right w:w="28" w:type="dxa"/>
            </w:tcMar>
            <w:vAlign w:val="bottom"/>
          </w:tcPr>
          <w:p w14:paraId="572B4A23" w14:textId="77777777" w:rsidR="009D5435" w:rsidRPr="00BE433D" w:rsidRDefault="009D5435" w:rsidP="00D22F13">
            <w:pPr>
              <w:kinsoku w:val="0"/>
              <w:overflowPunct w:val="0"/>
              <w:autoSpaceDE w:val="0"/>
              <w:autoSpaceDN w:val="0"/>
              <w:adjustRightInd w:val="0"/>
              <w:snapToGrid w:val="0"/>
              <w:spacing w:before="40" w:after="40" w:line="220" w:lineRule="exact"/>
              <w:jc w:val="right"/>
              <w:rPr>
                <w:sz w:val="18"/>
              </w:rPr>
            </w:pPr>
            <w:r w:rsidRPr="00BE433D">
              <w:rPr>
                <w:sz w:val="18"/>
              </w:rPr>
              <w:t>57,2</w:t>
            </w:r>
          </w:p>
        </w:tc>
        <w:tc>
          <w:tcPr>
            <w:tcW w:w="804" w:type="dxa"/>
            <w:shd w:val="clear" w:color="auto" w:fill="auto"/>
            <w:tcMar>
              <w:left w:w="28" w:type="dxa"/>
              <w:right w:w="28" w:type="dxa"/>
            </w:tcMar>
            <w:vAlign w:val="bottom"/>
          </w:tcPr>
          <w:p w14:paraId="32C7F4EF" w14:textId="77777777" w:rsidR="009D5435" w:rsidRPr="00BE433D" w:rsidRDefault="009D5435" w:rsidP="00D22F13">
            <w:pPr>
              <w:kinsoku w:val="0"/>
              <w:overflowPunct w:val="0"/>
              <w:autoSpaceDE w:val="0"/>
              <w:autoSpaceDN w:val="0"/>
              <w:adjustRightInd w:val="0"/>
              <w:snapToGrid w:val="0"/>
              <w:spacing w:before="40" w:after="40" w:line="220" w:lineRule="exact"/>
              <w:jc w:val="right"/>
              <w:rPr>
                <w:sz w:val="18"/>
              </w:rPr>
            </w:pPr>
            <w:r w:rsidRPr="00BE433D">
              <w:rPr>
                <w:sz w:val="18"/>
              </w:rPr>
              <w:t>57,3</w:t>
            </w:r>
          </w:p>
        </w:tc>
        <w:tc>
          <w:tcPr>
            <w:tcW w:w="804" w:type="dxa"/>
            <w:shd w:val="clear" w:color="auto" w:fill="auto"/>
            <w:tcMar>
              <w:left w:w="28" w:type="dxa"/>
              <w:right w:w="28" w:type="dxa"/>
            </w:tcMar>
            <w:vAlign w:val="bottom"/>
          </w:tcPr>
          <w:p w14:paraId="3C0C54F5" w14:textId="77777777" w:rsidR="009D5435" w:rsidRPr="00BE433D" w:rsidRDefault="009D5435" w:rsidP="00D22F13">
            <w:pPr>
              <w:kinsoku w:val="0"/>
              <w:overflowPunct w:val="0"/>
              <w:autoSpaceDE w:val="0"/>
              <w:autoSpaceDN w:val="0"/>
              <w:adjustRightInd w:val="0"/>
              <w:snapToGrid w:val="0"/>
              <w:spacing w:before="40" w:after="40" w:line="220" w:lineRule="exact"/>
              <w:jc w:val="right"/>
              <w:rPr>
                <w:sz w:val="18"/>
              </w:rPr>
            </w:pPr>
            <w:r w:rsidRPr="00BE433D">
              <w:rPr>
                <w:sz w:val="18"/>
              </w:rPr>
              <w:t>57,7</w:t>
            </w:r>
          </w:p>
        </w:tc>
        <w:tc>
          <w:tcPr>
            <w:tcW w:w="804" w:type="dxa"/>
            <w:shd w:val="clear" w:color="auto" w:fill="auto"/>
            <w:tcMar>
              <w:left w:w="28" w:type="dxa"/>
              <w:right w:w="28" w:type="dxa"/>
            </w:tcMar>
            <w:vAlign w:val="bottom"/>
          </w:tcPr>
          <w:p w14:paraId="40241691" w14:textId="77777777" w:rsidR="009D5435" w:rsidRPr="00BE433D" w:rsidRDefault="009D5435" w:rsidP="00D22F13">
            <w:pPr>
              <w:kinsoku w:val="0"/>
              <w:overflowPunct w:val="0"/>
              <w:autoSpaceDE w:val="0"/>
              <w:autoSpaceDN w:val="0"/>
              <w:adjustRightInd w:val="0"/>
              <w:snapToGrid w:val="0"/>
              <w:spacing w:before="40" w:after="40" w:line="220" w:lineRule="exact"/>
              <w:jc w:val="right"/>
              <w:rPr>
                <w:sz w:val="18"/>
              </w:rPr>
            </w:pPr>
            <w:r w:rsidRPr="00BE433D">
              <w:rPr>
                <w:sz w:val="18"/>
              </w:rPr>
              <w:t>57,1</w:t>
            </w:r>
          </w:p>
        </w:tc>
        <w:tc>
          <w:tcPr>
            <w:tcW w:w="804" w:type="dxa"/>
            <w:shd w:val="clear" w:color="auto" w:fill="auto"/>
            <w:tcMar>
              <w:left w:w="28" w:type="dxa"/>
              <w:right w:w="28" w:type="dxa"/>
            </w:tcMar>
            <w:vAlign w:val="bottom"/>
          </w:tcPr>
          <w:p w14:paraId="4382912B" w14:textId="77777777" w:rsidR="009D5435" w:rsidRPr="00BE433D" w:rsidRDefault="009D5435" w:rsidP="00D22F13">
            <w:pPr>
              <w:kinsoku w:val="0"/>
              <w:overflowPunct w:val="0"/>
              <w:autoSpaceDE w:val="0"/>
              <w:autoSpaceDN w:val="0"/>
              <w:adjustRightInd w:val="0"/>
              <w:snapToGrid w:val="0"/>
              <w:spacing w:before="40" w:after="40" w:line="220" w:lineRule="exact"/>
              <w:jc w:val="right"/>
              <w:rPr>
                <w:sz w:val="18"/>
              </w:rPr>
            </w:pPr>
            <w:r w:rsidRPr="00BE433D">
              <w:rPr>
                <w:sz w:val="18"/>
              </w:rPr>
              <w:t>55,9</w:t>
            </w:r>
          </w:p>
        </w:tc>
        <w:tc>
          <w:tcPr>
            <w:tcW w:w="804" w:type="dxa"/>
            <w:shd w:val="clear" w:color="auto" w:fill="auto"/>
            <w:tcMar>
              <w:left w:w="28" w:type="dxa"/>
              <w:right w:w="28" w:type="dxa"/>
            </w:tcMar>
            <w:vAlign w:val="bottom"/>
          </w:tcPr>
          <w:p w14:paraId="0307E5F5" w14:textId="77777777" w:rsidR="009D5435" w:rsidRPr="00BE433D" w:rsidRDefault="009D5435" w:rsidP="00D22F13">
            <w:pPr>
              <w:kinsoku w:val="0"/>
              <w:overflowPunct w:val="0"/>
              <w:autoSpaceDE w:val="0"/>
              <w:autoSpaceDN w:val="0"/>
              <w:adjustRightInd w:val="0"/>
              <w:snapToGrid w:val="0"/>
              <w:spacing w:before="40" w:after="40" w:line="220" w:lineRule="exact"/>
              <w:jc w:val="right"/>
              <w:rPr>
                <w:sz w:val="18"/>
              </w:rPr>
            </w:pPr>
            <w:r w:rsidRPr="00BE433D">
              <w:rPr>
                <w:sz w:val="18"/>
              </w:rPr>
              <w:t>56,2</w:t>
            </w:r>
          </w:p>
        </w:tc>
        <w:tc>
          <w:tcPr>
            <w:tcW w:w="804" w:type="dxa"/>
            <w:shd w:val="clear" w:color="auto" w:fill="auto"/>
            <w:tcMar>
              <w:left w:w="28" w:type="dxa"/>
              <w:right w:w="28" w:type="dxa"/>
            </w:tcMar>
            <w:vAlign w:val="bottom"/>
          </w:tcPr>
          <w:p w14:paraId="610D987B" w14:textId="77777777" w:rsidR="009D5435" w:rsidRPr="00BE433D" w:rsidRDefault="009D5435" w:rsidP="00D22F13">
            <w:pPr>
              <w:kinsoku w:val="0"/>
              <w:overflowPunct w:val="0"/>
              <w:autoSpaceDE w:val="0"/>
              <w:autoSpaceDN w:val="0"/>
              <w:adjustRightInd w:val="0"/>
              <w:snapToGrid w:val="0"/>
              <w:spacing w:before="40" w:after="40" w:line="220" w:lineRule="exact"/>
              <w:jc w:val="right"/>
              <w:rPr>
                <w:sz w:val="18"/>
              </w:rPr>
            </w:pPr>
            <w:r w:rsidRPr="00BE433D">
              <w:rPr>
                <w:sz w:val="18"/>
              </w:rPr>
              <w:t>57,0</w:t>
            </w:r>
          </w:p>
        </w:tc>
      </w:tr>
      <w:tr w:rsidR="009D5435" w:rsidRPr="00BE433D" w14:paraId="4AC23E63" w14:textId="77777777" w:rsidTr="006C46B1">
        <w:tc>
          <w:tcPr>
            <w:tcW w:w="1134" w:type="dxa"/>
            <w:shd w:val="clear" w:color="auto" w:fill="auto"/>
            <w:tcMar>
              <w:left w:w="28" w:type="dxa"/>
              <w:right w:w="28" w:type="dxa"/>
            </w:tcMar>
          </w:tcPr>
          <w:p w14:paraId="4211FAD3" w14:textId="77777777" w:rsidR="009D5435" w:rsidRPr="00BE433D" w:rsidRDefault="009D5435" w:rsidP="00D22F13">
            <w:pPr>
              <w:kinsoku w:val="0"/>
              <w:overflowPunct w:val="0"/>
              <w:autoSpaceDE w:val="0"/>
              <w:autoSpaceDN w:val="0"/>
              <w:adjustRightInd w:val="0"/>
              <w:snapToGrid w:val="0"/>
              <w:spacing w:before="40" w:after="40" w:line="220" w:lineRule="exact"/>
              <w:rPr>
                <w:sz w:val="18"/>
              </w:rPr>
            </w:pPr>
            <w:r w:rsidRPr="00BE433D">
              <w:rPr>
                <w:sz w:val="18"/>
              </w:rPr>
              <w:t>Безработные, тыс. чел.</w:t>
            </w:r>
          </w:p>
        </w:tc>
        <w:tc>
          <w:tcPr>
            <w:tcW w:w="709" w:type="dxa"/>
            <w:shd w:val="clear" w:color="auto" w:fill="auto"/>
            <w:tcMar>
              <w:left w:w="28" w:type="dxa"/>
              <w:right w:w="28" w:type="dxa"/>
            </w:tcMar>
            <w:vAlign w:val="bottom"/>
          </w:tcPr>
          <w:p w14:paraId="46D04D30" w14:textId="77777777" w:rsidR="009D5435" w:rsidRPr="00BE433D" w:rsidRDefault="009D5435" w:rsidP="00D22F13">
            <w:pPr>
              <w:kinsoku w:val="0"/>
              <w:overflowPunct w:val="0"/>
              <w:autoSpaceDE w:val="0"/>
              <w:autoSpaceDN w:val="0"/>
              <w:adjustRightInd w:val="0"/>
              <w:snapToGrid w:val="0"/>
              <w:spacing w:before="40" w:after="40" w:line="220" w:lineRule="exact"/>
              <w:jc w:val="right"/>
              <w:rPr>
                <w:sz w:val="18"/>
              </w:rPr>
            </w:pPr>
            <w:r w:rsidRPr="00BE433D">
              <w:rPr>
                <w:sz w:val="18"/>
              </w:rPr>
              <w:t>210,4</w:t>
            </w:r>
          </w:p>
        </w:tc>
        <w:tc>
          <w:tcPr>
            <w:tcW w:w="703" w:type="dxa"/>
            <w:shd w:val="clear" w:color="auto" w:fill="auto"/>
            <w:tcMar>
              <w:left w:w="28" w:type="dxa"/>
              <w:right w:w="28" w:type="dxa"/>
            </w:tcMar>
            <w:vAlign w:val="bottom"/>
          </w:tcPr>
          <w:p w14:paraId="402E10CA" w14:textId="77777777" w:rsidR="009D5435" w:rsidRPr="00BE433D" w:rsidRDefault="009D5435" w:rsidP="00D22F13">
            <w:pPr>
              <w:kinsoku w:val="0"/>
              <w:overflowPunct w:val="0"/>
              <w:autoSpaceDE w:val="0"/>
              <w:autoSpaceDN w:val="0"/>
              <w:adjustRightInd w:val="0"/>
              <w:snapToGrid w:val="0"/>
              <w:spacing w:before="40" w:after="40" w:line="220" w:lineRule="exact"/>
              <w:jc w:val="right"/>
              <w:rPr>
                <w:sz w:val="18"/>
              </w:rPr>
            </w:pPr>
            <w:r w:rsidRPr="00BE433D">
              <w:rPr>
                <w:sz w:val="18"/>
              </w:rPr>
              <w:t>205,7</w:t>
            </w:r>
          </w:p>
        </w:tc>
        <w:tc>
          <w:tcPr>
            <w:tcW w:w="804" w:type="dxa"/>
            <w:shd w:val="clear" w:color="auto" w:fill="auto"/>
            <w:tcMar>
              <w:left w:w="28" w:type="dxa"/>
              <w:right w:w="28" w:type="dxa"/>
            </w:tcMar>
            <w:vAlign w:val="bottom"/>
          </w:tcPr>
          <w:p w14:paraId="4246F3DE" w14:textId="77777777" w:rsidR="009D5435" w:rsidRPr="00BE433D" w:rsidRDefault="009D5435" w:rsidP="00D22F13">
            <w:pPr>
              <w:kinsoku w:val="0"/>
              <w:overflowPunct w:val="0"/>
              <w:autoSpaceDE w:val="0"/>
              <w:autoSpaceDN w:val="0"/>
              <w:adjustRightInd w:val="0"/>
              <w:snapToGrid w:val="0"/>
              <w:spacing w:before="40" w:after="40" w:line="220" w:lineRule="exact"/>
              <w:jc w:val="right"/>
              <w:rPr>
                <w:sz w:val="18"/>
              </w:rPr>
            </w:pPr>
            <w:r w:rsidRPr="00BE433D">
              <w:rPr>
                <w:sz w:val="18"/>
              </w:rPr>
              <w:t>201,5</w:t>
            </w:r>
          </w:p>
        </w:tc>
        <w:tc>
          <w:tcPr>
            <w:tcW w:w="804" w:type="dxa"/>
            <w:shd w:val="clear" w:color="auto" w:fill="auto"/>
            <w:tcMar>
              <w:left w:w="28" w:type="dxa"/>
              <w:right w:w="28" w:type="dxa"/>
            </w:tcMar>
            <w:vAlign w:val="bottom"/>
          </w:tcPr>
          <w:p w14:paraId="3706675D" w14:textId="77777777" w:rsidR="009D5435" w:rsidRPr="00BE433D" w:rsidRDefault="009D5435" w:rsidP="00D22F13">
            <w:pPr>
              <w:kinsoku w:val="0"/>
              <w:overflowPunct w:val="0"/>
              <w:autoSpaceDE w:val="0"/>
              <w:autoSpaceDN w:val="0"/>
              <w:adjustRightInd w:val="0"/>
              <w:snapToGrid w:val="0"/>
              <w:spacing w:before="40" w:after="40" w:line="220" w:lineRule="exact"/>
              <w:jc w:val="right"/>
              <w:rPr>
                <w:sz w:val="18"/>
              </w:rPr>
            </w:pPr>
            <w:r w:rsidRPr="00BE433D">
              <w:rPr>
                <w:sz w:val="18"/>
              </w:rPr>
              <w:t>192,2</w:t>
            </w:r>
          </w:p>
        </w:tc>
        <w:tc>
          <w:tcPr>
            <w:tcW w:w="804" w:type="dxa"/>
            <w:shd w:val="clear" w:color="auto" w:fill="auto"/>
            <w:tcMar>
              <w:left w:w="28" w:type="dxa"/>
              <w:right w:w="28" w:type="dxa"/>
            </w:tcMar>
            <w:vAlign w:val="bottom"/>
          </w:tcPr>
          <w:p w14:paraId="0BB81ADA" w14:textId="77777777" w:rsidR="009D5435" w:rsidRPr="00BE433D" w:rsidRDefault="009D5435" w:rsidP="00D22F13">
            <w:pPr>
              <w:kinsoku w:val="0"/>
              <w:overflowPunct w:val="0"/>
              <w:autoSpaceDE w:val="0"/>
              <w:autoSpaceDN w:val="0"/>
              <w:adjustRightInd w:val="0"/>
              <w:snapToGrid w:val="0"/>
              <w:spacing w:before="40" w:after="40" w:line="220" w:lineRule="exact"/>
              <w:jc w:val="right"/>
              <w:rPr>
                <w:sz w:val="18"/>
              </w:rPr>
            </w:pPr>
            <w:r w:rsidRPr="00BE433D">
              <w:rPr>
                <w:sz w:val="18"/>
              </w:rPr>
              <w:t>183,7</w:t>
            </w:r>
          </w:p>
        </w:tc>
        <w:tc>
          <w:tcPr>
            <w:tcW w:w="804" w:type="dxa"/>
            <w:shd w:val="clear" w:color="auto" w:fill="auto"/>
            <w:tcMar>
              <w:left w:w="28" w:type="dxa"/>
              <w:right w:w="28" w:type="dxa"/>
            </w:tcMar>
            <w:vAlign w:val="bottom"/>
          </w:tcPr>
          <w:p w14:paraId="30EADC49" w14:textId="77777777" w:rsidR="009D5435" w:rsidRPr="00BE433D" w:rsidRDefault="009D5435" w:rsidP="00D22F13">
            <w:pPr>
              <w:kinsoku w:val="0"/>
              <w:overflowPunct w:val="0"/>
              <w:autoSpaceDE w:val="0"/>
              <w:autoSpaceDN w:val="0"/>
              <w:adjustRightInd w:val="0"/>
              <w:snapToGrid w:val="0"/>
              <w:spacing w:before="40" w:after="40" w:line="220" w:lineRule="exact"/>
              <w:jc w:val="right"/>
              <w:rPr>
                <w:sz w:val="18"/>
              </w:rPr>
            </w:pPr>
            <w:r w:rsidRPr="00BE433D">
              <w:rPr>
                <w:sz w:val="18"/>
              </w:rPr>
              <w:t>174,0</w:t>
            </w:r>
          </w:p>
        </w:tc>
        <w:tc>
          <w:tcPr>
            <w:tcW w:w="804" w:type="dxa"/>
            <w:shd w:val="clear" w:color="auto" w:fill="auto"/>
            <w:tcMar>
              <w:left w:w="28" w:type="dxa"/>
              <w:right w:w="28" w:type="dxa"/>
            </w:tcMar>
            <w:vAlign w:val="bottom"/>
          </w:tcPr>
          <w:p w14:paraId="3D11B41C" w14:textId="77777777" w:rsidR="009D5435" w:rsidRPr="00BE433D" w:rsidRDefault="009D5435" w:rsidP="00D22F13">
            <w:pPr>
              <w:kinsoku w:val="0"/>
              <w:overflowPunct w:val="0"/>
              <w:autoSpaceDE w:val="0"/>
              <w:autoSpaceDN w:val="0"/>
              <w:adjustRightInd w:val="0"/>
              <w:snapToGrid w:val="0"/>
              <w:spacing w:before="40" w:after="40" w:line="220" w:lineRule="exact"/>
              <w:jc w:val="right"/>
              <w:rPr>
                <w:sz w:val="18"/>
              </w:rPr>
            </w:pPr>
            <w:r w:rsidRPr="00BE433D">
              <w:rPr>
                <w:sz w:val="18"/>
              </w:rPr>
              <w:t>156,3</w:t>
            </w:r>
          </w:p>
        </w:tc>
        <w:tc>
          <w:tcPr>
            <w:tcW w:w="804" w:type="dxa"/>
            <w:shd w:val="clear" w:color="auto" w:fill="auto"/>
            <w:tcMar>
              <w:left w:w="28" w:type="dxa"/>
              <w:right w:w="28" w:type="dxa"/>
            </w:tcMar>
            <w:vAlign w:val="bottom"/>
          </w:tcPr>
          <w:p w14:paraId="6B377CF9" w14:textId="77777777" w:rsidR="009D5435" w:rsidRPr="00BE433D" w:rsidRDefault="009D5435" w:rsidP="00D22F13">
            <w:pPr>
              <w:kinsoku w:val="0"/>
              <w:overflowPunct w:val="0"/>
              <w:autoSpaceDE w:val="0"/>
              <w:autoSpaceDN w:val="0"/>
              <w:adjustRightInd w:val="0"/>
              <w:snapToGrid w:val="0"/>
              <w:spacing w:before="40" w:after="40" w:line="220" w:lineRule="exact"/>
              <w:jc w:val="right"/>
              <w:rPr>
                <w:sz w:val="18"/>
              </w:rPr>
            </w:pPr>
            <w:r w:rsidRPr="00BE433D">
              <w:rPr>
                <w:sz w:val="18"/>
              </w:rPr>
              <w:t>140,9</w:t>
            </w:r>
          </w:p>
        </w:tc>
      </w:tr>
      <w:tr w:rsidR="009D5435" w:rsidRPr="00BE433D" w14:paraId="1CDC1D95" w14:textId="77777777" w:rsidTr="006C46B1">
        <w:tc>
          <w:tcPr>
            <w:tcW w:w="1134" w:type="dxa"/>
            <w:tcBorders>
              <w:bottom w:val="single" w:sz="12" w:space="0" w:color="auto"/>
            </w:tcBorders>
            <w:shd w:val="clear" w:color="auto" w:fill="auto"/>
            <w:tcMar>
              <w:left w:w="28" w:type="dxa"/>
              <w:right w:w="28" w:type="dxa"/>
            </w:tcMar>
          </w:tcPr>
          <w:p w14:paraId="18E04564" w14:textId="77777777" w:rsidR="009D5435" w:rsidRPr="00BE433D" w:rsidRDefault="009D5435" w:rsidP="00D22F13">
            <w:pPr>
              <w:kinsoku w:val="0"/>
              <w:overflowPunct w:val="0"/>
              <w:autoSpaceDE w:val="0"/>
              <w:autoSpaceDN w:val="0"/>
              <w:adjustRightInd w:val="0"/>
              <w:snapToGrid w:val="0"/>
              <w:spacing w:before="40" w:after="40" w:line="220" w:lineRule="exact"/>
              <w:rPr>
                <w:sz w:val="18"/>
              </w:rPr>
            </w:pPr>
            <w:r w:rsidRPr="00BE433D">
              <w:rPr>
                <w:sz w:val="18"/>
              </w:rPr>
              <w:t>Уровень безработицы, в %</w:t>
            </w:r>
          </w:p>
        </w:tc>
        <w:tc>
          <w:tcPr>
            <w:tcW w:w="709" w:type="dxa"/>
            <w:tcBorders>
              <w:bottom w:val="single" w:sz="12" w:space="0" w:color="auto"/>
            </w:tcBorders>
            <w:shd w:val="clear" w:color="auto" w:fill="auto"/>
            <w:tcMar>
              <w:left w:w="28" w:type="dxa"/>
              <w:right w:w="28" w:type="dxa"/>
            </w:tcMar>
            <w:vAlign w:val="bottom"/>
          </w:tcPr>
          <w:p w14:paraId="6ED2D69B" w14:textId="77777777" w:rsidR="009D5435" w:rsidRPr="00BE433D" w:rsidRDefault="009D5435" w:rsidP="00D22F13">
            <w:pPr>
              <w:kinsoku w:val="0"/>
              <w:overflowPunct w:val="0"/>
              <w:autoSpaceDE w:val="0"/>
              <w:autoSpaceDN w:val="0"/>
              <w:adjustRightInd w:val="0"/>
              <w:snapToGrid w:val="0"/>
              <w:spacing w:before="40" w:after="40" w:line="220" w:lineRule="exact"/>
              <w:jc w:val="right"/>
              <w:rPr>
                <w:sz w:val="18"/>
              </w:rPr>
            </w:pPr>
            <w:r w:rsidRPr="00BE433D">
              <w:rPr>
                <w:sz w:val="18"/>
              </w:rPr>
              <w:t>8,4</w:t>
            </w:r>
          </w:p>
        </w:tc>
        <w:tc>
          <w:tcPr>
            <w:tcW w:w="703" w:type="dxa"/>
            <w:tcBorders>
              <w:bottom w:val="single" w:sz="12" w:space="0" w:color="auto"/>
            </w:tcBorders>
            <w:shd w:val="clear" w:color="auto" w:fill="auto"/>
            <w:tcMar>
              <w:left w:w="28" w:type="dxa"/>
              <w:right w:w="28" w:type="dxa"/>
            </w:tcMar>
            <w:vAlign w:val="bottom"/>
          </w:tcPr>
          <w:p w14:paraId="297FEAE0" w14:textId="77777777" w:rsidR="009D5435" w:rsidRPr="00BE433D" w:rsidRDefault="009D5435" w:rsidP="00D22F13">
            <w:pPr>
              <w:kinsoku w:val="0"/>
              <w:overflowPunct w:val="0"/>
              <w:autoSpaceDE w:val="0"/>
              <w:autoSpaceDN w:val="0"/>
              <w:adjustRightInd w:val="0"/>
              <w:snapToGrid w:val="0"/>
              <w:spacing w:before="40" w:after="40" w:line="220" w:lineRule="exact"/>
              <w:jc w:val="right"/>
              <w:rPr>
                <w:sz w:val="18"/>
              </w:rPr>
            </w:pPr>
            <w:r w:rsidRPr="00BE433D">
              <w:rPr>
                <w:sz w:val="18"/>
              </w:rPr>
              <w:t>8,3</w:t>
            </w:r>
          </w:p>
        </w:tc>
        <w:tc>
          <w:tcPr>
            <w:tcW w:w="804" w:type="dxa"/>
            <w:tcBorders>
              <w:bottom w:val="single" w:sz="12" w:space="0" w:color="auto"/>
            </w:tcBorders>
            <w:shd w:val="clear" w:color="auto" w:fill="auto"/>
            <w:tcMar>
              <w:left w:w="28" w:type="dxa"/>
              <w:right w:w="28" w:type="dxa"/>
            </w:tcMar>
            <w:vAlign w:val="bottom"/>
          </w:tcPr>
          <w:p w14:paraId="2B6262E0" w14:textId="77777777" w:rsidR="009D5435" w:rsidRPr="00BE433D" w:rsidRDefault="009D5435" w:rsidP="00D22F13">
            <w:pPr>
              <w:kinsoku w:val="0"/>
              <w:overflowPunct w:val="0"/>
              <w:autoSpaceDE w:val="0"/>
              <w:autoSpaceDN w:val="0"/>
              <w:adjustRightInd w:val="0"/>
              <w:snapToGrid w:val="0"/>
              <w:spacing w:before="40" w:after="40" w:line="220" w:lineRule="exact"/>
              <w:jc w:val="right"/>
              <w:rPr>
                <w:sz w:val="18"/>
              </w:rPr>
            </w:pPr>
            <w:r w:rsidRPr="00BE433D">
              <w:rPr>
                <w:sz w:val="18"/>
              </w:rPr>
              <w:t>8,0</w:t>
            </w:r>
          </w:p>
        </w:tc>
        <w:tc>
          <w:tcPr>
            <w:tcW w:w="804" w:type="dxa"/>
            <w:tcBorders>
              <w:bottom w:val="single" w:sz="12" w:space="0" w:color="auto"/>
            </w:tcBorders>
            <w:shd w:val="clear" w:color="auto" w:fill="auto"/>
            <w:tcMar>
              <w:left w:w="28" w:type="dxa"/>
              <w:right w:w="28" w:type="dxa"/>
            </w:tcMar>
            <w:vAlign w:val="bottom"/>
          </w:tcPr>
          <w:p w14:paraId="7877FA7F" w14:textId="77777777" w:rsidR="009D5435" w:rsidRPr="00BE433D" w:rsidRDefault="009D5435" w:rsidP="00D22F13">
            <w:pPr>
              <w:kinsoku w:val="0"/>
              <w:overflowPunct w:val="0"/>
              <w:autoSpaceDE w:val="0"/>
              <w:autoSpaceDN w:val="0"/>
              <w:adjustRightInd w:val="0"/>
              <w:snapToGrid w:val="0"/>
              <w:spacing w:before="40" w:after="40" w:line="220" w:lineRule="exact"/>
              <w:jc w:val="right"/>
              <w:rPr>
                <w:sz w:val="18"/>
              </w:rPr>
            </w:pPr>
            <w:r w:rsidRPr="00BE433D">
              <w:rPr>
                <w:sz w:val="18"/>
              </w:rPr>
              <w:t>7,6</w:t>
            </w:r>
          </w:p>
        </w:tc>
        <w:tc>
          <w:tcPr>
            <w:tcW w:w="804" w:type="dxa"/>
            <w:tcBorders>
              <w:bottom w:val="single" w:sz="12" w:space="0" w:color="auto"/>
            </w:tcBorders>
            <w:shd w:val="clear" w:color="auto" w:fill="auto"/>
            <w:tcMar>
              <w:left w:w="28" w:type="dxa"/>
              <w:right w:w="28" w:type="dxa"/>
            </w:tcMar>
            <w:vAlign w:val="bottom"/>
          </w:tcPr>
          <w:p w14:paraId="2DD1D326" w14:textId="77777777" w:rsidR="009D5435" w:rsidRPr="00BE433D" w:rsidRDefault="009D5435" w:rsidP="00D22F13">
            <w:pPr>
              <w:kinsoku w:val="0"/>
              <w:overflowPunct w:val="0"/>
              <w:autoSpaceDE w:val="0"/>
              <w:autoSpaceDN w:val="0"/>
              <w:adjustRightInd w:val="0"/>
              <w:snapToGrid w:val="0"/>
              <w:spacing w:before="40" w:after="40" w:line="220" w:lineRule="exact"/>
              <w:jc w:val="right"/>
              <w:rPr>
                <w:sz w:val="18"/>
              </w:rPr>
            </w:pPr>
            <w:r w:rsidRPr="00BE433D">
              <w:rPr>
                <w:sz w:val="18"/>
              </w:rPr>
              <w:t>7,2</w:t>
            </w:r>
          </w:p>
        </w:tc>
        <w:tc>
          <w:tcPr>
            <w:tcW w:w="804" w:type="dxa"/>
            <w:tcBorders>
              <w:bottom w:val="single" w:sz="12" w:space="0" w:color="auto"/>
            </w:tcBorders>
            <w:shd w:val="clear" w:color="auto" w:fill="auto"/>
            <w:tcMar>
              <w:left w:w="28" w:type="dxa"/>
              <w:right w:w="28" w:type="dxa"/>
            </w:tcMar>
            <w:vAlign w:val="bottom"/>
          </w:tcPr>
          <w:p w14:paraId="659E19C4" w14:textId="77777777" w:rsidR="009D5435" w:rsidRPr="00BE433D" w:rsidRDefault="009D5435" w:rsidP="00D22F13">
            <w:pPr>
              <w:kinsoku w:val="0"/>
              <w:overflowPunct w:val="0"/>
              <w:autoSpaceDE w:val="0"/>
              <w:autoSpaceDN w:val="0"/>
              <w:adjustRightInd w:val="0"/>
              <w:snapToGrid w:val="0"/>
              <w:spacing w:before="40" w:after="40" w:line="220" w:lineRule="exact"/>
              <w:jc w:val="right"/>
              <w:rPr>
                <w:sz w:val="18"/>
              </w:rPr>
            </w:pPr>
            <w:r w:rsidRPr="00BE433D">
              <w:rPr>
                <w:sz w:val="18"/>
              </w:rPr>
              <w:t>6,9</w:t>
            </w:r>
          </w:p>
        </w:tc>
        <w:tc>
          <w:tcPr>
            <w:tcW w:w="804" w:type="dxa"/>
            <w:tcBorders>
              <w:bottom w:val="single" w:sz="12" w:space="0" w:color="auto"/>
            </w:tcBorders>
            <w:shd w:val="clear" w:color="auto" w:fill="auto"/>
            <w:tcMar>
              <w:left w:w="28" w:type="dxa"/>
              <w:right w:w="28" w:type="dxa"/>
            </w:tcMar>
            <w:vAlign w:val="bottom"/>
          </w:tcPr>
          <w:p w14:paraId="7D4F608C" w14:textId="77777777" w:rsidR="009D5435" w:rsidRPr="00BE433D" w:rsidRDefault="009D5435" w:rsidP="00D22F13">
            <w:pPr>
              <w:kinsoku w:val="0"/>
              <w:overflowPunct w:val="0"/>
              <w:autoSpaceDE w:val="0"/>
              <w:autoSpaceDN w:val="0"/>
              <w:adjustRightInd w:val="0"/>
              <w:snapToGrid w:val="0"/>
              <w:spacing w:before="40" w:after="40" w:line="220" w:lineRule="exact"/>
              <w:jc w:val="right"/>
              <w:rPr>
                <w:sz w:val="18"/>
              </w:rPr>
            </w:pPr>
            <w:r w:rsidRPr="00BE433D">
              <w:rPr>
                <w:sz w:val="18"/>
              </w:rPr>
              <w:t>6,2</w:t>
            </w:r>
          </w:p>
        </w:tc>
        <w:tc>
          <w:tcPr>
            <w:tcW w:w="804" w:type="dxa"/>
            <w:tcBorders>
              <w:bottom w:val="single" w:sz="12" w:space="0" w:color="auto"/>
            </w:tcBorders>
            <w:shd w:val="clear" w:color="auto" w:fill="auto"/>
            <w:tcMar>
              <w:left w:w="28" w:type="dxa"/>
              <w:right w:w="28" w:type="dxa"/>
            </w:tcMar>
            <w:vAlign w:val="bottom"/>
          </w:tcPr>
          <w:p w14:paraId="6937CDB9" w14:textId="77777777" w:rsidR="009D5435" w:rsidRPr="00BE433D" w:rsidRDefault="009D5435" w:rsidP="00D22F13">
            <w:pPr>
              <w:kinsoku w:val="0"/>
              <w:overflowPunct w:val="0"/>
              <w:autoSpaceDE w:val="0"/>
              <w:autoSpaceDN w:val="0"/>
              <w:adjustRightInd w:val="0"/>
              <w:snapToGrid w:val="0"/>
              <w:spacing w:before="40" w:after="40" w:line="220" w:lineRule="exact"/>
              <w:jc w:val="right"/>
              <w:rPr>
                <w:sz w:val="18"/>
              </w:rPr>
            </w:pPr>
            <w:r w:rsidRPr="00BE433D">
              <w:rPr>
                <w:sz w:val="18"/>
              </w:rPr>
              <w:t>5,5</w:t>
            </w:r>
          </w:p>
        </w:tc>
      </w:tr>
    </w:tbl>
    <w:p w14:paraId="43679BC5" w14:textId="77777777" w:rsidR="009D5435" w:rsidRPr="00BE433D" w:rsidRDefault="009D5435" w:rsidP="009D5435">
      <w:pPr>
        <w:pStyle w:val="SingleTxtG"/>
        <w:spacing w:before="120"/>
      </w:pPr>
      <w:r w:rsidRPr="00BE433D">
        <w:t>76.</w:t>
      </w:r>
      <w:r w:rsidRPr="00BE433D">
        <w:tab/>
        <w:t>Государственная политика в области содействия занятости реализовывалась в соответствии с Законом «О содействии занятости населения», в рамках действующих программных документов, предусматривающих мероприятия активной политики занятости населения и дополнительные мероприятия, направленные на снижение напряженности на рынке.</w:t>
      </w:r>
    </w:p>
    <w:p w14:paraId="78CFA8B5" w14:textId="77777777" w:rsidR="009D5435" w:rsidRPr="00BE433D" w:rsidRDefault="009D5435" w:rsidP="009D5435">
      <w:pPr>
        <w:pStyle w:val="SingleTxtG"/>
        <w:tabs>
          <w:tab w:val="clear" w:pos="2268"/>
        </w:tabs>
      </w:pPr>
      <w:r w:rsidRPr="00BE433D">
        <w:t>77.</w:t>
      </w:r>
      <w:r w:rsidRPr="00BE433D">
        <w:tab/>
        <w:t xml:space="preserve">За период 2012–2019 годов трудоустроено службами занятости свыше </w:t>
      </w:r>
      <w:r w:rsidRPr="00BE433D">
        <w:br/>
        <w:t>300,0 тыс. человек.</w:t>
      </w:r>
    </w:p>
    <w:p w14:paraId="51882748" w14:textId="77777777" w:rsidR="009D5435" w:rsidRPr="00BE433D" w:rsidRDefault="009D5435" w:rsidP="009D5435">
      <w:pPr>
        <w:pStyle w:val="SingleTxtG"/>
        <w:tabs>
          <w:tab w:val="clear" w:pos="2268"/>
        </w:tabs>
      </w:pPr>
      <w:r w:rsidRPr="00BE433D">
        <w:t>78.</w:t>
      </w:r>
      <w:r w:rsidRPr="00BE433D">
        <w:tab/>
        <w:t>При дефиците рабочих кадров приоритетным направлением в работе с населением является обучение безработных граждан по специальностям, востребованным на рынке труда.</w:t>
      </w:r>
    </w:p>
    <w:p w14:paraId="6F57D4FD" w14:textId="77777777" w:rsidR="009D5435" w:rsidRPr="00BE433D" w:rsidRDefault="009D5435" w:rsidP="009D5435">
      <w:pPr>
        <w:pStyle w:val="SingleTxtG"/>
        <w:tabs>
          <w:tab w:val="clear" w:pos="2268"/>
        </w:tabs>
      </w:pPr>
      <w:r w:rsidRPr="00BE433D">
        <w:t>79.</w:t>
      </w:r>
      <w:r w:rsidRPr="00BE433D">
        <w:tab/>
        <w:t xml:space="preserve">В 2012–2019 годы на профессиональное обучение направлено </w:t>
      </w:r>
      <w:r w:rsidRPr="00BE433D">
        <w:br/>
        <w:t>60,3 тыс. безработных граждан.</w:t>
      </w:r>
    </w:p>
    <w:p w14:paraId="1792D3F7" w14:textId="77777777" w:rsidR="009D5435" w:rsidRPr="00BE433D" w:rsidRDefault="009D5435" w:rsidP="009D5435">
      <w:pPr>
        <w:pStyle w:val="SingleTxtG"/>
        <w:tabs>
          <w:tab w:val="clear" w:pos="2268"/>
        </w:tabs>
      </w:pPr>
      <w:r w:rsidRPr="00BE433D">
        <w:t>80.</w:t>
      </w:r>
      <w:r w:rsidRPr="00BE433D">
        <w:tab/>
        <w:t>Одной из мер активной политики содействия занятости населения являются оплачиваемые общественные работы. Для обеспечения временной занятости безработных, находящихся в длительном поиске работы, службами занятости, в порядке временного трудоустройства, на оплачиваемые общественные работы в период 2012–2019 годов направлено 167,4 тыс. человек. Оплачиваемые общественные работы организуются в основном для улучшения социальной инфраструктуры регионов.</w:t>
      </w:r>
    </w:p>
    <w:p w14:paraId="76DA6D7D" w14:textId="77777777" w:rsidR="009D5435" w:rsidRPr="00BE433D" w:rsidRDefault="009D5435" w:rsidP="009D5435">
      <w:pPr>
        <w:pStyle w:val="SingleTxtG"/>
        <w:tabs>
          <w:tab w:val="clear" w:pos="2268"/>
        </w:tabs>
      </w:pPr>
      <w:r w:rsidRPr="00BE433D">
        <w:t>81.</w:t>
      </w:r>
      <w:r w:rsidRPr="00BE433D">
        <w:tab/>
        <w:t xml:space="preserve">В 2015 году принят Закон «О содействии занятости населения», который определяет 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на труд и социальную защиту от безработицы. </w:t>
      </w:r>
    </w:p>
    <w:p w14:paraId="34A74E8B" w14:textId="77777777" w:rsidR="009D5435" w:rsidRPr="00BE433D" w:rsidRDefault="009D5435" w:rsidP="009D5435">
      <w:pPr>
        <w:pStyle w:val="SingleTxtG"/>
        <w:tabs>
          <w:tab w:val="clear" w:pos="2268"/>
        </w:tabs>
      </w:pPr>
      <w:r w:rsidRPr="00BE433D">
        <w:t>82.</w:t>
      </w:r>
      <w:r w:rsidRPr="00BE433D">
        <w:tab/>
        <w:t>В 2016 году постановлением правительства утверждены Положение о профессиональной подготовке, переподготовке и повышении квалификации безработных, Положение об организации оплачиваемых общественных работ, Положение о порядке, условиях и сроках выплаты пособий по безработице.</w:t>
      </w:r>
    </w:p>
    <w:p w14:paraId="117D0756" w14:textId="77777777" w:rsidR="009D5435" w:rsidRPr="00BE433D" w:rsidRDefault="009D5435" w:rsidP="009D5435">
      <w:pPr>
        <w:pStyle w:val="SingleTxtG"/>
        <w:tabs>
          <w:tab w:val="clear" w:pos="2268"/>
        </w:tabs>
      </w:pPr>
      <w:r w:rsidRPr="00BE433D">
        <w:t>83.</w:t>
      </w:r>
      <w:r w:rsidRPr="00BE433D">
        <w:tab/>
        <w:t>В 2019 году внесены изменения в постановление правительства о мерах по реализации Закона «О содействии занятости населения» (2016 год), в части порядка организации оплачиваемых общественных работ, а также условий и сроков выплаты пособий по безработице.</w:t>
      </w:r>
    </w:p>
    <w:p w14:paraId="048F23BF" w14:textId="77777777" w:rsidR="009D5435" w:rsidRPr="00BE433D" w:rsidRDefault="009D5435" w:rsidP="009D5435">
      <w:pPr>
        <w:pStyle w:val="SingleTxtG"/>
        <w:tabs>
          <w:tab w:val="clear" w:pos="2268"/>
        </w:tabs>
      </w:pPr>
      <w:r w:rsidRPr="00BE433D">
        <w:t>84.</w:t>
      </w:r>
      <w:r w:rsidRPr="00BE433D">
        <w:tab/>
        <w:t xml:space="preserve">Кроме того, содействие в трудоустройстве осуществляется путем проведения активных мер на рынке труда. </w:t>
      </w:r>
    </w:p>
    <w:p w14:paraId="025AFE07" w14:textId="77777777" w:rsidR="009D5435" w:rsidRPr="00BE433D" w:rsidRDefault="009D5435" w:rsidP="009D5435">
      <w:pPr>
        <w:pStyle w:val="SingleTxtG"/>
        <w:tabs>
          <w:tab w:val="clear" w:pos="2268"/>
        </w:tabs>
      </w:pPr>
      <w:r w:rsidRPr="00BE433D">
        <w:t>85.</w:t>
      </w:r>
      <w:r w:rsidRPr="00BE433D">
        <w:tab/>
        <w:t>В 2019 году в порядке временного трудоустройства получили направление на оплачиваемые общественные работы 17 872 безработных гражданина.</w:t>
      </w:r>
    </w:p>
    <w:p w14:paraId="77D00963" w14:textId="77777777" w:rsidR="009D5435" w:rsidRPr="00BE433D" w:rsidRDefault="009D5435" w:rsidP="009D5435">
      <w:pPr>
        <w:pStyle w:val="SingleTxtG"/>
        <w:tabs>
          <w:tab w:val="clear" w:pos="2268"/>
        </w:tabs>
      </w:pPr>
      <w:r w:rsidRPr="00BE433D">
        <w:t>86.</w:t>
      </w:r>
      <w:r w:rsidRPr="00BE433D">
        <w:tab/>
        <w:t>В рамках цифровизации системы содействия занятости населения по всей республике внедряется программное обеспечение «Информационная система рынка труда» (ИСРТ). ИСРТ — это специальная открытая система в сфере трудоустройства, которая обеспечит безработных и работодателей информацией о существующих тенденциях на рынке труда, востребованных профессиях и существующих вакансиях.</w:t>
      </w:r>
    </w:p>
    <w:p w14:paraId="030519AD" w14:textId="77777777" w:rsidR="009D5435" w:rsidRPr="00BE433D" w:rsidRDefault="009D5435" w:rsidP="009D5435">
      <w:pPr>
        <w:pStyle w:val="SingleTxtG"/>
        <w:tabs>
          <w:tab w:val="clear" w:pos="2268"/>
        </w:tabs>
      </w:pPr>
      <w:r w:rsidRPr="00BE433D">
        <w:t>87.</w:t>
      </w:r>
      <w:r w:rsidRPr="00BE433D">
        <w:tab/>
        <w:t>Кроме того, запущен в основном режиме интерактивный портал «Занятость» (</w:t>
      </w:r>
      <w:hyperlink r:id="rId8" w:history="1">
        <w:r w:rsidRPr="00BE433D">
          <w:rPr>
            <w:rStyle w:val="a7"/>
          </w:rPr>
          <w:t>www.zanyatost.kg</w:t>
        </w:r>
      </w:hyperlink>
      <w:r w:rsidRPr="00BE433D">
        <w:t>), где публикуется информация о вакансиях по республике, государственных услугах в сфере содействия занятости, мероприятия, а также новости.</w:t>
      </w:r>
    </w:p>
    <w:p w14:paraId="75B6ABE1" w14:textId="77777777" w:rsidR="009D5435" w:rsidRPr="00BE433D" w:rsidRDefault="009D5435" w:rsidP="009D5435">
      <w:pPr>
        <w:pStyle w:val="SingleTxtG"/>
        <w:tabs>
          <w:tab w:val="clear" w:pos="2268"/>
        </w:tabs>
      </w:pPr>
      <w:r w:rsidRPr="00BE433D">
        <w:t>88.</w:t>
      </w:r>
      <w:r w:rsidRPr="00BE433D">
        <w:tab/>
        <w:t>Также с 1 июля 2019 года постановлением правительства установлен базовый размер пособия по безработице в размере 300 сомов.</w:t>
      </w:r>
    </w:p>
    <w:p w14:paraId="7BECD31E" w14:textId="77777777" w:rsidR="009D5435" w:rsidRPr="00BE433D" w:rsidRDefault="009D5435" w:rsidP="009D5435">
      <w:pPr>
        <w:pStyle w:val="SingleTxtG"/>
        <w:tabs>
          <w:tab w:val="clear" w:pos="2268"/>
        </w:tabs>
      </w:pPr>
      <w:r w:rsidRPr="00BE433D">
        <w:t>89.</w:t>
      </w:r>
      <w:r w:rsidRPr="00BE433D">
        <w:tab/>
        <w:t>Уровень участия в составе рабочей силы трудоспособного населения постепенно снижался — с 69,2 % в 2013 году до 66,9 % в 2019 году, сохраняя при этом ярко выраженный гендерный дисбаланс: уровень участия в составе рабочей силы мужчин в трудоспособном возрасте стабильно держится выше 80 %, тогда как аналогичный показатель для женщин не превышает 60 %.</w:t>
      </w:r>
    </w:p>
    <w:p w14:paraId="476C2AE5" w14:textId="77777777" w:rsidR="009D5435" w:rsidRPr="00BE433D" w:rsidRDefault="009D5435" w:rsidP="009D5435">
      <w:pPr>
        <w:pStyle w:val="SingleTxtG"/>
        <w:tabs>
          <w:tab w:val="clear" w:pos="2268"/>
        </w:tabs>
      </w:pPr>
      <w:r w:rsidRPr="00BE433D">
        <w:t>90.</w:t>
      </w:r>
      <w:r w:rsidRPr="00BE433D">
        <w:tab/>
        <w:t>Последние 10 лет в стране наблюдается тенденция к снижению уровня занятости населения в трудоспособном возрасте, причем это сокращение имеет заметный гендерный дисбаланс. Так, уровень занятости женщин трудоспособного возраста снизился с 50,4 в 2013 году до 48,1 % в 2019 году (у мужчин — рост с 76 % до 77,2 %). Основным источником гендерного разрыва в занятости является неоплачиваемая работа по уходу. Среди городского и сельского населения, напротив, дисбаланса в уровне занятости не наблюдается (чуть более 60 % как в городе, так и в сельской местности).</w:t>
      </w:r>
    </w:p>
    <w:p w14:paraId="1BB67CEB" w14:textId="77777777" w:rsidR="009D5435" w:rsidRPr="00BE433D" w:rsidRDefault="009D5435" w:rsidP="009D5435">
      <w:pPr>
        <w:pStyle w:val="H1G"/>
      </w:pPr>
      <w:r w:rsidRPr="00BE433D">
        <w:tab/>
      </w:r>
      <w:r w:rsidRPr="00BE433D">
        <w:tab/>
        <w:t>Статья 10</w:t>
      </w:r>
      <w:r w:rsidRPr="00BE433D">
        <w:br/>
        <w:t xml:space="preserve">Минимальная заработная плата </w:t>
      </w:r>
    </w:p>
    <w:p w14:paraId="42E30229" w14:textId="77777777" w:rsidR="009D5435" w:rsidRPr="00BE433D" w:rsidRDefault="009D5435" w:rsidP="009D5435">
      <w:pPr>
        <w:pStyle w:val="SingleTxtG"/>
        <w:tabs>
          <w:tab w:val="clear" w:pos="2268"/>
        </w:tabs>
      </w:pPr>
      <w:r w:rsidRPr="00BE433D">
        <w:t>91.</w:t>
      </w:r>
      <w:r w:rsidRPr="00BE433D">
        <w:tab/>
        <w:t xml:space="preserve">В соответствии с Законом «О минимальной заработной плате в Кыргызской Республике» размер минимальной заработной платы устанавливается законом о республиканском бюджете на соответствующий год, исходя из принципа поэтапного повышения его до величины прожиточного минимума трудоспособного человека. </w:t>
      </w:r>
    </w:p>
    <w:p w14:paraId="19D6C0FA" w14:textId="77777777" w:rsidR="009D5435" w:rsidRPr="00BE433D" w:rsidRDefault="009D5435" w:rsidP="009D5435">
      <w:pPr>
        <w:pStyle w:val="SingleTxtG"/>
        <w:tabs>
          <w:tab w:val="clear" w:pos="2268"/>
        </w:tabs>
      </w:pPr>
      <w:r w:rsidRPr="00BE433D">
        <w:t>92.</w:t>
      </w:r>
      <w:r w:rsidRPr="00BE433D">
        <w:tab/>
        <w:t xml:space="preserve">Согласно Закону «О республиканском бюджете на 2019 год и прогнозе на </w:t>
      </w:r>
      <w:r w:rsidRPr="00BE433D">
        <w:br/>
        <w:t xml:space="preserve">2020–2021 годы» размер минимальной заработной платы установлен: на 2019 год — </w:t>
      </w:r>
      <w:r w:rsidRPr="00BE433D">
        <w:br/>
        <w:t>1750,0 сомов, на 2020 год — 1854,0 сомов, на 2021 год — 1970,0 сомов.</w:t>
      </w:r>
    </w:p>
    <w:p w14:paraId="5EB607BE" w14:textId="77777777" w:rsidR="009D5435" w:rsidRPr="00BE433D" w:rsidRDefault="009D5435" w:rsidP="009D5435">
      <w:pPr>
        <w:pStyle w:val="SingleTxtG"/>
        <w:tabs>
          <w:tab w:val="clear" w:pos="2268"/>
        </w:tabs>
      </w:pPr>
      <w:r w:rsidRPr="00BE433D">
        <w:t>93.</w:t>
      </w:r>
      <w:r w:rsidRPr="00BE433D">
        <w:tab/>
        <w:t>В 2019 году среднемесячная номинальная заработная плата одного работника (без учета малых предприятий) составила 17 166 сомов и по сравнению с 2018 годом увеличилась на 5,9 %, а реальный ее рост, исчисленный с учетом индекса потребительских цен, составил 4,7 %. Среднемесячная номинальная заработная плата одного работника в регионах, без учета показателей г. Бишкек (22 269 сомов), составляет 14 607 сомов.</w:t>
      </w:r>
    </w:p>
    <w:p w14:paraId="0853E476" w14:textId="77777777" w:rsidR="009D5435" w:rsidRPr="00BE433D" w:rsidRDefault="009D5435" w:rsidP="009D5435">
      <w:pPr>
        <w:pStyle w:val="SingleTxtG"/>
        <w:tabs>
          <w:tab w:val="clear" w:pos="2268"/>
        </w:tabs>
      </w:pPr>
      <w:r w:rsidRPr="00BE433D">
        <w:t>94.</w:t>
      </w:r>
      <w:r w:rsidRPr="00BE433D">
        <w:tab/>
        <w:t>Следует отметить, что при установлении размера оплаты труда для работников бюджетной сферы, размер минимальной заработной платы не применяется. Например, для работников образования и здравоохранения оплата их труда исчисляется от размера базовой ставки, размер которого выше в два–три раза размера минимальной заработной платы.</w:t>
      </w:r>
    </w:p>
    <w:p w14:paraId="15702D94" w14:textId="77777777" w:rsidR="009D5435" w:rsidRPr="00BE433D" w:rsidRDefault="009D5435" w:rsidP="009D5435">
      <w:pPr>
        <w:pStyle w:val="H1G"/>
      </w:pPr>
      <w:r w:rsidRPr="00BE433D">
        <w:tab/>
      </w:r>
      <w:r w:rsidRPr="00BE433D">
        <w:tab/>
        <w:t>Статья 11</w:t>
      </w:r>
      <w:r w:rsidRPr="00BE433D">
        <w:br/>
        <w:t xml:space="preserve">Неформальный сектор экономики </w:t>
      </w:r>
    </w:p>
    <w:p w14:paraId="0B914EC6" w14:textId="77777777" w:rsidR="009D5435" w:rsidRPr="00BE433D" w:rsidRDefault="009D5435" w:rsidP="009D5435">
      <w:pPr>
        <w:pStyle w:val="SingleTxtG"/>
        <w:tabs>
          <w:tab w:val="clear" w:pos="2268"/>
        </w:tabs>
      </w:pPr>
      <w:r w:rsidRPr="00BE433D">
        <w:t>95.</w:t>
      </w:r>
      <w:r w:rsidRPr="00BE433D">
        <w:tab/>
        <w:t>Приказом Министерства экономики создана межведомственная рабочая группа по исследованию ненаблюдаемого сектора экономики и разработке Плана мероприятий правительства по его сокращению (2018 год), в которую на приоритетной основе вошли как представители государственного сектора, так и непосредственно бизнес-ассоциаций.</w:t>
      </w:r>
    </w:p>
    <w:p w14:paraId="6087CAC2" w14:textId="77777777" w:rsidR="009D5435" w:rsidRPr="00BE433D" w:rsidRDefault="009D5435" w:rsidP="009D5435">
      <w:pPr>
        <w:pStyle w:val="SingleTxtG"/>
        <w:tabs>
          <w:tab w:val="clear" w:pos="2268"/>
        </w:tabs>
      </w:pPr>
      <w:r w:rsidRPr="00BE433D">
        <w:t>96.</w:t>
      </w:r>
      <w:r w:rsidRPr="00BE433D">
        <w:tab/>
        <w:t>Министерством экономики при технической поддержке Европейского банка реконструкции и развития проведена работа по исследованию объема ненаблюдаемого сектора экономики страны. Исследование проведено международной компанией «</w:t>
      </w:r>
      <w:proofErr w:type="spellStart"/>
      <w:r w:rsidRPr="00BE433D">
        <w:t>PricewaterhauseCoopers</w:t>
      </w:r>
      <w:proofErr w:type="spellEnd"/>
      <w:r w:rsidRPr="00BE433D">
        <w:t xml:space="preserve"> LLP» («</w:t>
      </w:r>
      <w:proofErr w:type="spellStart"/>
      <w:r w:rsidRPr="00BE433D">
        <w:t>PwC</w:t>
      </w:r>
      <w:proofErr w:type="spellEnd"/>
      <w:r w:rsidRPr="00BE433D">
        <w:t>»), которой на площадке министерства совместно с командой международных экспертов проведен ряд встреч с представителями бизнес-сообществ и государственных органов, с целью выявления секторальных проблем, с которыми сталкивается бизнес при ведении предпринимательской деятельности.</w:t>
      </w:r>
    </w:p>
    <w:p w14:paraId="547A6398" w14:textId="77777777" w:rsidR="009D5435" w:rsidRPr="00BE433D" w:rsidRDefault="009D5435" w:rsidP="009D5435">
      <w:pPr>
        <w:pStyle w:val="SingleTxtG"/>
        <w:tabs>
          <w:tab w:val="clear" w:pos="2268"/>
        </w:tabs>
      </w:pPr>
      <w:r w:rsidRPr="00BE433D">
        <w:t>97.</w:t>
      </w:r>
      <w:r w:rsidRPr="00BE433D">
        <w:tab/>
        <w:t>По данным Национального статистического комитета, объем ненаблюдаемой (скрытой и неформальной) экономики, оцененный со стороны производства, в 2018 году составил 23,4 % ВВП и сложился в размере 133, 4 млрд сомов, в 2019 году 145,2 млрд сомов, или 23,5 % ВВП.</w:t>
      </w:r>
    </w:p>
    <w:p w14:paraId="764BA65E" w14:textId="77777777" w:rsidR="009D5435" w:rsidRPr="00BE433D" w:rsidRDefault="009D5435" w:rsidP="009D5435">
      <w:pPr>
        <w:pStyle w:val="SingleTxtG"/>
        <w:tabs>
          <w:tab w:val="clear" w:pos="2268"/>
        </w:tabs>
      </w:pPr>
      <w:r w:rsidRPr="00BE433D">
        <w:t>98.</w:t>
      </w:r>
      <w:r w:rsidRPr="00BE433D">
        <w:tab/>
        <w:t xml:space="preserve">Две трети (68 %) из числа действующих малых и средних предприятий осуществляли свою деятельность в г. Бишкек (2019 год). Численность занятых в малых и средних предприятиях в 2019 году составила 107,8 тыс. человек. Доля женщин в общей численности работников, занятых на малых предприятиях, составила 31,0 %. В 2019 году снижение доли женщин, занятых на малых предприятиях, по сравнению с 2015 годом отмечено в большинстве видов экономической деятельности (информации и связи, финансовом посредничестве и страховании, деятельности гостиниц и ресторанов и т. д.). </w:t>
      </w:r>
    </w:p>
    <w:p w14:paraId="4F3A506B" w14:textId="77777777" w:rsidR="009D5435" w:rsidRPr="00BE433D" w:rsidRDefault="009D5435" w:rsidP="009D5435">
      <w:pPr>
        <w:pStyle w:val="SingleTxtG"/>
        <w:tabs>
          <w:tab w:val="clear" w:pos="2268"/>
        </w:tabs>
      </w:pPr>
      <w:r w:rsidRPr="00BE433D">
        <w:t>99.</w:t>
      </w:r>
      <w:r w:rsidRPr="00BE433D">
        <w:tab/>
        <w:t>Следует отметить, что 5 июля 2019 года состоялась встреча участников Национальной конференции «Женское предпринимательство в Кыргызской Республике: “Новый импульс”», согласно принятой резолюции будет разработана национальная программа развития женского предпринимательства до 2030 года.</w:t>
      </w:r>
    </w:p>
    <w:p w14:paraId="0B2C04D9" w14:textId="77777777" w:rsidR="009D5435" w:rsidRPr="00BE433D" w:rsidRDefault="009D5435" w:rsidP="009D5435">
      <w:pPr>
        <w:pStyle w:val="H1G"/>
      </w:pPr>
      <w:r w:rsidRPr="00BE433D">
        <w:tab/>
      </w:r>
      <w:r w:rsidRPr="00BE433D">
        <w:tab/>
        <w:t>Статья 12</w:t>
      </w:r>
      <w:r w:rsidRPr="00BE433D">
        <w:br/>
        <w:t>Гигиена и безопасность труда</w:t>
      </w:r>
    </w:p>
    <w:p w14:paraId="32C2A27E" w14:textId="7DF93772" w:rsidR="009D5435" w:rsidRPr="00BE433D" w:rsidRDefault="009D5435" w:rsidP="009D5435">
      <w:pPr>
        <w:pStyle w:val="SingleTxtG"/>
        <w:tabs>
          <w:tab w:val="clear" w:pos="2268"/>
        </w:tabs>
      </w:pPr>
      <w:r w:rsidRPr="00BE433D">
        <w:t>100.</w:t>
      </w:r>
      <w:r w:rsidRPr="00BE433D">
        <w:tab/>
        <w:t>По республике функционирует 28 горнодобывающий предприятий. Согласно постановлению правительства «Об утверждении нормативных правовых актов Кыргызской Республики в области общественного здравоохранения» (2011 год), лица, занятые во вредных условиях труда, проходят предварительные и периодические медицинские осмотры. По итогам 2018 года подлежало профилактическому медицинскому осмотру 7451 чел</w:t>
      </w:r>
      <w:r w:rsidR="00E414D3">
        <w:t>овек</w:t>
      </w:r>
      <w:r w:rsidRPr="00BE433D">
        <w:t>, охвачено 7320 чел</w:t>
      </w:r>
      <w:r w:rsidR="00E414D3">
        <w:t>овек</w:t>
      </w:r>
      <w:r w:rsidRPr="00BE433D">
        <w:t>, что составляет 98,2 %.</w:t>
      </w:r>
    </w:p>
    <w:p w14:paraId="6FE0954F" w14:textId="77777777" w:rsidR="009D5435" w:rsidRPr="00BE433D" w:rsidRDefault="009D5435" w:rsidP="009D5435">
      <w:pPr>
        <w:pStyle w:val="SingleTxtG"/>
        <w:tabs>
          <w:tab w:val="clear" w:pos="2268"/>
        </w:tabs>
      </w:pPr>
      <w:r w:rsidRPr="00BE433D">
        <w:t>101.</w:t>
      </w:r>
      <w:r w:rsidRPr="00BE433D">
        <w:tab/>
        <w:t>За 2018 год и 9 месяцев 2019 года случаев профессиональных болезней не зарегистрировано.</w:t>
      </w:r>
    </w:p>
    <w:p w14:paraId="15CCFA3A" w14:textId="77777777" w:rsidR="009D5435" w:rsidRPr="00BE433D" w:rsidRDefault="009D5435" w:rsidP="009D5435">
      <w:pPr>
        <w:pStyle w:val="SingleTxtG"/>
        <w:tabs>
          <w:tab w:val="clear" w:pos="2268"/>
        </w:tabs>
      </w:pPr>
      <w:r w:rsidRPr="00BE433D">
        <w:t>102.</w:t>
      </w:r>
      <w:r w:rsidRPr="00BE433D">
        <w:tab/>
        <w:t xml:space="preserve">Ведется текущий контроль в части проживания и питания рабочих. Проводится лабораторный контроль за качеством питьевой воды и продуктов питания. Отобрано 110 проб питьевой воды и 560 проб продуктов питания на лабораторные исследования, отклонения не выявлены. </w:t>
      </w:r>
    </w:p>
    <w:p w14:paraId="73A846BA" w14:textId="77777777" w:rsidR="009D5435" w:rsidRPr="00BE433D" w:rsidRDefault="009D5435" w:rsidP="009D5435">
      <w:pPr>
        <w:pStyle w:val="SingleTxtG"/>
        <w:tabs>
          <w:tab w:val="clear" w:pos="2268"/>
        </w:tabs>
      </w:pPr>
      <w:r w:rsidRPr="00BE433D">
        <w:t>103.</w:t>
      </w:r>
      <w:r w:rsidRPr="00BE433D">
        <w:tab/>
        <w:t>В ст. 211 Трудового кодекса закреплено, что обязанности по созданию работникам здоровых и безопасных условий труда, выполнению требований охраны труда возлагаются на работодателя и осуществляются за счет средств работодателя.</w:t>
      </w:r>
    </w:p>
    <w:p w14:paraId="19AE4E99" w14:textId="77777777" w:rsidR="009D5435" w:rsidRPr="00BE433D" w:rsidRDefault="009D5435" w:rsidP="009D5435">
      <w:pPr>
        <w:pStyle w:val="SingleTxtG"/>
        <w:tabs>
          <w:tab w:val="clear" w:pos="2268"/>
        </w:tabs>
      </w:pPr>
      <w:r w:rsidRPr="00BE433D">
        <w:t>104.</w:t>
      </w:r>
      <w:r w:rsidRPr="00BE433D">
        <w:tab/>
        <w:t>Также, согласно ст. 223 вышеуказанного Кодекса, расследование и учет несчастных случаев на производстве и профессиональных заболеваний производятся в порядке, определяемом правительством. При отказе работодателя в расследовании, составлении акта о несчастном случае по форме Н-1 или о профессиональном заболевании либо при несогласии пострадавшего, родственников погибшего или их доверенного лица с содержанием акта они вправе обратиться соответственно в уполномоченные государственные органы в области надзора и контроля за соблюдением трудового законодательства, техническую инспекцию труда профсоюзов, органы государственной санитарно-эпидемиологической службы или в суд.</w:t>
      </w:r>
    </w:p>
    <w:p w14:paraId="4F0A1554" w14:textId="77777777" w:rsidR="009D5435" w:rsidRPr="00BE433D" w:rsidRDefault="009D5435" w:rsidP="009D5435">
      <w:pPr>
        <w:pStyle w:val="SingleTxtG"/>
        <w:tabs>
          <w:tab w:val="clear" w:pos="2268"/>
        </w:tabs>
      </w:pPr>
      <w:r w:rsidRPr="00BE433D">
        <w:t>105.</w:t>
      </w:r>
      <w:r w:rsidRPr="00BE433D">
        <w:tab/>
        <w:t>Вместе с этим в соответствии со ст. 225 Трудового кодекса работодатель несет ответственность за вред, причиненный работникам увечьем, профессиональным заболеванием либо иным повреждением здоровья, связанным с исполнением ими трудовых обязанностей и происшедшим как на территории работодателя, так и за ее пределами, а также во время следования работника к месту работы или с работы на транспорте, предоставленном работодателем.</w:t>
      </w:r>
    </w:p>
    <w:p w14:paraId="50E117DF" w14:textId="77777777" w:rsidR="009D5435" w:rsidRPr="00BE433D" w:rsidRDefault="009D5435" w:rsidP="009D5435">
      <w:pPr>
        <w:pStyle w:val="SingleTxtG"/>
        <w:tabs>
          <w:tab w:val="clear" w:pos="2268"/>
        </w:tabs>
      </w:pPr>
      <w:r w:rsidRPr="00BE433D">
        <w:t>106.</w:t>
      </w:r>
      <w:r w:rsidRPr="00BE433D">
        <w:tab/>
        <w:t>Статьей 231 Трудового кодекса предусмотрено, что возмещение вреда потерпевшему состоит в выплате возмещения утраченного заработка (или соответствующей его части), компенсации дополнительных расходов, выплате в установленных случаях единовременного пособия, возмещении морального вреда, возмещении расходов на погребение.</w:t>
      </w:r>
    </w:p>
    <w:p w14:paraId="665DB67A" w14:textId="77777777" w:rsidR="009D5435" w:rsidRPr="00BE433D" w:rsidRDefault="009D5435" w:rsidP="009D5435">
      <w:pPr>
        <w:pStyle w:val="SingleTxtG"/>
        <w:tabs>
          <w:tab w:val="clear" w:pos="2268"/>
        </w:tabs>
      </w:pPr>
      <w:r w:rsidRPr="00BE433D">
        <w:t>107.</w:t>
      </w:r>
      <w:r w:rsidRPr="00BE433D">
        <w:tab/>
        <w:t xml:space="preserve">Технической инспекцией труда Федерации профсоюзов Кыргызстана совместно с </w:t>
      </w:r>
      <w:proofErr w:type="spellStart"/>
      <w:r w:rsidRPr="00BE433D">
        <w:t>Госэкотехинспекцией</w:t>
      </w:r>
      <w:proofErr w:type="spellEnd"/>
      <w:r w:rsidRPr="00BE433D">
        <w:t xml:space="preserve"> за 2018 год обследовано 286 организаций. В результате выявлено 781 нарушение требований норм и правил охраны труда и техники безопасности. По выявленным нарушениям выдано 201 предписание, в соответствии с которыми получено 147 уведомлений об их выполнении в установленные сроки. </w:t>
      </w:r>
    </w:p>
    <w:p w14:paraId="342E58D0" w14:textId="77777777" w:rsidR="009D5435" w:rsidRPr="00BE433D" w:rsidRDefault="009D5435" w:rsidP="009D5435">
      <w:pPr>
        <w:pStyle w:val="SingleTxtG"/>
        <w:tabs>
          <w:tab w:val="clear" w:pos="2268"/>
        </w:tabs>
      </w:pPr>
      <w:r w:rsidRPr="00BE433D">
        <w:t>108.</w:t>
      </w:r>
      <w:r w:rsidRPr="00BE433D">
        <w:tab/>
        <w:t xml:space="preserve">Совместно с органами Государственного надзора технические инспектора труда приняли участие в 131 расследовании несчастных случаев на производстве, из них 43 несчастных случая со смертельным исходом, 75 — с тяжелым исходом. Всего от несчастных случаев на производстве пострадал 151 работник, в том числе 19 женщин и 3 работника моложе 18 лет. </w:t>
      </w:r>
    </w:p>
    <w:p w14:paraId="7111EC04" w14:textId="77777777" w:rsidR="009D5435" w:rsidRPr="00BE433D" w:rsidRDefault="009D5435" w:rsidP="009D5435">
      <w:pPr>
        <w:pStyle w:val="SingleTxtG"/>
        <w:tabs>
          <w:tab w:val="clear" w:pos="2268"/>
        </w:tabs>
      </w:pPr>
      <w:r w:rsidRPr="00BE433D">
        <w:t>109.</w:t>
      </w:r>
      <w:r w:rsidRPr="00BE433D">
        <w:tab/>
        <w:t xml:space="preserve">Инспекторами труда Федерации профсоюзов Кыргызстана рассмотрено в </w:t>
      </w:r>
      <w:r w:rsidRPr="00BE433D">
        <w:br/>
        <w:t xml:space="preserve">2018–2019 годах соответственно 508 и 773 обращений, заявлений и жалоб, связанных с нарушением прав работников в области охраны труда, на которые даны письменные разъяснения в соответствии с трудовым законодательством, в том числе на 39 обращений от предприятий. Произведены расчеты сумм возмещения вреда, единовременных пособий, утраченного заработка и их индексации на общую сумму в 2018 году — 68,57 млн сом, в 2019 году — 70,8 млн сомов. Приняли участие в 2018 году в 202 и в 2019 году в 234 судебных заседаниях различных инстанций, из них в 39 и 55 случаях судами разных инстанций приняты положительные результаты в пользу работников. </w:t>
      </w:r>
    </w:p>
    <w:p w14:paraId="57984818" w14:textId="77777777" w:rsidR="009D5435" w:rsidRPr="00BE433D" w:rsidRDefault="009D5435" w:rsidP="009D5435">
      <w:pPr>
        <w:pStyle w:val="SingleTxtG"/>
        <w:tabs>
          <w:tab w:val="clear" w:pos="2268"/>
        </w:tabs>
      </w:pPr>
      <w:r w:rsidRPr="00BE433D">
        <w:t>110.</w:t>
      </w:r>
      <w:r w:rsidRPr="00BE433D">
        <w:tab/>
        <w:t>На предприятиях горнодобывающей отрасли за 2018 год зарегистрирован 31 несчастный случай, из них со смертельным исходом — 12. За первое полугодие 2019 года зарегистрировано 9 случаев, из них со смертельным исходом — 3.</w:t>
      </w:r>
    </w:p>
    <w:p w14:paraId="08129744" w14:textId="25907460" w:rsidR="009D5435" w:rsidRPr="00BE433D" w:rsidRDefault="009D5435" w:rsidP="009D5435">
      <w:pPr>
        <w:pStyle w:val="SingleTxtG"/>
        <w:tabs>
          <w:tab w:val="clear" w:pos="2268"/>
        </w:tabs>
      </w:pPr>
      <w:r w:rsidRPr="00BE433D">
        <w:t>111.</w:t>
      </w:r>
      <w:r w:rsidRPr="00BE433D">
        <w:tab/>
        <w:t>В 2019 год техническими инспекторами труда профсоюзов обследовано 222 организации, в том числе совместно с государственными органами надзора —</w:t>
      </w:r>
      <w:r w:rsidR="009C42D8">
        <w:t xml:space="preserve"> </w:t>
      </w:r>
      <w:r w:rsidRPr="00BE433D">
        <w:t>64</w:t>
      </w:r>
      <w:r w:rsidR="009C42D8">
        <w:t> </w:t>
      </w:r>
      <w:r w:rsidRPr="00BE433D">
        <w:t>организации. В результате выявлено 856 нарушений требований норм и правил охраны труда и техники безопасности. Из-за явной угрозы жизни и здоровью работающих в 12 случаях приостанавливались работы оборудования, машин и механизмов, в том числе трех цехов и одного предприятия.</w:t>
      </w:r>
    </w:p>
    <w:p w14:paraId="4C41B750" w14:textId="77777777" w:rsidR="009D5435" w:rsidRPr="00BE433D" w:rsidRDefault="009D5435" w:rsidP="009D5435">
      <w:pPr>
        <w:pStyle w:val="SingleTxtG"/>
        <w:tabs>
          <w:tab w:val="clear" w:pos="2268"/>
        </w:tabs>
      </w:pPr>
      <w:r w:rsidRPr="00BE433D">
        <w:t>112.</w:t>
      </w:r>
      <w:r w:rsidRPr="00BE433D">
        <w:tab/>
        <w:t>Совместно с органами Государственного надзора технические инспектора труда в 2019 году приняли участие в 137 расследованиях несчастных случаев на производстве, из них 44 несчастных случая со смертельным исходом. Семь случаев смерти на производстве признаны не связанными с производством. Из общего числа несчастных случаев 13 случаев относятся к категории групповых, в которых пострадал 41 человек, 8 из которых погибли.</w:t>
      </w:r>
    </w:p>
    <w:p w14:paraId="102246F7" w14:textId="77777777" w:rsidR="009D5435" w:rsidRPr="00BE433D" w:rsidRDefault="009D5435" w:rsidP="009D5435">
      <w:pPr>
        <w:pStyle w:val="SingleTxtG"/>
        <w:tabs>
          <w:tab w:val="clear" w:pos="2268"/>
        </w:tabs>
      </w:pPr>
      <w:r w:rsidRPr="00BE433D">
        <w:t>113.</w:t>
      </w:r>
      <w:r w:rsidRPr="00BE433D">
        <w:tab/>
        <w:t>Всего от несчастных случаев на производстве пострадало 165 работников, в том числе 24 женщины.</w:t>
      </w:r>
    </w:p>
    <w:p w14:paraId="0E092F7A" w14:textId="77777777" w:rsidR="009D5435" w:rsidRPr="00BE433D" w:rsidRDefault="009D5435" w:rsidP="009D5435">
      <w:pPr>
        <w:pStyle w:val="H1G"/>
      </w:pPr>
      <w:r w:rsidRPr="00BE433D">
        <w:tab/>
      </w:r>
      <w:r w:rsidRPr="00BE433D">
        <w:tab/>
        <w:t>Статья 13</w:t>
      </w:r>
      <w:r w:rsidRPr="00BE433D">
        <w:br/>
        <w:t>Защита прав и интересов трудовых мигрантов, осуществляющих трудовую деятельность за рубежом</w:t>
      </w:r>
    </w:p>
    <w:p w14:paraId="116F0236" w14:textId="77777777" w:rsidR="009D5435" w:rsidRPr="00BE433D" w:rsidRDefault="009D5435" w:rsidP="009D5435">
      <w:pPr>
        <w:pStyle w:val="SingleTxtG"/>
        <w:tabs>
          <w:tab w:val="clear" w:pos="2268"/>
        </w:tabs>
      </w:pPr>
      <w:r w:rsidRPr="00BE433D">
        <w:t>114.</w:t>
      </w:r>
      <w:r w:rsidRPr="00BE433D">
        <w:tab/>
        <w:t xml:space="preserve">По итогам 2019 года порядка 850 тыс. граждан Кыргызстана находились в трудовой миграции в иностранных государствах, большая часть из которых осуществляли трудовую деятельность в России, Казахстане, Турции. </w:t>
      </w:r>
    </w:p>
    <w:p w14:paraId="6AB48F81" w14:textId="77777777" w:rsidR="009D5435" w:rsidRPr="00BE433D" w:rsidRDefault="009D5435" w:rsidP="009D5435">
      <w:pPr>
        <w:pStyle w:val="SingleTxtG"/>
        <w:tabs>
          <w:tab w:val="clear" w:pos="2268"/>
        </w:tabs>
      </w:pPr>
      <w:r w:rsidRPr="00BE433D">
        <w:t>115.</w:t>
      </w:r>
      <w:r w:rsidRPr="00BE433D">
        <w:tab/>
        <w:t xml:space="preserve">Так, по оценочным данным, в России находилось 750 тыс. граждан Кыргызстана, из которых 600 тыс. трудоспособных, в основном работающих в сферах торговли, услуг и строительства, в Казахстане — 50 тыс. граждан, в основном частные предприниматели, сезонные работники, занятые на сельхозработах и пастбищах по выпасу скота, работники по найму, а также небольшая часть врачей, учителей и специалистов разных категорий, в Турции — 30 тыс. граждан, работающих в сфере патронажных услуг, в точках общественного питания и клининговых сервисах. </w:t>
      </w:r>
    </w:p>
    <w:p w14:paraId="2BF2496A" w14:textId="77777777" w:rsidR="009D5435" w:rsidRPr="00BE433D" w:rsidRDefault="009D5435" w:rsidP="009D5435">
      <w:pPr>
        <w:pStyle w:val="SingleTxtG"/>
        <w:tabs>
          <w:tab w:val="clear" w:pos="2268"/>
        </w:tabs>
      </w:pPr>
      <w:r w:rsidRPr="00BE433D">
        <w:t>116.</w:t>
      </w:r>
      <w:r w:rsidRPr="00BE433D">
        <w:tab/>
        <w:t xml:space="preserve">Регистрация и разрешение на работу. В соответствии с положениями Соглашения между Кыргызской Республикой и Российской Федерацией о порядке пребывания граждан КР на территории Российской Федерации и граждан Российской Федерации на территории Кыргызской Республики, подписанного 19 июня 2015 года, срок пребывания без регистрации граждан КР в РФ увеличен с 7 до 30 дней. </w:t>
      </w:r>
    </w:p>
    <w:p w14:paraId="08F74386" w14:textId="77777777" w:rsidR="009D5435" w:rsidRPr="00BE433D" w:rsidRDefault="009D5435" w:rsidP="009D5435">
      <w:pPr>
        <w:pStyle w:val="SingleTxtG"/>
        <w:tabs>
          <w:tab w:val="clear" w:pos="2268"/>
        </w:tabs>
      </w:pPr>
      <w:r w:rsidRPr="00BE433D">
        <w:t>117.</w:t>
      </w:r>
      <w:r w:rsidRPr="00BE433D">
        <w:tab/>
        <w:t xml:space="preserve">В соответствии с положениями Протокола о внесении изменений и дополнений в Соглашение между правительством Кыргызской Республики и правительством Республики Казахстан о порядке пребывания граждан Кыргызской Республики на территории Республики Казахстан и граждан Республики Казахстан на территории Кыргызской Республики от 11 мая 2012 года, подписанного 17 октября 2016 года, срок пребывания без регистрации граждан КР в РК увеличен с 5 до 30 дней. </w:t>
      </w:r>
    </w:p>
    <w:p w14:paraId="10E62142" w14:textId="77777777" w:rsidR="009D5435" w:rsidRPr="00BE433D" w:rsidRDefault="009D5435" w:rsidP="009D5435">
      <w:pPr>
        <w:pStyle w:val="SingleTxtG"/>
        <w:tabs>
          <w:tab w:val="clear" w:pos="2268"/>
        </w:tabs>
      </w:pPr>
      <w:r w:rsidRPr="00BE433D">
        <w:t>118.</w:t>
      </w:r>
      <w:r w:rsidRPr="00BE433D">
        <w:tab/>
        <w:t xml:space="preserve">После вступления Кыргызской Республики в Евразийский экономический союз путем подписания Договора о присоединении Кыргызской Республики к Договору о Евразийском экономическом союзе от 29 мая 2014 года, ратифицированного Законом от 21 мая 2015 года № 111, трудящимся из Кыргызстана предоставлен ряд преимуществ для осуществления трудовой деятельности на территории государств Союза, таких как отсутствие необходимости получения разрешения на работу, освобождение от постановки на миграционный учет в течение 30 дней с момента прибытия, определение срока пребывания временем действия трудового договора, признание документов об образовании (за исключением документов для занятия педагогической, юридической, медицинской или фармацевтической деятельностью, для которых необходима дополнительная процедура </w:t>
      </w:r>
      <w:proofErr w:type="spellStart"/>
      <w:r w:rsidRPr="00BE433D">
        <w:t>нострификации</w:t>
      </w:r>
      <w:proofErr w:type="spellEnd"/>
      <w:r w:rsidRPr="00BE433D">
        <w:t>), право детей трудящихся на посещение детсадов и школ. Кроме этого, нашим гражданам в России в последние годы были предоставлены другие преференции, вытекающие из двусторонних договоренностей, такие как «миграционные амнистии», реализованные в 2015, 2018 и 2019 годах, а также право использования кыргызского водительского удостоверения при осуществлении профессиональной водительской деятельности.</w:t>
      </w:r>
    </w:p>
    <w:p w14:paraId="67968F94" w14:textId="77777777" w:rsidR="009D5435" w:rsidRPr="00BE433D" w:rsidRDefault="009D5435" w:rsidP="009D5435">
      <w:pPr>
        <w:pStyle w:val="SingleTxtG"/>
        <w:tabs>
          <w:tab w:val="clear" w:pos="2268"/>
        </w:tabs>
      </w:pPr>
      <w:r w:rsidRPr="00BE433D">
        <w:t>119.</w:t>
      </w:r>
      <w:r w:rsidRPr="00BE433D">
        <w:tab/>
        <w:t xml:space="preserve">В целях создания благоприятных условий и экономии личных средств граждан КР, в 2019 году с турецкой стороной была достигнута договоренность о снижении консульских сборов и стоимости разрешения на работу для граждан КР с 283 долл. до 80 долл. США. </w:t>
      </w:r>
    </w:p>
    <w:p w14:paraId="160F2039" w14:textId="77777777" w:rsidR="009D5435" w:rsidRPr="00BE433D" w:rsidRDefault="009D5435" w:rsidP="009D5435">
      <w:pPr>
        <w:pStyle w:val="SingleTxtG"/>
        <w:tabs>
          <w:tab w:val="clear" w:pos="2268"/>
        </w:tabs>
      </w:pPr>
      <w:r w:rsidRPr="00BE433D">
        <w:t>120.</w:t>
      </w:r>
      <w:r w:rsidRPr="00BE433D">
        <w:tab/>
        <w:t>Социальное обеспечение и медицинское страхование трудящихся. В соответствии со ст. 98 Договора о ЕАЭС, социальное обеспечение (страхование), в т. ч. обязательное медицинское страхование трудящихся государств-членов и членов их семей, осуществляется на тех же условиях и в том же порядке, что и граждан государства трудоустройства.</w:t>
      </w:r>
    </w:p>
    <w:p w14:paraId="5D53DD0F" w14:textId="77777777" w:rsidR="009D5435" w:rsidRPr="00BE433D" w:rsidRDefault="009D5435" w:rsidP="009D5435">
      <w:pPr>
        <w:pStyle w:val="SingleTxtG"/>
        <w:tabs>
          <w:tab w:val="clear" w:pos="2268"/>
        </w:tabs>
      </w:pPr>
      <w:r w:rsidRPr="00BE433D">
        <w:t>121.</w:t>
      </w:r>
      <w:r w:rsidRPr="00BE433D">
        <w:tab/>
        <w:t>Согласно Протоколу о механизме реализации Соглашения об оказании медицинской помощи гражданам государств — участников СНГ (Россия, Казахстан, Белоруссия) в части порядка предоставления медицинских услуг, утвержденному постановлением правительства (2002 год), экстренная медицинская помощь при внезапных острых состояниях и заболеваниях, угрожающих жизни больного или здоровью окружающих, несчастных случаях, отравлениях, травмах, родах и неотложных состояниях во время беременности предоставляется беспрепятственно, бесплатно и в необходимом объеме до выведения из состояния угрозы жизни во всех лечебно-профилактических учреждениях (независимо от наличия или отсутствия медицинского страхового полиса) гражданам одного государства, находящихся на территории другого государства.</w:t>
      </w:r>
    </w:p>
    <w:p w14:paraId="755464AF" w14:textId="77777777" w:rsidR="009D5435" w:rsidRPr="00BE433D" w:rsidRDefault="009D5435" w:rsidP="009D5435">
      <w:pPr>
        <w:pStyle w:val="SingleTxtG"/>
        <w:tabs>
          <w:tab w:val="clear" w:pos="2268"/>
        </w:tabs>
      </w:pPr>
      <w:r w:rsidRPr="00BE433D">
        <w:t>122.</w:t>
      </w:r>
      <w:r w:rsidRPr="00BE433D">
        <w:tab/>
        <w:t>В соответствии со ст. 7 Соглашения об оказании медицинской помощи гражданам государств — участников СНГ, подписанного 27 марта 1997 года в г. Минск, плановая медицинская помощь гражданам, работающим по трудовому договору в государстве временного пребывания, осуществляется за счет средств работодателя в порядке, предусмотренном контрактом.</w:t>
      </w:r>
    </w:p>
    <w:p w14:paraId="41A77E6B" w14:textId="77777777" w:rsidR="009D5435" w:rsidRPr="00BE433D" w:rsidRDefault="009D5435" w:rsidP="009D5435">
      <w:pPr>
        <w:pStyle w:val="SingleTxtG"/>
        <w:tabs>
          <w:tab w:val="clear" w:pos="2268"/>
        </w:tabs>
      </w:pPr>
      <w:r w:rsidRPr="00BE433D">
        <w:t>123.</w:t>
      </w:r>
      <w:r w:rsidRPr="00BE433D">
        <w:tab/>
        <w:t>20 декабря 2019 года в городе Санкт-Петербург на заседании Высшего Евразийского экономического совета главами государств — членов Евразийского экономического союза (далее — ЕАЭС) подписано Соглашение о пенсионном обеспечении трудящихся государств — членов ЕАЭС. Основной целью Соглашения является обеспечение равных прав в сфере пенсионного обеспечения, защита приобретенных трудящимся пенсионных прав на территориях государств — членов ЕАЭС.</w:t>
      </w:r>
    </w:p>
    <w:p w14:paraId="51A997A0" w14:textId="77777777" w:rsidR="009D5435" w:rsidRPr="00BE433D" w:rsidRDefault="009D5435" w:rsidP="009D5435">
      <w:pPr>
        <w:pStyle w:val="SingleTxtG"/>
        <w:tabs>
          <w:tab w:val="clear" w:pos="2268"/>
        </w:tabs>
      </w:pPr>
      <w:r w:rsidRPr="00BE433D">
        <w:t>124.</w:t>
      </w:r>
      <w:r w:rsidRPr="00BE433D">
        <w:tab/>
        <w:t>Соглашение вступит в силу после ратификации всеми государствами — членами ЕАЭС.</w:t>
      </w:r>
    </w:p>
    <w:p w14:paraId="722ABD46" w14:textId="77777777" w:rsidR="009D5435" w:rsidRPr="00BE433D" w:rsidRDefault="009D5435" w:rsidP="009D5435">
      <w:pPr>
        <w:pStyle w:val="SingleTxtG"/>
        <w:tabs>
          <w:tab w:val="clear" w:pos="2268"/>
        </w:tabs>
      </w:pPr>
      <w:r w:rsidRPr="00BE433D">
        <w:t>125.</w:t>
      </w:r>
      <w:r w:rsidRPr="00BE433D">
        <w:tab/>
        <w:t>Также 9 апреля 2018 года в городе Анкара подписан Договор о социальном обеспечении между правительством КР и правительством Турецкой Республики, который вступил в силу 1 ноября 2020 года.</w:t>
      </w:r>
    </w:p>
    <w:p w14:paraId="6CAC12B3" w14:textId="77777777" w:rsidR="009D5435" w:rsidRPr="00BE433D" w:rsidRDefault="009D5435" w:rsidP="009D5435">
      <w:pPr>
        <w:pStyle w:val="SingleTxtG"/>
        <w:tabs>
          <w:tab w:val="clear" w:pos="2268"/>
        </w:tabs>
      </w:pPr>
      <w:r w:rsidRPr="00BE433D">
        <w:t>126.</w:t>
      </w:r>
      <w:r w:rsidRPr="00BE433D">
        <w:tab/>
        <w:t xml:space="preserve">Социальный фонд также тесно сотрудничает с Национальной пенсионной службой Республики Корея в рамках Меморандума о сотрудничестве по вопросам выплат пенсионных средств от Национальной пенсионной службы Республики Корея, который подписан 30 июля 2015 года в г. Бишкек. </w:t>
      </w:r>
    </w:p>
    <w:p w14:paraId="20564900" w14:textId="77777777" w:rsidR="009D5435" w:rsidRPr="00BE433D" w:rsidRDefault="009D5435" w:rsidP="009D5435">
      <w:pPr>
        <w:pStyle w:val="H23G"/>
      </w:pPr>
      <w:r w:rsidRPr="00BE433D">
        <w:tab/>
      </w:r>
      <w:r w:rsidRPr="00BE433D">
        <w:tab/>
        <w:t>Справедливое вознаграждение за труд и безопасность труда</w:t>
      </w:r>
    </w:p>
    <w:p w14:paraId="293B551A" w14:textId="77777777" w:rsidR="009D5435" w:rsidRPr="00BE433D" w:rsidRDefault="009D5435" w:rsidP="009D5435">
      <w:pPr>
        <w:pStyle w:val="SingleTxtG"/>
        <w:tabs>
          <w:tab w:val="clear" w:pos="2268"/>
        </w:tabs>
        <w:rPr>
          <w:bCs/>
        </w:rPr>
      </w:pPr>
      <w:r w:rsidRPr="00BE433D">
        <w:rPr>
          <w:bCs/>
        </w:rPr>
        <w:t>127.</w:t>
      </w:r>
      <w:r w:rsidRPr="00BE433D">
        <w:rPr>
          <w:bCs/>
        </w:rPr>
        <w:tab/>
        <w:t>В 2016 году открыто Представительство Государственной миграционной службы при правительстве КР в Российской Федерации. Данный орган в соответствии с возложенными на него функциями оказывает содействие трудящимся из Кыргызстана в России в реализации их трудовых прав и защите интересов. Данная служба оказывает помощь в трудоустройстве граждан, консультировании по вопросам труда, разрешении трудовых споров. В 2019 году гражданам КР в Российской Федерации оказана помощь в выплате задолженности по заработной плате от работодателей в размере 66,2 млн рублей.</w:t>
      </w:r>
    </w:p>
    <w:p w14:paraId="643C8096" w14:textId="77777777" w:rsidR="009D5435" w:rsidRPr="00BE433D" w:rsidRDefault="009D5435" w:rsidP="009D5435">
      <w:pPr>
        <w:pStyle w:val="SingleTxtG"/>
        <w:tabs>
          <w:tab w:val="clear" w:pos="2268"/>
        </w:tabs>
      </w:pPr>
      <w:r w:rsidRPr="00BE433D">
        <w:t>128.</w:t>
      </w:r>
      <w:r w:rsidRPr="00BE433D">
        <w:tab/>
        <w:t xml:space="preserve">31 мая 2013 года в городе Минск в целях установления порядка расследования несчастных случаев на производстве подписано Соглашение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w:t>
      </w:r>
    </w:p>
    <w:p w14:paraId="001DF8E7" w14:textId="77777777" w:rsidR="009D5435" w:rsidRPr="00BE433D" w:rsidRDefault="009D5435" w:rsidP="009D5435">
      <w:pPr>
        <w:pStyle w:val="SingleTxtG"/>
        <w:tabs>
          <w:tab w:val="clear" w:pos="2268"/>
        </w:tabs>
      </w:pPr>
      <w:r w:rsidRPr="00BE433D">
        <w:t>129.</w:t>
      </w:r>
      <w:r w:rsidRPr="00BE433D">
        <w:tab/>
        <w:t xml:space="preserve">22 марта 2018 года подписана Программа сотрудничества между Департаментом консульской службы МИД и Офисом MOM в Кыргызской Республике по вопросам оказания практической помощи гражданам КР за рубежом на </w:t>
      </w:r>
      <w:r w:rsidRPr="00BE433D">
        <w:br/>
        <w:t>2018–2020 годы. Согласно данной Программе, MOM оказывает содействие в возвращении в Кыргызскую Республику такой категории лиц, которые в процессе миграции оказались жертвами торговли людьми и трудовой эксплуатации. Загранучреждения Кыргызстана во взаимодействии с офисами MOM оказывают содействие в оформлении проездных документов. Следует отметить, что до настоящего времени вышеуказанные случаи носят единичный характер.</w:t>
      </w:r>
    </w:p>
    <w:p w14:paraId="18E25371" w14:textId="77777777" w:rsidR="009D5435" w:rsidRPr="00BE433D" w:rsidRDefault="009D5435" w:rsidP="009D5435">
      <w:pPr>
        <w:pStyle w:val="SingleTxtG"/>
        <w:tabs>
          <w:tab w:val="clear" w:pos="2268"/>
        </w:tabs>
      </w:pPr>
      <w:r w:rsidRPr="00BE433D">
        <w:t>130.</w:t>
      </w:r>
      <w:r w:rsidRPr="00BE433D">
        <w:tab/>
        <w:t xml:space="preserve">Защита прав детей мигрантов. В рамках защиты детей мигрантов, оставшихся без попечения родителей, в 2017 году из Российской Федерации репатриировано 13 детей; в 2018 году — 21 ребенок, в первом полугодии 2019 года — 14 детей. </w:t>
      </w:r>
    </w:p>
    <w:p w14:paraId="3DA7DF42" w14:textId="77777777" w:rsidR="009D5435" w:rsidRPr="00BE433D" w:rsidRDefault="009D5435" w:rsidP="009D5435">
      <w:pPr>
        <w:pStyle w:val="SingleTxtG"/>
        <w:tabs>
          <w:tab w:val="clear" w:pos="2268"/>
        </w:tabs>
      </w:pPr>
      <w:r w:rsidRPr="00BE433D">
        <w:t>131.</w:t>
      </w:r>
      <w:r w:rsidRPr="00BE433D">
        <w:tab/>
        <w:t xml:space="preserve">На конец 2019 года в Кыргызстане всего выявлено 106 985 детей родителей-мигрантов, находящихся на попечении родственников или других лиц, из них детей внешних мигрантов — 89 544, детей внутренних мигрантов — 17 441. </w:t>
      </w:r>
    </w:p>
    <w:p w14:paraId="6C2CBA93" w14:textId="77777777" w:rsidR="009D5435" w:rsidRPr="00BE433D" w:rsidRDefault="009D5435" w:rsidP="009D5435">
      <w:pPr>
        <w:pStyle w:val="SingleTxtG"/>
        <w:tabs>
          <w:tab w:val="clear" w:pos="2268"/>
        </w:tabs>
      </w:pPr>
      <w:r w:rsidRPr="00BE433D">
        <w:t>132.</w:t>
      </w:r>
      <w:r w:rsidRPr="00BE433D">
        <w:tab/>
        <w:t>В декабре 2018 года по Республике возобновлена работа 528 районных штабов</w:t>
      </w:r>
      <w:r w:rsidRPr="00BE433D">
        <w:rPr>
          <w:bCs/>
        </w:rPr>
        <w:t xml:space="preserve"> </w:t>
      </w:r>
      <w:r w:rsidRPr="00BE433D">
        <w:t xml:space="preserve">в </w:t>
      </w:r>
      <w:r w:rsidRPr="00BE433D">
        <w:rPr>
          <w:bCs/>
        </w:rPr>
        <w:t>целях выявления и предупреждения жестокого обращения и насилия в отношении детей в семьях</w:t>
      </w:r>
      <w:r w:rsidRPr="00BE433D">
        <w:t xml:space="preserve"> трудовых мигрантов, детей, находящихся в трудной жизненной ситуации, в том числе детей, подвергающихся насилию и жестокому обращению. Состав штабов состоит из представителей здравоохранения, образования, МВД, социального развития, местных органов власти. </w:t>
      </w:r>
    </w:p>
    <w:p w14:paraId="0AFE9663" w14:textId="77777777" w:rsidR="009D5435" w:rsidRPr="00BE433D" w:rsidRDefault="009D5435" w:rsidP="009D5435">
      <w:pPr>
        <w:pStyle w:val="SingleTxtG"/>
        <w:tabs>
          <w:tab w:val="clear" w:pos="2268"/>
        </w:tabs>
      </w:pPr>
      <w:r w:rsidRPr="00BE433D">
        <w:t>133.</w:t>
      </w:r>
      <w:r w:rsidRPr="00BE433D">
        <w:tab/>
        <w:t xml:space="preserve">Консульская помощь мигрантам. Регулярно проводятся консульские консультации с иностранными государствами, в частности в 2017 году — </w:t>
      </w:r>
      <w:r w:rsidRPr="00BE433D">
        <w:br/>
        <w:t>с Узбекистаном, Россией, Ираном; в 2018 году — с Турцией, Россией, Арменией, Китаем, Таджикистаном; в 2019 году — с Казахстаном и Турцией, на которых поднимаются проблемные вопросы пребывания граждан КР в зарубежных странах.</w:t>
      </w:r>
    </w:p>
    <w:p w14:paraId="63DC068A" w14:textId="77777777" w:rsidR="009D5435" w:rsidRPr="00BE433D" w:rsidRDefault="009D5435" w:rsidP="009D5435">
      <w:pPr>
        <w:pStyle w:val="SingleTxtG"/>
        <w:tabs>
          <w:tab w:val="clear" w:pos="2268"/>
        </w:tabs>
      </w:pPr>
      <w:r w:rsidRPr="00BE433D">
        <w:t>134.</w:t>
      </w:r>
      <w:r w:rsidRPr="00BE433D">
        <w:tab/>
        <w:t>Проведена работа по установлению и налаживанию контактов консульских учреждений Кыргызстана с адвокатами зарубежных стран, сформирован список адвокатов в зарубежных странах.</w:t>
      </w:r>
    </w:p>
    <w:p w14:paraId="0AF3CD47" w14:textId="77777777" w:rsidR="009D5435" w:rsidRPr="00BE433D" w:rsidRDefault="009D5435" w:rsidP="009D5435">
      <w:pPr>
        <w:pStyle w:val="SingleTxtG"/>
        <w:tabs>
          <w:tab w:val="clear" w:pos="2268"/>
        </w:tabs>
      </w:pPr>
      <w:r w:rsidRPr="00BE433D">
        <w:t>135.</w:t>
      </w:r>
      <w:r w:rsidRPr="00BE433D">
        <w:tab/>
        <w:t>В загранучреждениях организован круглосуточный канал телефонной связи для обращения граждан в экстренных случаях, информация размещена на их официальных сайтах.</w:t>
      </w:r>
    </w:p>
    <w:p w14:paraId="4616DAE9" w14:textId="77777777" w:rsidR="009D5435" w:rsidRPr="00BE433D" w:rsidRDefault="009D5435" w:rsidP="009D5435">
      <w:pPr>
        <w:pStyle w:val="SingleTxtG"/>
        <w:tabs>
          <w:tab w:val="clear" w:pos="2268"/>
        </w:tabs>
      </w:pPr>
      <w:r w:rsidRPr="00BE433D">
        <w:t>136.</w:t>
      </w:r>
      <w:r w:rsidRPr="00BE433D">
        <w:tab/>
        <w:t>Проработан вопрос о подключении МИД, дипломатических и консульских учреждений Кыргызской Республики к автоматизированным информационным системам</w:t>
      </w:r>
      <w:r w:rsidRPr="00BE433D">
        <w:rPr>
          <w:iCs/>
        </w:rPr>
        <w:t xml:space="preserve"> (АИС) </w:t>
      </w:r>
      <w:r w:rsidRPr="00BE433D">
        <w:t xml:space="preserve">«Паспорт», «ЗАГС», «Гражданство», что позволило значительно сократить сроки оформления документов гражданам Кыргызстана за рубежом. Разработана программа «Консульский учет», которая позволит вставать на консульский учет гражданам по месту пребывания за рубежом в режиме онлайн. Принято постановление правительства, предусматривающее оказание государственной услуги «постановка на консульский учет» на бесплатной основе. </w:t>
      </w:r>
    </w:p>
    <w:p w14:paraId="75D8E65F" w14:textId="77777777" w:rsidR="009D5435" w:rsidRPr="00BE433D" w:rsidRDefault="009D5435" w:rsidP="009D5435">
      <w:pPr>
        <w:pStyle w:val="SingleTxtG"/>
        <w:tabs>
          <w:tab w:val="clear" w:pos="2268"/>
        </w:tabs>
      </w:pPr>
      <w:r w:rsidRPr="00BE433D">
        <w:t>137.</w:t>
      </w:r>
      <w:r w:rsidRPr="00BE433D">
        <w:tab/>
        <w:t xml:space="preserve">На стадии разработки находится внедрение мобильного приложения «Кыргыз консул», посредством которого наши граждане будут иметь возможность в режиме онлайн получать информацию и консультации по различным </w:t>
      </w:r>
      <w:proofErr w:type="spellStart"/>
      <w:r w:rsidRPr="00BE433D">
        <w:t>консульско</w:t>
      </w:r>
      <w:proofErr w:type="spellEnd"/>
      <w:r w:rsidRPr="00BE433D">
        <w:t>-правовым вопросам.</w:t>
      </w:r>
    </w:p>
    <w:p w14:paraId="1D0AC087" w14:textId="77777777" w:rsidR="009D5435" w:rsidRPr="00BE433D" w:rsidRDefault="009D5435" w:rsidP="009D5435">
      <w:pPr>
        <w:pStyle w:val="SingleTxtG"/>
        <w:tabs>
          <w:tab w:val="clear" w:pos="2268"/>
        </w:tabs>
      </w:pPr>
      <w:r w:rsidRPr="00BE433D">
        <w:t>138.</w:t>
      </w:r>
      <w:r w:rsidRPr="00BE433D">
        <w:tab/>
        <w:t xml:space="preserve">С 2019 года в МИД функционирует круглосуточный канал связи </w:t>
      </w:r>
      <w:r w:rsidRPr="00BE433D">
        <w:rPr>
          <w:iCs/>
        </w:rPr>
        <w:t>(</w:t>
      </w:r>
      <w:proofErr w:type="spellStart"/>
      <w:r w:rsidRPr="00BE433D">
        <w:rPr>
          <w:iCs/>
        </w:rPr>
        <w:t>WhatsApp</w:t>
      </w:r>
      <w:proofErr w:type="spellEnd"/>
      <w:r w:rsidRPr="00BE433D">
        <w:rPr>
          <w:iCs/>
        </w:rPr>
        <w:t xml:space="preserve">, </w:t>
      </w:r>
      <w:proofErr w:type="spellStart"/>
      <w:r w:rsidRPr="00BE433D">
        <w:rPr>
          <w:iCs/>
        </w:rPr>
        <w:t>Viber</w:t>
      </w:r>
      <w:proofErr w:type="spellEnd"/>
      <w:r w:rsidRPr="00BE433D">
        <w:rPr>
          <w:iCs/>
        </w:rPr>
        <w:t>, SMS). П</w:t>
      </w:r>
      <w:r w:rsidRPr="00BE433D">
        <w:t>о данному каналу связи оказывается помощь в виде консультаций, в</w:t>
      </w:r>
      <w:r>
        <w:t> </w:t>
      </w:r>
      <w:r w:rsidRPr="00BE433D">
        <w:t>отдельных случаях принимаются неотложные практические консульские меры реагирования/помощи.</w:t>
      </w:r>
    </w:p>
    <w:p w14:paraId="4088B1D1" w14:textId="77777777" w:rsidR="009D5435" w:rsidRPr="00BE433D" w:rsidRDefault="009D5435" w:rsidP="009D5435">
      <w:pPr>
        <w:pStyle w:val="H1G"/>
      </w:pPr>
      <w:r w:rsidRPr="00BE433D">
        <w:tab/>
      </w:r>
      <w:r w:rsidRPr="00BE433D">
        <w:tab/>
        <w:t>Статья 14</w:t>
      </w:r>
      <w:r w:rsidRPr="00BE433D">
        <w:br/>
        <w:t>Экономическая эксплуатация</w:t>
      </w:r>
    </w:p>
    <w:p w14:paraId="571A704C" w14:textId="77777777" w:rsidR="009D5435" w:rsidRPr="00BE433D" w:rsidRDefault="009D5435" w:rsidP="009D5435">
      <w:pPr>
        <w:pStyle w:val="SingleTxtG"/>
        <w:tabs>
          <w:tab w:val="clear" w:pos="2268"/>
        </w:tabs>
      </w:pPr>
      <w:r w:rsidRPr="00BE433D">
        <w:t>139.</w:t>
      </w:r>
      <w:r w:rsidRPr="00BE433D">
        <w:tab/>
        <w:t xml:space="preserve">В соответствии со ст. 23 Конституции не допускается рабство, торговля людьми. Запрещается эксплуатация детского труда. Запрещается принудительный труд, кроме случаев войны, ликвидации последствий стихийных бедствий и других чрезвычайных обстоятельств, а также в порядке исполнения решения суда. </w:t>
      </w:r>
    </w:p>
    <w:p w14:paraId="2C52F77E" w14:textId="77777777" w:rsidR="009D5435" w:rsidRPr="00BE433D" w:rsidRDefault="009D5435" w:rsidP="009D5435">
      <w:pPr>
        <w:pStyle w:val="SingleTxtG"/>
        <w:tabs>
          <w:tab w:val="clear" w:pos="2268"/>
        </w:tabs>
      </w:pPr>
      <w:r w:rsidRPr="00BE433D">
        <w:t>140.</w:t>
      </w:r>
      <w:r w:rsidRPr="00BE433D">
        <w:tab/>
        <w:t>Согласно ст. 2 Трудового кодекса, принципами правового регулирования трудовых и непосредственно связанных с ними отношений являются в том числе принципы запрещения принудительного труда и дискриминации в сфере трудовых правоотношений, запрещения детского труда в наихудших формах.</w:t>
      </w:r>
    </w:p>
    <w:p w14:paraId="05ED5520" w14:textId="77777777" w:rsidR="009D5435" w:rsidRPr="00BE433D" w:rsidRDefault="009D5435" w:rsidP="009D5435">
      <w:pPr>
        <w:pStyle w:val="SingleTxtG"/>
        <w:tabs>
          <w:tab w:val="clear" w:pos="2268"/>
        </w:tabs>
      </w:pPr>
      <w:r w:rsidRPr="00BE433D">
        <w:t>141.</w:t>
      </w:r>
      <w:r w:rsidRPr="00BE433D">
        <w:tab/>
        <w:t>Статьей 57 Кодекса о нарушениях установлена ответственность за нарушение требований закона об охране труда.</w:t>
      </w:r>
    </w:p>
    <w:p w14:paraId="7CE75083" w14:textId="77777777" w:rsidR="009D5435" w:rsidRPr="00BE433D" w:rsidRDefault="009D5435" w:rsidP="009D5435">
      <w:pPr>
        <w:pStyle w:val="SingleTxtG"/>
        <w:tabs>
          <w:tab w:val="clear" w:pos="2268"/>
        </w:tabs>
      </w:pPr>
      <w:r w:rsidRPr="00BE433D">
        <w:t>142.</w:t>
      </w:r>
      <w:r w:rsidRPr="00BE433D">
        <w:tab/>
        <w:t>Статьей 171 УК предусмотрена ответственность за торговлю людьми.</w:t>
      </w:r>
    </w:p>
    <w:p w14:paraId="5108B204" w14:textId="77777777" w:rsidR="009D5435" w:rsidRPr="00BE433D" w:rsidRDefault="009D5435" w:rsidP="009D5435">
      <w:pPr>
        <w:pStyle w:val="SingleTxtG"/>
        <w:tabs>
          <w:tab w:val="clear" w:pos="2268"/>
        </w:tabs>
      </w:pPr>
      <w:r w:rsidRPr="00BE433D">
        <w:t>143.</w:t>
      </w:r>
      <w:r w:rsidRPr="00BE433D">
        <w:tab/>
        <w:t>Согласно ч. 1 ст. 171 УК, под торговлей людьми понимается вербовка, перевозка, укрывательство, прием или передача, осуществленные с их согласия или без согласия, путем угрозы, применения силы или других форм принуждения, шантажа, похищения, мошенничества, обмана, с целью эксплуатации или получения иной выгоды либо без таковой.</w:t>
      </w:r>
    </w:p>
    <w:p w14:paraId="55A22A2E" w14:textId="77777777" w:rsidR="009D5435" w:rsidRPr="00BE433D" w:rsidRDefault="009D5435" w:rsidP="009D5435">
      <w:pPr>
        <w:pStyle w:val="SingleTxtG"/>
        <w:tabs>
          <w:tab w:val="clear" w:pos="2268"/>
        </w:tabs>
      </w:pPr>
      <w:r w:rsidRPr="00BE433D">
        <w:t>144.</w:t>
      </w:r>
      <w:r w:rsidRPr="00BE433D">
        <w:tab/>
        <w:t>При этом в соответствии с абзацем четвертым ч. 4 ст. 171 УК под эксплуатацией понимается в том числе принуждение лиц к принудительному труду.</w:t>
      </w:r>
    </w:p>
    <w:p w14:paraId="493901AC" w14:textId="77777777" w:rsidR="009D5435" w:rsidRPr="00BE433D" w:rsidRDefault="009D5435" w:rsidP="009D5435">
      <w:pPr>
        <w:pStyle w:val="SingleTxtG"/>
        <w:tabs>
          <w:tab w:val="clear" w:pos="2268"/>
        </w:tabs>
      </w:pPr>
      <w:r w:rsidRPr="00BE433D">
        <w:t>145.</w:t>
      </w:r>
      <w:r w:rsidRPr="00BE433D">
        <w:tab/>
        <w:t>В соответствии с Кодексом о детях запрещается принимать или привлекать ребенка для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14:paraId="2B0210F5" w14:textId="77777777" w:rsidR="009D5435" w:rsidRPr="00BE433D" w:rsidRDefault="009D5435" w:rsidP="009D5435">
      <w:pPr>
        <w:pStyle w:val="SingleTxtG"/>
        <w:tabs>
          <w:tab w:val="clear" w:pos="2268"/>
        </w:tabs>
      </w:pPr>
      <w:r w:rsidRPr="00BE433D">
        <w:t>146.</w:t>
      </w:r>
      <w:r w:rsidRPr="00BE433D">
        <w:tab/>
        <w:t>В 2016 году в целях предотвращения вовлечения детей в наихудшие формы детского труда между заинтересованными министерствами и ведомствами реализован Межведомственный план по предотвращению вовлечения детей в наихудшие формы детского труда на 2016–2018 годы.</w:t>
      </w:r>
    </w:p>
    <w:p w14:paraId="095148F2" w14:textId="77777777" w:rsidR="009D5435" w:rsidRPr="00BE433D" w:rsidRDefault="009D5435" w:rsidP="009D5435">
      <w:pPr>
        <w:pStyle w:val="SingleTxtG"/>
        <w:tabs>
          <w:tab w:val="clear" w:pos="2268"/>
        </w:tabs>
      </w:pPr>
      <w:r w:rsidRPr="00BE433D">
        <w:t>147.</w:t>
      </w:r>
      <w:r w:rsidRPr="00BE433D">
        <w:tab/>
        <w:t>Кроме того, постановлением правительства от 13.11.2020 года внесены изменения в список производств, профессий и работ с тяжелыми и вредными условиями труда, на которых запрещается применение труда лиц моложе восемнадцати лет.</w:t>
      </w:r>
    </w:p>
    <w:p w14:paraId="0E681966" w14:textId="77777777" w:rsidR="009D5435" w:rsidRPr="00BE433D" w:rsidRDefault="009D5435" w:rsidP="009D5435">
      <w:pPr>
        <w:pStyle w:val="SingleTxtG"/>
        <w:tabs>
          <w:tab w:val="clear" w:pos="2268"/>
        </w:tabs>
      </w:pPr>
      <w:r w:rsidRPr="00BE433D">
        <w:t>148.</w:t>
      </w:r>
      <w:r w:rsidRPr="00BE433D">
        <w:tab/>
        <w:t xml:space="preserve">Кыргызская Республика является участницей двух конвенций Международной организации труда, касающихся детского труда: </w:t>
      </w:r>
    </w:p>
    <w:p w14:paraId="4AA31B59" w14:textId="77777777" w:rsidR="009D5435" w:rsidRPr="00BE433D" w:rsidRDefault="009D5435" w:rsidP="009D5435">
      <w:pPr>
        <w:pStyle w:val="Bullet1G"/>
        <w:numPr>
          <w:ilvl w:val="0"/>
          <w:numId w:val="0"/>
        </w:numPr>
        <w:tabs>
          <w:tab w:val="left" w:pos="1701"/>
        </w:tabs>
        <w:ind w:left="1701" w:hanging="170"/>
      </w:pPr>
      <w:r w:rsidRPr="00BE433D">
        <w:t>•</w:t>
      </w:r>
      <w:r w:rsidRPr="00BE433D">
        <w:tab/>
        <w:t xml:space="preserve">Конвенция № 138 о минимальном возрасте для приема на работу. При вступлении в члены МОТ Кыргызская Республика подтвердила, что конвенции МОТ, ратифицированные бывшим СССР на ее территории, остаются в силе; </w:t>
      </w:r>
    </w:p>
    <w:p w14:paraId="6E5CEF22" w14:textId="77777777" w:rsidR="009D5435" w:rsidRPr="00BE433D" w:rsidRDefault="009D5435" w:rsidP="009D5435">
      <w:pPr>
        <w:pStyle w:val="Bullet1G"/>
        <w:numPr>
          <w:ilvl w:val="0"/>
          <w:numId w:val="0"/>
        </w:numPr>
        <w:tabs>
          <w:tab w:val="left" w:pos="1701"/>
        </w:tabs>
        <w:ind w:left="1701" w:hanging="170"/>
      </w:pPr>
      <w:r w:rsidRPr="00BE433D">
        <w:t>•</w:t>
      </w:r>
      <w:r w:rsidRPr="00BE433D">
        <w:tab/>
        <w:t xml:space="preserve">Конвенция № 182 о запрещении и немедленных мерах по искоренению наихудших форм детского труда. </w:t>
      </w:r>
    </w:p>
    <w:p w14:paraId="7E4EE854" w14:textId="77777777" w:rsidR="009D5435" w:rsidRPr="00BE433D" w:rsidRDefault="009D5435" w:rsidP="009D5435">
      <w:pPr>
        <w:pStyle w:val="SingleTxtG"/>
        <w:tabs>
          <w:tab w:val="clear" w:pos="2268"/>
        </w:tabs>
      </w:pPr>
      <w:r w:rsidRPr="00BE433D">
        <w:t>149.</w:t>
      </w:r>
      <w:r w:rsidRPr="00BE433D">
        <w:tab/>
        <w:t xml:space="preserve">По данным КОМП 2018 года, 26,7 % детей в возрасте 5–17 лет вовлечены в детский труд, из них 11,7 % детей работают в опасных условиях. </w:t>
      </w:r>
    </w:p>
    <w:p w14:paraId="3433DDD2" w14:textId="77777777" w:rsidR="009D5435" w:rsidRPr="00BE433D" w:rsidRDefault="009D5435" w:rsidP="009D5435">
      <w:pPr>
        <w:pStyle w:val="SingleTxtG"/>
        <w:tabs>
          <w:tab w:val="clear" w:pos="2268"/>
        </w:tabs>
      </w:pPr>
      <w:r w:rsidRPr="00BE433D">
        <w:t>150.</w:t>
      </w:r>
      <w:r w:rsidRPr="00BE433D">
        <w:tab/>
        <w:t xml:space="preserve">Так, в целом мальчики вовлечены в детский труд чаще девочек (33,6 % против 19,0 %). Доля детей, вовлеченных в детский труд, в сельской местности в 2,8 раза выше, чем в городских поселениях (33,6 % и 11,9 % соответственно). </w:t>
      </w:r>
    </w:p>
    <w:p w14:paraId="44D18C24" w14:textId="77777777" w:rsidR="009D5435" w:rsidRPr="00BE433D" w:rsidRDefault="009D5435" w:rsidP="009D5435">
      <w:pPr>
        <w:pStyle w:val="SingleTxtG"/>
        <w:tabs>
          <w:tab w:val="clear" w:pos="2268"/>
        </w:tabs>
      </w:pPr>
      <w:r w:rsidRPr="00BE433D">
        <w:t>151.</w:t>
      </w:r>
      <w:r w:rsidRPr="00BE433D">
        <w:tab/>
        <w:t xml:space="preserve">Наиболее высокие показатели детского труда в </w:t>
      </w:r>
      <w:proofErr w:type="spellStart"/>
      <w:r w:rsidRPr="00BE433D">
        <w:t>Нарынской</w:t>
      </w:r>
      <w:proofErr w:type="spellEnd"/>
      <w:r w:rsidRPr="00BE433D">
        <w:t xml:space="preserve"> (40,5 %) и </w:t>
      </w:r>
      <w:proofErr w:type="spellStart"/>
      <w:r w:rsidRPr="00BE433D">
        <w:t>Таласской</w:t>
      </w:r>
      <w:proofErr w:type="spellEnd"/>
      <w:r w:rsidRPr="00BE433D">
        <w:t xml:space="preserve"> (36,1 %) областях, а наиболее низкие — в г. Ош (6,1 %). Процент детей, работающих в опасных условиях, увеличивается с возрастом ребенка. Дети</w:t>
      </w:r>
      <w:r>
        <w:t>,</w:t>
      </w:r>
      <w:r w:rsidRPr="00BE433D">
        <w:t xml:space="preserve"> посещающие школу, имеют большую вероятность быть вовлечен</w:t>
      </w:r>
      <w:r>
        <w:t>н</w:t>
      </w:r>
      <w:r w:rsidRPr="00BE433D">
        <w:t>ыми в детский труд.</w:t>
      </w:r>
    </w:p>
    <w:p w14:paraId="35FA2C87" w14:textId="77777777" w:rsidR="009D5435" w:rsidRPr="00BE433D" w:rsidRDefault="009D5435" w:rsidP="009D5435">
      <w:pPr>
        <w:pStyle w:val="SingleTxtG"/>
        <w:tabs>
          <w:tab w:val="clear" w:pos="2268"/>
        </w:tabs>
      </w:pPr>
      <w:r w:rsidRPr="00BE433D">
        <w:t>152.</w:t>
      </w:r>
      <w:r w:rsidRPr="00BE433D">
        <w:tab/>
      </w:r>
      <w:proofErr w:type="spellStart"/>
      <w:r w:rsidRPr="00BE433D">
        <w:t>Нацстаткомом</w:t>
      </w:r>
      <w:proofErr w:type="spellEnd"/>
      <w:r w:rsidRPr="00BE433D">
        <w:t xml:space="preserve"> на ежегодной основе проводится интегрированное выборочное обследование бюджетов домашних хозяйств и рабочей силы. </w:t>
      </w:r>
    </w:p>
    <w:p w14:paraId="598AFCA6" w14:textId="77777777" w:rsidR="009D5435" w:rsidRPr="00BE433D" w:rsidRDefault="009D5435" w:rsidP="009D5435">
      <w:pPr>
        <w:pStyle w:val="SingleTxtG"/>
        <w:tabs>
          <w:tab w:val="clear" w:pos="2268"/>
        </w:tabs>
      </w:pPr>
      <w:r w:rsidRPr="00BE433D">
        <w:t>153.</w:t>
      </w:r>
      <w:r w:rsidRPr="00BE433D">
        <w:tab/>
        <w:t xml:space="preserve">Так, в 2019 году численность занятых детей в возрасте 15–17 лет составила </w:t>
      </w:r>
      <w:r w:rsidRPr="00BE433D">
        <w:br/>
        <w:t>32,8 тыс. человек.</w:t>
      </w:r>
    </w:p>
    <w:tbl>
      <w:tblPr>
        <w:tblW w:w="7370" w:type="dxa"/>
        <w:tblInd w:w="1134" w:type="dxa"/>
        <w:tblLayout w:type="fixed"/>
        <w:tblCellMar>
          <w:left w:w="0" w:type="dxa"/>
          <w:right w:w="0" w:type="dxa"/>
        </w:tblCellMar>
        <w:tblLook w:val="04A0" w:firstRow="1" w:lastRow="0" w:firstColumn="1" w:lastColumn="0" w:noHBand="0" w:noVBand="1"/>
      </w:tblPr>
      <w:tblGrid>
        <w:gridCol w:w="5786"/>
        <w:gridCol w:w="1584"/>
      </w:tblGrid>
      <w:tr w:rsidR="009D5435" w:rsidRPr="00FE66EA" w14:paraId="42DE8944" w14:textId="77777777" w:rsidTr="008B2400">
        <w:trPr>
          <w:tblHeader/>
        </w:trPr>
        <w:tc>
          <w:tcPr>
            <w:tcW w:w="5786" w:type="dxa"/>
            <w:tcBorders>
              <w:top w:val="single" w:sz="4" w:space="0" w:color="auto"/>
              <w:bottom w:val="single" w:sz="12" w:space="0" w:color="auto"/>
            </w:tcBorders>
            <w:shd w:val="clear" w:color="auto" w:fill="auto"/>
            <w:noWrap/>
            <w:tcMar>
              <w:left w:w="28" w:type="dxa"/>
              <w:right w:w="28" w:type="dxa"/>
            </w:tcMar>
            <w:hideMark/>
          </w:tcPr>
          <w:p w14:paraId="440B62B1" w14:textId="77777777" w:rsidR="009D5435" w:rsidRPr="00FE66EA" w:rsidRDefault="009D5435" w:rsidP="008B2400">
            <w:pPr>
              <w:suppressAutoHyphens w:val="0"/>
              <w:spacing w:before="80" w:after="80" w:line="200" w:lineRule="exact"/>
              <w:rPr>
                <w:i/>
                <w:sz w:val="16"/>
              </w:rPr>
            </w:pPr>
            <w:r w:rsidRPr="00FE66EA">
              <w:rPr>
                <w:i/>
                <w:sz w:val="16"/>
              </w:rPr>
              <w:t>Занятое население в возрасте 15–17 лет</w:t>
            </w:r>
          </w:p>
        </w:tc>
        <w:tc>
          <w:tcPr>
            <w:tcW w:w="1584" w:type="dxa"/>
            <w:tcBorders>
              <w:top w:val="single" w:sz="4" w:space="0" w:color="auto"/>
              <w:bottom w:val="single" w:sz="12" w:space="0" w:color="auto"/>
            </w:tcBorders>
            <w:shd w:val="clear" w:color="auto" w:fill="auto"/>
            <w:tcMar>
              <w:left w:w="28" w:type="dxa"/>
              <w:right w:w="28" w:type="dxa"/>
            </w:tcMar>
            <w:vAlign w:val="bottom"/>
            <w:hideMark/>
          </w:tcPr>
          <w:p w14:paraId="03D5F9D8" w14:textId="77777777" w:rsidR="009D5435" w:rsidRPr="00FE66EA" w:rsidRDefault="009D5435" w:rsidP="008B2400">
            <w:pPr>
              <w:suppressAutoHyphens w:val="0"/>
              <w:spacing w:before="80" w:after="80" w:line="200" w:lineRule="exact"/>
              <w:jc w:val="right"/>
              <w:rPr>
                <w:b/>
                <w:bCs/>
                <w:i/>
                <w:sz w:val="16"/>
              </w:rPr>
            </w:pPr>
            <w:r w:rsidRPr="00FE66EA">
              <w:rPr>
                <w:b/>
                <w:bCs/>
                <w:i/>
                <w:sz w:val="16"/>
              </w:rPr>
              <w:t xml:space="preserve">2019 </w:t>
            </w:r>
          </w:p>
        </w:tc>
      </w:tr>
      <w:tr w:rsidR="009D5435" w:rsidRPr="00BE433D" w14:paraId="75A6A49C" w14:textId="77777777" w:rsidTr="008B2400">
        <w:tc>
          <w:tcPr>
            <w:tcW w:w="5786" w:type="dxa"/>
            <w:tcBorders>
              <w:top w:val="single" w:sz="12" w:space="0" w:color="auto"/>
            </w:tcBorders>
            <w:shd w:val="clear" w:color="auto" w:fill="auto"/>
            <w:noWrap/>
            <w:tcMar>
              <w:left w:w="28" w:type="dxa"/>
              <w:right w:w="28" w:type="dxa"/>
            </w:tcMar>
            <w:hideMark/>
          </w:tcPr>
          <w:p w14:paraId="6E44DF93" w14:textId="77777777" w:rsidR="009D5435" w:rsidRPr="00BE433D" w:rsidRDefault="009D5435" w:rsidP="008B2400">
            <w:pPr>
              <w:suppressAutoHyphens w:val="0"/>
              <w:spacing w:before="40" w:after="40" w:line="220" w:lineRule="exact"/>
              <w:rPr>
                <w:sz w:val="18"/>
              </w:rPr>
            </w:pPr>
            <w:r w:rsidRPr="00BE433D">
              <w:rPr>
                <w:sz w:val="18"/>
              </w:rPr>
              <w:t>Занятые, тыс. человек</w:t>
            </w:r>
          </w:p>
        </w:tc>
        <w:tc>
          <w:tcPr>
            <w:tcW w:w="1584" w:type="dxa"/>
            <w:tcBorders>
              <w:top w:val="single" w:sz="12" w:space="0" w:color="auto"/>
            </w:tcBorders>
            <w:shd w:val="clear" w:color="auto" w:fill="auto"/>
            <w:noWrap/>
            <w:tcMar>
              <w:left w:w="28" w:type="dxa"/>
              <w:right w:w="28" w:type="dxa"/>
            </w:tcMar>
            <w:vAlign w:val="bottom"/>
            <w:hideMark/>
          </w:tcPr>
          <w:p w14:paraId="6341FD7E" w14:textId="77777777" w:rsidR="009D5435" w:rsidRPr="00BE433D" w:rsidRDefault="009D5435" w:rsidP="008B2400">
            <w:pPr>
              <w:suppressAutoHyphens w:val="0"/>
              <w:spacing w:before="40" w:after="40" w:line="220" w:lineRule="exact"/>
              <w:jc w:val="right"/>
              <w:rPr>
                <w:sz w:val="18"/>
              </w:rPr>
            </w:pPr>
            <w:r w:rsidRPr="00BE433D">
              <w:rPr>
                <w:sz w:val="18"/>
              </w:rPr>
              <w:t xml:space="preserve">32,8 </w:t>
            </w:r>
          </w:p>
        </w:tc>
      </w:tr>
      <w:tr w:rsidR="009D5435" w:rsidRPr="00BE433D" w14:paraId="5C75DA68" w14:textId="77777777" w:rsidTr="008B2400">
        <w:tc>
          <w:tcPr>
            <w:tcW w:w="5786" w:type="dxa"/>
            <w:shd w:val="clear" w:color="auto" w:fill="auto"/>
            <w:noWrap/>
            <w:tcMar>
              <w:left w:w="28" w:type="dxa"/>
              <w:right w:w="28" w:type="dxa"/>
            </w:tcMar>
            <w:hideMark/>
          </w:tcPr>
          <w:p w14:paraId="1505ECB6" w14:textId="77777777" w:rsidR="009D5435" w:rsidRPr="00BE433D" w:rsidRDefault="009D5435" w:rsidP="008B2400">
            <w:pPr>
              <w:suppressAutoHyphens w:val="0"/>
              <w:spacing w:before="40" w:after="40" w:line="220" w:lineRule="exact"/>
              <w:rPr>
                <w:iCs/>
                <w:sz w:val="18"/>
              </w:rPr>
            </w:pPr>
            <w:r w:rsidRPr="00BE433D">
              <w:rPr>
                <w:iCs/>
                <w:sz w:val="18"/>
              </w:rPr>
              <w:t>по полу:</w:t>
            </w:r>
          </w:p>
        </w:tc>
        <w:tc>
          <w:tcPr>
            <w:tcW w:w="1584" w:type="dxa"/>
            <w:shd w:val="clear" w:color="auto" w:fill="auto"/>
            <w:noWrap/>
            <w:tcMar>
              <w:left w:w="28" w:type="dxa"/>
              <w:right w:w="28" w:type="dxa"/>
            </w:tcMar>
            <w:vAlign w:val="bottom"/>
            <w:hideMark/>
          </w:tcPr>
          <w:p w14:paraId="1F56B54C" w14:textId="77777777" w:rsidR="009D5435" w:rsidRPr="00BE433D" w:rsidRDefault="009D5435" w:rsidP="008B2400">
            <w:pPr>
              <w:suppressAutoHyphens w:val="0"/>
              <w:spacing w:before="40" w:after="40" w:line="220" w:lineRule="exact"/>
              <w:jc w:val="right"/>
              <w:rPr>
                <w:iCs/>
                <w:sz w:val="18"/>
              </w:rPr>
            </w:pPr>
          </w:p>
        </w:tc>
      </w:tr>
      <w:tr w:rsidR="009D5435" w:rsidRPr="00BE433D" w14:paraId="3DAB5A51" w14:textId="77777777" w:rsidTr="008B2400">
        <w:tc>
          <w:tcPr>
            <w:tcW w:w="5786" w:type="dxa"/>
            <w:shd w:val="clear" w:color="auto" w:fill="auto"/>
            <w:noWrap/>
            <w:tcMar>
              <w:left w:w="28" w:type="dxa"/>
              <w:right w:w="28" w:type="dxa"/>
            </w:tcMar>
            <w:hideMark/>
          </w:tcPr>
          <w:p w14:paraId="3048B1A8" w14:textId="77777777" w:rsidR="009D5435" w:rsidRPr="00BE433D" w:rsidRDefault="009D5435" w:rsidP="008B2400">
            <w:pPr>
              <w:tabs>
                <w:tab w:val="left" w:pos="263"/>
              </w:tabs>
              <w:suppressAutoHyphens w:val="0"/>
              <w:spacing w:before="40" w:after="40" w:line="220" w:lineRule="exact"/>
              <w:rPr>
                <w:sz w:val="18"/>
              </w:rPr>
            </w:pPr>
            <w:r w:rsidRPr="00BE433D">
              <w:rPr>
                <w:sz w:val="18"/>
              </w:rPr>
              <w:tab/>
              <w:t>мужчины</w:t>
            </w:r>
          </w:p>
        </w:tc>
        <w:tc>
          <w:tcPr>
            <w:tcW w:w="1584" w:type="dxa"/>
            <w:shd w:val="clear" w:color="auto" w:fill="auto"/>
            <w:noWrap/>
            <w:tcMar>
              <w:left w:w="28" w:type="dxa"/>
              <w:right w:w="28" w:type="dxa"/>
            </w:tcMar>
            <w:vAlign w:val="bottom"/>
            <w:hideMark/>
          </w:tcPr>
          <w:p w14:paraId="6FD446C1" w14:textId="77777777" w:rsidR="009D5435" w:rsidRPr="00BE433D" w:rsidRDefault="009D5435" w:rsidP="008B2400">
            <w:pPr>
              <w:suppressAutoHyphens w:val="0"/>
              <w:spacing w:before="40" w:after="40" w:line="220" w:lineRule="exact"/>
              <w:jc w:val="right"/>
              <w:rPr>
                <w:sz w:val="18"/>
              </w:rPr>
            </w:pPr>
            <w:r w:rsidRPr="00BE433D">
              <w:rPr>
                <w:sz w:val="18"/>
              </w:rPr>
              <w:t>20,8</w:t>
            </w:r>
          </w:p>
        </w:tc>
      </w:tr>
      <w:tr w:rsidR="009D5435" w:rsidRPr="00BE433D" w14:paraId="141EB13A" w14:textId="77777777" w:rsidTr="008B2400">
        <w:tc>
          <w:tcPr>
            <w:tcW w:w="5786" w:type="dxa"/>
            <w:shd w:val="clear" w:color="auto" w:fill="auto"/>
            <w:noWrap/>
            <w:tcMar>
              <w:left w:w="28" w:type="dxa"/>
              <w:right w:w="28" w:type="dxa"/>
            </w:tcMar>
            <w:hideMark/>
          </w:tcPr>
          <w:p w14:paraId="71B4A72B" w14:textId="77777777" w:rsidR="009D5435" w:rsidRPr="00BE433D" w:rsidRDefault="009D5435" w:rsidP="008B2400">
            <w:pPr>
              <w:tabs>
                <w:tab w:val="left" w:pos="263"/>
              </w:tabs>
              <w:suppressAutoHyphens w:val="0"/>
              <w:spacing w:before="40" w:after="40" w:line="220" w:lineRule="exact"/>
              <w:rPr>
                <w:sz w:val="18"/>
              </w:rPr>
            </w:pPr>
            <w:r w:rsidRPr="00BE433D">
              <w:rPr>
                <w:sz w:val="18"/>
              </w:rPr>
              <w:tab/>
              <w:t>женщины</w:t>
            </w:r>
          </w:p>
        </w:tc>
        <w:tc>
          <w:tcPr>
            <w:tcW w:w="1584" w:type="dxa"/>
            <w:shd w:val="clear" w:color="auto" w:fill="auto"/>
            <w:noWrap/>
            <w:tcMar>
              <w:left w:w="28" w:type="dxa"/>
              <w:right w:w="28" w:type="dxa"/>
            </w:tcMar>
            <w:vAlign w:val="bottom"/>
            <w:hideMark/>
          </w:tcPr>
          <w:p w14:paraId="3A7E2358" w14:textId="77777777" w:rsidR="009D5435" w:rsidRPr="00BE433D" w:rsidRDefault="009D5435" w:rsidP="008B2400">
            <w:pPr>
              <w:suppressAutoHyphens w:val="0"/>
              <w:spacing w:before="40" w:after="40" w:line="220" w:lineRule="exact"/>
              <w:jc w:val="right"/>
              <w:rPr>
                <w:sz w:val="18"/>
              </w:rPr>
            </w:pPr>
            <w:r w:rsidRPr="00BE433D">
              <w:rPr>
                <w:sz w:val="18"/>
              </w:rPr>
              <w:t>12,0</w:t>
            </w:r>
          </w:p>
        </w:tc>
      </w:tr>
      <w:tr w:rsidR="009D5435" w:rsidRPr="00BE433D" w14:paraId="32048D8B" w14:textId="77777777" w:rsidTr="008B2400">
        <w:tc>
          <w:tcPr>
            <w:tcW w:w="5786" w:type="dxa"/>
            <w:shd w:val="clear" w:color="auto" w:fill="auto"/>
            <w:noWrap/>
            <w:tcMar>
              <w:left w:w="28" w:type="dxa"/>
              <w:right w:w="28" w:type="dxa"/>
            </w:tcMar>
            <w:hideMark/>
          </w:tcPr>
          <w:p w14:paraId="7881B1C5" w14:textId="77777777" w:rsidR="009D5435" w:rsidRPr="00BE433D" w:rsidRDefault="009D5435" w:rsidP="008B2400">
            <w:pPr>
              <w:suppressAutoHyphens w:val="0"/>
              <w:spacing w:before="40" w:after="40" w:line="220" w:lineRule="exact"/>
              <w:rPr>
                <w:iCs/>
                <w:sz w:val="18"/>
              </w:rPr>
            </w:pPr>
            <w:r w:rsidRPr="00BE433D">
              <w:rPr>
                <w:iCs/>
                <w:sz w:val="18"/>
              </w:rPr>
              <w:t>по месту проживания:</w:t>
            </w:r>
          </w:p>
        </w:tc>
        <w:tc>
          <w:tcPr>
            <w:tcW w:w="1584" w:type="dxa"/>
            <w:shd w:val="clear" w:color="auto" w:fill="auto"/>
            <w:noWrap/>
            <w:tcMar>
              <w:left w:w="28" w:type="dxa"/>
              <w:right w:w="28" w:type="dxa"/>
            </w:tcMar>
            <w:vAlign w:val="bottom"/>
            <w:hideMark/>
          </w:tcPr>
          <w:p w14:paraId="228DB925" w14:textId="77777777" w:rsidR="009D5435" w:rsidRPr="00BE433D" w:rsidRDefault="009D5435" w:rsidP="008B2400">
            <w:pPr>
              <w:suppressAutoHyphens w:val="0"/>
              <w:spacing w:before="40" w:after="40" w:line="220" w:lineRule="exact"/>
              <w:jc w:val="right"/>
              <w:rPr>
                <w:iCs/>
                <w:sz w:val="18"/>
              </w:rPr>
            </w:pPr>
          </w:p>
        </w:tc>
      </w:tr>
      <w:tr w:rsidR="009D5435" w:rsidRPr="00BE433D" w14:paraId="41773C9C" w14:textId="77777777" w:rsidTr="008B2400">
        <w:tc>
          <w:tcPr>
            <w:tcW w:w="5786" w:type="dxa"/>
            <w:shd w:val="clear" w:color="auto" w:fill="auto"/>
            <w:noWrap/>
            <w:tcMar>
              <w:left w:w="28" w:type="dxa"/>
              <w:right w:w="28" w:type="dxa"/>
            </w:tcMar>
            <w:hideMark/>
          </w:tcPr>
          <w:p w14:paraId="73B6E3D0" w14:textId="77777777" w:rsidR="009D5435" w:rsidRPr="00BE433D" w:rsidRDefault="009D5435" w:rsidP="008B2400">
            <w:pPr>
              <w:tabs>
                <w:tab w:val="left" w:pos="272"/>
              </w:tabs>
              <w:suppressAutoHyphens w:val="0"/>
              <w:spacing w:before="40" w:after="40" w:line="220" w:lineRule="exact"/>
              <w:rPr>
                <w:sz w:val="18"/>
              </w:rPr>
            </w:pPr>
            <w:r w:rsidRPr="00BE433D">
              <w:rPr>
                <w:sz w:val="18"/>
              </w:rPr>
              <w:tab/>
              <w:t>город</w:t>
            </w:r>
          </w:p>
        </w:tc>
        <w:tc>
          <w:tcPr>
            <w:tcW w:w="1584" w:type="dxa"/>
            <w:shd w:val="clear" w:color="auto" w:fill="auto"/>
            <w:noWrap/>
            <w:tcMar>
              <w:left w:w="28" w:type="dxa"/>
              <w:right w:w="28" w:type="dxa"/>
            </w:tcMar>
            <w:vAlign w:val="bottom"/>
            <w:hideMark/>
          </w:tcPr>
          <w:p w14:paraId="4A4E85FE" w14:textId="77777777" w:rsidR="009D5435" w:rsidRPr="00BE433D" w:rsidRDefault="009D5435" w:rsidP="008B2400">
            <w:pPr>
              <w:suppressAutoHyphens w:val="0"/>
              <w:spacing w:before="40" w:after="40" w:line="220" w:lineRule="exact"/>
              <w:jc w:val="right"/>
              <w:rPr>
                <w:sz w:val="18"/>
              </w:rPr>
            </w:pPr>
            <w:r w:rsidRPr="00BE433D">
              <w:rPr>
                <w:sz w:val="18"/>
              </w:rPr>
              <w:t>3,5</w:t>
            </w:r>
          </w:p>
        </w:tc>
      </w:tr>
      <w:tr w:rsidR="009D5435" w:rsidRPr="00BE433D" w14:paraId="1A8D4F39" w14:textId="77777777" w:rsidTr="008B2400">
        <w:tc>
          <w:tcPr>
            <w:tcW w:w="5786" w:type="dxa"/>
            <w:shd w:val="clear" w:color="auto" w:fill="auto"/>
            <w:noWrap/>
            <w:tcMar>
              <w:left w:w="28" w:type="dxa"/>
              <w:right w:w="28" w:type="dxa"/>
            </w:tcMar>
            <w:hideMark/>
          </w:tcPr>
          <w:p w14:paraId="165D16A0" w14:textId="77777777" w:rsidR="009D5435" w:rsidRPr="00BE433D" w:rsidRDefault="009D5435" w:rsidP="008B2400">
            <w:pPr>
              <w:tabs>
                <w:tab w:val="left" w:pos="272"/>
              </w:tabs>
              <w:suppressAutoHyphens w:val="0"/>
              <w:spacing w:before="40" w:after="40" w:line="220" w:lineRule="exact"/>
              <w:rPr>
                <w:sz w:val="18"/>
              </w:rPr>
            </w:pPr>
            <w:r w:rsidRPr="00BE433D">
              <w:rPr>
                <w:sz w:val="18"/>
              </w:rPr>
              <w:tab/>
              <w:t>село</w:t>
            </w:r>
          </w:p>
        </w:tc>
        <w:tc>
          <w:tcPr>
            <w:tcW w:w="1584" w:type="dxa"/>
            <w:shd w:val="clear" w:color="auto" w:fill="auto"/>
            <w:noWrap/>
            <w:tcMar>
              <w:left w:w="28" w:type="dxa"/>
              <w:right w:w="28" w:type="dxa"/>
            </w:tcMar>
            <w:vAlign w:val="bottom"/>
            <w:hideMark/>
          </w:tcPr>
          <w:p w14:paraId="0C39A576" w14:textId="77777777" w:rsidR="009D5435" w:rsidRPr="00BE433D" w:rsidRDefault="009D5435" w:rsidP="008B2400">
            <w:pPr>
              <w:suppressAutoHyphens w:val="0"/>
              <w:spacing w:before="40" w:after="40" w:line="220" w:lineRule="exact"/>
              <w:jc w:val="right"/>
              <w:rPr>
                <w:sz w:val="18"/>
              </w:rPr>
            </w:pPr>
            <w:r w:rsidRPr="00BE433D">
              <w:rPr>
                <w:sz w:val="18"/>
              </w:rPr>
              <w:t>29,3</w:t>
            </w:r>
          </w:p>
        </w:tc>
      </w:tr>
      <w:tr w:rsidR="009D5435" w:rsidRPr="00BE433D" w14:paraId="602F612A" w14:textId="77777777" w:rsidTr="008B2400">
        <w:tc>
          <w:tcPr>
            <w:tcW w:w="5786" w:type="dxa"/>
            <w:shd w:val="clear" w:color="auto" w:fill="auto"/>
            <w:tcMar>
              <w:left w:w="28" w:type="dxa"/>
              <w:right w:w="28" w:type="dxa"/>
            </w:tcMar>
            <w:hideMark/>
          </w:tcPr>
          <w:p w14:paraId="3A250FC1" w14:textId="77777777" w:rsidR="009D5435" w:rsidRPr="00BE433D" w:rsidRDefault="009D5435" w:rsidP="008B2400">
            <w:pPr>
              <w:pageBreakBefore/>
              <w:suppressAutoHyphens w:val="0"/>
              <w:spacing w:before="40" w:after="40" w:line="220" w:lineRule="exact"/>
              <w:rPr>
                <w:sz w:val="18"/>
              </w:rPr>
            </w:pPr>
            <w:r w:rsidRPr="00BE433D">
              <w:rPr>
                <w:sz w:val="18"/>
              </w:rPr>
              <w:t>В % к общей численности населения в возрасте 15–17 лет:</w:t>
            </w:r>
          </w:p>
        </w:tc>
        <w:tc>
          <w:tcPr>
            <w:tcW w:w="1584" w:type="dxa"/>
            <w:shd w:val="clear" w:color="auto" w:fill="auto"/>
            <w:noWrap/>
            <w:tcMar>
              <w:left w:w="28" w:type="dxa"/>
              <w:right w:w="28" w:type="dxa"/>
            </w:tcMar>
            <w:vAlign w:val="bottom"/>
            <w:hideMark/>
          </w:tcPr>
          <w:p w14:paraId="3ADA34FB" w14:textId="77777777" w:rsidR="009D5435" w:rsidRPr="00BE433D" w:rsidRDefault="009D5435" w:rsidP="008B2400">
            <w:pPr>
              <w:suppressAutoHyphens w:val="0"/>
              <w:spacing w:before="40" w:after="40" w:line="220" w:lineRule="exact"/>
              <w:jc w:val="right"/>
              <w:rPr>
                <w:sz w:val="18"/>
              </w:rPr>
            </w:pPr>
            <w:r w:rsidRPr="00BE433D">
              <w:rPr>
                <w:sz w:val="18"/>
              </w:rPr>
              <w:t>10,8</w:t>
            </w:r>
          </w:p>
        </w:tc>
      </w:tr>
      <w:tr w:rsidR="009D5435" w:rsidRPr="00BE433D" w14:paraId="129A6359" w14:textId="77777777" w:rsidTr="008B2400">
        <w:tc>
          <w:tcPr>
            <w:tcW w:w="5786" w:type="dxa"/>
            <w:shd w:val="clear" w:color="auto" w:fill="auto"/>
            <w:noWrap/>
            <w:tcMar>
              <w:left w:w="28" w:type="dxa"/>
              <w:right w:w="28" w:type="dxa"/>
            </w:tcMar>
            <w:hideMark/>
          </w:tcPr>
          <w:p w14:paraId="14AF7C40" w14:textId="77777777" w:rsidR="009D5435" w:rsidRPr="00BE433D" w:rsidRDefault="009D5435" w:rsidP="008B2400">
            <w:pPr>
              <w:tabs>
                <w:tab w:val="left" w:pos="272"/>
              </w:tabs>
              <w:suppressAutoHyphens w:val="0"/>
              <w:spacing w:before="40" w:after="40" w:line="220" w:lineRule="exact"/>
              <w:rPr>
                <w:sz w:val="18"/>
              </w:rPr>
            </w:pPr>
            <w:r w:rsidRPr="00BE433D">
              <w:rPr>
                <w:sz w:val="18"/>
              </w:rPr>
              <w:tab/>
              <w:t>мужчины</w:t>
            </w:r>
          </w:p>
        </w:tc>
        <w:tc>
          <w:tcPr>
            <w:tcW w:w="1584" w:type="dxa"/>
            <w:shd w:val="clear" w:color="auto" w:fill="auto"/>
            <w:noWrap/>
            <w:tcMar>
              <w:left w:w="28" w:type="dxa"/>
              <w:right w:w="28" w:type="dxa"/>
            </w:tcMar>
            <w:vAlign w:val="bottom"/>
            <w:hideMark/>
          </w:tcPr>
          <w:p w14:paraId="2B3E5D9F" w14:textId="77777777" w:rsidR="009D5435" w:rsidRPr="00BE433D" w:rsidRDefault="009D5435" w:rsidP="008B2400">
            <w:pPr>
              <w:suppressAutoHyphens w:val="0"/>
              <w:spacing w:before="40" w:after="40" w:line="220" w:lineRule="exact"/>
              <w:jc w:val="right"/>
              <w:rPr>
                <w:sz w:val="18"/>
              </w:rPr>
            </w:pPr>
            <w:r w:rsidRPr="00BE433D">
              <w:rPr>
                <w:sz w:val="18"/>
              </w:rPr>
              <w:t>13,4</w:t>
            </w:r>
          </w:p>
        </w:tc>
      </w:tr>
      <w:tr w:rsidR="009D5435" w:rsidRPr="00BE433D" w14:paraId="092B5880" w14:textId="77777777" w:rsidTr="008B2400">
        <w:tc>
          <w:tcPr>
            <w:tcW w:w="5786" w:type="dxa"/>
            <w:tcBorders>
              <w:bottom w:val="single" w:sz="12" w:space="0" w:color="auto"/>
            </w:tcBorders>
            <w:shd w:val="clear" w:color="auto" w:fill="auto"/>
            <w:noWrap/>
            <w:tcMar>
              <w:left w:w="28" w:type="dxa"/>
              <w:right w:w="28" w:type="dxa"/>
            </w:tcMar>
            <w:hideMark/>
          </w:tcPr>
          <w:p w14:paraId="47E204DB" w14:textId="77777777" w:rsidR="009D5435" w:rsidRPr="00BE433D" w:rsidRDefault="009D5435" w:rsidP="008B2400">
            <w:pPr>
              <w:tabs>
                <w:tab w:val="left" w:pos="272"/>
              </w:tabs>
              <w:suppressAutoHyphens w:val="0"/>
              <w:spacing w:before="40" w:after="40" w:line="220" w:lineRule="exact"/>
              <w:rPr>
                <w:sz w:val="18"/>
              </w:rPr>
            </w:pPr>
            <w:r w:rsidRPr="00BE433D">
              <w:rPr>
                <w:sz w:val="18"/>
              </w:rPr>
              <w:tab/>
              <w:t>женщины</w:t>
            </w:r>
          </w:p>
        </w:tc>
        <w:tc>
          <w:tcPr>
            <w:tcW w:w="1584" w:type="dxa"/>
            <w:tcBorders>
              <w:bottom w:val="single" w:sz="12" w:space="0" w:color="auto"/>
            </w:tcBorders>
            <w:shd w:val="clear" w:color="auto" w:fill="auto"/>
            <w:noWrap/>
            <w:tcMar>
              <w:left w:w="28" w:type="dxa"/>
              <w:right w:w="28" w:type="dxa"/>
            </w:tcMar>
            <w:vAlign w:val="bottom"/>
            <w:hideMark/>
          </w:tcPr>
          <w:p w14:paraId="44E10FE3" w14:textId="77777777" w:rsidR="009D5435" w:rsidRPr="00BE433D" w:rsidRDefault="009D5435" w:rsidP="008B2400">
            <w:pPr>
              <w:suppressAutoHyphens w:val="0"/>
              <w:spacing w:before="40" w:after="40" w:line="220" w:lineRule="exact"/>
              <w:jc w:val="right"/>
              <w:rPr>
                <w:sz w:val="18"/>
              </w:rPr>
            </w:pPr>
            <w:r w:rsidRPr="00BE433D">
              <w:rPr>
                <w:sz w:val="18"/>
              </w:rPr>
              <w:t>8,1</w:t>
            </w:r>
          </w:p>
        </w:tc>
      </w:tr>
    </w:tbl>
    <w:p w14:paraId="5EEEE297" w14:textId="77777777" w:rsidR="009D5435" w:rsidRPr="00BE433D" w:rsidRDefault="009D5435" w:rsidP="009D5435">
      <w:pPr>
        <w:pStyle w:val="SingleTxtG"/>
        <w:tabs>
          <w:tab w:val="clear" w:pos="2268"/>
        </w:tabs>
        <w:spacing w:before="120"/>
      </w:pPr>
      <w:r w:rsidRPr="00BE433D">
        <w:t>154.</w:t>
      </w:r>
      <w:r w:rsidRPr="00BE433D">
        <w:tab/>
        <w:t>В 2019 году выявлено 20 детей, которые работали на территории города Бишкек в наихудших формах труда. По каждому выявленному факту соответствующая информация направляется в территориальные уполномоченные органы по защите прав детей.</w:t>
      </w:r>
    </w:p>
    <w:p w14:paraId="0D77AEA0" w14:textId="77777777" w:rsidR="009D5435" w:rsidRPr="00BE433D" w:rsidRDefault="009D5435" w:rsidP="009D5435">
      <w:pPr>
        <w:pStyle w:val="SingleTxtG"/>
        <w:tabs>
          <w:tab w:val="clear" w:pos="2268"/>
        </w:tabs>
      </w:pPr>
      <w:r w:rsidRPr="00BE433D">
        <w:t>155.</w:t>
      </w:r>
      <w:r w:rsidRPr="00BE433D">
        <w:tab/>
        <w:t xml:space="preserve">Для детей, оставшихся без попечения родителей, а также детей внешних и внутренних мигрантов создано 515 штабов, при </w:t>
      </w:r>
      <w:proofErr w:type="spellStart"/>
      <w:r w:rsidRPr="00BE433D">
        <w:t>райгосадминистрациях</w:t>
      </w:r>
      <w:proofErr w:type="spellEnd"/>
      <w:r w:rsidRPr="00BE433D">
        <w:t xml:space="preserve"> и мэриях городов — 63, при </w:t>
      </w:r>
      <w:proofErr w:type="spellStart"/>
      <w:r w:rsidRPr="00BE433D">
        <w:t>айыл</w:t>
      </w:r>
      <w:proofErr w:type="spellEnd"/>
      <w:r w:rsidRPr="00BE433D">
        <w:t xml:space="preserve"> </w:t>
      </w:r>
      <w:proofErr w:type="spellStart"/>
      <w:r w:rsidRPr="00BE433D">
        <w:t>окмоту</w:t>
      </w:r>
      <w:proofErr w:type="spellEnd"/>
      <w:r w:rsidRPr="00BE433D">
        <w:t xml:space="preserve"> — 447, общее количество членов штабов — 3450, из них сотрудников ИДН ОВД — 454. Членами штабов проведено 238 339 </w:t>
      </w:r>
      <w:proofErr w:type="spellStart"/>
      <w:r w:rsidRPr="00BE433D">
        <w:t>подворовых</w:t>
      </w:r>
      <w:proofErr w:type="spellEnd"/>
      <w:r w:rsidRPr="00BE433D">
        <w:t xml:space="preserve"> обходов, с целью выявления родителей, выехавших на заработки в ближнее и дальнее зарубежье.</w:t>
      </w:r>
    </w:p>
    <w:p w14:paraId="4372D597" w14:textId="77777777" w:rsidR="009D5435" w:rsidRPr="00BE433D" w:rsidRDefault="009D5435" w:rsidP="009D5435">
      <w:pPr>
        <w:pStyle w:val="SingleTxtG"/>
        <w:tabs>
          <w:tab w:val="clear" w:pos="2268"/>
        </w:tabs>
      </w:pPr>
      <w:r w:rsidRPr="00BE433D">
        <w:t>156.</w:t>
      </w:r>
      <w:r w:rsidRPr="00BE433D">
        <w:tab/>
        <w:t xml:space="preserve">Для усиления профилактической работы органов внутренних дел Республики в 117 детских домах и интернатах, из них 84 государственных и 33 частных, </w:t>
      </w:r>
      <w:r w:rsidRPr="00BE433D">
        <w:br/>
        <w:t>где воспитываются 10 355 детей, закреплены 110 инспекторов по делам несовершеннолетних. В соответствии с межведомственным приказом МВД (2019 год) «Об усилении межведомственного взаимодействия по профилактике правонарушений и преступности среди молодежи и несовершеннолетних в Кыргызской Республике на 2019–2020 годы» сотрудники ОВД совместно с субъектами профилактики проводят соответствующие профилактические мероприятия в общеобразовательных организациях, в т</w:t>
      </w:r>
      <w:r>
        <w:t>ом числе</w:t>
      </w:r>
      <w:r w:rsidRPr="00BE433D">
        <w:t xml:space="preserve"> в детских и интернатных учреждениях, расположенных на территории Республики. Всего проведено лекций — 2055, бесед — 99, семинаров —</w:t>
      </w:r>
      <w:r w:rsidRPr="00BE433D">
        <w:br/>
        <w:t xml:space="preserve">109, круглых столов — 70, викторин — 7, спортивных мероприятий — 45, других мероприятий — 47. </w:t>
      </w:r>
    </w:p>
    <w:p w14:paraId="2778D4CE" w14:textId="77777777" w:rsidR="009D5435" w:rsidRPr="00BE433D" w:rsidRDefault="009D5435" w:rsidP="009D5435">
      <w:pPr>
        <w:pStyle w:val="SingleTxtG"/>
        <w:tabs>
          <w:tab w:val="clear" w:pos="2268"/>
        </w:tabs>
      </w:pPr>
      <w:r w:rsidRPr="00BE433D">
        <w:t>157.</w:t>
      </w:r>
      <w:r w:rsidRPr="00BE433D">
        <w:tab/>
        <w:t>С целью сокращения возможного привлечения детей для работы на табачных плантациях в Кыргызской Республике, разработаны рекомендации по структуре посевных площадей, что обеспечило сокращение производства табака и уменьшение посевных площадей. Если в 2014 году площадь под выращивание табака составляла 2,0 тыс. га, то в 2018 году — 0,7 тыс. га, в 2019 году — уже 0,4 тыс. га.</w:t>
      </w:r>
    </w:p>
    <w:p w14:paraId="6188993B" w14:textId="77777777" w:rsidR="009D5435" w:rsidRPr="00BE433D" w:rsidRDefault="009D5435" w:rsidP="009D5435">
      <w:pPr>
        <w:pStyle w:val="SingleTxtG"/>
        <w:tabs>
          <w:tab w:val="clear" w:pos="2268"/>
        </w:tabs>
      </w:pPr>
      <w:r w:rsidRPr="00BE433D">
        <w:t>158.</w:t>
      </w:r>
      <w:r w:rsidRPr="00BE433D">
        <w:tab/>
        <w:t xml:space="preserve">При этом за счет повышения фондовооруженности сельского хозяйства Республики (поставка сельхозтехники по лизингу, оборудования для агропереработки по лизингу) общая занятость в сельхозпроизводстве по сравнению с 2018 годом </w:t>
      </w:r>
      <w:r w:rsidRPr="00BE433D">
        <w:br/>
        <w:t>(23 % общей занятости по республике) в 2019 году уменьшилась и составила 20,3 %. Это послужило сокращению использования ручного труда и, соответственно, возможного детского труда.</w:t>
      </w:r>
    </w:p>
    <w:p w14:paraId="506B67B1" w14:textId="77777777" w:rsidR="009D5435" w:rsidRPr="00BE433D" w:rsidRDefault="009D5435" w:rsidP="009D5435">
      <w:pPr>
        <w:pStyle w:val="SingleTxtG"/>
        <w:tabs>
          <w:tab w:val="clear" w:pos="2268"/>
        </w:tabs>
      </w:pPr>
      <w:r w:rsidRPr="00BE433D">
        <w:t>159.</w:t>
      </w:r>
      <w:r w:rsidRPr="00BE433D">
        <w:tab/>
        <w:t>В целях реализации требований и положений Конвенции МОТ «Об инспекции труда», Трудового кодекса и других нормативных правовых актов, а также обеспечения защиты трудовых прав граждан, включая право на безопасные условия труда, в течение девяти месяцев 2019 года инспекторами труда осуществлен систематический надзор и контроль за соблюдением трудового законодательства.</w:t>
      </w:r>
    </w:p>
    <w:p w14:paraId="4375C36C" w14:textId="77777777" w:rsidR="009D5435" w:rsidRPr="00BE433D" w:rsidRDefault="009D5435" w:rsidP="009D5435">
      <w:pPr>
        <w:pStyle w:val="SingleTxtG"/>
        <w:tabs>
          <w:tab w:val="clear" w:pos="2268"/>
        </w:tabs>
      </w:pPr>
      <w:r w:rsidRPr="00BE433D">
        <w:t>160.</w:t>
      </w:r>
      <w:r w:rsidRPr="00BE433D">
        <w:tab/>
        <w:t xml:space="preserve">Всего проведено 504 проверок, из них на предприятиях и в организациях с негосударственной формой собственностью — 117, государственных — </w:t>
      </w:r>
      <w:r w:rsidRPr="00BE433D">
        <w:br/>
        <w:t>361, физических лиц — 22.</w:t>
      </w:r>
    </w:p>
    <w:p w14:paraId="17D6E313" w14:textId="77777777" w:rsidR="009D5435" w:rsidRPr="00BE433D" w:rsidRDefault="009D5435" w:rsidP="009D5435">
      <w:pPr>
        <w:pStyle w:val="SingleTxtG"/>
        <w:tabs>
          <w:tab w:val="clear" w:pos="2268"/>
        </w:tabs>
      </w:pPr>
      <w:r w:rsidRPr="00BE433D">
        <w:t>161.</w:t>
      </w:r>
      <w:r w:rsidRPr="00BE433D">
        <w:tab/>
        <w:t xml:space="preserve">В целях устранения и пресечения выявленных в ходе </w:t>
      </w:r>
      <w:proofErr w:type="spellStart"/>
      <w:r w:rsidRPr="00BE433D">
        <w:t>надзорно</w:t>
      </w:r>
      <w:proofErr w:type="spellEnd"/>
      <w:r w:rsidRPr="00BE433D">
        <w:t>-контрольной деятельности нарушений трудового законодательства и предупреждения типичных правонарушений в данной сфере за девять месяцев 2019 года государственными инспекторами труда выдано работодателям 259 обязательных для исполнения предписаний.</w:t>
      </w:r>
    </w:p>
    <w:p w14:paraId="29D20567" w14:textId="77777777" w:rsidR="009D5435" w:rsidRPr="00BE433D" w:rsidRDefault="009D5435" w:rsidP="009D5435">
      <w:pPr>
        <w:pStyle w:val="SingleTxtG"/>
        <w:tabs>
          <w:tab w:val="clear" w:pos="2268"/>
        </w:tabs>
      </w:pPr>
      <w:r w:rsidRPr="00BE433D">
        <w:t>162.</w:t>
      </w:r>
      <w:r w:rsidRPr="00BE433D">
        <w:tab/>
        <w:t>Чаще всего труд несовершеннолетних использовался и используется в летний период (время каникул), в основном на работах по уборке и благоустройству территорий, парков, в сельском хозяйстве (независимо от форм собственности и от сезона) в качестве подсобных рабочих, работа в качестве реализаторов товара на рынках и базарах, официантов кафе и курьеров. Именно поэтому не все работодатели составляют письменные документы о сотрудничестве, ограничиваясь только устным соглашением, а это не всегда правомерно по отношению к подросткам, не имеющим трудовой книжки и не знающим трудового законодательства, т. е. своих трудовых прав.</w:t>
      </w:r>
    </w:p>
    <w:p w14:paraId="79260E6A" w14:textId="77777777" w:rsidR="009D5435" w:rsidRPr="00BE433D" w:rsidRDefault="009D5435" w:rsidP="009D5435">
      <w:pPr>
        <w:pStyle w:val="SingleTxtG"/>
        <w:tabs>
          <w:tab w:val="clear" w:pos="2268"/>
        </w:tabs>
      </w:pPr>
      <w:r w:rsidRPr="00BE433D">
        <w:t>163.</w:t>
      </w:r>
      <w:r w:rsidRPr="00BE433D">
        <w:tab/>
        <w:t>Согласно нормативным правовым актам, госинспектор труда не вправе произвести проверку неожиданно для работодателя, намеренно нарушающего права подростка, т</w:t>
      </w:r>
      <w:r>
        <w:t>ак как</w:t>
      </w:r>
      <w:r w:rsidRPr="00BE433D">
        <w:t xml:space="preserve"> о проведении плановой проверки субъект предпринимательства должен быть письменно предупрежден не менее чем за 10 календарных дней до даты начала проведения проверки путем письменного извещения, т. е. даже при наличии применения детского труда к моменту осуществления плановой проверки факты детского труда определить практически невозможно.</w:t>
      </w:r>
    </w:p>
    <w:p w14:paraId="4403FC15" w14:textId="77777777" w:rsidR="009D5435" w:rsidRPr="00BE433D" w:rsidRDefault="009D5435" w:rsidP="009D5435">
      <w:pPr>
        <w:pStyle w:val="SingleTxtG"/>
        <w:tabs>
          <w:tab w:val="clear" w:pos="2268"/>
        </w:tabs>
      </w:pPr>
      <w:r w:rsidRPr="00BE433D">
        <w:t>164.</w:t>
      </w:r>
      <w:r w:rsidRPr="00BE433D">
        <w:tab/>
        <w:t xml:space="preserve">За </w:t>
      </w:r>
      <w:r>
        <w:t>9</w:t>
      </w:r>
      <w:r w:rsidRPr="00BE433D">
        <w:t xml:space="preserve"> месяцев 2019 года инспекторами труда при проведении проверок и 64 совместных рейдах, организованных правоохранительными органами и социальными службами, выявлен 229 лиц, не достигших 18 лет, работающих во вредных и тяжелых условиях труда, выполнение которых может причинить вред их здоровью и нравственному развитию: в том числе не достигших 14 лет — 6 мужского пола, не достигших 14 лет женского пола не выявлено, свыше 14 лет мужского </w:t>
      </w:r>
      <w:r w:rsidRPr="00BE433D">
        <w:br/>
        <w:t>пола — 203 лица и лиц свыше 14 лет женского пола — 20.</w:t>
      </w:r>
    </w:p>
    <w:p w14:paraId="67EA89F8" w14:textId="77777777" w:rsidR="009D5435" w:rsidRPr="00BE433D" w:rsidRDefault="009D5435" w:rsidP="009D5435">
      <w:pPr>
        <w:pStyle w:val="SingleTxtG"/>
        <w:tabs>
          <w:tab w:val="clear" w:pos="2268"/>
        </w:tabs>
      </w:pPr>
      <w:r w:rsidRPr="00BE433D">
        <w:t>165.</w:t>
      </w:r>
      <w:r w:rsidRPr="00BE433D">
        <w:tab/>
        <w:t xml:space="preserve">За </w:t>
      </w:r>
      <w:r>
        <w:t>9</w:t>
      </w:r>
      <w:r w:rsidRPr="00BE433D">
        <w:t xml:space="preserve"> месяцев 2019 года ГИЭТБ не выявлены факты принудительного привлечения к труду лиц, не достигших 18 лет.</w:t>
      </w:r>
    </w:p>
    <w:p w14:paraId="2BBBCEDB" w14:textId="77777777" w:rsidR="009D5435" w:rsidRPr="00BE433D" w:rsidRDefault="009D5435" w:rsidP="009D5435">
      <w:pPr>
        <w:pStyle w:val="H1G"/>
      </w:pPr>
      <w:r w:rsidRPr="00BE433D">
        <w:tab/>
      </w:r>
      <w:r w:rsidRPr="00BE433D">
        <w:tab/>
        <w:t>Статья 15</w:t>
      </w:r>
      <w:r w:rsidRPr="00BE433D">
        <w:br/>
        <w:t>Доступ к системе социального обеспечения</w:t>
      </w:r>
    </w:p>
    <w:p w14:paraId="5EFB6047" w14:textId="77777777" w:rsidR="009D5435" w:rsidRPr="00BE433D" w:rsidRDefault="009D5435" w:rsidP="009D5435">
      <w:pPr>
        <w:pStyle w:val="SingleTxtG"/>
        <w:tabs>
          <w:tab w:val="clear" w:pos="2268"/>
        </w:tabs>
      </w:pPr>
      <w:r w:rsidRPr="00BE433D">
        <w:t>166.</w:t>
      </w:r>
      <w:r w:rsidRPr="00BE433D">
        <w:tab/>
        <w:t>В соответствии с законодательством в сфере пенсионного обеспечения право на пенсию имеют граждане КР, иностранные граждане и лица без гражданства, проживающие в республике и уплачивающие страховые взносы.</w:t>
      </w:r>
    </w:p>
    <w:p w14:paraId="6CA970E3" w14:textId="77777777" w:rsidR="009D5435" w:rsidRPr="00BE433D" w:rsidRDefault="009D5435" w:rsidP="009D5435">
      <w:pPr>
        <w:pStyle w:val="SingleTxtG"/>
        <w:tabs>
          <w:tab w:val="clear" w:pos="2268"/>
        </w:tabs>
      </w:pPr>
      <w:r w:rsidRPr="00BE433D">
        <w:t>167.</w:t>
      </w:r>
      <w:r w:rsidRPr="00BE433D">
        <w:tab/>
        <w:t>Правительством принята и реализована Программа развития социальной защиты населения на 2015–2017 годы.</w:t>
      </w:r>
    </w:p>
    <w:p w14:paraId="3B5CA04A" w14:textId="77777777" w:rsidR="009D5435" w:rsidRPr="00BE433D" w:rsidRDefault="009D5435" w:rsidP="009D5435">
      <w:pPr>
        <w:pStyle w:val="SingleTxtG"/>
        <w:tabs>
          <w:tab w:val="clear" w:pos="2268"/>
        </w:tabs>
      </w:pPr>
      <w:r w:rsidRPr="00BE433D">
        <w:t>168.</w:t>
      </w:r>
      <w:r w:rsidRPr="00BE433D">
        <w:tab/>
        <w:t>Постановлением правительства (2017 год) утверждена Программа правительства по поддержке семьи и защите детей на 2018–2028 годы.</w:t>
      </w:r>
    </w:p>
    <w:p w14:paraId="6B7DF90B" w14:textId="77777777" w:rsidR="009D5435" w:rsidRPr="00BE433D" w:rsidRDefault="009D5435" w:rsidP="009D5435">
      <w:pPr>
        <w:pStyle w:val="SingleTxtG"/>
        <w:tabs>
          <w:tab w:val="clear" w:pos="2268"/>
        </w:tabs>
      </w:pPr>
      <w:r w:rsidRPr="00BE433D">
        <w:t>169.</w:t>
      </w:r>
      <w:r w:rsidRPr="00BE433D">
        <w:tab/>
        <w:t xml:space="preserve">В соответствии с Законом «О государственном социальном заказе», </w:t>
      </w:r>
      <w:r w:rsidRPr="00BE433D">
        <w:br/>
        <w:t>в 2014–2016 годы создан 21 Центр для предоставления социальных услуг семьям и детям, находящимся в трудной жизненной ситуации, где получили социальные услуги 11 460 человек.</w:t>
      </w:r>
    </w:p>
    <w:p w14:paraId="5AC803BF" w14:textId="77777777" w:rsidR="009D5435" w:rsidRPr="00BE433D" w:rsidRDefault="009D5435" w:rsidP="009D5435">
      <w:pPr>
        <w:pStyle w:val="SingleTxtG"/>
        <w:tabs>
          <w:tab w:val="clear" w:pos="2268"/>
        </w:tabs>
      </w:pPr>
      <w:r w:rsidRPr="00BE433D">
        <w:t>170.</w:t>
      </w:r>
      <w:r w:rsidRPr="00BE433D">
        <w:tab/>
        <w:t>По состоянию на 1 января 2020 года:</w:t>
      </w:r>
    </w:p>
    <w:p w14:paraId="46448DD4" w14:textId="77777777" w:rsidR="009D5435" w:rsidRPr="00BE433D" w:rsidRDefault="009D5435" w:rsidP="009D5435">
      <w:pPr>
        <w:pStyle w:val="Bullet1G"/>
        <w:numPr>
          <w:ilvl w:val="0"/>
          <w:numId w:val="0"/>
        </w:numPr>
        <w:tabs>
          <w:tab w:val="left" w:pos="1701"/>
        </w:tabs>
        <w:ind w:left="1701" w:hanging="170"/>
      </w:pPr>
      <w:r w:rsidRPr="00BE433D">
        <w:t>•</w:t>
      </w:r>
      <w:r w:rsidRPr="00BE433D">
        <w:tab/>
        <w:t>численность пенсионеров составила 670,4 тыс. человек или на 19,2 тыс. человек (или на 3 %) больше, чем в 2018 году — 651,2;</w:t>
      </w:r>
    </w:p>
    <w:p w14:paraId="4F01D6E1" w14:textId="77777777" w:rsidR="009D5435" w:rsidRPr="00BE433D" w:rsidRDefault="009D5435" w:rsidP="009D5435">
      <w:pPr>
        <w:pStyle w:val="Bullet1G"/>
        <w:numPr>
          <w:ilvl w:val="0"/>
          <w:numId w:val="0"/>
        </w:numPr>
        <w:tabs>
          <w:tab w:val="left" w:pos="1701"/>
        </w:tabs>
        <w:ind w:left="1701" w:hanging="170"/>
      </w:pPr>
      <w:r w:rsidRPr="00BE433D">
        <w:t>•</w:t>
      </w:r>
      <w:r w:rsidRPr="00BE433D">
        <w:tab/>
        <w:t>средний размер пенсии составил 5786 сомов, или 135 % прожиточного минимума пенсионера, что больше на 3,2 % по сравнению с аналогичным показателем на 1 января 2019 года;</w:t>
      </w:r>
    </w:p>
    <w:p w14:paraId="149D5FEA" w14:textId="77777777" w:rsidR="009D5435" w:rsidRPr="00BE433D" w:rsidRDefault="009D5435" w:rsidP="009D5435">
      <w:pPr>
        <w:pStyle w:val="Bullet1G"/>
        <w:numPr>
          <w:ilvl w:val="0"/>
          <w:numId w:val="0"/>
        </w:numPr>
        <w:tabs>
          <w:tab w:val="left" w:pos="1701"/>
        </w:tabs>
        <w:ind w:left="1701" w:hanging="170"/>
      </w:pPr>
      <w:r w:rsidRPr="00BE433D">
        <w:t>•</w:t>
      </w:r>
      <w:r w:rsidRPr="00BE433D">
        <w:tab/>
        <w:t>количество пенсионеров — женщин по республике, состоящих на учете в Социальном фонде, составляет 449,6 тыс. человек или 67,1 % общего количества пенсионеров.</w:t>
      </w:r>
    </w:p>
    <w:p w14:paraId="7475563E" w14:textId="77777777" w:rsidR="009D5435" w:rsidRPr="00BE433D" w:rsidRDefault="009D5435" w:rsidP="009D5435">
      <w:pPr>
        <w:pStyle w:val="SingleTxtG"/>
        <w:tabs>
          <w:tab w:val="clear" w:pos="2268"/>
        </w:tabs>
      </w:pPr>
      <w:r w:rsidRPr="00BE433D">
        <w:t>171.</w:t>
      </w:r>
      <w:r w:rsidRPr="00BE433D">
        <w:tab/>
        <w:t>В целях обеспечения дальнейшей поддержки жизненного уровня пенсионеров приняты постановления правительства «Об индексации базовой части пенсий, общий размер которых ниже величины прожиточного минимума пенсионера, сложившейся за предыдущий год, с 1 октября 2019 года» (2019 год) и «Об индексации размеров страховых частей пенсии с 1 октября 2019 года» (2019 год), в соответствии с которыми:</w:t>
      </w:r>
    </w:p>
    <w:p w14:paraId="547A783E" w14:textId="77777777" w:rsidR="009D5435" w:rsidRPr="00BE433D" w:rsidRDefault="009D5435" w:rsidP="009D5435">
      <w:pPr>
        <w:pStyle w:val="Bullet1G"/>
        <w:numPr>
          <w:ilvl w:val="0"/>
          <w:numId w:val="0"/>
        </w:numPr>
        <w:tabs>
          <w:tab w:val="left" w:pos="1701"/>
        </w:tabs>
        <w:ind w:left="1134"/>
      </w:pPr>
      <w:r w:rsidRPr="00BE433D">
        <w:t>172.</w:t>
      </w:r>
      <w:r w:rsidRPr="00BE433D">
        <w:tab/>
        <w:t xml:space="preserve">осуществлена индексация базовой части пенсии на 105 %, или на 100 сомов. При этом базовая часть пенсии проиндексирована, если общий размер пенсии ниже величины прожиточного минимума пенсионера за предыдущий год, в размере </w:t>
      </w:r>
      <w:r w:rsidRPr="00BE433D">
        <w:br/>
        <w:t>4283 сомов. Повышение произведено для 38 % пенсионеров, или 241,5 тыс. человек от общего числа пенсионеров;</w:t>
      </w:r>
    </w:p>
    <w:p w14:paraId="7963B5C4" w14:textId="77777777" w:rsidR="009D5435" w:rsidRPr="00BE433D" w:rsidRDefault="009D5435" w:rsidP="009D5435">
      <w:pPr>
        <w:pStyle w:val="Bullet1G"/>
        <w:numPr>
          <w:ilvl w:val="0"/>
          <w:numId w:val="0"/>
        </w:numPr>
        <w:tabs>
          <w:tab w:val="left" w:pos="1701"/>
        </w:tabs>
        <w:ind w:left="1134"/>
      </w:pPr>
      <w:r w:rsidRPr="00BE433D">
        <w:t>173.</w:t>
      </w:r>
      <w:r w:rsidRPr="00BE433D">
        <w:tab/>
        <w:t xml:space="preserve">произведена индексация размеров страховых частей пенсий на коэффициент 1,05, но не менее чем на 200 сомов для пенсий, общий размер которых не превышает 4283 сомов, и не менее чем на 320 сомов для пенсий, общий размер которых составляет и превышает 4283 сома. </w:t>
      </w:r>
    </w:p>
    <w:p w14:paraId="014118D8" w14:textId="77777777" w:rsidR="009D5435" w:rsidRPr="00BE433D" w:rsidRDefault="009D5435" w:rsidP="009D5435">
      <w:pPr>
        <w:pStyle w:val="SingleTxtG"/>
        <w:tabs>
          <w:tab w:val="clear" w:pos="2268"/>
        </w:tabs>
      </w:pPr>
      <w:r w:rsidRPr="00BE433D">
        <w:t>174.</w:t>
      </w:r>
      <w:r w:rsidRPr="00BE433D">
        <w:tab/>
        <w:t>В 2010 году соотношение среднего размера пенсии и прожиточного минимума пенсионера составляло около 89 %.</w:t>
      </w:r>
    </w:p>
    <w:p w14:paraId="3962B4AA" w14:textId="77777777" w:rsidR="009D5435" w:rsidRPr="00BE433D" w:rsidRDefault="009D5435" w:rsidP="009D5435">
      <w:pPr>
        <w:pStyle w:val="SingleTxtG"/>
        <w:tabs>
          <w:tab w:val="clear" w:pos="2268"/>
        </w:tabs>
      </w:pPr>
      <w:r w:rsidRPr="00BE433D">
        <w:t>175.</w:t>
      </w:r>
      <w:r w:rsidRPr="00BE433D">
        <w:tab/>
        <w:t xml:space="preserve">Учитывая гендерные аспекты, право на пенсию по возрасту имеют женщины, достигшие возраста 58 лет, при страховом стаже 20 лет, тогда как для мужчин установленный возраст и стаж превышают на пять лет (возраст — 63 года, стаж — </w:t>
      </w:r>
      <w:r w:rsidRPr="00BE433D">
        <w:br/>
        <w:t>25 лет).</w:t>
      </w:r>
    </w:p>
    <w:p w14:paraId="1AB9BF51" w14:textId="77777777" w:rsidR="009D5435" w:rsidRPr="00BE433D" w:rsidRDefault="009D5435" w:rsidP="009D5435">
      <w:pPr>
        <w:pStyle w:val="SingleTxtG"/>
        <w:tabs>
          <w:tab w:val="clear" w:pos="2268"/>
        </w:tabs>
      </w:pPr>
      <w:r w:rsidRPr="00BE433D">
        <w:t>176.</w:t>
      </w:r>
      <w:r w:rsidRPr="00BE433D">
        <w:tab/>
        <w:t>Также законодательством предусмотрены досрочные пенсии по возрасту в зависимости от условий проживания, количества детей и условий труда.</w:t>
      </w:r>
    </w:p>
    <w:p w14:paraId="62ED5865" w14:textId="77777777" w:rsidR="009D5435" w:rsidRPr="00BE433D" w:rsidRDefault="009D5435" w:rsidP="009D5435">
      <w:pPr>
        <w:pStyle w:val="SingleTxtG"/>
        <w:tabs>
          <w:tab w:val="clear" w:pos="2268"/>
        </w:tabs>
      </w:pPr>
      <w:r w:rsidRPr="00BE433D">
        <w:t>177.</w:t>
      </w:r>
      <w:r w:rsidRPr="00BE433D">
        <w:tab/>
        <w:t>Законом «О государственном пенсионном социальном страховании» установлен и поддерживается механизм индексации пенсий.</w:t>
      </w:r>
    </w:p>
    <w:p w14:paraId="46650FF4" w14:textId="77777777" w:rsidR="009D5435" w:rsidRPr="00BE433D" w:rsidRDefault="009D5435" w:rsidP="009D5435">
      <w:pPr>
        <w:pStyle w:val="SingleTxtG"/>
        <w:tabs>
          <w:tab w:val="clear" w:pos="2268"/>
        </w:tabs>
      </w:pPr>
      <w:r w:rsidRPr="00BE433D">
        <w:t>178.</w:t>
      </w:r>
      <w:r w:rsidRPr="00BE433D">
        <w:tab/>
        <w:t xml:space="preserve">Индексация пенсий проводится ежегодно в пределах средств, предусмотренных в бюджете Социального фонда. </w:t>
      </w:r>
    </w:p>
    <w:p w14:paraId="2E21E7BF" w14:textId="77777777" w:rsidR="009D5435" w:rsidRPr="00BE433D" w:rsidRDefault="009D5435" w:rsidP="009D5435">
      <w:pPr>
        <w:pStyle w:val="SingleTxtG"/>
        <w:tabs>
          <w:tab w:val="clear" w:pos="2268"/>
        </w:tabs>
      </w:pPr>
      <w:r w:rsidRPr="00BE433D">
        <w:t>179.</w:t>
      </w:r>
      <w:r w:rsidRPr="00BE433D">
        <w:tab/>
        <w:t>В соответствии с Законом «О государственных пособиях в Кыргызской Республике» право на ежемесячное социальное пособие имеют:</w:t>
      </w:r>
    </w:p>
    <w:p w14:paraId="65C457A3" w14:textId="77777777" w:rsidR="009D5435" w:rsidRPr="00BE433D" w:rsidRDefault="009D5435" w:rsidP="009D5435">
      <w:pPr>
        <w:pStyle w:val="Bullet1G"/>
        <w:numPr>
          <w:ilvl w:val="0"/>
          <w:numId w:val="0"/>
        </w:numPr>
        <w:tabs>
          <w:tab w:val="left" w:pos="1701"/>
        </w:tabs>
        <w:ind w:left="1701" w:hanging="170"/>
      </w:pPr>
      <w:r w:rsidRPr="00BE433D">
        <w:t>•</w:t>
      </w:r>
      <w:r w:rsidRPr="00BE433D">
        <w:tab/>
        <w:t>мужчины — по достижении возраста 65 лет;</w:t>
      </w:r>
    </w:p>
    <w:p w14:paraId="3862EC78" w14:textId="77777777" w:rsidR="009D5435" w:rsidRPr="00BE433D" w:rsidRDefault="009D5435" w:rsidP="009D5435">
      <w:pPr>
        <w:pStyle w:val="Bullet1G"/>
        <w:numPr>
          <w:ilvl w:val="0"/>
          <w:numId w:val="0"/>
        </w:numPr>
        <w:tabs>
          <w:tab w:val="left" w:pos="1701"/>
        </w:tabs>
        <w:ind w:left="1701" w:hanging="170"/>
      </w:pPr>
      <w:r w:rsidRPr="00BE433D">
        <w:t>•</w:t>
      </w:r>
      <w:r w:rsidRPr="00BE433D">
        <w:tab/>
        <w:t xml:space="preserve">женщины — по достижении возраста 60 лет. </w:t>
      </w:r>
    </w:p>
    <w:p w14:paraId="461692C8" w14:textId="77777777" w:rsidR="009D5435" w:rsidRPr="00BE433D" w:rsidRDefault="009D5435" w:rsidP="009D5435">
      <w:pPr>
        <w:pStyle w:val="SingleTxtG"/>
        <w:tabs>
          <w:tab w:val="clear" w:pos="2268"/>
        </w:tabs>
      </w:pPr>
      <w:r w:rsidRPr="00BE433D">
        <w:t>180.</w:t>
      </w:r>
      <w:r w:rsidRPr="00BE433D">
        <w:tab/>
        <w:t>Ежемесячное социальное пособие назначается лицам, не имеющим право на пенсионное обеспечение, по линии Социального фонда.</w:t>
      </w:r>
    </w:p>
    <w:p w14:paraId="6B09DEAA" w14:textId="77777777" w:rsidR="009D5435" w:rsidRPr="00BE433D" w:rsidRDefault="009D5435" w:rsidP="009D5435">
      <w:pPr>
        <w:pStyle w:val="SingleTxtG"/>
        <w:tabs>
          <w:tab w:val="clear" w:pos="2268"/>
        </w:tabs>
      </w:pPr>
      <w:r w:rsidRPr="00BE433D">
        <w:t>181.</w:t>
      </w:r>
      <w:r w:rsidRPr="00BE433D">
        <w:tab/>
        <w:t xml:space="preserve">Размер пособия составляет 1000 сомов. </w:t>
      </w:r>
    </w:p>
    <w:p w14:paraId="74B0220E" w14:textId="77777777" w:rsidR="009D5435" w:rsidRPr="00BE433D" w:rsidRDefault="009D5435" w:rsidP="009D5435">
      <w:pPr>
        <w:pStyle w:val="SingleTxtG"/>
        <w:tabs>
          <w:tab w:val="clear" w:pos="2268"/>
        </w:tabs>
      </w:pPr>
      <w:r w:rsidRPr="00BE433D">
        <w:t>182.</w:t>
      </w:r>
      <w:r w:rsidRPr="00BE433D">
        <w:tab/>
        <w:t>На 1 января 2020 года в Республике более 1546 пожилых граждан, не имеющих права на пенсионное обеспечение, получают ежемесячное социальное пособие в размере 1000 сомов.</w:t>
      </w:r>
    </w:p>
    <w:p w14:paraId="24176E7F" w14:textId="77777777" w:rsidR="009D5435" w:rsidRPr="00BE433D" w:rsidRDefault="009D5435" w:rsidP="009D5435">
      <w:pPr>
        <w:pStyle w:val="SingleTxtG"/>
        <w:tabs>
          <w:tab w:val="clear" w:pos="2268"/>
        </w:tabs>
      </w:pPr>
      <w:r w:rsidRPr="00BE433D">
        <w:t>183.</w:t>
      </w:r>
      <w:r w:rsidRPr="00BE433D">
        <w:tab/>
        <w:t>В целях усиления страховых принципов назначения пенсий и повышения пенсионного обеспечения законодательством предусматривается:</w:t>
      </w:r>
    </w:p>
    <w:p w14:paraId="31F6B7E8" w14:textId="77777777" w:rsidR="009D5435" w:rsidRPr="00BE433D" w:rsidRDefault="009D5435" w:rsidP="009D5435">
      <w:pPr>
        <w:pStyle w:val="Bullet1G"/>
        <w:numPr>
          <w:ilvl w:val="0"/>
          <w:numId w:val="0"/>
        </w:numPr>
        <w:tabs>
          <w:tab w:val="left" w:pos="1701"/>
        </w:tabs>
        <w:ind w:left="1701" w:hanging="170"/>
      </w:pPr>
      <w:r w:rsidRPr="00BE433D">
        <w:t>•</w:t>
      </w:r>
      <w:r w:rsidRPr="00BE433D">
        <w:tab/>
        <w:t xml:space="preserve">единый механизм индексации страховых частей пенсии, ориентированный на уровень инфляции (ИПЦ) и рост средней заработной платы (СМЗ) в экономике, но при этом предусматривается минимальный порог повышения не менее роста величины прожиточного минимума пенсионера за предыдущий год; </w:t>
      </w:r>
    </w:p>
    <w:p w14:paraId="60FA1AD8" w14:textId="77777777" w:rsidR="009D5435" w:rsidRPr="00BE433D" w:rsidRDefault="009D5435" w:rsidP="009D5435">
      <w:pPr>
        <w:pStyle w:val="Bullet1G"/>
        <w:numPr>
          <w:ilvl w:val="0"/>
          <w:numId w:val="0"/>
        </w:numPr>
        <w:tabs>
          <w:tab w:val="left" w:pos="1701"/>
        </w:tabs>
        <w:ind w:left="1701" w:hanging="170"/>
      </w:pPr>
      <w:r w:rsidRPr="00BE433D">
        <w:t>•</w:t>
      </w:r>
      <w:r w:rsidRPr="00BE433D">
        <w:tab/>
        <w:t>для пенсий размерами ниже ПМП базовая часть пенсии индексируется на рост средней заработной платы по Республике, сложившейся за предыдущий год;</w:t>
      </w:r>
    </w:p>
    <w:p w14:paraId="75E4A8F5" w14:textId="77777777" w:rsidR="009D5435" w:rsidRPr="00BE433D" w:rsidRDefault="009D5435" w:rsidP="009D5435">
      <w:pPr>
        <w:pStyle w:val="Bullet1G"/>
        <w:numPr>
          <w:ilvl w:val="0"/>
          <w:numId w:val="0"/>
        </w:numPr>
        <w:tabs>
          <w:tab w:val="left" w:pos="1701"/>
        </w:tabs>
        <w:ind w:left="1701" w:hanging="170"/>
      </w:pPr>
      <w:r w:rsidRPr="00BE433D">
        <w:t>•</w:t>
      </w:r>
      <w:r w:rsidRPr="00BE433D">
        <w:tab/>
        <w:t>сумма накопленных взносов за весь период их уплаты, учтенных в условной части личного страхового счета, ежегодно индексируется в зависимости от величины индекса потребительских цен, фактически сложившегося за предыдущий год;</w:t>
      </w:r>
    </w:p>
    <w:p w14:paraId="6032ACB3" w14:textId="77777777" w:rsidR="009D5435" w:rsidRPr="00BE433D" w:rsidRDefault="009D5435" w:rsidP="009D5435">
      <w:pPr>
        <w:pStyle w:val="Bullet1G"/>
        <w:numPr>
          <w:ilvl w:val="0"/>
          <w:numId w:val="0"/>
        </w:numPr>
        <w:tabs>
          <w:tab w:val="left" w:pos="1701"/>
        </w:tabs>
        <w:ind w:left="1701" w:hanging="170"/>
      </w:pPr>
      <w:r w:rsidRPr="00BE433D">
        <w:t>•</w:t>
      </w:r>
      <w:r w:rsidRPr="00BE433D">
        <w:tab/>
        <w:t xml:space="preserve">в целях социальной поддержки уязвимых групп населения пенсии инвалидов </w:t>
      </w:r>
      <w:r w:rsidRPr="00BE433D">
        <w:br/>
        <w:t xml:space="preserve">первой группы доводятся до прожиточного минимума пенсионера, сложившегося за предыдущий год. </w:t>
      </w:r>
    </w:p>
    <w:p w14:paraId="131825DF" w14:textId="77777777" w:rsidR="009D5435" w:rsidRPr="00BE433D" w:rsidRDefault="009D5435" w:rsidP="009D5435">
      <w:pPr>
        <w:pStyle w:val="H23G"/>
      </w:pPr>
      <w:r w:rsidRPr="00BE433D">
        <w:tab/>
      </w:r>
      <w:r w:rsidRPr="00BE433D">
        <w:tab/>
        <w:t>Пособие по беременности и родам</w:t>
      </w:r>
    </w:p>
    <w:p w14:paraId="2071A37F" w14:textId="77777777" w:rsidR="009D5435" w:rsidRPr="00BE433D" w:rsidRDefault="009D5435" w:rsidP="009D5435">
      <w:pPr>
        <w:pStyle w:val="SingleTxtG"/>
        <w:tabs>
          <w:tab w:val="clear" w:pos="2268"/>
        </w:tabs>
      </w:pPr>
      <w:r w:rsidRPr="00BE433D">
        <w:t>184.</w:t>
      </w:r>
      <w:r w:rsidRPr="00BE433D">
        <w:tab/>
        <w:t>Согласно трудовому законодательству, работающим женщинам, а также индивидуальным предпринимателям, членам крестьянских (фермерских) хозяйств, официальным безработным с правом на пособие по безработице по их заявлению и на основании медицинского заключения предоставляется отпуск по беременности и родам продолжительностью от 126 до 180 календарных дней, с выплатой за этот период пособия по беременности и родам в размере, установленном законодательством.</w:t>
      </w:r>
    </w:p>
    <w:p w14:paraId="4299FD8D" w14:textId="7D699DA8" w:rsidR="009D5435" w:rsidRPr="00BE433D" w:rsidRDefault="009D5435" w:rsidP="009D5435">
      <w:pPr>
        <w:pStyle w:val="SingleTxtG"/>
        <w:tabs>
          <w:tab w:val="clear" w:pos="2268"/>
        </w:tabs>
      </w:pPr>
      <w:r w:rsidRPr="00BE433D">
        <w:t>185.</w:t>
      </w:r>
      <w:r w:rsidRPr="00BE433D">
        <w:tab/>
        <w:t>По состоянию на 1 января 2020 года, общая численность получателей пособия по беременности и родам составляет 38 538 человек, средний размер пособия — 8673</w:t>
      </w:r>
      <w:r w:rsidR="00DE2D04">
        <w:t> </w:t>
      </w:r>
      <w:r w:rsidRPr="00BE433D">
        <w:t>сома.</w:t>
      </w:r>
    </w:p>
    <w:p w14:paraId="28A0EFD4" w14:textId="77777777" w:rsidR="009D5435" w:rsidRPr="00BE433D" w:rsidRDefault="009D5435" w:rsidP="009D5435">
      <w:pPr>
        <w:pStyle w:val="H23G"/>
      </w:pPr>
      <w:r w:rsidRPr="00BE433D">
        <w:tab/>
      </w:r>
      <w:r w:rsidRPr="00BE433D">
        <w:tab/>
        <w:t>Ритуальное пособие</w:t>
      </w:r>
    </w:p>
    <w:p w14:paraId="411D572E" w14:textId="77777777" w:rsidR="009D5435" w:rsidRPr="00BE433D" w:rsidRDefault="009D5435" w:rsidP="009D5435">
      <w:pPr>
        <w:pStyle w:val="SingleTxtG"/>
        <w:tabs>
          <w:tab w:val="clear" w:pos="2268"/>
        </w:tabs>
      </w:pPr>
      <w:r w:rsidRPr="00BE433D">
        <w:t>186.</w:t>
      </w:r>
      <w:r w:rsidRPr="00BE433D">
        <w:tab/>
        <w:t>В соответствии с Законом «О гарантированных государственных минимальных социальных стандартах» в случае смерти граждан из средств республиканского/местного бюджета выплачивается ритуальное пособие (на погребение).</w:t>
      </w:r>
    </w:p>
    <w:p w14:paraId="1DA65E46" w14:textId="77777777" w:rsidR="009D5435" w:rsidRPr="00BE433D" w:rsidRDefault="009D5435" w:rsidP="009D5435">
      <w:pPr>
        <w:pStyle w:val="SingleTxtG"/>
        <w:tabs>
          <w:tab w:val="clear" w:pos="2268"/>
        </w:tabs>
      </w:pPr>
      <w:r w:rsidRPr="00BE433D">
        <w:t>187.</w:t>
      </w:r>
      <w:r w:rsidRPr="00BE433D">
        <w:tab/>
        <w:t>Размер среднемесячной заработной платы для расчета ритуального пособия (на погребение) установлен постановлением правительства (2012 год).</w:t>
      </w:r>
    </w:p>
    <w:p w14:paraId="127B5FC0" w14:textId="77777777" w:rsidR="009D5435" w:rsidRPr="00BE433D" w:rsidRDefault="009D5435" w:rsidP="009D5435">
      <w:pPr>
        <w:pStyle w:val="SingleTxtG"/>
        <w:tabs>
          <w:tab w:val="clear" w:pos="2268"/>
        </w:tabs>
      </w:pPr>
      <w:r w:rsidRPr="00BE433D">
        <w:t>188.</w:t>
      </w:r>
      <w:r w:rsidRPr="00BE433D">
        <w:tab/>
        <w:t>По состоянию на 1 января 2020 года, численность получателей ритуального пособия составила 2968 человек, средний размер пособия — 3419 сомов.</w:t>
      </w:r>
    </w:p>
    <w:p w14:paraId="221504B2" w14:textId="77777777" w:rsidR="009D5435" w:rsidRPr="00BE433D" w:rsidRDefault="009D5435" w:rsidP="009D5435">
      <w:pPr>
        <w:pStyle w:val="SingleTxtG"/>
        <w:tabs>
          <w:tab w:val="clear" w:pos="2268"/>
        </w:tabs>
      </w:pPr>
      <w:r w:rsidRPr="00BE433D">
        <w:t>189.</w:t>
      </w:r>
      <w:r w:rsidRPr="00BE433D">
        <w:tab/>
        <w:t>В целях обеспечения качества и безопасности социальных услуг внедрены два минимальных социальных стандарта социальных услуг для находящихся:</w:t>
      </w:r>
    </w:p>
    <w:p w14:paraId="1B61E022" w14:textId="77777777" w:rsidR="009D5435" w:rsidRPr="00BE433D" w:rsidRDefault="009D5435" w:rsidP="009D5435">
      <w:pPr>
        <w:pStyle w:val="Bullet1G"/>
        <w:numPr>
          <w:ilvl w:val="0"/>
          <w:numId w:val="0"/>
        </w:numPr>
        <w:tabs>
          <w:tab w:val="left" w:pos="1701"/>
        </w:tabs>
        <w:ind w:left="1701" w:hanging="170"/>
      </w:pPr>
      <w:r w:rsidRPr="00BE433D">
        <w:t>•</w:t>
      </w:r>
      <w:r w:rsidRPr="00BE433D">
        <w:tab/>
        <w:t>в социальных стационарных учреждениях при МТСР (17 ССУ);</w:t>
      </w:r>
    </w:p>
    <w:p w14:paraId="14E02610" w14:textId="77777777" w:rsidR="009D5435" w:rsidRPr="00BE433D" w:rsidRDefault="009D5435" w:rsidP="009D5435">
      <w:pPr>
        <w:pStyle w:val="Bullet1G"/>
        <w:numPr>
          <w:ilvl w:val="0"/>
          <w:numId w:val="0"/>
        </w:numPr>
        <w:tabs>
          <w:tab w:val="left" w:pos="1701"/>
        </w:tabs>
        <w:ind w:left="1701" w:hanging="170"/>
      </w:pPr>
      <w:r w:rsidRPr="00BE433D">
        <w:t>•</w:t>
      </w:r>
      <w:r w:rsidRPr="00BE433D">
        <w:tab/>
        <w:t>в полустационарных (в условиях дневного пребывания) учреждениях социального обслуживания.</w:t>
      </w:r>
    </w:p>
    <w:p w14:paraId="7620DFA4" w14:textId="77777777" w:rsidR="009D5435" w:rsidRPr="00BE433D" w:rsidRDefault="009D5435" w:rsidP="009D5435">
      <w:pPr>
        <w:pStyle w:val="SingleTxtG"/>
        <w:tabs>
          <w:tab w:val="clear" w:pos="2268"/>
        </w:tabs>
      </w:pPr>
      <w:r w:rsidRPr="00BE433D">
        <w:t>190.</w:t>
      </w:r>
      <w:r w:rsidRPr="00BE433D">
        <w:tab/>
        <w:t>В системе МТСР функционирует 17 социальных стационарных учреждений (далее — ССУ), из них 6 ССУ для пожилых граждан и лиц с инвалидностью.</w:t>
      </w:r>
    </w:p>
    <w:p w14:paraId="6630A0BE" w14:textId="77777777" w:rsidR="009D5435" w:rsidRPr="00BE433D" w:rsidRDefault="009D5435" w:rsidP="009D5435">
      <w:pPr>
        <w:pStyle w:val="SingleTxtG"/>
        <w:tabs>
          <w:tab w:val="clear" w:pos="2268"/>
        </w:tabs>
      </w:pPr>
      <w:r w:rsidRPr="00BE433D">
        <w:t>191.</w:t>
      </w:r>
      <w:r w:rsidRPr="00BE433D">
        <w:tab/>
        <w:t xml:space="preserve">В настоящее время в данных ССУ проживают 2364 получателя услуг, из которых 383 — пожилые граждане, 340 — ЛОВЗ, всего 723. </w:t>
      </w:r>
    </w:p>
    <w:p w14:paraId="72939720" w14:textId="77777777" w:rsidR="009D5435" w:rsidRPr="00BE433D" w:rsidRDefault="009D5435" w:rsidP="009D5435">
      <w:pPr>
        <w:pStyle w:val="SingleTxtG"/>
        <w:tabs>
          <w:tab w:val="clear" w:pos="2268"/>
        </w:tabs>
      </w:pPr>
      <w:r w:rsidRPr="00BE433D">
        <w:t>192.</w:t>
      </w:r>
      <w:r w:rsidRPr="00BE433D">
        <w:tab/>
        <w:t>925 социальных работников предоставляют бесплатные услуги на дому около 6,9 тыс. (6900) одиноко проживающим пожилым гражданам и ЛОВЗ, из них 4382 — пожилые граждане.</w:t>
      </w:r>
    </w:p>
    <w:p w14:paraId="23199B5E" w14:textId="77777777" w:rsidR="009D5435" w:rsidRPr="00BE433D" w:rsidRDefault="009D5435" w:rsidP="009D5435">
      <w:pPr>
        <w:pStyle w:val="SingleTxtG"/>
        <w:tabs>
          <w:tab w:val="clear" w:pos="2268"/>
        </w:tabs>
      </w:pPr>
      <w:r w:rsidRPr="00BE433D">
        <w:t>193.</w:t>
      </w:r>
      <w:r w:rsidRPr="00BE433D">
        <w:tab/>
        <w:t>В целях обеспечения безопасной и достойной жизни пожилых граждан постановлением правительства (2019 год) утвержден План мероприятий по повышению качества жизни пожилых граждан на 2019–2025 годы.</w:t>
      </w:r>
    </w:p>
    <w:p w14:paraId="286A18A0" w14:textId="77777777" w:rsidR="009D5435" w:rsidRPr="00BE433D" w:rsidRDefault="009D5435" w:rsidP="009D5435">
      <w:pPr>
        <w:pStyle w:val="SingleTxtG"/>
        <w:tabs>
          <w:tab w:val="clear" w:pos="2268"/>
        </w:tabs>
      </w:pPr>
      <w:r w:rsidRPr="00BE433D">
        <w:t>194.</w:t>
      </w:r>
      <w:r w:rsidRPr="00BE433D">
        <w:tab/>
        <w:t xml:space="preserve">Реализация Плана мероприятий обеспечит безопасную и достойную жизнь пожилых граждан, равноправно участвующих в политической, социальной, экономической и культурной сферах. </w:t>
      </w:r>
    </w:p>
    <w:p w14:paraId="093F83CD" w14:textId="77777777" w:rsidR="009D5435" w:rsidRPr="00BE433D" w:rsidRDefault="009D5435" w:rsidP="009D5435">
      <w:pPr>
        <w:pStyle w:val="SingleTxtG"/>
        <w:tabs>
          <w:tab w:val="clear" w:pos="2268"/>
        </w:tabs>
      </w:pPr>
      <w:r w:rsidRPr="00BE433D">
        <w:t>195.</w:t>
      </w:r>
      <w:r w:rsidRPr="00BE433D">
        <w:tab/>
        <w:t>В 2019 году в рамках реализации государственного социального заказа поддержано 56 социальных проектов, из них 8 проектов по поддержке дневных центров для пожилых граждан (2 проекта — по созданию, 6 проектов — по поддержке).</w:t>
      </w:r>
    </w:p>
    <w:p w14:paraId="64B0027F" w14:textId="77777777" w:rsidR="009D5435" w:rsidRPr="00BE433D" w:rsidRDefault="009D5435" w:rsidP="009D5435">
      <w:pPr>
        <w:pStyle w:val="SingleTxtG"/>
        <w:tabs>
          <w:tab w:val="clear" w:pos="2268"/>
        </w:tabs>
      </w:pPr>
      <w:r w:rsidRPr="00BE433D">
        <w:t>196.</w:t>
      </w:r>
      <w:r w:rsidRPr="00BE433D">
        <w:tab/>
        <w:t xml:space="preserve">На реализацию государственного социального заказа из республиканского бюджета в 2019 году предусмотрено 38,0 млн сомов. </w:t>
      </w:r>
    </w:p>
    <w:p w14:paraId="4F5CB6B9" w14:textId="77777777" w:rsidR="009D5435" w:rsidRPr="00BE433D" w:rsidRDefault="009D5435" w:rsidP="009D5435">
      <w:pPr>
        <w:pStyle w:val="SingleTxtG"/>
        <w:tabs>
          <w:tab w:val="clear" w:pos="2268"/>
        </w:tabs>
      </w:pPr>
      <w:r w:rsidRPr="00BE433D">
        <w:t>197.</w:t>
      </w:r>
      <w:r w:rsidRPr="00BE433D">
        <w:tab/>
        <w:t>В соответствии с постановлением правительства «О ежегодном проведении в Кыргызской Республике международных дней защиты детей, пожилых людей и инвалидов» (2012 год) ежегодно с 15 сентября по 15 октября по Республике проводится месячник «Внимание и заботу людям пожилого возраста».</w:t>
      </w:r>
    </w:p>
    <w:p w14:paraId="32DAC953" w14:textId="77777777" w:rsidR="009D5435" w:rsidRPr="00BE433D" w:rsidRDefault="009D5435" w:rsidP="009D5435">
      <w:pPr>
        <w:pStyle w:val="SingleTxtG"/>
        <w:tabs>
          <w:tab w:val="clear" w:pos="2268"/>
        </w:tabs>
      </w:pPr>
      <w:r w:rsidRPr="00BE433D">
        <w:t>198.</w:t>
      </w:r>
      <w:r w:rsidRPr="00BE433D">
        <w:tab/>
        <w:t>В рамках месячника государственные органы и исполнительные органы местного самоуправления оказали дополнительную поддержку пожилым гражданам на сумму 32,4 млн сомов (по итогам месячника 2018 года).</w:t>
      </w:r>
    </w:p>
    <w:p w14:paraId="0E6A4122" w14:textId="77777777" w:rsidR="009D5435" w:rsidRPr="00BE433D" w:rsidRDefault="009D5435" w:rsidP="009D5435">
      <w:pPr>
        <w:pStyle w:val="SingleTxtG"/>
        <w:tabs>
          <w:tab w:val="clear" w:pos="2268"/>
        </w:tabs>
      </w:pPr>
      <w:r w:rsidRPr="00BE433D">
        <w:t>199.</w:t>
      </w:r>
      <w:r w:rsidRPr="00BE433D">
        <w:tab/>
        <w:t>С 1 декабря 2019 года в случае рождения в семье тройни и более детей, за каждого ребенка назначается единовременное пособие «</w:t>
      </w:r>
      <w:proofErr w:type="spellStart"/>
      <w:r w:rsidRPr="00BE433D">
        <w:t>балага</w:t>
      </w:r>
      <w:proofErr w:type="spellEnd"/>
      <w:r w:rsidRPr="00BE433D">
        <w:t xml:space="preserve"> </w:t>
      </w:r>
      <w:proofErr w:type="spellStart"/>
      <w:r w:rsidRPr="00BE433D">
        <w:t>сүйүнчү</w:t>
      </w:r>
      <w:proofErr w:type="spellEnd"/>
      <w:r w:rsidRPr="00BE433D">
        <w:t>» в размере 50 000 сомов.</w:t>
      </w:r>
    </w:p>
    <w:p w14:paraId="1D516FDF" w14:textId="77777777" w:rsidR="009D5435" w:rsidRPr="00BE433D" w:rsidRDefault="009D5435" w:rsidP="009D5435">
      <w:pPr>
        <w:pStyle w:val="SingleTxtG"/>
        <w:tabs>
          <w:tab w:val="clear" w:pos="2268"/>
        </w:tabs>
      </w:pPr>
      <w:r w:rsidRPr="00BE433D">
        <w:t>200.</w:t>
      </w:r>
      <w:r w:rsidRPr="00BE433D">
        <w:tab/>
        <w:t>Также с 1 декабря 2019 года размер гарантированного минимального дохода, на основании которого исчисляется размер ежемесячного пособия «</w:t>
      </w:r>
      <w:proofErr w:type="spellStart"/>
      <w:r w:rsidRPr="00BE433D">
        <w:t>үй-бүлөгө</w:t>
      </w:r>
      <w:proofErr w:type="spellEnd"/>
      <w:r w:rsidRPr="00BE433D">
        <w:t xml:space="preserve"> </w:t>
      </w:r>
      <w:proofErr w:type="spellStart"/>
      <w:r w:rsidRPr="00BE433D">
        <w:t>көмөк</w:t>
      </w:r>
      <w:proofErr w:type="spellEnd"/>
      <w:r w:rsidRPr="00BE433D">
        <w:t>», повышен с 900 до 1000 сомов (постановление правительства от 30 октября 2019 года № 584). В 2019 году 308 770 детей получили пособие «</w:t>
      </w:r>
      <w:proofErr w:type="spellStart"/>
      <w:r w:rsidRPr="00BE433D">
        <w:t>үй-бүлөгө</w:t>
      </w:r>
      <w:proofErr w:type="spellEnd"/>
      <w:r w:rsidRPr="00BE433D">
        <w:t xml:space="preserve"> </w:t>
      </w:r>
      <w:proofErr w:type="spellStart"/>
      <w:r w:rsidRPr="00BE433D">
        <w:t>көмөк</w:t>
      </w:r>
      <w:proofErr w:type="spellEnd"/>
      <w:r w:rsidRPr="00BE433D">
        <w:t xml:space="preserve">», </w:t>
      </w:r>
      <w:r w:rsidRPr="00BE433D">
        <w:br/>
        <w:t xml:space="preserve">в 2018 году — 276 447 детей. </w:t>
      </w:r>
    </w:p>
    <w:p w14:paraId="583D9288" w14:textId="77777777" w:rsidR="009D5435" w:rsidRPr="00BE433D" w:rsidRDefault="009D5435" w:rsidP="009D5435">
      <w:pPr>
        <w:pStyle w:val="SingleTxtG"/>
        <w:tabs>
          <w:tab w:val="clear" w:pos="2268"/>
        </w:tabs>
      </w:pPr>
      <w:r w:rsidRPr="00BE433D">
        <w:t>201.</w:t>
      </w:r>
      <w:r w:rsidRPr="00BE433D">
        <w:tab/>
        <w:t>С июля 2019 года запущен упрощенный механизм предоставления единовременного пособия «</w:t>
      </w:r>
      <w:proofErr w:type="spellStart"/>
      <w:r w:rsidRPr="00BE433D">
        <w:t>балага</w:t>
      </w:r>
      <w:proofErr w:type="spellEnd"/>
      <w:r w:rsidRPr="00BE433D">
        <w:t xml:space="preserve"> </w:t>
      </w:r>
      <w:proofErr w:type="spellStart"/>
      <w:r w:rsidRPr="00BE433D">
        <w:t>сүйүнчү</w:t>
      </w:r>
      <w:proofErr w:type="spellEnd"/>
      <w:r w:rsidRPr="00BE433D">
        <w:t xml:space="preserve">» по принципу «единого окна». При этом заявители могут получить выплату в любом филиале банка независимо от места обращения. </w:t>
      </w:r>
    </w:p>
    <w:p w14:paraId="4D2B410C" w14:textId="77777777" w:rsidR="009D5435" w:rsidRPr="00BE433D" w:rsidRDefault="009D5435" w:rsidP="009D5435">
      <w:pPr>
        <w:pStyle w:val="SingleTxtG"/>
        <w:tabs>
          <w:tab w:val="clear" w:pos="2268"/>
        </w:tabs>
      </w:pPr>
      <w:r w:rsidRPr="00BE433D">
        <w:t>202.</w:t>
      </w:r>
      <w:r w:rsidRPr="00BE433D">
        <w:tab/>
        <w:t>В 2019 году 161,8 тыс. человек получили единовременное пособие при рождении ребенка «</w:t>
      </w:r>
      <w:proofErr w:type="spellStart"/>
      <w:r w:rsidRPr="00BE433D">
        <w:t>балага</w:t>
      </w:r>
      <w:proofErr w:type="spellEnd"/>
      <w:r w:rsidRPr="00BE433D">
        <w:t xml:space="preserve"> </w:t>
      </w:r>
      <w:proofErr w:type="spellStart"/>
      <w:r w:rsidRPr="00BE433D">
        <w:t>сүйүнчү</w:t>
      </w:r>
      <w:proofErr w:type="spellEnd"/>
      <w:r w:rsidRPr="00BE433D">
        <w:t xml:space="preserve">» (в размере 4000 сомов), в 2018 году — </w:t>
      </w:r>
      <w:r w:rsidRPr="00BE433D">
        <w:br/>
        <w:t>90,9 тыс.</w:t>
      </w:r>
      <w:r>
        <w:t xml:space="preserve"> </w:t>
      </w:r>
      <w:r w:rsidRPr="00BE433D">
        <w:t xml:space="preserve">человек. </w:t>
      </w:r>
    </w:p>
    <w:p w14:paraId="0F6B5ACE" w14:textId="77777777" w:rsidR="009D5435" w:rsidRPr="00BE433D" w:rsidRDefault="009D5435" w:rsidP="009D5435">
      <w:pPr>
        <w:pStyle w:val="SingleTxtG"/>
        <w:tabs>
          <w:tab w:val="clear" w:pos="2268"/>
        </w:tabs>
      </w:pPr>
      <w:r w:rsidRPr="00BE433D">
        <w:t>203.</w:t>
      </w:r>
      <w:r w:rsidRPr="00BE433D">
        <w:tab/>
        <w:t xml:space="preserve">Разработана автоматизированная электронная база данных детей, находящихся в трудной жизненной ситуации, и начато пилотирование системы (Свердловский, Первомайский, </w:t>
      </w:r>
      <w:proofErr w:type="spellStart"/>
      <w:r w:rsidRPr="00BE433D">
        <w:t>Ысык</w:t>
      </w:r>
      <w:proofErr w:type="spellEnd"/>
      <w:r w:rsidRPr="00BE433D">
        <w:t xml:space="preserve">-Атинский, </w:t>
      </w:r>
      <w:proofErr w:type="spellStart"/>
      <w:r w:rsidRPr="00BE433D">
        <w:t>Сокулукский</w:t>
      </w:r>
      <w:proofErr w:type="spellEnd"/>
      <w:r w:rsidRPr="00BE433D">
        <w:t xml:space="preserve">, Московский районы). </w:t>
      </w:r>
    </w:p>
    <w:p w14:paraId="24874477" w14:textId="77777777" w:rsidR="009D5435" w:rsidRPr="00BE433D" w:rsidRDefault="009D5435" w:rsidP="009D5435">
      <w:pPr>
        <w:pStyle w:val="SingleTxtG"/>
        <w:tabs>
          <w:tab w:val="clear" w:pos="2268"/>
        </w:tabs>
      </w:pPr>
      <w:r w:rsidRPr="00BE433D">
        <w:t>204.</w:t>
      </w:r>
      <w:r w:rsidRPr="00BE433D">
        <w:tab/>
        <w:t>На сайте МТСР (</w:t>
      </w:r>
      <w:hyperlink r:id="rId9" w:history="1">
        <w:r w:rsidRPr="00BE433D">
          <w:rPr>
            <w:rStyle w:val="a7"/>
          </w:rPr>
          <w:t>www.mlsp.gov.kg</w:t>
        </w:r>
      </w:hyperlink>
      <w:r w:rsidRPr="00BE433D">
        <w:t>) запущен электронный онлайн-калькулятор для расчета размеров государственных выплат (государственные пособия, денежные компенсации взамен льгот, пособие на погребение, пособие по безработице). Теперь граждане могут самостоятельно рассчитать и узнать, имеют ли они право на получение социальных выплат.</w:t>
      </w:r>
    </w:p>
    <w:p w14:paraId="745A4279" w14:textId="77777777" w:rsidR="009D5435" w:rsidRPr="00BE433D" w:rsidRDefault="009D5435" w:rsidP="009D5435">
      <w:pPr>
        <w:pStyle w:val="SingleTxtG"/>
        <w:tabs>
          <w:tab w:val="clear" w:pos="2268"/>
        </w:tabs>
      </w:pPr>
      <w:r w:rsidRPr="00BE433D">
        <w:t>205.</w:t>
      </w:r>
      <w:r w:rsidRPr="00BE433D">
        <w:tab/>
        <w:t>С 1 января 2019 года производится оплата услуг персонального ассистента ребенка с ограниченными возможностями здоровья, нуждающегося в постоянном уходе и надзоре. Ежемесячная помощь в виде оплаты услуг персонального ассистента установлена в размере 4900 сомов.</w:t>
      </w:r>
    </w:p>
    <w:p w14:paraId="45B51378" w14:textId="77777777" w:rsidR="009D5435" w:rsidRPr="00BE433D" w:rsidRDefault="009D5435" w:rsidP="009D5435">
      <w:pPr>
        <w:pStyle w:val="SingleTxtG"/>
        <w:tabs>
          <w:tab w:val="clear" w:pos="2268"/>
        </w:tabs>
      </w:pPr>
      <w:r w:rsidRPr="00BE433D">
        <w:t>206.</w:t>
      </w:r>
      <w:r w:rsidRPr="00BE433D">
        <w:tab/>
        <w:t>По состоянию на 1 января 2020 года, численность получателей услуг персонального ассистента составляет 6557 человек.</w:t>
      </w:r>
    </w:p>
    <w:p w14:paraId="4EB8B1A4" w14:textId="77777777" w:rsidR="009D5435" w:rsidRPr="00BE433D" w:rsidRDefault="009D5435" w:rsidP="009D5435">
      <w:pPr>
        <w:pStyle w:val="SingleTxtG"/>
        <w:tabs>
          <w:tab w:val="clear" w:pos="2268"/>
        </w:tabs>
      </w:pPr>
      <w:r w:rsidRPr="00BE433D">
        <w:t>207.</w:t>
      </w:r>
      <w:r w:rsidRPr="00BE433D">
        <w:tab/>
        <w:t xml:space="preserve">По состоянию на 1 января 2020 года, социальные выплаты в виде пособий и компенсаций получили более 647 тыс. человек. </w:t>
      </w:r>
    </w:p>
    <w:p w14:paraId="1E83D29F" w14:textId="77777777" w:rsidR="009D5435" w:rsidRPr="00BE433D" w:rsidRDefault="009D5435" w:rsidP="009D5435">
      <w:pPr>
        <w:pStyle w:val="SingleTxtG"/>
        <w:tabs>
          <w:tab w:val="clear" w:pos="2268"/>
        </w:tabs>
      </w:pPr>
      <w:r w:rsidRPr="00BE433D">
        <w:t>208.</w:t>
      </w:r>
      <w:r w:rsidRPr="00BE433D">
        <w:tab/>
        <w:t xml:space="preserve">В соответствии с мероприятиями, проведенными членскими организациями ФПК, в рамках месячника с 15 сентября по 15 октября 2019 года под девизом «Внимание и заботу людям пожилого возраста» более 2000 лицам пожилого возраста и в рамках месячника с 15 ноября по 15 декабря 2019 года под девизом «Мы вместе!» около 1400 лицам с ограниченными возможностями здоровья оказана материальная помощь в сумме 2679,4 тыс. сомов и 484,9 тыс. сомов соответственно. </w:t>
      </w:r>
    </w:p>
    <w:p w14:paraId="4233E2C5" w14:textId="77777777" w:rsidR="009D5435" w:rsidRPr="00BE433D" w:rsidRDefault="009D5435" w:rsidP="009D5435">
      <w:pPr>
        <w:pStyle w:val="SingleTxtG"/>
        <w:tabs>
          <w:tab w:val="clear" w:pos="2268"/>
        </w:tabs>
      </w:pPr>
      <w:r w:rsidRPr="00BE433D">
        <w:t>209.</w:t>
      </w:r>
      <w:r w:rsidRPr="00BE433D">
        <w:tab/>
        <w:t>В 2019 году для отдыха и оздоровления детей трудящихся в летние лагеря «</w:t>
      </w:r>
      <w:proofErr w:type="spellStart"/>
      <w:r w:rsidRPr="00BE433D">
        <w:t>Келечек</w:t>
      </w:r>
      <w:proofErr w:type="spellEnd"/>
      <w:r w:rsidRPr="00BE433D">
        <w:t>», «</w:t>
      </w:r>
      <w:proofErr w:type="spellStart"/>
      <w:r w:rsidRPr="00BE433D">
        <w:t>Жалын</w:t>
      </w:r>
      <w:proofErr w:type="spellEnd"/>
      <w:r w:rsidRPr="00BE433D">
        <w:t>», «Ак-</w:t>
      </w:r>
      <w:proofErr w:type="spellStart"/>
      <w:r w:rsidRPr="00BE433D">
        <w:t>Суу</w:t>
      </w:r>
      <w:proofErr w:type="spellEnd"/>
      <w:r w:rsidRPr="00BE433D">
        <w:t xml:space="preserve">», «Ден </w:t>
      </w:r>
      <w:proofErr w:type="spellStart"/>
      <w:r w:rsidRPr="00BE433D">
        <w:t>Соолук</w:t>
      </w:r>
      <w:proofErr w:type="spellEnd"/>
      <w:r w:rsidRPr="00BE433D">
        <w:t>», «Маяк», «</w:t>
      </w:r>
      <w:proofErr w:type="spellStart"/>
      <w:r w:rsidRPr="00BE433D">
        <w:t>Баластан</w:t>
      </w:r>
      <w:proofErr w:type="spellEnd"/>
      <w:r w:rsidRPr="00BE433D">
        <w:t>», «Красная гвоздика» выделено более 8000 путевок.</w:t>
      </w:r>
    </w:p>
    <w:p w14:paraId="5B8F8492" w14:textId="77777777" w:rsidR="009D5435" w:rsidRPr="00BE433D" w:rsidRDefault="009D5435" w:rsidP="009D5435">
      <w:pPr>
        <w:pStyle w:val="H1G"/>
      </w:pPr>
      <w:r w:rsidRPr="00BE433D">
        <w:tab/>
      </w:r>
      <w:r w:rsidRPr="00BE433D">
        <w:tab/>
        <w:t xml:space="preserve">Статья 16 </w:t>
      </w:r>
      <w:r w:rsidRPr="00BE433D">
        <w:br/>
        <w:t>Насилие в семье</w:t>
      </w:r>
    </w:p>
    <w:p w14:paraId="2BDDA92F" w14:textId="77777777" w:rsidR="009D5435" w:rsidRPr="00BE433D" w:rsidRDefault="009D5435" w:rsidP="009D5435">
      <w:pPr>
        <w:pStyle w:val="SingleTxtG"/>
        <w:tabs>
          <w:tab w:val="clear" w:pos="2268"/>
        </w:tabs>
      </w:pPr>
      <w:r w:rsidRPr="00BE433D">
        <w:t>210.</w:t>
      </w:r>
      <w:r w:rsidRPr="00BE433D">
        <w:tab/>
        <w:t xml:space="preserve">В апреле 2017 года принят Закон «Об охране и защите от семейного насилия». </w:t>
      </w:r>
    </w:p>
    <w:p w14:paraId="71B0493C" w14:textId="77777777" w:rsidR="009D5435" w:rsidRPr="00BE433D" w:rsidRDefault="009D5435" w:rsidP="009D5435">
      <w:pPr>
        <w:pStyle w:val="SingleTxtG"/>
        <w:tabs>
          <w:tab w:val="clear" w:pos="2268"/>
        </w:tabs>
      </w:pPr>
      <w:r w:rsidRPr="00BE433D">
        <w:t>211.</w:t>
      </w:r>
      <w:r w:rsidRPr="00BE433D">
        <w:tab/>
        <w:t xml:space="preserve">В указанном Законе на основе международных стандартов определены основополагающие принципы, которыми должны руководствоваться субъекты его исполнения, число которых увеличилось и включает 11 уполномоченных органов. </w:t>
      </w:r>
      <w:r w:rsidRPr="00BE433D">
        <w:br/>
        <w:t>Для каждого из них в названном Законе поставлены конкретные задачи, а также утвержден механизм межведомственной координации и взаимодействия в процессе их исполнения. В частности, предусмотрено перенаправление пострадавших от семейного насилия для оказания необходимой правовой, медицинской и психологической помощи, предоставления социального сопровождения и консультационных услуг.</w:t>
      </w:r>
    </w:p>
    <w:p w14:paraId="12F688D9" w14:textId="77777777" w:rsidR="009D5435" w:rsidRPr="00BE433D" w:rsidRDefault="009D5435" w:rsidP="009D5435">
      <w:pPr>
        <w:pStyle w:val="SingleTxtG"/>
        <w:tabs>
          <w:tab w:val="clear" w:pos="2268"/>
        </w:tabs>
      </w:pPr>
      <w:r w:rsidRPr="00BE433D">
        <w:t>212.</w:t>
      </w:r>
      <w:r w:rsidRPr="00BE433D">
        <w:tab/>
        <w:t>Закон «Об охране и защите от семейного насилия» содержит инновационные нормы:</w:t>
      </w:r>
    </w:p>
    <w:p w14:paraId="16EC9EAA" w14:textId="77777777" w:rsidR="009D5435" w:rsidRPr="00BE433D" w:rsidRDefault="009D5435" w:rsidP="009D5435">
      <w:pPr>
        <w:pStyle w:val="Bullet1G"/>
        <w:numPr>
          <w:ilvl w:val="0"/>
          <w:numId w:val="0"/>
        </w:numPr>
        <w:tabs>
          <w:tab w:val="left" w:pos="1701"/>
        </w:tabs>
        <w:ind w:left="1701" w:hanging="170"/>
      </w:pPr>
      <w:r w:rsidRPr="00BE433D">
        <w:t>•</w:t>
      </w:r>
      <w:r w:rsidRPr="00BE433D">
        <w:tab/>
        <w:t>органы внутренних дел обязаны неукоснительно реагировать на поступающие обращения по фактам семейного насилия от любых лиц, т. е. не только от пострадавшего лица;</w:t>
      </w:r>
    </w:p>
    <w:p w14:paraId="0E8F8B38" w14:textId="77777777" w:rsidR="009D5435" w:rsidRPr="00BE433D" w:rsidRDefault="009D5435" w:rsidP="009D5435">
      <w:pPr>
        <w:pStyle w:val="Bullet1G"/>
        <w:numPr>
          <w:ilvl w:val="0"/>
          <w:numId w:val="0"/>
        </w:numPr>
        <w:tabs>
          <w:tab w:val="left" w:pos="1701"/>
        </w:tabs>
        <w:ind w:left="1701" w:hanging="170"/>
      </w:pPr>
      <w:r w:rsidRPr="00BE433D">
        <w:t>•</w:t>
      </w:r>
      <w:r w:rsidRPr="00BE433D">
        <w:tab/>
        <w:t>вместо двух видов: временного охранного ордера и судебного ордера введен один охранный ордер;</w:t>
      </w:r>
    </w:p>
    <w:p w14:paraId="33DCA44F" w14:textId="77777777" w:rsidR="009D5435" w:rsidRPr="00BE433D" w:rsidRDefault="009D5435" w:rsidP="009D5435">
      <w:pPr>
        <w:pStyle w:val="Bullet1G"/>
        <w:numPr>
          <w:ilvl w:val="0"/>
          <w:numId w:val="0"/>
        </w:numPr>
        <w:tabs>
          <w:tab w:val="left" w:pos="1701"/>
        </w:tabs>
        <w:ind w:left="1701" w:hanging="170"/>
      </w:pPr>
      <w:r w:rsidRPr="00BE433D">
        <w:t>•</w:t>
      </w:r>
      <w:r w:rsidRPr="00BE433D">
        <w:tab/>
        <w:t>впервые предусмотрено введение коррекционных программ для виновников насилия по изменению насильственного поведения.</w:t>
      </w:r>
    </w:p>
    <w:p w14:paraId="329830AF" w14:textId="77777777" w:rsidR="009D5435" w:rsidRPr="00BE433D" w:rsidRDefault="009D5435" w:rsidP="009D5435">
      <w:pPr>
        <w:pStyle w:val="SingleTxtG"/>
        <w:tabs>
          <w:tab w:val="clear" w:pos="2268"/>
        </w:tabs>
      </w:pPr>
      <w:r w:rsidRPr="00BE433D">
        <w:t>213.</w:t>
      </w:r>
      <w:r w:rsidRPr="00BE433D">
        <w:tab/>
        <w:t>В 2020 году принят Закон о внесении изменений в Закон «Об охране и защите от семейного насилия». Данным Законом внесены изменения в целях приведения в соответствие с нормами кодексов, вступивших в силу с 1 января 2019 года.</w:t>
      </w:r>
    </w:p>
    <w:p w14:paraId="13907614" w14:textId="77777777" w:rsidR="009D5435" w:rsidRPr="00BE433D" w:rsidRDefault="009D5435" w:rsidP="009D5435">
      <w:pPr>
        <w:pStyle w:val="SingleTxtG"/>
        <w:tabs>
          <w:tab w:val="clear" w:pos="2268"/>
        </w:tabs>
      </w:pPr>
      <w:r w:rsidRPr="00BE433D">
        <w:t>214.</w:t>
      </w:r>
      <w:r w:rsidRPr="00BE433D">
        <w:tab/>
        <w:t>Законом от 27.04.2017 года № 64 в Кодекс об административной ответственности (утратившего силу с 1 января 2019 года) были внесены изменения, и ст. 66</w:t>
      </w:r>
      <w:r w:rsidRPr="00BE433D">
        <w:rPr>
          <w:vertAlign w:val="superscript"/>
        </w:rPr>
        <w:t>3</w:t>
      </w:r>
      <w:r w:rsidRPr="00BE433D">
        <w:t xml:space="preserve"> установлена административная ответственность за семейное насилие, </w:t>
      </w:r>
      <w:r w:rsidRPr="00BE433D">
        <w:br/>
        <w:t>т. е. умышленные действия физического, психологического, экономического, сексуального характера или их угрозы, совершенные одним членом семьи/ приравненным к нему лицом в отношении другого члена семьи/приравненного к нему лица.</w:t>
      </w:r>
    </w:p>
    <w:p w14:paraId="280EA234" w14:textId="77777777" w:rsidR="009D5435" w:rsidRPr="00BE433D" w:rsidRDefault="009D5435" w:rsidP="009D5435">
      <w:pPr>
        <w:pStyle w:val="SingleTxtG"/>
        <w:tabs>
          <w:tab w:val="clear" w:pos="2268"/>
        </w:tabs>
      </w:pPr>
      <w:r w:rsidRPr="00BE433D">
        <w:t>215.</w:t>
      </w:r>
      <w:r w:rsidRPr="00BE433D">
        <w:tab/>
        <w:t>При этом в случае наличия в действиях виновных лиц признаков уголовно-наказуемого деяния, они квалифицировались по соответствующим статьям УК.</w:t>
      </w:r>
    </w:p>
    <w:p w14:paraId="54715C90" w14:textId="77777777" w:rsidR="009D5435" w:rsidRPr="00BE433D" w:rsidRDefault="009D5435" w:rsidP="009D5435">
      <w:pPr>
        <w:pStyle w:val="SingleTxtG"/>
        <w:tabs>
          <w:tab w:val="clear" w:pos="2268"/>
        </w:tabs>
      </w:pPr>
      <w:r w:rsidRPr="00BE433D">
        <w:t>216.</w:t>
      </w:r>
      <w:r w:rsidRPr="00BE433D">
        <w:tab/>
        <w:t>С 1 января 2019 года введен в действие Кодекс о проступках, предусматривающий уголовную ответственность за совершенные деяния.</w:t>
      </w:r>
    </w:p>
    <w:p w14:paraId="1BF8D895" w14:textId="77777777" w:rsidR="009D5435" w:rsidRPr="00BE433D" w:rsidRDefault="009D5435" w:rsidP="009D5435">
      <w:pPr>
        <w:pStyle w:val="SingleTxtG"/>
        <w:tabs>
          <w:tab w:val="clear" w:pos="2268"/>
        </w:tabs>
      </w:pPr>
      <w:r w:rsidRPr="00BE433D">
        <w:t>217.</w:t>
      </w:r>
      <w:r w:rsidRPr="00BE433D">
        <w:tab/>
        <w:t>Так, ст. 75 данного Кодекса устанавливает уголовную ответственность за применение одним членом семьи в отношении других ее членов физического или психического насилия.</w:t>
      </w:r>
    </w:p>
    <w:p w14:paraId="34997E8F" w14:textId="77777777" w:rsidR="009D5435" w:rsidRPr="00BE433D" w:rsidRDefault="009D5435" w:rsidP="009D5435">
      <w:pPr>
        <w:pStyle w:val="SingleTxtG"/>
        <w:tabs>
          <w:tab w:val="clear" w:pos="2268"/>
        </w:tabs>
      </w:pPr>
      <w:r w:rsidRPr="00BE433D">
        <w:t>218.</w:t>
      </w:r>
      <w:r w:rsidRPr="00BE433D">
        <w:tab/>
        <w:t>Таким образом, при разработке и принятии Парламентом страны Кодекса о проступках были учтены рекомендации в части усиления ответственности за насилие в семье.</w:t>
      </w:r>
    </w:p>
    <w:p w14:paraId="7F98F0CA" w14:textId="77777777" w:rsidR="009D5435" w:rsidRPr="00BE433D" w:rsidRDefault="009D5435" w:rsidP="009D5435">
      <w:pPr>
        <w:pStyle w:val="SingleTxtG"/>
        <w:tabs>
          <w:tab w:val="clear" w:pos="2268"/>
        </w:tabs>
      </w:pPr>
      <w:r w:rsidRPr="00BE433D">
        <w:t>219.</w:t>
      </w:r>
      <w:r w:rsidRPr="00BE433D">
        <w:tab/>
        <w:t xml:space="preserve">С 2004 года органами внутренних дел выдано более 14 тысяч временных охранных ордеров. В 2017 году органами внутренних дел зарегистрировано </w:t>
      </w:r>
      <w:r w:rsidRPr="00BE433D">
        <w:br/>
        <w:t>7333 случая семейного насилия, выдано 7323 временных охранных ордера, возбуждено и направлено в суд 218 уголовных дел вследствие семейного насилия.</w:t>
      </w:r>
    </w:p>
    <w:p w14:paraId="295A621B" w14:textId="77777777" w:rsidR="009D5435" w:rsidRPr="00BE433D" w:rsidRDefault="009D5435" w:rsidP="009D5435">
      <w:pPr>
        <w:pStyle w:val="SingleTxtG"/>
        <w:tabs>
          <w:tab w:val="clear" w:pos="2268"/>
        </w:tabs>
      </w:pPr>
      <w:r w:rsidRPr="00BE433D">
        <w:t>220.</w:t>
      </w:r>
      <w:r w:rsidRPr="00BE433D">
        <w:tab/>
        <w:t>В судебных органах рассмотрено административных правонарушений по семейному насилию (с наложением административного взыскания) в 2017 году всего 2547 дел, уголовных дел — 313.</w:t>
      </w:r>
    </w:p>
    <w:p w14:paraId="0B726EDE" w14:textId="77777777" w:rsidR="009D5435" w:rsidRPr="00BE433D" w:rsidRDefault="009D5435" w:rsidP="009D5435">
      <w:pPr>
        <w:pStyle w:val="SingleTxtG"/>
        <w:tabs>
          <w:tab w:val="clear" w:pos="2268"/>
        </w:tabs>
      </w:pPr>
      <w:r w:rsidRPr="00BE433D">
        <w:t>221.</w:t>
      </w:r>
      <w:r w:rsidRPr="00BE433D">
        <w:tab/>
        <w:t>C 23 марта 2018 года во всех регионах республики проведены рабочие семинары по обучению законодательства об охране и защите от семейного насилия и обсуждению проектов нормативных правовых актов со специалистами территориальных подразделений субъектов законодательства об охране и защите от семейного насилия, а также разработаны районные, городские совместные планы по реализации Закона «Об охране и защите от семейного насилия». Всего обучено 470 сотрудников территориальных подразделений государственных органов, органов местного самоуправления.</w:t>
      </w:r>
    </w:p>
    <w:p w14:paraId="4013F1F2" w14:textId="77777777" w:rsidR="009D5435" w:rsidRPr="00BE433D" w:rsidRDefault="009D5435" w:rsidP="009D5435">
      <w:pPr>
        <w:pStyle w:val="SingleTxtG"/>
        <w:tabs>
          <w:tab w:val="clear" w:pos="2268"/>
        </w:tabs>
      </w:pPr>
      <w:r w:rsidRPr="00BE433D">
        <w:t>222.</w:t>
      </w:r>
      <w:r w:rsidRPr="00BE433D">
        <w:tab/>
        <w:t>При этом отмечаем, что постановлением правительства (2019 год) определен порядок взаимодействия государственных органов при выявлении фактов семейного насилия и оказания своевременной комплексной помощи пострадавшим от семейного насилия.</w:t>
      </w:r>
    </w:p>
    <w:p w14:paraId="5835ACB3" w14:textId="77777777" w:rsidR="009D5435" w:rsidRPr="00BE433D" w:rsidRDefault="009D5435" w:rsidP="009D5435">
      <w:pPr>
        <w:pStyle w:val="SingleTxtG"/>
        <w:tabs>
          <w:tab w:val="clear" w:pos="2268"/>
        </w:tabs>
      </w:pPr>
      <w:r w:rsidRPr="00BE433D">
        <w:t>223.</w:t>
      </w:r>
      <w:r w:rsidRPr="00BE433D">
        <w:tab/>
        <w:t xml:space="preserve">Для предупреждения жестокого обращения и насилия в отношении детей в семьях, учебных заведениях, общественных местах и оказания помощи детям и подросткам, находящимся в социально опасном положении, издано распоряжение МВД (2018 год) «Об усилении профилактических мероприятий по предупреждению фактов насилия и жестокого обращения с несовершеннолетними», предусматривающее проведение подворных обследований семей в целях создания базы данных и принятия мер по защите детей, оставшихся без родительской опеки, </w:t>
      </w:r>
      <w:r w:rsidRPr="00BE433D">
        <w:br/>
        <w:t>в т</w:t>
      </w:r>
      <w:r>
        <w:t>ом числе</w:t>
      </w:r>
      <w:r w:rsidRPr="00BE433D">
        <w:t xml:space="preserve"> детей внутренних и внешних мигрантов, а также разъяснительной работы среди родителей об уведомлении представителей социальных органов о предстоящих выездах за пределы республики и необходимости оформления опеки над детьми.</w:t>
      </w:r>
    </w:p>
    <w:p w14:paraId="1E2F3C6D" w14:textId="77777777" w:rsidR="009D5435" w:rsidRPr="00BE433D" w:rsidRDefault="009D5435" w:rsidP="009D5435">
      <w:pPr>
        <w:pStyle w:val="SingleTxtG"/>
        <w:tabs>
          <w:tab w:val="clear" w:pos="2268"/>
        </w:tabs>
        <w:rPr>
          <w:bCs/>
        </w:rPr>
      </w:pPr>
      <w:r w:rsidRPr="00BE433D">
        <w:rPr>
          <w:bCs/>
        </w:rPr>
        <w:t>224.</w:t>
      </w:r>
      <w:r w:rsidRPr="00BE433D">
        <w:rPr>
          <w:bCs/>
        </w:rPr>
        <w:tab/>
        <w:t>МВД и МТСР разработан и утвержден совместный приказ «Об утверждении Инструкции о порядке взаимодействия органов социального развития по защите детей с органами внутренних дел в сфере охраны и защиты от семейного насилия».</w:t>
      </w:r>
    </w:p>
    <w:p w14:paraId="152DDC92" w14:textId="77777777" w:rsidR="009D5435" w:rsidRPr="00BE433D" w:rsidRDefault="009D5435" w:rsidP="009D5435">
      <w:pPr>
        <w:pStyle w:val="SingleTxtG"/>
        <w:tabs>
          <w:tab w:val="clear" w:pos="2268"/>
        </w:tabs>
        <w:rPr>
          <w:bCs/>
        </w:rPr>
      </w:pPr>
      <w:r w:rsidRPr="00BE433D">
        <w:rPr>
          <w:bCs/>
        </w:rPr>
        <w:t>225.</w:t>
      </w:r>
      <w:r w:rsidRPr="00BE433D">
        <w:rPr>
          <w:bCs/>
        </w:rPr>
        <w:tab/>
        <w:t xml:space="preserve">ИДН МВД проведено 10 информационных мероприятий в школах с привлечением учащихся школ, ОМСУ, родителей учащихся, общественных организаций, а также в формате собраний, встреч с населением, на которых предоставлена информация о криминогенной ситуации в новостройках, а также информация о профилактике краж чужого имущества и насилия в семье. </w:t>
      </w:r>
    </w:p>
    <w:p w14:paraId="1B737EA5" w14:textId="77777777" w:rsidR="009D5435" w:rsidRPr="00BE433D" w:rsidRDefault="009D5435" w:rsidP="009D5435">
      <w:pPr>
        <w:pStyle w:val="SingleTxtG"/>
        <w:tabs>
          <w:tab w:val="clear" w:pos="2268"/>
        </w:tabs>
        <w:rPr>
          <w:bCs/>
        </w:rPr>
      </w:pPr>
      <w:r w:rsidRPr="00BE433D">
        <w:rPr>
          <w:bCs/>
        </w:rPr>
        <w:t>226.</w:t>
      </w:r>
      <w:r w:rsidRPr="00BE433D">
        <w:rPr>
          <w:bCs/>
        </w:rPr>
        <w:tab/>
        <w:t>Сотрудники ОВД также приняли участие в мероприятиях по профилактике гендерного и семейного насилия с членами 27 комитетов по предотвращению семейного насилия в различных регионах страны с участием 3477 человек. Разработаны четыре видеоролика по профилактике краж и насилия в отношении детей.</w:t>
      </w:r>
    </w:p>
    <w:p w14:paraId="38CE3CDC" w14:textId="77777777" w:rsidR="009D5435" w:rsidRPr="00BE433D" w:rsidRDefault="009D5435" w:rsidP="009D5435">
      <w:pPr>
        <w:pStyle w:val="SingleTxtG"/>
        <w:tabs>
          <w:tab w:val="clear" w:pos="2268"/>
        </w:tabs>
        <w:rPr>
          <w:bCs/>
        </w:rPr>
      </w:pPr>
      <w:r w:rsidRPr="00BE433D">
        <w:rPr>
          <w:bCs/>
        </w:rPr>
        <w:t>227.</w:t>
      </w:r>
      <w:r w:rsidRPr="00BE433D">
        <w:rPr>
          <w:bCs/>
        </w:rPr>
        <w:tab/>
        <w:t>Изданы и распространены буклеты (8000 экз.) о профилактике семейного насилия, с информацией о службах оказания помощи пострадавшим от семейного насилия.</w:t>
      </w:r>
    </w:p>
    <w:p w14:paraId="5B01913F" w14:textId="77777777" w:rsidR="009D5435" w:rsidRPr="00BE433D" w:rsidRDefault="009D5435" w:rsidP="009D5435">
      <w:pPr>
        <w:pStyle w:val="SingleTxtG"/>
        <w:tabs>
          <w:tab w:val="clear" w:pos="2268"/>
        </w:tabs>
        <w:rPr>
          <w:bCs/>
        </w:rPr>
      </w:pPr>
      <w:r w:rsidRPr="00BE433D">
        <w:rPr>
          <w:bCs/>
        </w:rPr>
        <w:t>228.</w:t>
      </w:r>
      <w:r w:rsidRPr="00BE433D">
        <w:rPr>
          <w:bCs/>
        </w:rPr>
        <w:tab/>
        <w:t>Разработано Практическое пособие для сотрудников следственной службы ОВД по эффективному расследованию гендерных преступлений, совершенных в отношении женщин и несовершеннолетних, издано 400 экз. на кыргызском и русском языках.</w:t>
      </w:r>
    </w:p>
    <w:p w14:paraId="662E091B" w14:textId="77777777" w:rsidR="009D5435" w:rsidRPr="00BE433D" w:rsidRDefault="009D5435" w:rsidP="009D5435">
      <w:pPr>
        <w:pStyle w:val="SingleTxtG"/>
        <w:tabs>
          <w:tab w:val="clear" w:pos="2268"/>
        </w:tabs>
        <w:rPr>
          <w:bCs/>
        </w:rPr>
      </w:pPr>
      <w:r w:rsidRPr="00BE433D">
        <w:rPr>
          <w:bCs/>
        </w:rPr>
        <w:t>229.</w:t>
      </w:r>
      <w:r w:rsidRPr="00BE433D">
        <w:rPr>
          <w:bCs/>
        </w:rPr>
        <w:tab/>
        <w:t>Проведено четыре семинара для 100 сотрудников следственной службы ОВД в областях страны по расследованию гендерных преступлений.</w:t>
      </w:r>
    </w:p>
    <w:p w14:paraId="0F204E3E" w14:textId="77777777" w:rsidR="009D5435" w:rsidRPr="00BE433D" w:rsidRDefault="009D5435" w:rsidP="009D5435">
      <w:pPr>
        <w:pStyle w:val="SingleTxtG"/>
        <w:tabs>
          <w:tab w:val="clear" w:pos="2268"/>
        </w:tabs>
      </w:pPr>
      <w:r w:rsidRPr="00BE433D">
        <w:t>230.</w:t>
      </w:r>
      <w:r w:rsidRPr="00BE433D">
        <w:tab/>
        <w:t>На сайте МВД создан раздел «Гендерная политика», где размещены основные положения Закона «Об охране и защите от семейного насилия», информация о службах помощи, опубликован «Сборник нормативных правовых актов, регулирующих вопросы профилактики гендерного и семейного насилия». В этом же разделе размещены фильмы (видеоролики) по предупреждению гендерного и семейного насилия и видеоролик об ответственности за нарушение законодательства о брачном возрасте. Всего на сайте размещено более 15 видеороликов. Подготовлены видеоролики на тему: «Не обрывайте мечты», «Родители, будьте бдительны к своим детям!», «Соблюдайте ПДД и спасите свою жизнь!», которые транслировались на телеканалах Республики.</w:t>
      </w:r>
    </w:p>
    <w:p w14:paraId="6566568B" w14:textId="77777777" w:rsidR="009D5435" w:rsidRPr="00BE433D" w:rsidRDefault="009D5435" w:rsidP="009D5435">
      <w:pPr>
        <w:pStyle w:val="SingleTxtG"/>
        <w:tabs>
          <w:tab w:val="clear" w:pos="2268"/>
        </w:tabs>
      </w:pPr>
      <w:r w:rsidRPr="00BE433D">
        <w:t>231.</w:t>
      </w:r>
      <w:r w:rsidRPr="00BE433D">
        <w:tab/>
        <w:t>В профилактику семейного насилия вносят свой вклад также и общественно-профилактические центры (ОПЦ) (функционирует 538 ОПЦ, 547 молодежных советов и 526 женских советов, а также 731 суд аксакалов).</w:t>
      </w:r>
    </w:p>
    <w:p w14:paraId="22131147" w14:textId="77777777" w:rsidR="009D5435" w:rsidRPr="00BE433D" w:rsidRDefault="009D5435" w:rsidP="009D5435">
      <w:pPr>
        <w:pStyle w:val="SingleTxtG"/>
        <w:tabs>
          <w:tab w:val="clear" w:pos="2268"/>
        </w:tabs>
      </w:pPr>
      <w:r w:rsidRPr="00BE433D">
        <w:t>232.</w:t>
      </w:r>
      <w:r w:rsidRPr="00BE433D">
        <w:tab/>
        <w:t xml:space="preserve">За 12 месяцев 2019 года зарегистрировано 6145 случаев семейного (домашнего) насилия, в том числе по факту физического насилия — 4194, психологического — </w:t>
      </w:r>
      <w:r w:rsidRPr="00BE433D">
        <w:br/>
        <w:t>1688, сексуального — 8, экономического — 1 и пренебрежительного отношения — 254.</w:t>
      </w:r>
    </w:p>
    <w:p w14:paraId="508A9128" w14:textId="77777777" w:rsidR="009D5435" w:rsidRPr="00BE433D" w:rsidRDefault="009D5435" w:rsidP="009D5435">
      <w:pPr>
        <w:pStyle w:val="SingleTxtG"/>
        <w:tabs>
          <w:tab w:val="clear" w:pos="2268"/>
        </w:tabs>
      </w:pPr>
      <w:r w:rsidRPr="00BE433D">
        <w:t>233.</w:t>
      </w:r>
      <w:r w:rsidRPr="00BE433D">
        <w:tab/>
        <w:t xml:space="preserve">Органами внутренних дел Республики за указанный период выдано охранных ордеров: в г. Бишкек — 1654, г. Ош — 316, Чуйской — 1429, Иссык-Кульской — </w:t>
      </w:r>
      <w:r w:rsidRPr="00BE433D">
        <w:br/>
        <w:t xml:space="preserve">402, </w:t>
      </w:r>
      <w:proofErr w:type="spellStart"/>
      <w:r w:rsidRPr="00BE433D">
        <w:t>Нарынской</w:t>
      </w:r>
      <w:proofErr w:type="spellEnd"/>
      <w:r w:rsidRPr="00BE433D">
        <w:t xml:space="preserve"> — 372, Ошской — 796, Джалал-</w:t>
      </w:r>
      <w:proofErr w:type="spellStart"/>
      <w:r w:rsidRPr="00BE433D">
        <w:t>Абадской</w:t>
      </w:r>
      <w:proofErr w:type="spellEnd"/>
      <w:r w:rsidRPr="00BE433D">
        <w:t xml:space="preserve"> — 777, </w:t>
      </w:r>
      <w:proofErr w:type="spellStart"/>
      <w:r w:rsidRPr="00BE433D">
        <w:t>Таласской</w:t>
      </w:r>
      <w:proofErr w:type="spellEnd"/>
      <w:r w:rsidRPr="00BE433D">
        <w:t xml:space="preserve"> — 186 и </w:t>
      </w:r>
      <w:proofErr w:type="spellStart"/>
      <w:r w:rsidRPr="00BE433D">
        <w:t>Баткенской</w:t>
      </w:r>
      <w:proofErr w:type="spellEnd"/>
      <w:r w:rsidRPr="00BE433D">
        <w:t xml:space="preserve"> области — 213.</w:t>
      </w:r>
    </w:p>
    <w:p w14:paraId="6EEF867E" w14:textId="77777777" w:rsidR="009D5435" w:rsidRPr="00BE433D" w:rsidRDefault="009D5435" w:rsidP="009D5435">
      <w:pPr>
        <w:pStyle w:val="SingleTxtG"/>
        <w:tabs>
          <w:tab w:val="clear" w:pos="2268"/>
        </w:tabs>
      </w:pPr>
      <w:r w:rsidRPr="00BE433D">
        <w:t>234.</w:t>
      </w:r>
      <w:r w:rsidRPr="00BE433D">
        <w:tab/>
        <w:t>В том числе продленные охранные ордера — 790.</w:t>
      </w:r>
    </w:p>
    <w:p w14:paraId="76077D3E" w14:textId="77777777" w:rsidR="009D5435" w:rsidRPr="00BE433D" w:rsidRDefault="009D5435" w:rsidP="009D5435">
      <w:pPr>
        <w:pStyle w:val="SingleTxtG"/>
        <w:tabs>
          <w:tab w:val="clear" w:pos="2268"/>
        </w:tabs>
      </w:pPr>
      <w:r w:rsidRPr="00BE433D">
        <w:t>235.</w:t>
      </w:r>
      <w:r w:rsidRPr="00BE433D">
        <w:tab/>
        <w:t>Выдано охранных ордеров пострадавшим от семейного насилия несовершеннолетним лицам — 169, из них 81 мальчику и 88 девочкам.</w:t>
      </w:r>
    </w:p>
    <w:p w14:paraId="185C9BE7" w14:textId="77777777" w:rsidR="009D5435" w:rsidRPr="00BE433D" w:rsidRDefault="009D5435" w:rsidP="009D5435">
      <w:pPr>
        <w:pStyle w:val="SingleTxtG"/>
        <w:tabs>
          <w:tab w:val="clear" w:pos="2268"/>
        </w:tabs>
      </w:pPr>
      <w:r w:rsidRPr="00BE433D">
        <w:t>236.</w:t>
      </w:r>
      <w:r w:rsidRPr="00BE433D">
        <w:tab/>
        <w:t xml:space="preserve">Зарегистрировано проступков вследствие семейного насилия — 7045 лиц, в том числе по ст. 75 </w:t>
      </w:r>
      <w:proofErr w:type="spellStart"/>
      <w:r w:rsidRPr="00BE433D">
        <w:t>КоП</w:t>
      </w:r>
      <w:proofErr w:type="spellEnd"/>
      <w:r w:rsidRPr="00BE433D">
        <w:t xml:space="preserve"> (Насилие в семье) — 4983, ст. 76 </w:t>
      </w:r>
      <w:proofErr w:type="spellStart"/>
      <w:r w:rsidRPr="00BE433D">
        <w:t>КоП</w:t>
      </w:r>
      <w:proofErr w:type="spellEnd"/>
      <w:r w:rsidRPr="00BE433D">
        <w:t xml:space="preserve"> (Неисполнение условий временного охранного ордера) — 18, ст. 65 </w:t>
      </w:r>
      <w:proofErr w:type="spellStart"/>
      <w:r w:rsidRPr="00BE433D">
        <w:t>КоП</w:t>
      </w:r>
      <w:proofErr w:type="spellEnd"/>
      <w:r w:rsidRPr="00BE433D">
        <w:t xml:space="preserve"> (Побои) — 438, ст. 66 </w:t>
      </w:r>
      <w:proofErr w:type="spellStart"/>
      <w:r w:rsidRPr="00BE433D">
        <w:t>КоП</w:t>
      </w:r>
      <w:proofErr w:type="spellEnd"/>
      <w:r w:rsidRPr="00BE433D">
        <w:t xml:space="preserve"> (Причинение легкого вреда здоровью) — 287, ст. 67 </w:t>
      </w:r>
      <w:proofErr w:type="spellStart"/>
      <w:r w:rsidRPr="00BE433D">
        <w:t>КоП</w:t>
      </w:r>
      <w:proofErr w:type="spellEnd"/>
      <w:r w:rsidRPr="00BE433D">
        <w:t xml:space="preserve"> (Причинение менее тяжкого вреда здоровью по неосторожности) — 95, а также в соответствии со ст. 119 </w:t>
      </w:r>
      <w:proofErr w:type="spellStart"/>
      <w:r w:rsidRPr="00BE433D">
        <w:t>КоП</w:t>
      </w:r>
      <w:proofErr w:type="spellEnd"/>
      <w:r w:rsidRPr="00BE433D">
        <w:t xml:space="preserve"> (Мелкое хулиганство) — 833 и прочие — 391.</w:t>
      </w:r>
    </w:p>
    <w:p w14:paraId="33D5A172" w14:textId="77777777" w:rsidR="009D5435" w:rsidRPr="00BE433D" w:rsidRDefault="009D5435" w:rsidP="009D5435">
      <w:pPr>
        <w:pStyle w:val="SingleTxtG"/>
        <w:tabs>
          <w:tab w:val="clear" w:pos="2268"/>
        </w:tabs>
      </w:pPr>
      <w:r w:rsidRPr="00BE433D">
        <w:t>237.</w:t>
      </w:r>
      <w:r w:rsidRPr="00BE433D">
        <w:tab/>
        <w:t xml:space="preserve">По ст. 61 </w:t>
      </w:r>
      <w:proofErr w:type="spellStart"/>
      <w:r w:rsidRPr="00BE433D">
        <w:t>КоН</w:t>
      </w:r>
      <w:proofErr w:type="spellEnd"/>
      <w:r w:rsidRPr="00BE433D">
        <w:t xml:space="preserve"> (Уклонение от родительских обязанностей) — 129.</w:t>
      </w:r>
    </w:p>
    <w:p w14:paraId="259F528E" w14:textId="77777777" w:rsidR="009D5435" w:rsidRPr="00BE433D" w:rsidRDefault="009D5435" w:rsidP="009D5435">
      <w:pPr>
        <w:pStyle w:val="SingleTxtG"/>
        <w:tabs>
          <w:tab w:val="clear" w:pos="2268"/>
        </w:tabs>
      </w:pPr>
      <w:r w:rsidRPr="00BE433D">
        <w:t>238.</w:t>
      </w:r>
      <w:r w:rsidRPr="00BE433D">
        <w:tab/>
        <w:t xml:space="preserve">Зарегистрировано случаев семейного насилия с возбуждением уголовных дел (УК КР) 649, из них: в г. Бишкек — 41, Ош — 6, Чуйской — 155, Иссык-Кульской — 57, </w:t>
      </w:r>
      <w:proofErr w:type="spellStart"/>
      <w:r w:rsidRPr="00BE433D">
        <w:t>Нарынской</w:t>
      </w:r>
      <w:proofErr w:type="spellEnd"/>
      <w:r w:rsidRPr="00BE433D">
        <w:t xml:space="preserve"> — 103, Ошской — 174, Джалал-</w:t>
      </w:r>
      <w:proofErr w:type="spellStart"/>
      <w:r w:rsidRPr="00BE433D">
        <w:t>Абадской</w:t>
      </w:r>
      <w:proofErr w:type="spellEnd"/>
      <w:r w:rsidRPr="00BE433D">
        <w:t xml:space="preserve"> — 18, </w:t>
      </w:r>
      <w:proofErr w:type="spellStart"/>
      <w:r w:rsidRPr="00BE433D">
        <w:t>Таласской</w:t>
      </w:r>
      <w:proofErr w:type="spellEnd"/>
      <w:r w:rsidRPr="00BE433D">
        <w:t xml:space="preserve"> — 4, </w:t>
      </w:r>
      <w:proofErr w:type="spellStart"/>
      <w:r w:rsidRPr="00BE433D">
        <w:t>Баткенской</w:t>
      </w:r>
      <w:proofErr w:type="spellEnd"/>
      <w:r w:rsidRPr="00BE433D">
        <w:t xml:space="preserve"> области — 91.</w:t>
      </w:r>
    </w:p>
    <w:p w14:paraId="6C2ED7A4" w14:textId="77777777" w:rsidR="009D5435" w:rsidRPr="00BE433D" w:rsidRDefault="009D5435" w:rsidP="009D5435">
      <w:pPr>
        <w:pStyle w:val="SingleTxtG"/>
        <w:tabs>
          <w:tab w:val="clear" w:pos="2268"/>
        </w:tabs>
      </w:pPr>
      <w:r w:rsidRPr="00BE433D">
        <w:t>239.</w:t>
      </w:r>
      <w:r w:rsidRPr="00BE433D">
        <w:tab/>
        <w:t xml:space="preserve">За 2019 год органами прокуратуры в ходе надзорной деятельности за исполнением соответствующими государственными органами и органами местного самоуправления законодательства об охране и защите от семейного насилия выявлено 73 нарушения, об устранении которых внесено 67 актов прокурорского реагирования, на основании которых привлечено к дисциплинарной ответственности 107 лиц. </w:t>
      </w:r>
    </w:p>
    <w:p w14:paraId="5C13A869" w14:textId="77777777" w:rsidR="009D5435" w:rsidRPr="00BE433D" w:rsidRDefault="009D5435" w:rsidP="009D5435">
      <w:pPr>
        <w:pStyle w:val="SingleTxtG"/>
        <w:tabs>
          <w:tab w:val="clear" w:pos="2268"/>
        </w:tabs>
      </w:pPr>
      <w:r w:rsidRPr="00BE433D">
        <w:t>240.</w:t>
      </w:r>
      <w:r w:rsidRPr="00BE433D">
        <w:tab/>
        <w:t xml:space="preserve">В 2019 году по фактам семейного насилия в республике зарегистрировано </w:t>
      </w:r>
      <w:r w:rsidRPr="00BE433D">
        <w:br/>
        <w:t>6145 случаев, жертвами которых стали 5659 женщин и 486 мужчин, из которых 169 несовершеннолетних детей (81 мальчик, 88 девочек).</w:t>
      </w:r>
    </w:p>
    <w:p w14:paraId="7930AB78" w14:textId="77777777" w:rsidR="009D5435" w:rsidRPr="00BE433D" w:rsidRDefault="009D5435" w:rsidP="009D5435">
      <w:pPr>
        <w:pStyle w:val="SingleTxtG"/>
        <w:tabs>
          <w:tab w:val="clear" w:pos="2268"/>
        </w:tabs>
      </w:pPr>
      <w:r w:rsidRPr="00BE433D">
        <w:t>241.</w:t>
      </w:r>
      <w:r w:rsidRPr="00BE433D">
        <w:tab/>
        <w:t>Из указанных фактов семейного насилия 649 зарегистрировано в АИС ЕРПП по соответствующим статьям УК (убийство — 4, причинение менее тяжкого и тяжкого вреда здоровью — 451, изнасилование и насильственные действия сексуального характера — 6) и 5496 проступков (по ст. 75 Кодекса КР о проступках).</w:t>
      </w:r>
    </w:p>
    <w:p w14:paraId="5B2F06F0" w14:textId="77777777" w:rsidR="009D5435" w:rsidRPr="00BE433D" w:rsidRDefault="009D5435" w:rsidP="009D5435">
      <w:pPr>
        <w:pStyle w:val="SingleTxtG"/>
        <w:tabs>
          <w:tab w:val="clear" w:pos="2268"/>
        </w:tabs>
      </w:pPr>
      <w:r w:rsidRPr="00BE433D">
        <w:t>242.</w:t>
      </w:r>
      <w:r w:rsidRPr="00BE433D">
        <w:tab/>
        <w:t xml:space="preserve">В целях создания эффективных механизмов выявления, идентификации и защиты детей, с 2015 года в МТСР функционирует Государственное учреждение «Центр «Телефон доверия для детей — 111», который работает круглосуточно, звонки со всех регионов республики бесплатны. </w:t>
      </w:r>
    </w:p>
    <w:p w14:paraId="362A1834" w14:textId="77777777" w:rsidR="009D5435" w:rsidRPr="00BE433D" w:rsidRDefault="009D5435" w:rsidP="009D5435">
      <w:pPr>
        <w:pStyle w:val="SingleTxtG"/>
        <w:tabs>
          <w:tab w:val="clear" w:pos="2268"/>
        </w:tabs>
      </w:pPr>
      <w:r w:rsidRPr="00BE433D">
        <w:t>243.</w:t>
      </w:r>
      <w:r w:rsidRPr="00BE433D">
        <w:tab/>
        <w:t xml:space="preserve">Телефон доверия 111 был создан для детей, однако принимаются звонки как от детей, так и от взрослых, все разговоры записываются. Так, за три года девять месяцев поступило 763 269 телефонных обращений или 315 звонков в сутки. Из поступивших звонков 83 % поступили от взрослых, 17 % от детей. По телефону доверия предоставляются консультации и рекомендации, оказывается психологическая консультация. </w:t>
      </w:r>
    </w:p>
    <w:p w14:paraId="07EF55C4" w14:textId="77777777" w:rsidR="009D5435" w:rsidRPr="00BE433D" w:rsidRDefault="009D5435" w:rsidP="009D5435">
      <w:pPr>
        <w:pStyle w:val="SingleTxtG"/>
        <w:tabs>
          <w:tab w:val="clear" w:pos="2268"/>
        </w:tabs>
      </w:pPr>
      <w:r w:rsidRPr="00BE433D">
        <w:t>244.</w:t>
      </w:r>
      <w:r w:rsidRPr="00BE433D">
        <w:tab/>
        <w:t>5 июня 2020 года Президент подписал Закон «О внесении изменения в Уголовно-процессуальный кодекс», согласно которому регламентируются случаи, при которых лицо, совершившее семейное насилие, предусмотренное ст. 75 Кодекса о проступках, может быть задержано на 48 часов.</w:t>
      </w:r>
    </w:p>
    <w:p w14:paraId="03B9EFA3" w14:textId="77777777" w:rsidR="009D5435" w:rsidRPr="00BE433D" w:rsidRDefault="009D5435" w:rsidP="009D5435">
      <w:pPr>
        <w:pStyle w:val="SingleTxtG"/>
        <w:tabs>
          <w:tab w:val="clear" w:pos="2268"/>
        </w:tabs>
      </w:pPr>
      <w:r w:rsidRPr="00BE433D">
        <w:t>245.</w:t>
      </w:r>
      <w:r w:rsidRPr="00BE433D">
        <w:tab/>
        <w:t xml:space="preserve">С 2019 года на базе 54 школ МВД совместно с МОН реализует пилотный проект, направленный на профилактику сексуального насилия в отношении девочек. В рамках проекта разработано Пособие для сотрудников ИДН и педагогов школ по выявлению и оказанию помощи пострадавшим от сексуального насилия детям, обучено 200 сотрудников ИДН, 997 педагогов школ, около 7000 школьниц </w:t>
      </w:r>
      <w:r w:rsidRPr="00BE433D">
        <w:br/>
        <w:t xml:space="preserve">8–11 классов 4000 матерей/опекунов. </w:t>
      </w:r>
    </w:p>
    <w:p w14:paraId="0F2AF2DF" w14:textId="77777777" w:rsidR="009D5435" w:rsidRPr="00BE433D" w:rsidRDefault="009D5435" w:rsidP="009D5435">
      <w:pPr>
        <w:pStyle w:val="H1G"/>
      </w:pPr>
      <w:r w:rsidRPr="00BE433D">
        <w:tab/>
      </w:r>
      <w:r w:rsidRPr="00BE433D">
        <w:tab/>
        <w:t>Статья 17</w:t>
      </w:r>
      <w:r w:rsidRPr="00BE433D">
        <w:br/>
        <w:t>Похищение невест</w:t>
      </w:r>
    </w:p>
    <w:p w14:paraId="7DB40064" w14:textId="77777777" w:rsidR="009D5435" w:rsidRPr="00BE433D" w:rsidRDefault="009D5435" w:rsidP="009D5435">
      <w:pPr>
        <w:pStyle w:val="SingleTxtG"/>
        <w:tabs>
          <w:tab w:val="clear" w:pos="2268"/>
        </w:tabs>
      </w:pPr>
      <w:r w:rsidRPr="00BE433D">
        <w:t>246.</w:t>
      </w:r>
      <w:r w:rsidRPr="00BE433D">
        <w:tab/>
        <w:t>Кыргызской Республикой приняты меры по совершенствованию правовой основы по борьбе с похищением женщин с целью вступления в брак и ранним бракам. Глава 28 УК (в редакции 2017 года) предусматривает ответственность за преступления против уклада семейных отношений и интересов несовершеннолетних.</w:t>
      </w:r>
    </w:p>
    <w:p w14:paraId="7D80030C" w14:textId="77777777" w:rsidR="009D5435" w:rsidRPr="00BE433D" w:rsidRDefault="009D5435" w:rsidP="009D5435">
      <w:pPr>
        <w:pStyle w:val="SingleTxtG"/>
        <w:tabs>
          <w:tab w:val="clear" w:pos="2268"/>
        </w:tabs>
      </w:pPr>
      <w:r w:rsidRPr="00BE433D">
        <w:t>247.</w:t>
      </w:r>
      <w:r w:rsidRPr="00BE433D">
        <w:tab/>
        <w:t xml:space="preserve">В УК, вступившим в силу с 1 января 2019 года, определена отдельная статья «Похищение лица с целью вступления в брак» (ст. 175 УК). По части первой указанной статьи предусматривается наказание в виде лишения свободы III категории </w:t>
      </w:r>
      <w:r w:rsidRPr="00BE433D">
        <w:br/>
        <w:t xml:space="preserve">(от 5 до 7,6 лет), а по части второй предусматривается наказание в виде лишения свободы IV категории (от 7,6 до 10 лет) со штрафом IV категории. </w:t>
      </w:r>
    </w:p>
    <w:p w14:paraId="3301D3FA" w14:textId="77777777" w:rsidR="009D5435" w:rsidRPr="00BE433D" w:rsidRDefault="009D5435" w:rsidP="009D5435">
      <w:pPr>
        <w:pStyle w:val="SingleTxtG"/>
        <w:tabs>
          <w:tab w:val="clear" w:pos="2268"/>
        </w:tabs>
      </w:pPr>
      <w:r w:rsidRPr="00BE433D">
        <w:t>248.</w:t>
      </w:r>
      <w:r w:rsidRPr="00BE433D">
        <w:tab/>
        <w:t>За 2019 год в ЕРПП по линии ОВД по ст. 175 УК (похищение лица с целью вступления в брак) зарегистрировано 172, направлено в суд 14, прекращено 127.</w:t>
      </w:r>
    </w:p>
    <w:p w14:paraId="682DF7F5" w14:textId="77777777" w:rsidR="009D5435" w:rsidRPr="00BE433D" w:rsidRDefault="009D5435" w:rsidP="009D5435">
      <w:pPr>
        <w:pStyle w:val="SingleTxtG"/>
        <w:tabs>
          <w:tab w:val="clear" w:pos="2268"/>
        </w:tabs>
      </w:pPr>
      <w:r w:rsidRPr="00BE433D">
        <w:t>249.</w:t>
      </w:r>
      <w:r w:rsidRPr="00BE433D">
        <w:tab/>
        <w:t xml:space="preserve">Если ранее за похищение лица для вступления в брак вопреки его воле, предусматривалось наказание лишением свободы на срок от пяти до семи лет, </w:t>
      </w:r>
      <w:r w:rsidRPr="00BE433D">
        <w:br/>
        <w:t>то с 1 января 2019 года предусматривается наказание в виде лишения свободы для несовершеннолетних от двух лет шести месяцев до четырех лет, для других физических лиц — от пяти до семи лет шести месяцев.</w:t>
      </w:r>
    </w:p>
    <w:p w14:paraId="468E5F8D" w14:textId="77777777" w:rsidR="009D5435" w:rsidRPr="00BE433D" w:rsidRDefault="009D5435" w:rsidP="009D5435">
      <w:pPr>
        <w:pStyle w:val="SingleTxtG"/>
        <w:tabs>
          <w:tab w:val="clear" w:pos="2268"/>
        </w:tabs>
      </w:pPr>
      <w:r w:rsidRPr="00BE433D">
        <w:t>250.</w:t>
      </w:r>
      <w:r w:rsidRPr="00BE433D">
        <w:tab/>
        <w:t xml:space="preserve">Если ранее за похищение лица, не достигшего 18-летнего возраста, для вступления в фактические брачные отношения либо для вступления в брак вопреки его воле предусматривалось лишение свободы на срок от 5 до 10 лет, то с 2019 года предусмотрено наказание в виде лишения свободы для несовершеннолетних от четырех до шести лет, для других физических лиц — от 7 лет 6 месяцев до 10 лет, </w:t>
      </w:r>
      <w:r w:rsidRPr="00BE433D">
        <w:br/>
        <w:t>со штрафом от 80 000 до 220 000 сомов.</w:t>
      </w:r>
    </w:p>
    <w:p w14:paraId="5EF46D20" w14:textId="77777777" w:rsidR="009D5435" w:rsidRPr="00BE433D" w:rsidRDefault="009D5435" w:rsidP="009D5435">
      <w:pPr>
        <w:pStyle w:val="SingleTxtG"/>
        <w:tabs>
          <w:tab w:val="clear" w:pos="2268"/>
        </w:tabs>
      </w:pPr>
      <w:r w:rsidRPr="00BE433D">
        <w:t>251.</w:t>
      </w:r>
      <w:r w:rsidRPr="00BE433D">
        <w:tab/>
        <w:t xml:space="preserve">Указанные преступные деяния относятся к категории тяжких преступлений. Соответственно, уголовные дела возбуждаются без заявления потерпевшей стороны, а обвиняемое лицо не может быть освобождено от наказания за отказом пострадавшей от поддержания обвинения, и уголовное дело прекращению не подлежит. </w:t>
      </w:r>
    </w:p>
    <w:p w14:paraId="620B5AB6" w14:textId="77777777" w:rsidR="009D5435" w:rsidRPr="00BE433D" w:rsidRDefault="009D5435" w:rsidP="009D5435">
      <w:pPr>
        <w:pStyle w:val="SingleTxtG"/>
        <w:tabs>
          <w:tab w:val="clear" w:pos="2268"/>
        </w:tabs>
      </w:pPr>
      <w:r w:rsidRPr="00BE433D">
        <w:t>252.</w:t>
      </w:r>
      <w:r w:rsidRPr="00BE433D">
        <w:tab/>
        <w:t>Кроме того, ст. 178 УК (в редакции 2017 года) содержит норму, где родители (лица, их заменяющие) лица, в отношении которого совершен религиозный обряд по бракосочетанию, лицо, совершившее религиозный обряд по бракосочетанию, а равно совершеннолетнее лицо, в отношении которого был совершен религиозный обряд по бракосочетанию с несовершеннолетним, с нарушением законодательства о брачном возрасте ⸺ наказываются лишением свободы на срок от трех до пяти лет.</w:t>
      </w:r>
    </w:p>
    <w:p w14:paraId="68A3DC25" w14:textId="77777777" w:rsidR="009D5435" w:rsidRPr="00BE433D" w:rsidRDefault="009D5435" w:rsidP="009D5435">
      <w:pPr>
        <w:pStyle w:val="SingleTxtG"/>
        <w:tabs>
          <w:tab w:val="clear" w:pos="2268"/>
        </w:tabs>
      </w:pPr>
      <w:r w:rsidRPr="00BE433D">
        <w:t>253.</w:t>
      </w:r>
      <w:r w:rsidRPr="00BE433D">
        <w:tab/>
        <w:t>Данные действия направлены на укрепление института брака и семьи. В нем предусматривается уголовная ответственность священнослужителей за освящение брака до их регистрации в органах ЗАГС и совершение обряда бракосочетания с несовершеннолетними.</w:t>
      </w:r>
    </w:p>
    <w:p w14:paraId="71416416" w14:textId="77777777" w:rsidR="009D5435" w:rsidRPr="00BE433D" w:rsidRDefault="009D5435" w:rsidP="009D5435">
      <w:pPr>
        <w:pStyle w:val="SingleTxtG"/>
        <w:tabs>
          <w:tab w:val="clear" w:pos="2268"/>
        </w:tabs>
      </w:pPr>
      <w:r w:rsidRPr="00BE433D">
        <w:t>254.</w:t>
      </w:r>
      <w:r w:rsidRPr="00BE433D">
        <w:tab/>
        <w:t xml:space="preserve">При этом, несмотря на гуманизацию уголовного законодательства в </w:t>
      </w:r>
      <w:r w:rsidRPr="00BE433D">
        <w:br/>
        <w:t>рамках проводимой уголовно-правовой реформы, ответственность за преступления, предусмотренные ст. 175 УК, связанные с похищением женщин и несовершеннолетних девочек с целью вступления в брак не была смягчена и в соответствии со ст. 19 данного Кодекса они относятся к категории тяжких преступлений.</w:t>
      </w:r>
    </w:p>
    <w:p w14:paraId="74A9885D" w14:textId="77777777" w:rsidR="009D5435" w:rsidRPr="00BE433D" w:rsidRDefault="009D5435" w:rsidP="009D5435">
      <w:pPr>
        <w:pStyle w:val="SingleTxtG"/>
        <w:tabs>
          <w:tab w:val="clear" w:pos="2268"/>
        </w:tabs>
      </w:pPr>
      <w:r w:rsidRPr="00BE433D">
        <w:t>255.</w:t>
      </w:r>
      <w:r w:rsidRPr="00BE433D">
        <w:tab/>
        <w:t>Зарегистрированные в ЕРПП по ст. 175 УК уголовные дела согласно ст. 23 УПК относятся к делам публичного обвинения, уголовное преследование по которым осуществляется независимо от подачи заявления потерпевшим и не прекращается за примирением сторон.</w:t>
      </w:r>
    </w:p>
    <w:p w14:paraId="26E1590A" w14:textId="77777777" w:rsidR="009D5435" w:rsidRPr="00BE433D" w:rsidRDefault="009D5435" w:rsidP="009D5435">
      <w:pPr>
        <w:pStyle w:val="SingleTxtG"/>
        <w:tabs>
          <w:tab w:val="clear" w:pos="2268"/>
        </w:tabs>
      </w:pPr>
      <w:r w:rsidRPr="00BE433D">
        <w:t>256.</w:t>
      </w:r>
      <w:r w:rsidRPr="00BE433D">
        <w:tab/>
        <w:t>Таким образом, данное обстоятельство не позволяет избежать ответственности совершившим подобные деяния лицам, что гарантирует исполнение принципа неотвратимости уголовной ответственности, предусмотренного ст. 10 УК.</w:t>
      </w:r>
    </w:p>
    <w:p w14:paraId="2E2194D9" w14:textId="79920F2F" w:rsidR="009D5435" w:rsidRPr="00BE433D" w:rsidRDefault="009D5435" w:rsidP="009D5435">
      <w:pPr>
        <w:pStyle w:val="SingleTxtG"/>
        <w:tabs>
          <w:tab w:val="clear" w:pos="2268"/>
        </w:tabs>
      </w:pPr>
      <w:r w:rsidRPr="00BE433D">
        <w:t>257.</w:t>
      </w:r>
      <w:r w:rsidRPr="00BE433D">
        <w:tab/>
        <w:t>Также следует отметить, что наряду с этим, в соответствии с УК действия по принуждению к вступлению в фактические брачные отношения (ст. 176), принуждению лица к вступлению в брак (ст. 177), а также нарушение законодательства о брачном возрасте при проведении религиозных обрядов (ст.</w:t>
      </w:r>
      <w:r w:rsidR="008B2400">
        <w:rPr>
          <w:lang w:val="en-US"/>
        </w:rPr>
        <w:t> </w:t>
      </w:r>
      <w:r w:rsidRPr="00BE433D">
        <w:t>178) образуют самостоятельные составы преступлений, предусматривающих наказание в виде лишения свободы.</w:t>
      </w:r>
    </w:p>
    <w:p w14:paraId="595815DB" w14:textId="77777777" w:rsidR="009D5435" w:rsidRPr="00BE433D" w:rsidRDefault="009D5435" w:rsidP="009D5435">
      <w:pPr>
        <w:pStyle w:val="SingleTxtG"/>
        <w:tabs>
          <w:tab w:val="clear" w:pos="2268"/>
        </w:tabs>
      </w:pPr>
      <w:r w:rsidRPr="00BE433D">
        <w:t>258.</w:t>
      </w:r>
      <w:r w:rsidRPr="00BE433D">
        <w:tab/>
        <w:t>В целом законодательством усилена ответственность за преступления против уклада семейных отношений и интересов несовершеннолетних.</w:t>
      </w:r>
    </w:p>
    <w:p w14:paraId="234B6846" w14:textId="77777777" w:rsidR="009D5435" w:rsidRPr="00BE433D" w:rsidRDefault="009D5435" w:rsidP="009D5435">
      <w:pPr>
        <w:pStyle w:val="SingleTxtG"/>
        <w:tabs>
          <w:tab w:val="clear" w:pos="2268"/>
        </w:tabs>
      </w:pPr>
      <w:r w:rsidRPr="00BE433D">
        <w:t>259.</w:t>
      </w:r>
      <w:r w:rsidRPr="00BE433D">
        <w:tab/>
        <w:t>В таблице 1 приводятся данные о количестве возбужденных и направленных в суд уголовных дел по ст. 154 и 155 УК (в редакции 1997 года) за период с 2014 по 2018 год.</w:t>
      </w:r>
    </w:p>
    <w:p w14:paraId="1EEC069F" w14:textId="77777777" w:rsidR="009D5435" w:rsidRPr="00BE433D" w:rsidRDefault="009D5435" w:rsidP="009D5435">
      <w:pPr>
        <w:pStyle w:val="H23G"/>
        <w:rPr>
          <w:b w:val="0"/>
          <w:bCs/>
        </w:rPr>
      </w:pPr>
      <w:r w:rsidRPr="00BE433D">
        <w:tab/>
      </w:r>
      <w:r w:rsidRPr="00BE433D">
        <w:rPr>
          <w:b w:val="0"/>
          <w:bCs/>
        </w:rPr>
        <w:tab/>
        <w:t>Таблица 1</w:t>
      </w:r>
    </w:p>
    <w:tbl>
      <w:tblPr>
        <w:tblW w:w="7372" w:type="dxa"/>
        <w:tblInd w:w="1134" w:type="dxa"/>
        <w:tblLayout w:type="fixed"/>
        <w:tblCellMar>
          <w:left w:w="0" w:type="dxa"/>
          <w:right w:w="0" w:type="dxa"/>
        </w:tblCellMar>
        <w:tblLook w:val="04A0" w:firstRow="1" w:lastRow="0" w:firstColumn="1" w:lastColumn="0" w:noHBand="0" w:noVBand="1"/>
      </w:tblPr>
      <w:tblGrid>
        <w:gridCol w:w="729"/>
        <w:gridCol w:w="1630"/>
        <w:gridCol w:w="1575"/>
        <w:gridCol w:w="87"/>
        <w:gridCol w:w="1513"/>
        <w:gridCol w:w="1838"/>
      </w:tblGrid>
      <w:tr w:rsidR="00F037C9" w:rsidRPr="00D80F0C" w14:paraId="5E19D0A1" w14:textId="77777777" w:rsidTr="00F037C9">
        <w:trPr>
          <w:tblHeader/>
        </w:trPr>
        <w:tc>
          <w:tcPr>
            <w:tcW w:w="709" w:type="dxa"/>
            <w:vMerge w:val="restart"/>
            <w:tcBorders>
              <w:top w:val="single" w:sz="4" w:space="0" w:color="auto"/>
              <w:bottom w:val="single" w:sz="12" w:space="0" w:color="auto"/>
            </w:tcBorders>
            <w:shd w:val="clear" w:color="auto" w:fill="auto"/>
            <w:tcMar>
              <w:left w:w="28" w:type="dxa"/>
              <w:right w:w="28" w:type="dxa"/>
            </w:tcMar>
            <w:vAlign w:val="bottom"/>
          </w:tcPr>
          <w:p w14:paraId="5FC6B649" w14:textId="77777777" w:rsidR="00F037C9" w:rsidRPr="00BE433D" w:rsidRDefault="00F037C9" w:rsidP="00F037C9">
            <w:pPr>
              <w:spacing w:before="80" w:after="80" w:line="200" w:lineRule="exact"/>
              <w:rPr>
                <w:i/>
                <w:sz w:val="16"/>
              </w:rPr>
            </w:pPr>
            <w:r w:rsidRPr="00BE433D">
              <w:rPr>
                <w:i/>
                <w:sz w:val="16"/>
              </w:rPr>
              <w:t xml:space="preserve">Годы </w:t>
            </w:r>
          </w:p>
        </w:tc>
        <w:tc>
          <w:tcPr>
            <w:tcW w:w="3119" w:type="dxa"/>
            <w:gridSpan w:val="2"/>
            <w:tcBorders>
              <w:top w:val="single" w:sz="4" w:space="0" w:color="auto"/>
              <w:bottom w:val="single" w:sz="4" w:space="0" w:color="auto"/>
            </w:tcBorders>
            <w:shd w:val="clear" w:color="auto" w:fill="auto"/>
            <w:tcMar>
              <w:left w:w="28" w:type="dxa"/>
              <w:right w:w="28" w:type="dxa"/>
            </w:tcMar>
            <w:vAlign w:val="bottom"/>
            <w:hideMark/>
          </w:tcPr>
          <w:p w14:paraId="654BF505" w14:textId="10CFB8A0" w:rsidR="00F037C9" w:rsidRPr="00BE433D" w:rsidRDefault="00F037C9" w:rsidP="00F037C9">
            <w:pPr>
              <w:spacing w:before="80" w:after="80" w:line="200" w:lineRule="exact"/>
              <w:jc w:val="center"/>
              <w:rPr>
                <w:i/>
                <w:sz w:val="16"/>
              </w:rPr>
            </w:pPr>
            <w:r w:rsidRPr="00BE433D">
              <w:rPr>
                <w:i/>
                <w:sz w:val="16"/>
              </w:rPr>
              <w:t>Ст. 154 УК</w:t>
            </w:r>
            <w:r w:rsidRPr="00BE433D">
              <w:rPr>
                <w:i/>
                <w:sz w:val="16"/>
              </w:rPr>
              <w:br/>
              <w:t>Принуждение к вступлению в фактические брачные отношения с лицом, не достигшим 17-летнего возраста</w:t>
            </w:r>
          </w:p>
        </w:tc>
        <w:tc>
          <w:tcPr>
            <w:tcW w:w="85" w:type="dxa"/>
            <w:tcBorders>
              <w:top w:val="single" w:sz="4" w:space="0" w:color="auto"/>
            </w:tcBorders>
          </w:tcPr>
          <w:p w14:paraId="032647A6" w14:textId="77777777" w:rsidR="00F037C9" w:rsidRPr="00BE433D" w:rsidRDefault="00F037C9" w:rsidP="00F037C9">
            <w:pPr>
              <w:spacing w:before="80" w:after="80" w:line="200" w:lineRule="exact"/>
              <w:jc w:val="center"/>
              <w:rPr>
                <w:i/>
                <w:sz w:val="16"/>
              </w:rPr>
            </w:pPr>
          </w:p>
        </w:tc>
        <w:tc>
          <w:tcPr>
            <w:tcW w:w="3261" w:type="dxa"/>
            <w:gridSpan w:val="2"/>
            <w:tcBorders>
              <w:top w:val="single" w:sz="4" w:space="0" w:color="auto"/>
              <w:bottom w:val="single" w:sz="4" w:space="0" w:color="auto"/>
            </w:tcBorders>
            <w:shd w:val="clear" w:color="auto" w:fill="auto"/>
            <w:tcMar>
              <w:left w:w="28" w:type="dxa"/>
              <w:right w:w="28" w:type="dxa"/>
            </w:tcMar>
            <w:vAlign w:val="bottom"/>
            <w:hideMark/>
          </w:tcPr>
          <w:p w14:paraId="2E03AD3D" w14:textId="48567C7B" w:rsidR="00F037C9" w:rsidRPr="00BE433D" w:rsidRDefault="00F037C9" w:rsidP="00F037C9">
            <w:pPr>
              <w:spacing w:before="80" w:after="80" w:line="200" w:lineRule="exact"/>
              <w:jc w:val="center"/>
              <w:rPr>
                <w:i/>
                <w:sz w:val="16"/>
              </w:rPr>
            </w:pPr>
            <w:r w:rsidRPr="00BE433D">
              <w:rPr>
                <w:i/>
                <w:sz w:val="16"/>
              </w:rPr>
              <w:t xml:space="preserve">Ст. 155 УК </w:t>
            </w:r>
            <w:r w:rsidRPr="00BE433D">
              <w:rPr>
                <w:i/>
                <w:sz w:val="16"/>
              </w:rPr>
              <w:br/>
              <w:t>Принуждение женщины к вступлению в брак, похищение женщины для вступления в брак или воспрепятствование вступлению в брак</w:t>
            </w:r>
          </w:p>
        </w:tc>
      </w:tr>
      <w:tr w:rsidR="00F037C9" w:rsidRPr="00BE433D" w14:paraId="302AF9DC" w14:textId="77777777" w:rsidTr="00F037C9">
        <w:trPr>
          <w:tblHeader/>
        </w:trPr>
        <w:tc>
          <w:tcPr>
            <w:tcW w:w="709" w:type="dxa"/>
            <w:vMerge/>
            <w:tcBorders>
              <w:top w:val="single" w:sz="12" w:space="0" w:color="auto"/>
              <w:bottom w:val="single" w:sz="12" w:space="0" w:color="auto"/>
            </w:tcBorders>
            <w:shd w:val="clear" w:color="auto" w:fill="auto"/>
            <w:tcMar>
              <w:left w:w="28" w:type="dxa"/>
              <w:right w:w="28" w:type="dxa"/>
            </w:tcMar>
            <w:vAlign w:val="bottom"/>
            <w:hideMark/>
          </w:tcPr>
          <w:p w14:paraId="1F6597AB" w14:textId="77777777" w:rsidR="00F037C9" w:rsidRPr="00BE433D" w:rsidRDefault="00F037C9" w:rsidP="00F037C9">
            <w:pPr>
              <w:spacing w:before="40" w:after="40" w:line="220" w:lineRule="exact"/>
              <w:rPr>
                <w:sz w:val="18"/>
              </w:rPr>
            </w:pPr>
          </w:p>
        </w:tc>
        <w:tc>
          <w:tcPr>
            <w:tcW w:w="1586" w:type="dxa"/>
            <w:tcBorders>
              <w:top w:val="single" w:sz="4" w:space="0" w:color="auto"/>
              <w:bottom w:val="single" w:sz="12" w:space="0" w:color="auto"/>
            </w:tcBorders>
            <w:shd w:val="clear" w:color="auto" w:fill="auto"/>
            <w:tcMar>
              <w:left w:w="28" w:type="dxa"/>
              <w:right w:w="28" w:type="dxa"/>
            </w:tcMar>
            <w:vAlign w:val="bottom"/>
            <w:hideMark/>
          </w:tcPr>
          <w:p w14:paraId="1778332C" w14:textId="77777777" w:rsidR="00F037C9" w:rsidRPr="009868BF" w:rsidRDefault="00F037C9" w:rsidP="00F037C9">
            <w:pPr>
              <w:spacing w:before="40" w:after="40" w:line="220" w:lineRule="exact"/>
              <w:jc w:val="right"/>
              <w:rPr>
                <w:i/>
                <w:iCs/>
                <w:sz w:val="16"/>
                <w:szCs w:val="16"/>
              </w:rPr>
            </w:pPr>
            <w:r w:rsidRPr="009868BF">
              <w:rPr>
                <w:i/>
                <w:iCs/>
                <w:sz w:val="16"/>
                <w:szCs w:val="16"/>
              </w:rPr>
              <w:t>ВУД</w:t>
            </w:r>
          </w:p>
        </w:tc>
        <w:tc>
          <w:tcPr>
            <w:tcW w:w="1533" w:type="dxa"/>
            <w:tcBorders>
              <w:top w:val="single" w:sz="4" w:space="0" w:color="auto"/>
              <w:bottom w:val="single" w:sz="12" w:space="0" w:color="auto"/>
            </w:tcBorders>
            <w:shd w:val="clear" w:color="auto" w:fill="auto"/>
            <w:tcMar>
              <w:left w:w="28" w:type="dxa"/>
              <w:right w:w="28" w:type="dxa"/>
            </w:tcMar>
            <w:vAlign w:val="bottom"/>
            <w:hideMark/>
          </w:tcPr>
          <w:p w14:paraId="794FCD5D" w14:textId="77777777" w:rsidR="00F037C9" w:rsidRPr="009868BF" w:rsidRDefault="00F037C9" w:rsidP="00F037C9">
            <w:pPr>
              <w:spacing w:before="40" w:after="40" w:line="220" w:lineRule="exact"/>
              <w:jc w:val="right"/>
              <w:rPr>
                <w:i/>
                <w:iCs/>
                <w:sz w:val="16"/>
                <w:szCs w:val="16"/>
              </w:rPr>
            </w:pPr>
            <w:r w:rsidRPr="009868BF">
              <w:rPr>
                <w:i/>
                <w:iCs/>
                <w:sz w:val="16"/>
                <w:szCs w:val="16"/>
              </w:rPr>
              <w:t>Направлено в суд</w:t>
            </w:r>
          </w:p>
        </w:tc>
        <w:tc>
          <w:tcPr>
            <w:tcW w:w="85" w:type="dxa"/>
            <w:tcBorders>
              <w:bottom w:val="single" w:sz="12" w:space="0" w:color="auto"/>
            </w:tcBorders>
          </w:tcPr>
          <w:p w14:paraId="37F4748E" w14:textId="77777777" w:rsidR="00F037C9" w:rsidRPr="009868BF" w:rsidRDefault="00F037C9" w:rsidP="00F037C9">
            <w:pPr>
              <w:spacing w:before="40" w:after="40" w:line="220" w:lineRule="exact"/>
              <w:jc w:val="right"/>
              <w:rPr>
                <w:i/>
                <w:iCs/>
                <w:sz w:val="16"/>
                <w:szCs w:val="16"/>
              </w:rPr>
            </w:pPr>
          </w:p>
        </w:tc>
        <w:tc>
          <w:tcPr>
            <w:tcW w:w="1472" w:type="dxa"/>
            <w:tcBorders>
              <w:top w:val="single" w:sz="4" w:space="0" w:color="auto"/>
              <w:bottom w:val="single" w:sz="12" w:space="0" w:color="auto"/>
            </w:tcBorders>
            <w:shd w:val="clear" w:color="auto" w:fill="auto"/>
            <w:tcMar>
              <w:left w:w="28" w:type="dxa"/>
              <w:right w:w="28" w:type="dxa"/>
            </w:tcMar>
            <w:vAlign w:val="bottom"/>
            <w:hideMark/>
          </w:tcPr>
          <w:p w14:paraId="05865356" w14:textId="4160C1B8" w:rsidR="00F037C9" w:rsidRPr="009868BF" w:rsidRDefault="00F037C9" w:rsidP="00F037C9">
            <w:pPr>
              <w:spacing w:before="40" w:after="40" w:line="220" w:lineRule="exact"/>
              <w:jc w:val="right"/>
              <w:rPr>
                <w:i/>
                <w:iCs/>
                <w:sz w:val="16"/>
                <w:szCs w:val="16"/>
              </w:rPr>
            </w:pPr>
            <w:r w:rsidRPr="009868BF">
              <w:rPr>
                <w:i/>
                <w:iCs/>
                <w:sz w:val="16"/>
                <w:szCs w:val="16"/>
              </w:rPr>
              <w:t>ВУД</w:t>
            </w:r>
          </w:p>
        </w:tc>
        <w:tc>
          <w:tcPr>
            <w:tcW w:w="1789" w:type="dxa"/>
            <w:tcBorders>
              <w:top w:val="single" w:sz="4" w:space="0" w:color="auto"/>
              <w:bottom w:val="single" w:sz="12" w:space="0" w:color="auto"/>
            </w:tcBorders>
            <w:shd w:val="clear" w:color="auto" w:fill="auto"/>
            <w:tcMar>
              <w:left w:w="28" w:type="dxa"/>
              <w:right w:w="28" w:type="dxa"/>
            </w:tcMar>
            <w:vAlign w:val="bottom"/>
            <w:hideMark/>
          </w:tcPr>
          <w:p w14:paraId="0D37C91C" w14:textId="77777777" w:rsidR="00F037C9" w:rsidRPr="009868BF" w:rsidRDefault="00F037C9" w:rsidP="00F037C9">
            <w:pPr>
              <w:spacing w:before="40" w:after="40" w:line="220" w:lineRule="exact"/>
              <w:jc w:val="right"/>
              <w:rPr>
                <w:i/>
                <w:iCs/>
                <w:sz w:val="16"/>
                <w:szCs w:val="16"/>
              </w:rPr>
            </w:pPr>
            <w:r w:rsidRPr="009868BF">
              <w:rPr>
                <w:i/>
                <w:iCs/>
                <w:sz w:val="16"/>
                <w:szCs w:val="16"/>
              </w:rPr>
              <w:t>Направлено в суд</w:t>
            </w:r>
          </w:p>
        </w:tc>
      </w:tr>
      <w:tr w:rsidR="00F037C9" w:rsidRPr="00BE433D" w14:paraId="085D31D1" w14:textId="77777777" w:rsidTr="00F037C9">
        <w:tc>
          <w:tcPr>
            <w:tcW w:w="709" w:type="dxa"/>
            <w:tcBorders>
              <w:top w:val="single" w:sz="12" w:space="0" w:color="auto"/>
            </w:tcBorders>
            <w:shd w:val="clear" w:color="auto" w:fill="auto"/>
            <w:tcMar>
              <w:left w:w="28" w:type="dxa"/>
              <w:right w:w="28" w:type="dxa"/>
            </w:tcMar>
            <w:hideMark/>
          </w:tcPr>
          <w:p w14:paraId="7BC039B8" w14:textId="77777777" w:rsidR="00F037C9" w:rsidRPr="00BE433D" w:rsidRDefault="00F037C9" w:rsidP="00F037C9">
            <w:pPr>
              <w:spacing w:before="40" w:after="40" w:line="220" w:lineRule="exact"/>
              <w:rPr>
                <w:sz w:val="18"/>
              </w:rPr>
            </w:pPr>
            <w:r w:rsidRPr="00BE433D">
              <w:rPr>
                <w:sz w:val="18"/>
              </w:rPr>
              <w:t>2014</w:t>
            </w:r>
          </w:p>
        </w:tc>
        <w:tc>
          <w:tcPr>
            <w:tcW w:w="1586" w:type="dxa"/>
            <w:tcBorders>
              <w:top w:val="single" w:sz="12" w:space="0" w:color="auto"/>
            </w:tcBorders>
            <w:shd w:val="clear" w:color="auto" w:fill="auto"/>
            <w:tcMar>
              <w:left w:w="28" w:type="dxa"/>
              <w:right w:w="28" w:type="dxa"/>
            </w:tcMar>
            <w:vAlign w:val="bottom"/>
            <w:hideMark/>
          </w:tcPr>
          <w:p w14:paraId="18734F04" w14:textId="77777777" w:rsidR="00F037C9" w:rsidRPr="00BE433D" w:rsidRDefault="00F037C9" w:rsidP="00F037C9">
            <w:pPr>
              <w:spacing w:before="40" w:after="40" w:line="220" w:lineRule="exact"/>
              <w:jc w:val="right"/>
              <w:rPr>
                <w:sz w:val="18"/>
              </w:rPr>
            </w:pPr>
            <w:r w:rsidRPr="00BE433D">
              <w:rPr>
                <w:sz w:val="18"/>
              </w:rPr>
              <w:t>6</w:t>
            </w:r>
          </w:p>
        </w:tc>
        <w:tc>
          <w:tcPr>
            <w:tcW w:w="1533" w:type="dxa"/>
            <w:tcBorders>
              <w:top w:val="single" w:sz="12" w:space="0" w:color="auto"/>
            </w:tcBorders>
            <w:shd w:val="clear" w:color="auto" w:fill="auto"/>
            <w:tcMar>
              <w:left w:w="28" w:type="dxa"/>
              <w:right w:w="28" w:type="dxa"/>
            </w:tcMar>
            <w:vAlign w:val="bottom"/>
            <w:hideMark/>
          </w:tcPr>
          <w:p w14:paraId="1AAB1A02" w14:textId="77777777" w:rsidR="00F037C9" w:rsidRPr="00BE433D" w:rsidRDefault="00F037C9" w:rsidP="00F037C9">
            <w:pPr>
              <w:spacing w:before="40" w:after="40" w:line="220" w:lineRule="exact"/>
              <w:jc w:val="right"/>
              <w:rPr>
                <w:sz w:val="18"/>
              </w:rPr>
            </w:pPr>
            <w:r w:rsidRPr="00BE433D">
              <w:rPr>
                <w:sz w:val="18"/>
              </w:rPr>
              <w:t>6</w:t>
            </w:r>
          </w:p>
        </w:tc>
        <w:tc>
          <w:tcPr>
            <w:tcW w:w="85" w:type="dxa"/>
            <w:tcBorders>
              <w:top w:val="single" w:sz="12" w:space="0" w:color="auto"/>
            </w:tcBorders>
          </w:tcPr>
          <w:p w14:paraId="06B14AD8" w14:textId="77777777" w:rsidR="00F037C9" w:rsidRPr="00BE433D" w:rsidRDefault="00F037C9" w:rsidP="00F037C9">
            <w:pPr>
              <w:spacing w:before="40" w:after="40" w:line="220" w:lineRule="exact"/>
              <w:jc w:val="right"/>
              <w:rPr>
                <w:sz w:val="18"/>
              </w:rPr>
            </w:pPr>
          </w:p>
        </w:tc>
        <w:tc>
          <w:tcPr>
            <w:tcW w:w="1472" w:type="dxa"/>
            <w:tcBorders>
              <w:top w:val="single" w:sz="12" w:space="0" w:color="auto"/>
            </w:tcBorders>
            <w:shd w:val="clear" w:color="auto" w:fill="auto"/>
            <w:tcMar>
              <w:left w:w="28" w:type="dxa"/>
              <w:right w:w="28" w:type="dxa"/>
            </w:tcMar>
            <w:vAlign w:val="bottom"/>
            <w:hideMark/>
          </w:tcPr>
          <w:p w14:paraId="31117221" w14:textId="797B351B" w:rsidR="00F037C9" w:rsidRPr="00BE433D" w:rsidRDefault="00F037C9" w:rsidP="00F037C9">
            <w:pPr>
              <w:spacing w:before="40" w:after="40" w:line="220" w:lineRule="exact"/>
              <w:jc w:val="right"/>
              <w:rPr>
                <w:sz w:val="18"/>
              </w:rPr>
            </w:pPr>
            <w:r w:rsidRPr="00BE433D">
              <w:rPr>
                <w:sz w:val="18"/>
              </w:rPr>
              <w:t>33</w:t>
            </w:r>
          </w:p>
        </w:tc>
        <w:tc>
          <w:tcPr>
            <w:tcW w:w="1789" w:type="dxa"/>
            <w:tcBorders>
              <w:top w:val="single" w:sz="12" w:space="0" w:color="auto"/>
            </w:tcBorders>
            <w:shd w:val="clear" w:color="auto" w:fill="auto"/>
            <w:tcMar>
              <w:left w:w="28" w:type="dxa"/>
              <w:right w:w="28" w:type="dxa"/>
            </w:tcMar>
            <w:vAlign w:val="bottom"/>
            <w:hideMark/>
          </w:tcPr>
          <w:p w14:paraId="055426B2" w14:textId="77777777" w:rsidR="00F037C9" w:rsidRPr="00BE433D" w:rsidRDefault="00F037C9" w:rsidP="00F037C9">
            <w:pPr>
              <w:spacing w:before="40" w:after="40" w:line="220" w:lineRule="exact"/>
              <w:jc w:val="right"/>
              <w:rPr>
                <w:sz w:val="18"/>
              </w:rPr>
            </w:pPr>
            <w:r w:rsidRPr="00BE433D">
              <w:rPr>
                <w:sz w:val="18"/>
              </w:rPr>
              <w:t>33</w:t>
            </w:r>
          </w:p>
        </w:tc>
      </w:tr>
      <w:tr w:rsidR="00F037C9" w:rsidRPr="00BE433D" w14:paraId="5EF59BC6" w14:textId="77777777" w:rsidTr="00F037C9">
        <w:tc>
          <w:tcPr>
            <w:tcW w:w="709" w:type="dxa"/>
            <w:shd w:val="clear" w:color="auto" w:fill="auto"/>
            <w:tcMar>
              <w:left w:w="28" w:type="dxa"/>
              <w:right w:w="28" w:type="dxa"/>
            </w:tcMar>
            <w:hideMark/>
          </w:tcPr>
          <w:p w14:paraId="7A4CC669" w14:textId="77777777" w:rsidR="00F037C9" w:rsidRPr="00BE433D" w:rsidRDefault="00F037C9" w:rsidP="00F037C9">
            <w:pPr>
              <w:spacing w:before="40" w:after="40" w:line="220" w:lineRule="exact"/>
              <w:rPr>
                <w:sz w:val="18"/>
              </w:rPr>
            </w:pPr>
            <w:r w:rsidRPr="00BE433D">
              <w:rPr>
                <w:sz w:val="18"/>
              </w:rPr>
              <w:t>2015</w:t>
            </w:r>
          </w:p>
        </w:tc>
        <w:tc>
          <w:tcPr>
            <w:tcW w:w="1586" w:type="dxa"/>
            <w:shd w:val="clear" w:color="auto" w:fill="auto"/>
            <w:tcMar>
              <w:left w:w="28" w:type="dxa"/>
              <w:right w:w="28" w:type="dxa"/>
            </w:tcMar>
            <w:vAlign w:val="bottom"/>
            <w:hideMark/>
          </w:tcPr>
          <w:p w14:paraId="6E649FC8" w14:textId="77777777" w:rsidR="00F037C9" w:rsidRPr="00BE433D" w:rsidRDefault="00F037C9" w:rsidP="00F037C9">
            <w:pPr>
              <w:spacing w:before="40" w:after="40" w:line="220" w:lineRule="exact"/>
              <w:jc w:val="right"/>
              <w:rPr>
                <w:sz w:val="18"/>
              </w:rPr>
            </w:pPr>
            <w:r w:rsidRPr="00BE433D">
              <w:rPr>
                <w:sz w:val="18"/>
              </w:rPr>
              <w:t xml:space="preserve">4 </w:t>
            </w:r>
          </w:p>
        </w:tc>
        <w:tc>
          <w:tcPr>
            <w:tcW w:w="1533" w:type="dxa"/>
            <w:shd w:val="clear" w:color="auto" w:fill="auto"/>
            <w:tcMar>
              <w:left w:w="28" w:type="dxa"/>
              <w:right w:w="28" w:type="dxa"/>
            </w:tcMar>
            <w:vAlign w:val="bottom"/>
            <w:hideMark/>
          </w:tcPr>
          <w:p w14:paraId="25529C64" w14:textId="77777777" w:rsidR="00F037C9" w:rsidRPr="00BE433D" w:rsidRDefault="00F037C9" w:rsidP="00F037C9">
            <w:pPr>
              <w:spacing w:before="40" w:after="40" w:line="220" w:lineRule="exact"/>
              <w:jc w:val="right"/>
              <w:rPr>
                <w:sz w:val="18"/>
              </w:rPr>
            </w:pPr>
            <w:r w:rsidRPr="00BE433D">
              <w:rPr>
                <w:sz w:val="18"/>
              </w:rPr>
              <w:t>4</w:t>
            </w:r>
          </w:p>
        </w:tc>
        <w:tc>
          <w:tcPr>
            <w:tcW w:w="85" w:type="dxa"/>
          </w:tcPr>
          <w:p w14:paraId="162ED290" w14:textId="77777777" w:rsidR="00F037C9" w:rsidRPr="00BE433D" w:rsidRDefault="00F037C9" w:rsidP="00F037C9">
            <w:pPr>
              <w:spacing w:before="40" w:after="40" w:line="220" w:lineRule="exact"/>
              <w:jc w:val="right"/>
              <w:rPr>
                <w:sz w:val="18"/>
              </w:rPr>
            </w:pPr>
          </w:p>
        </w:tc>
        <w:tc>
          <w:tcPr>
            <w:tcW w:w="1472" w:type="dxa"/>
            <w:shd w:val="clear" w:color="auto" w:fill="auto"/>
            <w:tcMar>
              <w:left w:w="28" w:type="dxa"/>
              <w:right w:w="28" w:type="dxa"/>
            </w:tcMar>
            <w:vAlign w:val="bottom"/>
            <w:hideMark/>
          </w:tcPr>
          <w:p w14:paraId="6D466EFC" w14:textId="032DFC25" w:rsidR="00F037C9" w:rsidRPr="00BE433D" w:rsidRDefault="00F037C9" w:rsidP="00F037C9">
            <w:pPr>
              <w:spacing w:before="40" w:after="40" w:line="220" w:lineRule="exact"/>
              <w:jc w:val="right"/>
              <w:rPr>
                <w:sz w:val="18"/>
              </w:rPr>
            </w:pPr>
            <w:r w:rsidRPr="00BE433D">
              <w:rPr>
                <w:sz w:val="18"/>
              </w:rPr>
              <w:t>32</w:t>
            </w:r>
          </w:p>
        </w:tc>
        <w:tc>
          <w:tcPr>
            <w:tcW w:w="1789" w:type="dxa"/>
            <w:shd w:val="clear" w:color="auto" w:fill="auto"/>
            <w:tcMar>
              <w:left w:w="28" w:type="dxa"/>
              <w:right w:w="28" w:type="dxa"/>
            </w:tcMar>
            <w:vAlign w:val="bottom"/>
            <w:hideMark/>
          </w:tcPr>
          <w:p w14:paraId="421C9E67" w14:textId="77777777" w:rsidR="00F037C9" w:rsidRPr="00BE433D" w:rsidRDefault="00F037C9" w:rsidP="00F037C9">
            <w:pPr>
              <w:spacing w:before="40" w:after="40" w:line="220" w:lineRule="exact"/>
              <w:jc w:val="right"/>
              <w:rPr>
                <w:sz w:val="18"/>
              </w:rPr>
            </w:pPr>
            <w:r w:rsidRPr="00BE433D">
              <w:rPr>
                <w:sz w:val="18"/>
              </w:rPr>
              <w:t>32</w:t>
            </w:r>
          </w:p>
        </w:tc>
      </w:tr>
      <w:tr w:rsidR="00F037C9" w:rsidRPr="00BE433D" w14:paraId="346D9DAF" w14:textId="77777777" w:rsidTr="00F037C9">
        <w:tc>
          <w:tcPr>
            <w:tcW w:w="709" w:type="dxa"/>
            <w:shd w:val="clear" w:color="auto" w:fill="auto"/>
            <w:tcMar>
              <w:left w:w="28" w:type="dxa"/>
              <w:right w:w="28" w:type="dxa"/>
            </w:tcMar>
            <w:hideMark/>
          </w:tcPr>
          <w:p w14:paraId="0F65EA47" w14:textId="77777777" w:rsidR="00F037C9" w:rsidRPr="00BE433D" w:rsidRDefault="00F037C9" w:rsidP="00F037C9">
            <w:pPr>
              <w:spacing w:before="40" w:after="40" w:line="220" w:lineRule="exact"/>
              <w:rPr>
                <w:sz w:val="18"/>
              </w:rPr>
            </w:pPr>
            <w:r w:rsidRPr="00BE433D">
              <w:rPr>
                <w:sz w:val="18"/>
              </w:rPr>
              <w:t>2016</w:t>
            </w:r>
          </w:p>
        </w:tc>
        <w:tc>
          <w:tcPr>
            <w:tcW w:w="1586" w:type="dxa"/>
            <w:shd w:val="clear" w:color="auto" w:fill="auto"/>
            <w:tcMar>
              <w:left w:w="28" w:type="dxa"/>
              <w:right w:w="28" w:type="dxa"/>
            </w:tcMar>
            <w:vAlign w:val="bottom"/>
            <w:hideMark/>
          </w:tcPr>
          <w:p w14:paraId="53D9561F" w14:textId="77777777" w:rsidR="00F037C9" w:rsidRPr="00BE433D" w:rsidRDefault="00F037C9" w:rsidP="00F037C9">
            <w:pPr>
              <w:spacing w:before="40" w:after="40" w:line="220" w:lineRule="exact"/>
              <w:jc w:val="right"/>
              <w:rPr>
                <w:sz w:val="18"/>
              </w:rPr>
            </w:pPr>
            <w:r w:rsidRPr="00BE433D">
              <w:rPr>
                <w:sz w:val="18"/>
              </w:rPr>
              <w:t>10</w:t>
            </w:r>
          </w:p>
        </w:tc>
        <w:tc>
          <w:tcPr>
            <w:tcW w:w="1533" w:type="dxa"/>
            <w:shd w:val="clear" w:color="auto" w:fill="auto"/>
            <w:tcMar>
              <w:left w:w="28" w:type="dxa"/>
              <w:right w:w="28" w:type="dxa"/>
            </w:tcMar>
            <w:vAlign w:val="bottom"/>
            <w:hideMark/>
          </w:tcPr>
          <w:p w14:paraId="53C9C32B" w14:textId="77777777" w:rsidR="00F037C9" w:rsidRPr="00BE433D" w:rsidRDefault="00F037C9" w:rsidP="00F037C9">
            <w:pPr>
              <w:spacing w:before="40" w:after="40" w:line="220" w:lineRule="exact"/>
              <w:jc w:val="right"/>
              <w:rPr>
                <w:sz w:val="18"/>
              </w:rPr>
            </w:pPr>
            <w:r w:rsidRPr="00BE433D">
              <w:rPr>
                <w:sz w:val="18"/>
              </w:rPr>
              <w:t>10</w:t>
            </w:r>
          </w:p>
        </w:tc>
        <w:tc>
          <w:tcPr>
            <w:tcW w:w="85" w:type="dxa"/>
          </w:tcPr>
          <w:p w14:paraId="6B2A372B" w14:textId="77777777" w:rsidR="00F037C9" w:rsidRPr="00BE433D" w:rsidRDefault="00F037C9" w:rsidP="00F037C9">
            <w:pPr>
              <w:spacing w:before="40" w:after="40" w:line="220" w:lineRule="exact"/>
              <w:jc w:val="right"/>
              <w:rPr>
                <w:sz w:val="18"/>
              </w:rPr>
            </w:pPr>
          </w:p>
        </w:tc>
        <w:tc>
          <w:tcPr>
            <w:tcW w:w="1472" w:type="dxa"/>
            <w:shd w:val="clear" w:color="auto" w:fill="auto"/>
            <w:tcMar>
              <w:left w:w="28" w:type="dxa"/>
              <w:right w:w="28" w:type="dxa"/>
            </w:tcMar>
            <w:vAlign w:val="bottom"/>
            <w:hideMark/>
          </w:tcPr>
          <w:p w14:paraId="7E5135A3" w14:textId="38C4A63D" w:rsidR="00F037C9" w:rsidRPr="00BE433D" w:rsidRDefault="00F037C9" w:rsidP="00F037C9">
            <w:pPr>
              <w:spacing w:before="40" w:after="40" w:line="220" w:lineRule="exact"/>
              <w:jc w:val="right"/>
              <w:rPr>
                <w:sz w:val="18"/>
              </w:rPr>
            </w:pPr>
            <w:r w:rsidRPr="00BE433D">
              <w:rPr>
                <w:sz w:val="18"/>
              </w:rPr>
              <w:t>26</w:t>
            </w:r>
          </w:p>
        </w:tc>
        <w:tc>
          <w:tcPr>
            <w:tcW w:w="1789" w:type="dxa"/>
            <w:shd w:val="clear" w:color="auto" w:fill="auto"/>
            <w:tcMar>
              <w:left w:w="28" w:type="dxa"/>
              <w:right w:w="28" w:type="dxa"/>
            </w:tcMar>
            <w:vAlign w:val="bottom"/>
            <w:hideMark/>
          </w:tcPr>
          <w:p w14:paraId="0C83B96F" w14:textId="77777777" w:rsidR="00F037C9" w:rsidRPr="00BE433D" w:rsidRDefault="00F037C9" w:rsidP="00F037C9">
            <w:pPr>
              <w:spacing w:before="40" w:after="40" w:line="220" w:lineRule="exact"/>
              <w:jc w:val="right"/>
              <w:rPr>
                <w:sz w:val="18"/>
              </w:rPr>
            </w:pPr>
            <w:r w:rsidRPr="00BE433D">
              <w:rPr>
                <w:sz w:val="18"/>
              </w:rPr>
              <w:t>26</w:t>
            </w:r>
          </w:p>
        </w:tc>
      </w:tr>
      <w:tr w:rsidR="00F037C9" w:rsidRPr="00BE433D" w14:paraId="5DCD0748" w14:textId="77777777" w:rsidTr="00F037C9">
        <w:tc>
          <w:tcPr>
            <w:tcW w:w="709" w:type="dxa"/>
            <w:shd w:val="clear" w:color="auto" w:fill="auto"/>
            <w:tcMar>
              <w:left w:w="28" w:type="dxa"/>
              <w:right w:w="28" w:type="dxa"/>
            </w:tcMar>
            <w:hideMark/>
          </w:tcPr>
          <w:p w14:paraId="6C470B8D" w14:textId="77777777" w:rsidR="00F037C9" w:rsidRPr="00BE433D" w:rsidRDefault="00F037C9" w:rsidP="00F037C9">
            <w:pPr>
              <w:spacing w:before="40" w:after="40" w:line="220" w:lineRule="exact"/>
              <w:rPr>
                <w:sz w:val="18"/>
              </w:rPr>
            </w:pPr>
            <w:r w:rsidRPr="00BE433D">
              <w:rPr>
                <w:sz w:val="18"/>
              </w:rPr>
              <w:t>2017</w:t>
            </w:r>
          </w:p>
        </w:tc>
        <w:tc>
          <w:tcPr>
            <w:tcW w:w="1586" w:type="dxa"/>
            <w:shd w:val="clear" w:color="auto" w:fill="auto"/>
            <w:tcMar>
              <w:left w:w="28" w:type="dxa"/>
              <w:right w:w="28" w:type="dxa"/>
            </w:tcMar>
            <w:vAlign w:val="bottom"/>
            <w:hideMark/>
          </w:tcPr>
          <w:p w14:paraId="7C931D46" w14:textId="77777777" w:rsidR="00F037C9" w:rsidRPr="00BE433D" w:rsidRDefault="00F037C9" w:rsidP="00F037C9">
            <w:pPr>
              <w:spacing w:before="40" w:after="40" w:line="220" w:lineRule="exact"/>
              <w:jc w:val="right"/>
              <w:rPr>
                <w:sz w:val="18"/>
              </w:rPr>
            </w:pPr>
            <w:r w:rsidRPr="00BE433D">
              <w:rPr>
                <w:sz w:val="18"/>
              </w:rPr>
              <w:t>4</w:t>
            </w:r>
          </w:p>
        </w:tc>
        <w:tc>
          <w:tcPr>
            <w:tcW w:w="1533" w:type="dxa"/>
            <w:shd w:val="clear" w:color="auto" w:fill="auto"/>
            <w:tcMar>
              <w:left w:w="28" w:type="dxa"/>
              <w:right w:w="28" w:type="dxa"/>
            </w:tcMar>
            <w:vAlign w:val="bottom"/>
            <w:hideMark/>
          </w:tcPr>
          <w:p w14:paraId="32D70CC7" w14:textId="77777777" w:rsidR="00F037C9" w:rsidRPr="00BE433D" w:rsidRDefault="00F037C9" w:rsidP="00F037C9">
            <w:pPr>
              <w:spacing w:before="40" w:after="40" w:line="220" w:lineRule="exact"/>
              <w:jc w:val="right"/>
              <w:rPr>
                <w:sz w:val="18"/>
              </w:rPr>
            </w:pPr>
            <w:r w:rsidRPr="00BE433D">
              <w:rPr>
                <w:sz w:val="18"/>
              </w:rPr>
              <w:t>4</w:t>
            </w:r>
          </w:p>
        </w:tc>
        <w:tc>
          <w:tcPr>
            <w:tcW w:w="85" w:type="dxa"/>
          </w:tcPr>
          <w:p w14:paraId="08819F3C" w14:textId="77777777" w:rsidR="00F037C9" w:rsidRPr="00BE433D" w:rsidRDefault="00F037C9" w:rsidP="00F037C9">
            <w:pPr>
              <w:spacing w:before="40" w:after="40" w:line="220" w:lineRule="exact"/>
              <w:jc w:val="right"/>
              <w:rPr>
                <w:sz w:val="18"/>
              </w:rPr>
            </w:pPr>
          </w:p>
        </w:tc>
        <w:tc>
          <w:tcPr>
            <w:tcW w:w="1472" w:type="dxa"/>
            <w:shd w:val="clear" w:color="auto" w:fill="auto"/>
            <w:tcMar>
              <w:left w:w="28" w:type="dxa"/>
              <w:right w:w="28" w:type="dxa"/>
            </w:tcMar>
            <w:vAlign w:val="bottom"/>
            <w:hideMark/>
          </w:tcPr>
          <w:p w14:paraId="7F11FBFD" w14:textId="27AF3B45" w:rsidR="00F037C9" w:rsidRPr="00BE433D" w:rsidRDefault="00F037C9" w:rsidP="00F037C9">
            <w:pPr>
              <w:spacing w:before="40" w:after="40" w:line="220" w:lineRule="exact"/>
              <w:jc w:val="right"/>
              <w:rPr>
                <w:sz w:val="18"/>
              </w:rPr>
            </w:pPr>
            <w:r w:rsidRPr="00BE433D">
              <w:rPr>
                <w:sz w:val="18"/>
              </w:rPr>
              <w:t>19</w:t>
            </w:r>
          </w:p>
        </w:tc>
        <w:tc>
          <w:tcPr>
            <w:tcW w:w="1789" w:type="dxa"/>
            <w:shd w:val="clear" w:color="auto" w:fill="auto"/>
            <w:tcMar>
              <w:left w:w="28" w:type="dxa"/>
              <w:right w:w="28" w:type="dxa"/>
            </w:tcMar>
            <w:vAlign w:val="bottom"/>
            <w:hideMark/>
          </w:tcPr>
          <w:p w14:paraId="6FFD26F9" w14:textId="77777777" w:rsidR="00F037C9" w:rsidRPr="00BE433D" w:rsidRDefault="00F037C9" w:rsidP="00F037C9">
            <w:pPr>
              <w:spacing w:before="40" w:after="40" w:line="220" w:lineRule="exact"/>
              <w:jc w:val="right"/>
              <w:rPr>
                <w:sz w:val="18"/>
              </w:rPr>
            </w:pPr>
            <w:r w:rsidRPr="00BE433D">
              <w:rPr>
                <w:sz w:val="18"/>
              </w:rPr>
              <w:t>19</w:t>
            </w:r>
          </w:p>
        </w:tc>
      </w:tr>
      <w:tr w:rsidR="00F037C9" w:rsidRPr="00BE433D" w14:paraId="5EAD6977" w14:textId="77777777" w:rsidTr="00F037C9">
        <w:tc>
          <w:tcPr>
            <w:tcW w:w="709" w:type="dxa"/>
            <w:tcBorders>
              <w:bottom w:val="single" w:sz="12" w:space="0" w:color="auto"/>
            </w:tcBorders>
            <w:shd w:val="clear" w:color="auto" w:fill="auto"/>
            <w:tcMar>
              <w:left w:w="28" w:type="dxa"/>
              <w:right w:w="28" w:type="dxa"/>
            </w:tcMar>
            <w:hideMark/>
          </w:tcPr>
          <w:p w14:paraId="1D9D337E" w14:textId="77777777" w:rsidR="00F037C9" w:rsidRPr="00BE433D" w:rsidRDefault="00F037C9" w:rsidP="00F037C9">
            <w:pPr>
              <w:spacing w:before="40" w:after="40" w:line="220" w:lineRule="exact"/>
              <w:rPr>
                <w:sz w:val="18"/>
              </w:rPr>
            </w:pPr>
            <w:r w:rsidRPr="00BE433D">
              <w:rPr>
                <w:sz w:val="18"/>
              </w:rPr>
              <w:t>2018</w:t>
            </w:r>
          </w:p>
        </w:tc>
        <w:tc>
          <w:tcPr>
            <w:tcW w:w="1586" w:type="dxa"/>
            <w:tcBorders>
              <w:bottom w:val="single" w:sz="12" w:space="0" w:color="auto"/>
            </w:tcBorders>
            <w:shd w:val="clear" w:color="auto" w:fill="auto"/>
            <w:tcMar>
              <w:left w:w="28" w:type="dxa"/>
              <w:right w:w="28" w:type="dxa"/>
            </w:tcMar>
            <w:vAlign w:val="bottom"/>
            <w:hideMark/>
          </w:tcPr>
          <w:p w14:paraId="32CD368D" w14:textId="77777777" w:rsidR="00F037C9" w:rsidRPr="00BE433D" w:rsidRDefault="00F037C9" w:rsidP="00F037C9">
            <w:pPr>
              <w:spacing w:before="40" w:after="40" w:line="220" w:lineRule="exact"/>
              <w:jc w:val="right"/>
              <w:rPr>
                <w:sz w:val="18"/>
              </w:rPr>
            </w:pPr>
            <w:r w:rsidRPr="00BE433D">
              <w:rPr>
                <w:sz w:val="18"/>
              </w:rPr>
              <w:t>3</w:t>
            </w:r>
          </w:p>
        </w:tc>
        <w:tc>
          <w:tcPr>
            <w:tcW w:w="1533" w:type="dxa"/>
            <w:tcBorders>
              <w:bottom w:val="single" w:sz="12" w:space="0" w:color="auto"/>
            </w:tcBorders>
            <w:shd w:val="clear" w:color="auto" w:fill="auto"/>
            <w:tcMar>
              <w:left w:w="28" w:type="dxa"/>
              <w:right w:w="28" w:type="dxa"/>
            </w:tcMar>
            <w:vAlign w:val="bottom"/>
            <w:hideMark/>
          </w:tcPr>
          <w:p w14:paraId="05B28788" w14:textId="77777777" w:rsidR="00F037C9" w:rsidRPr="00BE433D" w:rsidRDefault="00F037C9" w:rsidP="00F037C9">
            <w:pPr>
              <w:spacing w:before="40" w:after="40" w:line="220" w:lineRule="exact"/>
              <w:jc w:val="right"/>
              <w:rPr>
                <w:sz w:val="18"/>
              </w:rPr>
            </w:pPr>
            <w:r w:rsidRPr="00BE433D">
              <w:rPr>
                <w:sz w:val="18"/>
              </w:rPr>
              <w:t>3</w:t>
            </w:r>
          </w:p>
        </w:tc>
        <w:tc>
          <w:tcPr>
            <w:tcW w:w="85" w:type="dxa"/>
            <w:tcBorders>
              <w:bottom w:val="single" w:sz="12" w:space="0" w:color="auto"/>
            </w:tcBorders>
          </w:tcPr>
          <w:p w14:paraId="542BC94E" w14:textId="77777777" w:rsidR="00F037C9" w:rsidRPr="00BE433D" w:rsidRDefault="00F037C9" w:rsidP="00F037C9">
            <w:pPr>
              <w:spacing w:before="40" w:after="40" w:line="220" w:lineRule="exact"/>
              <w:jc w:val="right"/>
              <w:rPr>
                <w:sz w:val="18"/>
              </w:rPr>
            </w:pPr>
          </w:p>
        </w:tc>
        <w:tc>
          <w:tcPr>
            <w:tcW w:w="1472" w:type="dxa"/>
            <w:tcBorders>
              <w:bottom w:val="single" w:sz="12" w:space="0" w:color="auto"/>
            </w:tcBorders>
            <w:shd w:val="clear" w:color="auto" w:fill="auto"/>
            <w:tcMar>
              <w:left w:w="28" w:type="dxa"/>
              <w:right w:w="28" w:type="dxa"/>
            </w:tcMar>
            <w:vAlign w:val="bottom"/>
            <w:hideMark/>
          </w:tcPr>
          <w:p w14:paraId="2D062AC0" w14:textId="2C47A904" w:rsidR="00F037C9" w:rsidRPr="00BE433D" w:rsidRDefault="00F037C9" w:rsidP="00F037C9">
            <w:pPr>
              <w:spacing w:before="40" w:after="40" w:line="220" w:lineRule="exact"/>
              <w:jc w:val="right"/>
              <w:rPr>
                <w:sz w:val="18"/>
              </w:rPr>
            </w:pPr>
            <w:r w:rsidRPr="00BE433D">
              <w:rPr>
                <w:sz w:val="18"/>
              </w:rPr>
              <w:t>37</w:t>
            </w:r>
          </w:p>
        </w:tc>
        <w:tc>
          <w:tcPr>
            <w:tcW w:w="1789" w:type="dxa"/>
            <w:tcBorders>
              <w:bottom w:val="single" w:sz="12" w:space="0" w:color="auto"/>
            </w:tcBorders>
            <w:shd w:val="clear" w:color="auto" w:fill="auto"/>
            <w:tcMar>
              <w:left w:w="28" w:type="dxa"/>
              <w:right w:w="28" w:type="dxa"/>
            </w:tcMar>
            <w:vAlign w:val="bottom"/>
            <w:hideMark/>
          </w:tcPr>
          <w:p w14:paraId="60A2C005" w14:textId="77777777" w:rsidR="00F037C9" w:rsidRPr="00BE433D" w:rsidRDefault="00F037C9" w:rsidP="00F037C9">
            <w:pPr>
              <w:spacing w:before="40" w:after="40" w:line="220" w:lineRule="exact"/>
              <w:jc w:val="right"/>
              <w:rPr>
                <w:sz w:val="18"/>
              </w:rPr>
            </w:pPr>
            <w:r w:rsidRPr="00BE433D">
              <w:rPr>
                <w:sz w:val="18"/>
              </w:rPr>
              <w:t>37</w:t>
            </w:r>
          </w:p>
        </w:tc>
      </w:tr>
    </w:tbl>
    <w:p w14:paraId="3DB3D86A" w14:textId="77777777" w:rsidR="009D5435" w:rsidRPr="00BE433D" w:rsidRDefault="009D5435" w:rsidP="009D5435">
      <w:pPr>
        <w:pStyle w:val="SingleTxtG"/>
        <w:tabs>
          <w:tab w:val="clear" w:pos="2268"/>
        </w:tabs>
        <w:spacing w:before="120"/>
      </w:pPr>
      <w:r w:rsidRPr="00BE433D">
        <w:t>260.</w:t>
      </w:r>
      <w:r w:rsidRPr="00BE433D">
        <w:tab/>
        <w:t xml:space="preserve">Также сообщаем, что в 2016 году до вступления в силу новых кодексов, принятых в рамках судебно-правовой реформы (УК, УПК), принят Закон «О внесении изменений в некоторые законодательные акты (в Семейный кодекс, Уголовный кодекс)». Так, ст. 14 Семейного кодекса дополнена пунктом 3 следующего содержания: «Лица, виновные в нарушении требований настоящего Кодекса о брачном возрасте, несут ответственность в соответствии с законодательством». </w:t>
      </w:r>
      <w:r w:rsidRPr="00BE433D">
        <w:br/>
        <w:t>В УК (в редакции 1997 года) включена ст. 155</w:t>
      </w:r>
      <w:r w:rsidRPr="00BE433D">
        <w:rPr>
          <w:vertAlign w:val="superscript"/>
        </w:rPr>
        <w:t>1</w:t>
      </w:r>
      <w:r w:rsidRPr="00BE433D">
        <w:t>, а именно «Родители (лица, их заменяющие) лица, в отношении которого совершен религиозный обряд по бракосочетанию, лицо, совершившее религиозный обряд по бракосочетанию, а равно совершеннолетнее лицо, в отношении которого был совершен религиозный обряд по бракосочетанию с несовершеннолетним, с нарушением законодательства о брачном возрасте — наказываются лишением свободы на срок от трех до пяти лет».</w:t>
      </w:r>
    </w:p>
    <w:p w14:paraId="378240B6" w14:textId="77777777" w:rsidR="009D5435" w:rsidRPr="00BE433D" w:rsidRDefault="009D5435" w:rsidP="009D5435">
      <w:pPr>
        <w:pStyle w:val="SingleTxtG"/>
        <w:tabs>
          <w:tab w:val="clear" w:pos="2268"/>
        </w:tabs>
      </w:pPr>
      <w:r w:rsidRPr="00BE433D">
        <w:t>261.</w:t>
      </w:r>
      <w:r w:rsidRPr="00BE433D">
        <w:tab/>
        <w:t xml:space="preserve">Межведомственным приказом утверждены План реализации вышеуказанного Закона на период 2017–2018 годов (2017 год), а также порядок взаимодействия государственных органов по предотвращению браков с несовершеннолетними и ранних браков несовершеннолетних (2018 год). </w:t>
      </w:r>
    </w:p>
    <w:p w14:paraId="1AF956AB" w14:textId="77777777" w:rsidR="009D5435" w:rsidRPr="00BE433D" w:rsidRDefault="009D5435" w:rsidP="009D5435">
      <w:pPr>
        <w:pStyle w:val="SingleTxtG"/>
        <w:tabs>
          <w:tab w:val="clear" w:pos="2268"/>
        </w:tabs>
      </w:pPr>
      <w:r w:rsidRPr="00BE433D">
        <w:t>262.</w:t>
      </w:r>
      <w:r w:rsidRPr="00BE433D">
        <w:tab/>
        <w:t>В марте 2019 года проведен мониторинг реализации Плана действий, который выявил следующие результаты:</w:t>
      </w:r>
    </w:p>
    <w:p w14:paraId="6A7E9BB6" w14:textId="77777777" w:rsidR="009D5435" w:rsidRPr="00BE433D" w:rsidRDefault="009D5435" w:rsidP="009D5435">
      <w:pPr>
        <w:pStyle w:val="Bullet1G"/>
        <w:numPr>
          <w:ilvl w:val="0"/>
          <w:numId w:val="0"/>
        </w:numPr>
        <w:tabs>
          <w:tab w:val="left" w:pos="1701"/>
        </w:tabs>
        <w:ind w:left="1134"/>
      </w:pPr>
      <w:r w:rsidRPr="00BE433D">
        <w:t>263.</w:t>
      </w:r>
      <w:r w:rsidRPr="00BE433D">
        <w:tab/>
        <w:t xml:space="preserve">нормативные правовые документы и иные акты приведены в соответствие с Законом «О внесении изменений в некоторые законодательные акты КР (Семейный кодекс, Уголовный кодекс)», предусматривающим запрет совершения религиозного брачного обряда с несовершеннолетними. </w:t>
      </w:r>
    </w:p>
    <w:p w14:paraId="16287ACC" w14:textId="77777777" w:rsidR="009D5435" w:rsidRPr="00BE433D" w:rsidRDefault="009D5435" w:rsidP="009D5435">
      <w:pPr>
        <w:pStyle w:val="Bullet1G"/>
        <w:numPr>
          <w:ilvl w:val="0"/>
          <w:numId w:val="0"/>
        </w:numPr>
        <w:tabs>
          <w:tab w:val="left" w:pos="1701"/>
        </w:tabs>
        <w:ind w:left="1134"/>
      </w:pPr>
      <w:r w:rsidRPr="00BE433D">
        <w:t>264.</w:t>
      </w:r>
      <w:r w:rsidRPr="00BE433D">
        <w:tab/>
        <w:t>Рабочей группой разработано пять подзаконных актов, касающихся порядка взаимодействия государственных органов по предотвращению браков с несовершеннолетними и ранних браков несовершеннолетних. Важным также является разработка и предложение методических рекомендаций. Разработан и применен механизм приема и передачи в правоохранительные органы оперативных сообщений о выявлении случаев ранних браков. Данный механизм нашел отражение в автоматизированной информационной системе «Единый реестр преступлений и проступков» (ЕРПП).</w:t>
      </w:r>
    </w:p>
    <w:p w14:paraId="29FBAA3E" w14:textId="77777777" w:rsidR="009D5435" w:rsidRPr="00BE433D" w:rsidRDefault="009D5435" w:rsidP="009D5435">
      <w:pPr>
        <w:pStyle w:val="Bullet1G"/>
        <w:numPr>
          <w:ilvl w:val="0"/>
          <w:numId w:val="0"/>
        </w:numPr>
        <w:tabs>
          <w:tab w:val="left" w:pos="1701"/>
        </w:tabs>
        <w:ind w:left="1134"/>
      </w:pPr>
      <w:r w:rsidRPr="00BE433D">
        <w:t>265.</w:t>
      </w:r>
      <w:r w:rsidRPr="00BE433D">
        <w:tab/>
        <w:t>Подготовлены учебно-методические материалы для усиления потенциала всех сторон, вовлеченных в деятельность по предотвращению ранних браков.</w:t>
      </w:r>
    </w:p>
    <w:p w14:paraId="36BEE6F6" w14:textId="77777777" w:rsidR="009D5435" w:rsidRPr="00BE433D" w:rsidRDefault="009D5435" w:rsidP="009D5435">
      <w:pPr>
        <w:pStyle w:val="Bullet1G"/>
        <w:numPr>
          <w:ilvl w:val="0"/>
          <w:numId w:val="0"/>
        </w:numPr>
        <w:tabs>
          <w:tab w:val="left" w:pos="1701"/>
        </w:tabs>
        <w:ind w:left="1134"/>
      </w:pPr>
      <w:r w:rsidRPr="00BE433D">
        <w:t>266.</w:t>
      </w:r>
      <w:r w:rsidRPr="00BE433D">
        <w:tab/>
        <w:t>Население страны за достаточно короткий срок проинформировано о Законе «О внесении изменений в некоторые законодательные акты (Семейный кодекс, Уголовный кодекс)», предусматривающем запрет совершения религиозного брачного обряда с несовершеннолетними, и связанных с ним других подзаконных и ведомственных актах.</w:t>
      </w:r>
    </w:p>
    <w:p w14:paraId="54AF4E6C" w14:textId="77777777" w:rsidR="009D5435" w:rsidRPr="00BE433D" w:rsidRDefault="009D5435" w:rsidP="009D5435">
      <w:pPr>
        <w:pStyle w:val="SingleTxtG"/>
        <w:tabs>
          <w:tab w:val="clear" w:pos="2268"/>
        </w:tabs>
      </w:pPr>
      <w:r w:rsidRPr="00BE433D">
        <w:t>267.</w:t>
      </w:r>
      <w:r w:rsidRPr="00BE433D">
        <w:tab/>
        <w:t>Принят совместный приказ «Об утверждении Плана по реализации Закона «О внесении изменений в некоторые законодательные акты (в Семейный кодекс, Уголовный кодекс)» от 17 ноября 2016 года № 179, ст. 178 УК от 2 февраля 2017 года № 19 на 2020–2021 годы» и утверждении Коммуникационной стратегии для развития с целью искоренения браков с лицами, не достигшими брачного возраста, который направлен на исполнение соответствующим государственным органам.</w:t>
      </w:r>
    </w:p>
    <w:p w14:paraId="64606404" w14:textId="77777777" w:rsidR="009D5435" w:rsidRPr="00BE433D" w:rsidRDefault="009D5435" w:rsidP="009D5435">
      <w:pPr>
        <w:pStyle w:val="SingleTxtG"/>
        <w:tabs>
          <w:tab w:val="clear" w:pos="2268"/>
        </w:tabs>
      </w:pPr>
      <w:r w:rsidRPr="00BE433D">
        <w:t>268.</w:t>
      </w:r>
      <w:r w:rsidRPr="00BE433D">
        <w:tab/>
        <w:t xml:space="preserve">Кроме этого в Национальном плане действий по достижению гендерного равенства на 2018–2020 годы (далее — НПД), утвержденном постановлением правительства (2018 год), предусмотрено мероприятие, касающееся включения в план воспитательной работы среди учащихся всех уровней занятий по профилактике насилия в отношении женщин и девочек, традиционных дискриминационных практик, таких как брак с участием несовершеннолетних, похищение невест. </w:t>
      </w:r>
    </w:p>
    <w:p w14:paraId="60E9E509" w14:textId="77777777" w:rsidR="009D5435" w:rsidRPr="00BE433D" w:rsidRDefault="009D5435" w:rsidP="009D5435">
      <w:pPr>
        <w:pStyle w:val="SingleTxtG"/>
        <w:tabs>
          <w:tab w:val="clear" w:pos="2268"/>
        </w:tabs>
      </w:pPr>
      <w:r w:rsidRPr="00BE433D">
        <w:t>269.</w:t>
      </w:r>
      <w:r w:rsidRPr="00BE433D">
        <w:tab/>
        <w:t>По исполнению Плана мероприятий по реализации Указа Президента «Об объявлении 2018 года Годом развития регионов» и Концепции региональной политики на период 2018–2022 годов сообщаем, что в соответствии с планом реализации государственного социального заказа на 2018 год, утвержденного распоряжением МТСР (2018 год), кризисными центрами оказана комплексная помощь лицам, пострадавшим от семейного насилия, на сумму 2740,5 тыс. сомов.</w:t>
      </w:r>
    </w:p>
    <w:p w14:paraId="08048694" w14:textId="77777777" w:rsidR="009D5435" w:rsidRPr="00BE433D" w:rsidRDefault="009D5435" w:rsidP="009D5435">
      <w:pPr>
        <w:pStyle w:val="SingleTxtG"/>
        <w:tabs>
          <w:tab w:val="clear" w:pos="2268"/>
        </w:tabs>
      </w:pPr>
      <w:r w:rsidRPr="00BE433D">
        <w:t>270.</w:t>
      </w:r>
      <w:r w:rsidRPr="00BE433D">
        <w:tab/>
        <w:t xml:space="preserve">МЗ издан приказ (2018 год) «О мерах по профилактике ранних браков в Кыргызской Республике» и утвержден План мероприятий по реализации вышеупомянутого Закона. </w:t>
      </w:r>
    </w:p>
    <w:p w14:paraId="30AB9C5B" w14:textId="77777777" w:rsidR="009D5435" w:rsidRPr="00BE433D" w:rsidRDefault="009D5435" w:rsidP="009D5435">
      <w:pPr>
        <w:pStyle w:val="SingleTxtG"/>
        <w:tabs>
          <w:tab w:val="clear" w:pos="2268"/>
        </w:tabs>
      </w:pPr>
      <w:r w:rsidRPr="00BE433D">
        <w:t>271.</w:t>
      </w:r>
      <w:r w:rsidRPr="00BE433D">
        <w:tab/>
        <w:t xml:space="preserve">МТСР разработаны видеоролики в доступной и увлекательной форме, которые раскрывают следующие темы: «Особенности подросткового возраста», «Формирование гендерной культуры молодых людей», «Профилактика употребления психоактивных веществ», «Профилактика насилия в молодежной среде», «Репродуктивное здоровье и сексуальные отношения», «Профилактика </w:t>
      </w:r>
      <w:r w:rsidRPr="00BE433D">
        <w:br/>
        <w:t>ВИЧ-инфекции и ИППП», «Межличностные отношения и разрешение конфликтов», «Профилактика компьютерной зависимости и онлайн-насилия в молодежной среде».</w:t>
      </w:r>
    </w:p>
    <w:p w14:paraId="429A1890" w14:textId="77777777" w:rsidR="009D5435" w:rsidRPr="00BE433D" w:rsidRDefault="009D5435" w:rsidP="009D5435">
      <w:pPr>
        <w:pStyle w:val="SingleTxtG"/>
        <w:tabs>
          <w:tab w:val="clear" w:pos="2268"/>
        </w:tabs>
      </w:pPr>
      <w:r w:rsidRPr="00BE433D">
        <w:t>272.</w:t>
      </w:r>
      <w:r w:rsidRPr="00BE433D">
        <w:tab/>
        <w:t>В общеобразовательных организациях преподаванием предметов «Человек и общество», «</w:t>
      </w:r>
      <w:proofErr w:type="spellStart"/>
      <w:r w:rsidRPr="00BE433D">
        <w:t>Адеп</w:t>
      </w:r>
      <w:proofErr w:type="spellEnd"/>
      <w:r w:rsidRPr="00BE433D">
        <w:t xml:space="preserve"> </w:t>
      </w:r>
      <w:proofErr w:type="spellStart"/>
      <w:r w:rsidRPr="00BE433D">
        <w:t>сабагы</w:t>
      </w:r>
      <w:proofErr w:type="spellEnd"/>
      <w:r w:rsidRPr="00BE433D">
        <w:t xml:space="preserve">» проводится информационно-разъяснительная работа, которая регулирует права человека, включая вопросы насилия в отношении женщин. </w:t>
      </w:r>
    </w:p>
    <w:p w14:paraId="2CAD2D6C" w14:textId="77777777" w:rsidR="009D5435" w:rsidRPr="00BE433D" w:rsidRDefault="009D5435" w:rsidP="009D5435">
      <w:pPr>
        <w:pStyle w:val="H1G"/>
      </w:pPr>
      <w:r w:rsidRPr="00BE433D">
        <w:tab/>
      </w:r>
      <w:r w:rsidRPr="00BE433D">
        <w:tab/>
        <w:t>Статья 18</w:t>
      </w:r>
      <w:r w:rsidRPr="00BE433D">
        <w:br/>
        <w:t>Условия содержания под стражей</w:t>
      </w:r>
    </w:p>
    <w:p w14:paraId="0AB44B4C" w14:textId="77777777" w:rsidR="009D5435" w:rsidRPr="00BE433D" w:rsidRDefault="009D5435" w:rsidP="009D5435">
      <w:pPr>
        <w:pStyle w:val="SingleTxtG"/>
        <w:tabs>
          <w:tab w:val="clear" w:pos="2268"/>
        </w:tabs>
      </w:pPr>
      <w:r w:rsidRPr="00BE433D">
        <w:t>273.</w:t>
      </w:r>
      <w:r w:rsidRPr="00BE433D">
        <w:tab/>
        <w:t>Статья 19 УИК предусматривает право на личную безопасность при возникновении угрозы личной безопасности осужденного со стороны других осужденных или иных лиц. По состоянию на декабрь 2019 года, общая численность спецконтингента, содержащегося в учреждениях ГСИН, составила 6993, из них содержащихся на основании ст. 19 УИК — 95 человек.</w:t>
      </w:r>
    </w:p>
    <w:p w14:paraId="41B96BE4" w14:textId="77777777" w:rsidR="009D5435" w:rsidRPr="00BE433D" w:rsidRDefault="009D5435" w:rsidP="009D5435">
      <w:pPr>
        <w:pStyle w:val="Bullet1G"/>
        <w:numPr>
          <w:ilvl w:val="0"/>
          <w:numId w:val="0"/>
        </w:numPr>
        <w:tabs>
          <w:tab w:val="left" w:pos="1701"/>
        </w:tabs>
        <w:ind w:left="1134"/>
      </w:pPr>
      <w:r w:rsidRPr="00BE433D">
        <w:t>274.</w:t>
      </w:r>
      <w:r w:rsidRPr="00BE433D">
        <w:tab/>
        <w:t>В целях обеспечения безопасности населения, улучшения инфраструктуры г. Бишкек и условий содержания обвиняемых и осужденных распоряжением правительства (2019 год) создана межведомственная рабочая группа по передислокации учреждений № 21 и № 47 ГСИН за черту города.</w:t>
      </w:r>
    </w:p>
    <w:p w14:paraId="016CD609" w14:textId="77777777" w:rsidR="009D5435" w:rsidRPr="00BE433D" w:rsidRDefault="009D5435" w:rsidP="009D5435">
      <w:pPr>
        <w:pStyle w:val="Bullet1G"/>
        <w:numPr>
          <w:ilvl w:val="0"/>
          <w:numId w:val="0"/>
        </w:numPr>
        <w:tabs>
          <w:tab w:val="left" w:pos="1701"/>
        </w:tabs>
        <w:ind w:left="1134"/>
      </w:pPr>
      <w:r w:rsidRPr="00BE433D">
        <w:t>275.</w:t>
      </w:r>
      <w:r w:rsidRPr="00BE433D">
        <w:tab/>
        <w:t xml:space="preserve">Планируется перенос учреждения № 47 из г. Бишкек на территорию единого противотуберкулезного учреждения № 31 в с. </w:t>
      </w:r>
      <w:proofErr w:type="spellStart"/>
      <w:r w:rsidRPr="00BE433D">
        <w:t>Молдовановка</w:t>
      </w:r>
      <w:proofErr w:type="spellEnd"/>
      <w:r w:rsidRPr="00BE433D">
        <w:t xml:space="preserve"> Чуйской области с последующим образованием специализированной больницы ГСИН для лечения всех видов болезней разных категорий осужденных. Таким образом, вся больничная система ГСИН будет находиться в одном месте. В результате работы межведомственной рабочей группы разработаны эскизный проект, с технологической частью, проектно-сметная документация на строительство Центральной больницы.</w:t>
      </w:r>
    </w:p>
    <w:p w14:paraId="475BC055" w14:textId="77777777" w:rsidR="009D5435" w:rsidRPr="00BE433D" w:rsidRDefault="009D5435" w:rsidP="009D5435">
      <w:pPr>
        <w:pStyle w:val="Bullet1G"/>
        <w:numPr>
          <w:ilvl w:val="0"/>
          <w:numId w:val="0"/>
        </w:numPr>
        <w:tabs>
          <w:tab w:val="left" w:pos="1701"/>
        </w:tabs>
        <w:ind w:left="1134"/>
      </w:pPr>
      <w:r w:rsidRPr="00BE433D">
        <w:t>276.</w:t>
      </w:r>
      <w:r w:rsidRPr="00BE433D">
        <w:tab/>
        <w:t xml:space="preserve">Одновременно проводится работа по передислокации учреждения № 21 </w:t>
      </w:r>
      <w:r w:rsidRPr="00BE433D">
        <w:br/>
        <w:t xml:space="preserve">(СИЗО-1) из г. Бишкек на территорию учреждения № 50 в с. Нижний </w:t>
      </w:r>
      <w:proofErr w:type="spellStart"/>
      <w:r w:rsidRPr="00BE433D">
        <w:t>Норус</w:t>
      </w:r>
      <w:proofErr w:type="spellEnd"/>
      <w:r w:rsidRPr="00BE433D">
        <w:t xml:space="preserve"> Чуйской области. В настоящее время проводится планировка зданий и сооружений учреждения и подготовка технического задания на строительство нового СИЗО.</w:t>
      </w:r>
    </w:p>
    <w:p w14:paraId="25EE450A" w14:textId="77777777" w:rsidR="009D5435" w:rsidRPr="00BE433D" w:rsidRDefault="009D5435" w:rsidP="009D5435">
      <w:pPr>
        <w:pStyle w:val="Bullet1G"/>
        <w:numPr>
          <w:ilvl w:val="0"/>
          <w:numId w:val="0"/>
        </w:numPr>
        <w:tabs>
          <w:tab w:val="left" w:pos="1701"/>
        </w:tabs>
        <w:ind w:left="1134"/>
      </w:pPr>
      <w:r w:rsidRPr="00BE433D">
        <w:t>277.</w:t>
      </w:r>
      <w:r w:rsidRPr="00BE433D">
        <w:tab/>
        <w:t>В рамках сотрудничества с Миссией Международного Комитета Красного Креста произведено строительство дополнительных помещений медицинской части учреждения № 2.</w:t>
      </w:r>
    </w:p>
    <w:p w14:paraId="40DB4C80" w14:textId="77777777" w:rsidR="009D5435" w:rsidRPr="00BE433D" w:rsidRDefault="009D5435" w:rsidP="009D5435">
      <w:pPr>
        <w:pStyle w:val="Bullet1G"/>
        <w:numPr>
          <w:ilvl w:val="0"/>
          <w:numId w:val="0"/>
        </w:numPr>
        <w:tabs>
          <w:tab w:val="left" w:pos="1701"/>
        </w:tabs>
        <w:ind w:left="1134"/>
      </w:pPr>
      <w:r w:rsidRPr="00BE433D">
        <w:t>278.</w:t>
      </w:r>
      <w:r w:rsidRPr="00BE433D">
        <w:tab/>
        <w:t>В рамках сотрудничества с Программным офисом УНП ООН завершены ремонт по модернизации хлебопекарни, создание цеха по ремонту обуви, работы по созданию швейного цеха в учреждении № 3.</w:t>
      </w:r>
    </w:p>
    <w:p w14:paraId="3812A95C" w14:textId="77777777" w:rsidR="009D5435" w:rsidRPr="00BE433D" w:rsidRDefault="009D5435" w:rsidP="009D5435">
      <w:pPr>
        <w:pStyle w:val="Bullet2G"/>
        <w:numPr>
          <w:ilvl w:val="0"/>
          <w:numId w:val="0"/>
        </w:numPr>
        <w:tabs>
          <w:tab w:val="left" w:pos="1701"/>
        </w:tabs>
        <w:ind w:left="1134"/>
      </w:pPr>
      <w:r w:rsidRPr="00BE433D">
        <w:t>279.</w:t>
      </w:r>
      <w:r w:rsidRPr="00BE433D">
        <w:tab/>
        <w:t>Согласно пункту 29 Перечня категорий граждан, имеющих право на получение медико-санитарной помощи по Программе государственных гарантий бесплатно и на льготных условиях, относятся лица, находящиеся под предварительным следствием, а также лица, отбывающие наказание, при возникновении неотложного состояния, угрожающего жизни пациента, в случае невозможности оказания им медицинской помощи в медицинских службах пенитенциарной системы, следственном изоляторе ГКНБ, изоляторах временного содержания МВД.</w:t>
      </w:r>
    </w:p>
    <w:p w14:paraId="3EF8069D" w14:textId="77777777" w:rsidR="009D5435" w:rsidRPr="00BE433D" w:rsidRDefault="009D5435" w:rsidP="009D5435">
      <w:pPr>
        <w:pStyle w:val="SingleTxtG"/>
        <w:tabs>
          <w:tab w:val="clear" w:pos="2268"/>
        </w:tabs>
      </w:pPr>
      <w:r w:rsidRPr="00BE433D">
        <w:t>280.</w:t>
      </w:r>
      <w:r w:rsidRPr="00BE433D">
        <w:tab/>
        <w:t xml:space="preserve">В соответствии с постановлением правительства «Об утверждении норм суточного довольствия осужденных к лишению свободы, а также лиц, содержащихся в следственных изоляторах уголовно-исполнительной системы» (2008 год) за период 2015–2020 годов осужденные и лица, заключенные под стражу в режимных учреждениях, были обеспечены продуктами питания на 100 % полученной суммы из республиканского бюджета по 19 наименованиям, в лечебных учреждениях — </w:t>
      </w:r>
      <w:r w:rsidRPr="00BE433D">
        <w:br/>
        <w:t>по 6 наименованиям, т. е. осужденные и лица, заключенные под стражу, обеспечиваются продуктами питания согласно нормам положенности в полном объеме.</w:t>
      </w:r>
    </w:p>
    <w:p w14:paraId="4C2286DB" w14:textId="77777777" w:rsidR="009D5435" w:rsidRPr="00BE433D" w:rsidRDefault="009D5435" w:rsidP="009D5435">
      <w:pPr>
        <w:pStyle w:val="SingleTxtG"/>
        <w:tabs>
          <w:tab w:val="clear" w:pos="2268"/>
        </w:tabs>
      </w:pPr>
      <w:r w:rsidRPr="00BE433D">
        <w:t>281.</w:t>
      </w:r>
      <w:r w:rsidRPr="00BE433D">
        <w:tab/>
        <w:t>За указанный выше период расход продуктов питания на одного человека составлял:</w:t>
      </w:r>
    </w:p>
    <w:p w14:paraId="639C66E2" w14:textId="77777777" w:rsidR="009D5435" w:rsidRPr="00BE433D" w:rsidRDefault="009D5435" w:rsidP="009D5435">
      <w:pPr>
        <w:pStyle w:val="Bullet1G"/>
        <w:numPr>
          <w:ilvl w:val="0"/>
          <w:numId w:val="0"/>
        </w:numPr>
        <w:tabs>
          <w:tab w:val="left" w:pos="1701"/>
        </w:tabs>
        <w:ind w:left="1701" w:hanging="170"/>
      </w:pPr>
      <w:r w:rsidRPr="00BE433D">
        <w:t>•</w:t>
      </w:r>
      <w:r w:rsidRPr="00BE433D">
        <w:tab/>
        <w:t xml:space="preserve">по режимным учреждениям — 90 сомов, </w:t>
      </w:r>
      <w:proofErr w:type="spellStart"/>
      <w:r w:rsidRPr="00BE433D">
        <w:t>энергоценность</w:t>
      </w:r>
      <w:proofErr w:type="spellEnd"/>
      <w:r w:rsidRPr="00BE433D">
        <w:t xml:space="preserve"> — 3333 ккал; </w:t>
      </w:r>
    </w:p>
    <w:p w14:paraId="0223D874" w14:textId="77777777" w:rsidR="009D5435" w:rsidRPr="00BE433D" w:rsidRDefault="009D5435" w:rsidP="009D5435">
      <w:pPr>
        <w:pStyle w:val="Bullet1G"/>
        <w:numPr>
          <w:ilvl w:val="0"/>
          <w:numId w:val="0"/>
        </w:numPr>
        <w:tabs>
          <w:tab w:val="left" w:pos="1701"/>
        </w:tabs>
        <w:ind w:left="1701" w:hanging="170"/>
      </w:pPr>
      <w:r w:rsidRPr="00BE433D">
        <w:t>•</w:t>
      </w:r>
      <w:r w:rsidRPr="00BE433D">
        <w:tab/>
        <w:t xml:space="preserve">по детскому учреждению — 110 сомов, </w:t>
      </w:r>
      <w:proofErr w:type="spellStart"/>
      <w:r w:rsidRPr="00BE433D">
        <w:t>энергоценность</w:t>
      </w:r>
      <w:proofErr w:type="spellEnd"/>
      <w:r w:rsidRPr="00BE433D">
        <w:t xml:space="preserve"> — 3685 ккал;</w:t>
      </w:r>
    </w:p>
    <w:p w14:paraId="34338048" w14:textId="77777777" w:rsidR="009D5435" w:rsidRPr="00BE433D" w:rsidRDefault="009D5435" w:rsidP="009D5435">
      <w:pPr>
        <w:pStyle w:val="Bullet1G"/>
        <w:numPr>
          <w:ilvl w:val="0"/>
          <w:numId w:val="0"/>
        </w:numPr>
        <w:tabs>
          <w:tab w:val="left" w:pos="1701"/>
        </w:tabs>
        <w:ind w:left="1701" w:hanging="170"/>
      </w:pPr>
      <w:r w:rsidRPr="00BE433D">
        <w:t>•</w:t>
      </w:r>
      <w:r w:rsidRPr="00BE433D">
        <w:tab/>
        <w:t xml:space="preserve">по лечебным учреждениям — 120 сомов, </w:t>
      </w:r>
      <w:proofErr w:type="spellStart"/>
      <w:r w:rsidRPr="00BE433D">
        <w:t>энергоценность</w:t>
      </w:r>
      <w:proofErr w:type="spellEnd"/>
      <w:r w:rsidRPr="00BE433D">
        <w:t xml:space="preserve"> — 4510 ккал.</w:t>
      </w:r>
    </w:p>
    <w:p w14:paraId="36CD0F18" w14:textId="77777777" w:rsidR="009D5435" w:rsidRPr="00BE433D" w:rsidRDefault="009D5435" w:rsidP="009D5435">
      <w:pPr>
        <w:pStyle w:val="SingleTxtG"/>
        <w:tabs>
          <w:tab w:val="clear" w:pos="2268"/>
        </w:tabs>
      </w:pPr>
      <w:r w:rsidRPr="00BE433D">
        <w:t>282.</w:t>
      </w:r>
      <w:r w:rsidRPr="00BE433D">
        <w:tab/>
        <w:t>ГСИН в рамках сотрудничества с международными и неправительственными организациями производятся (произведены) различные строительные, ремонтно-восстановительные и иные работы в девяти исправительных учреждениях (учреждения № 1, 2, 3, 8, 10, 14, 19, 16, 47), а также реализованы следующие проекты и программы:</w:t>
      </w:r>
    </w:p>
    <w:p w14:paraId="73C8DA64" w14:textId="77777777" w:rsidR="009D5435" w:rsidRPr="00BE433D" w:rsidRDefault="009D5435" w:rsidP="009D5435">
      <w:pPr>
        <w:pStyle w:val="Bullet1G"/>
        <w:numPr>
          <w:ilvl w:val="0"/>
          <w:numId w:val="0"/>
        </w:numPr>
        <w:tabs>
          <w:tab w:val="left" w:pos="1701"/>
        </w:tabs>
        <w:ind w:left="1134"/>
      </w:pPr>
      <w:r w:rsidRPr="00BE433D">
        <w:t>283.</w:t>
      </w:r>
      <w:r w:rsidRPr="00BE433D">
        <w:tab/>
        <w:t>«Поддержка реформы пенитенциарной системы в Кыргызской Республике», реализован УНП ООН и Европейским союзом (улучшение условий содержания в учреждениях УИС, повышение управленческого потенциала уголовно-исправительной системы, развитие производства и профессионально-технического образования) (2010–2012 годы).</w:t>
      </w:r>
    </w:p>
    <w:p w14:paraId="7B6F23E3" w14:textId="77777777" w:rsidR="009D5435" w:rsidRPr="00BE433D" w:rsidRDefault="009D5435" w:rsidP="009D5435">
      <w:pPr>
        <w:pStyle w:val="Bullet1G"/>
        <w:numPr>
          <w:ilvl w:val="0"/>
          <w:numId w:val="0"/>
        </w:numPr>
        <w:tabs>
          <w:tab w:val="left" w:pos="1701"/>
        </w:tabs>
        <w:ind w:left="1134"/>
      </w:pPr>
      <w:r w:rsidRPr="00BE433D">
        <w:t>284.</w:t>
      </w:r>
      <w:r w:rsidRPr="00BE433D">
        <w:tab/>
        <w:t>Проект «Шанс — Образование взрослых в учреждениях пенитенциарной системы: шанс для лучшего будущего», программа реализована Институтом по международному сотрудничеству Немецкой Ассоциации Народных Университетов (усиление и восстановление инфраструктуры профессионально-технических училищ в учреждениях № 1, 2, 3, повышение профессионального уровня сотрудников учреждений, и методологической базы профессионального технического училища и др. (2012–2013 годы).</w:t>
      </w:r>
    </w:p>
    <w:p w14:paraId="71C0BB84" w14:textId="77777777" w:rsidR="009D5435" w:rsidRPr="00BE433D" w:rsidRDefault="009D5435" w:rsidP="009D5435">
      <w:pPr>
        <w:pStyle w:val="Bullet1G"/>
        <w:numPr>
          <w:ilvl w:val="0"/>
          <w:numId w:val="0"/>
        </w:numPr>
        <w:tabs>
          <w:tab w:val="left" w:pos="1701"/>
        </w:tabs>
        <w:ind w:left="1134"/>
      </w:pPr>
      <w:r w:rsidRPr="00BE433D">
        <w:t>285.</w:t>
      </w:r>
      <w:r w:rsidRPr="00BE433D">
        <w:tab/>
        <w:t>«Продвижение принципов верховенства права и прав человека в уголовно-исполнительной системе Кыргызской Республики», проект реализован ОБСЕ (создание в учреждении № 3 изолированного участка для осужденных на длительный срок отбывания наказания, поддержка деятельности реабилитационных центров «</w:t>
      </w:r>
      <w:proofErr w:type="spellStart"/>
      <w:r w:rsidRPr="00BE433D">
        <w:t>Атлантис</w:t>
      </w:r>
      <w:proofErr w:type="spellEnd"/>
      <w:r w:rsidRPr="00BE433D">
        <w:t>» и Центра реабилитации и социальной адаптации (2013–2015 годы).</w:t>
      </w:r>
    </w:p>
    <w:p w14:paraId="09E6A121" w14:textId="77777777" w:rsidR="009D5435" w:rsidRPr="00BE433D" w:rsidRDefault="009D5435" w:rsidP="009D5435">
      <w:pPr>
        <w:pStyle w:val="Bullet1G"/>
        <w:numPr>
          <w:ilvl w:val="0"/>
          <w:numId w:val="0"/>
        </w:numPr>
        <w:tabs>
          <w:tab w:val="left" w:pos="1701"/>
        </w:tabs>
        <w:ind w:left="1134"/>
      </w:pPr>
      <w:r w:rsidRPr="00BE433D">
        <w:t>286.</w:t>
      </w:r>
      <w:r w:rsidRPr="00BE433D">
        <w:tab/>
        <w:t>«Глобальный фонд для борьбы со СПИДом, туберкулезом, малярией», открытие пяти пунктов заместительной поддерживающей терапии метадоном в учреждениях № 1, 3, 47, 21, 25 ГСИН (2014–2015 годы).</w:t>
      </w:r>
    </w:p>
    <w:p w14:paraId="6FC0314C" w14:textId="77777777" w:rsidR="009D5435" w:rsidRPr="00BE433D" w:rsidRDefault="009D5435" w:rsidP="009D5435">
      <w:pPr>
        <w:pStyle w:val="Bullet1G"/>
        <w:numPr>
          <w:ilvl w:val="0"/>
          <w:numId w:val="0"/>
        </w:numPr>
        <w:tabs>
          <w:tab w:val="left" w:pos="1701"/>
        </w:tabs>
        <w:ind w:left="1134"/>
      </w:pPr>
      <w:r w:rsidRPr="00BE433D">
        <w:t>287.</w:t>
      </w:r>
      <w:r w:rsidRPr="00BE433D">
        <w:tab/>
        <w:t>«Усиление потенциала ГСИН по работе с осужденными за насильственный экстремизм», (внедрение производственных камер для ресоциализации осужденных, оснащение библиотек, кабинетов психологов в трех учреждениях; внедрение электронного учета посетителей и передач в учреждениях (2017 год).</w:t>
      </w:r>
    </w:p>
    <w:p w14:paraId="3B30274C" w14:textId="77777777" w:rsidR="009D5435" w:rsidRPr="00BE433D" w:rsidRDefault="009D5435" w:rsidP="009D5435">
      <w:pPr>
        <w:pStyle w:val="Bullet1G"/>
        <w:numPr>
          <w:ilvl w:val="0"/>
          <w:numId w:val="0"/>
        </w:numPr>
        <w:tabs>
          <w:tab w:val="left" w:pos="1701"/>
        </w:tabs>
        <w:ind w:left="1134"/>
      </w:pPr>
      <w:r w:rsidRPr="00BE433D">
        <w:t>288.</w:t>
      </w:r>
      <w:r w:rsidRPr="00BE433D">
        <w:tab/>
        <w:t>Создание Центра реабилитации и социальной адаптации для осужденных наркозависимых женщин в учреждении № 2, программа реализована КАДАП-6 (создан ЦРСА и оборудован мебелью (2018 год)).</w:t>
      </w:r>
    </w:p>
    <w:p w14:paraId="41605DA9" w14:textId="77777777" w:rsidR="009D5435" w:rsidRPr="00BE433D" w:rsidRDefault="009D5435" w:rsidP="009D5435">
      <w:pPr>
        <w:pStyle w:val="Bullet1G"/>
        <w:numPr>
          <w:ilvl w:val="0"/>
          <w:numId w:val="0"/>
        </w:numPr>
        <w:tabs>
          <w:tab w:val="left" w:pos="1701"/>
        </w:tabs>
        <w:ind w:left="1134"/>
      </w:pPr>
      <w:r w:rsidRPr="00BE433D">
        <w:t>289.</w:t>
      </w:r>
      <w:r w:rsidRPr="00BE433D">
        <w:tab/>
        <w:t>«Социальная реабилитация и реинтеграция осужденных», проект реализуется УНП ООН (создание двух производственных участков (2018–2019 годы).</w:t>
      </w:r>
    </w:p>
    <w:p w14:paraId="28F5E813" w14:textId="77777777" w:rsidR="009D5435" w:rsidRPr="00BE433D" w:rsidRDefault="009D5435" w:rsidP="009D5435">
      <w:pPr>
        <w:pStyle w:val="SingleTxtG"/>
        <w:tabs>
          <w:tab w:val="clear" w:pos="2268"/>
        </w:tabs>
      </w:pPr>
      <w:r w:rsidRPr="00BE433D">
        <w:t>290.</w:t>
      </w:r>
      <w:r w:rsidRPr="00BE433D">
        <w:tab/>
        <w:t xml:space="preserve">При поддержке международных организаций ГСИН продолжает обучать осужденных различным ремеслам (швейное производство, гончарное дело и др.). </w:t>
      </w:r>
    </w:p>
    <w:p w14:paraId="7CD4E5E8" w14:textId="77777777" w:rsidR="009D5435" w:rsidRPr="00BE433D" w:rsidRDefault="009D5435" w:rsidP="009D5435">
      <w:pPr>
        <w:pStyle w:val="SingleTxtG"/>
        <w:tabs>
          <w:tab w:val="clear" w:pos="2268"/>
        </w:tabs>
      </w:pPr>
      <w:r w:rsidRPr="00BE433D">
        <w:t>291.</w:t>
      </w:r>
      <w:r w:rsidRPr="00BE433D">
        <w:tab/>
        <w:t>Принимая во внимание активное развитие производства в пенитенциарной системе, ГСИН трудоустраивает осужденных на производственных участках как внутри исправительных колоний, так и в колониях-поселениях.</w:t>
      </w:r>
    </w:p>
    <w:p w14:paraId="0E8500A7" w14:textId="77777777" w:rsidR="009D5435" w:rsidRPr="00BE433D" w:rsidRDefault="009D5435" w:rsidP="009D5435">
      <w:pPr>
        <w:pStyle w:val="SingleTxtG"/>
        <w:tabs>
          <w:tab w:val="clear" w:pos="2268"/>
        </w:tabs>
      </w:pPr>
      <w:r w:rsidRPr="00BE433D">
        <w:t>292.</w:t>
      </w:r>
      <w:r w:rsidRPr="00BE433D">
        <w:tab/>
        <w:t xml:space="preserve">Так, количество трудоустроенных осужденных в исправительных учреждениях в 2017–2020 годы составляет 1074, из них: </w:t>
      </w:r>
    </w:p>
    <w:p w14:paraId="1F76B474" w14:textId="77777777" w:rsidR="009D5435" w:rsidRPr="00BE433D" w:rsidRDefault="009D5435" w:rsidP="009D5435">
      <w:pPr>
        <w:pStyle w:val="Bullet1G"/>
        <w:numPr>
          <w:ilvl w:val="0"/>
          <w:numId w:val="0"/>
        </w:numPr>
        <w:tabs>
          <w:tab w:val="left" w:pos="1701"/>
        </w:tabs>
        <w:ind w:left="1701" w:hanging="170"/>
      </w:pPr>
      <w:r w:rsidRPr="00BE433D">
        <w:t>•</w:t>
      </w:r>
      <w:r w:rsidRPr="00BE433D">
        <w:tab/>
        <w:t xml:space="preserve">на хозяйственной обслуге — 756; </w:t>
      </w:r>
    </w:p>
    <w:p w14:paraId="27F578F2" w14:textId="77777777" w:rsidR="009D5435" w:rsidRPr="00BE433D" w:rsidRDefault="009D5435" w:rsidP="009D5435">
      <w:pPr>
        <w:pStyle w:val="Bullet1G"/>
        <w:numPr>
          <w:ilvl w:val="0"/>
          <w:numId w:val="0"/>
        </w:numPr>
        <w:tabs>
          <w:tab w:val="left" w:pos="1701"/>
        </w:tabs>
        <w:ind w:left="1701" w:hanging="170"/>
      </w:pPr>
      <w:r w:rsidRPr="00BE433D">
        <w:t>•</w:t>
      </w:r>
      <w:r w:rsidRPr="00BE433D">
        <w:tab/>
        <w:t xml:space="preserve">на производстве — 318. </w:t>
      </w:r>
    </w:p>
    <w:p w14:paraId="0F2D953D" w14:textId="77777777" w:rsidR="009D5435" w:rsidRPr="00BE433D" w:rsidRDefault="009D5435" w:rsidP="009D5435">
      <w:pPr>
        <w:pStyle w:val="SingleTxtG"/>
        <w:tabs>
          <w:tab w:val="clear" w:pos="2268"/>
        </w:tabs>
      </w:pPr>
      <w:r w:rsidRPr="00BE433D">
        <w:t>293.</w:t>
      </w:r>
      <w:r w:rsidRPr="00BE433D">
        <w:tab/>
        <w:t>Также сообщаем, что разработан проект Закона «О внесении изменений в Уголовно-исполнительный кодекс», который направлен на:</w:t>
      </w:r>
    </w:p>
    <w:p w14:paraId="62C2F6E9" w14:textId="77777777" w:rsidR="009D5435" w:rsidRPr="00BE433D" w:rsidRDefault="009D5435" w:rsidP="009D5435">
      <w:pPr>
        <w:pStyle w:val="Bullet1G"/>
        <w:numPr>
          <w:ilvl w:val="0"/>
          <w:numId w:val="0"/>
        </w:numPr>
        <w:tabs>
          <w:tab w:val="left" w:pos="1701"/>
        </w:tabs>
        <w:ind w:left="1701" w:hanging="170"/>
      </w:pPr>
      <w:r w:rsidRPr="00BE433D">
        <w:t>•</w:t>
      </w:r>
      <w:r w:rsidRPr="00BE433D">
        <w:tab/>
        <w:t>увеличение количества свиданий, телефонных переговоров для всех категорий осужденных; внедрение нормы, устанавливающей индивидуальную форму занятости осужденных;</w:t>
      </w:r>
    </w:p>
    <w:p w14:paraId="6C8739DC" w14:textId="77777777" w:rsidR="009D5435" w:rsidRPr="00BE433D" w:rsidRDefault="009D5435" w:rsidP="009D5435">
      <w:pPr>
        <w:pStyle w:val="Bullet1G"/>
        <w:numPr>
          <w:ilvl w:val="0"/>
          <w:numId w:val="0"/>
        </w:numPr>
        <w:tabs>
          <w:tab w:val="left" w:pos="1701"/>
        </w:tabs>
        <w:ind w:left="1701" w:hanging="170"/>
      </w:pPr>
      <w:r w:rsidRPr="00BE433D">
        <w:t>•</w:t>
      </w:r>
      <w:r w:rsidRPr="00BE433D">
        <w:tab/>
        <w:t>исключение несоответствия отдельных положений статей 25 и 91 УИК относительно цензуры корреспонденции осужденных;</w:t>
      </w:r>
    </w:p>
    <w:p w14:paraId="1AC3985F" w14:textId="77777777" w:rsidR="009D5435" w:rsidRPr="00BE433D" w:rsidRDefault="009D5435" w:rsidP="009D5435">
      <w:pPr>
        <w:pStyle w:val="Bullet1G"/>
        <w:numPr>
          <w:ilvl w:val="0"/>
          <w:numId w:val="0"/>
        </w:numPr>
        <w:tabs>
          <w:tab w:val="left" w:pos="1701"/>
        </w:tabs>
        <w:ind w:left="1701" w:hanging="170"/>
      </w:pPr>
      <w:r w:rsidRPr="00BE433D">
        <w:t>•</w:t>
      </w:r>
      <w:r w:rsidRPr="00BE433D">
        <w:tab/>
        <w:t>увеличение сумм денежных средств на ежемесячное приобретение продуктов питания и предметов первой необходимости для всех категорий осужденных;</w:t>
      </w:r>
    </w:p>
    <w:p w14:paraId="5CB93A45" w14:textId="77777777" w:rsidR="009D5435" w:rsidRPr="00BE433D" w:rsidRDefault="009D5435" w:rsidP="009D5435">
      <w:pPr>
        <w:pStyle w:val="Bullet1G"/>
        <w:numPr>
          <w:ilvl w:val="0"/>
          <w:numId w:val="0"/>
        </w:numPr>
        <w:tabs>
          <w:tab w:val="left" w:pos="1701"/>
        </w:tabs>
        <w:ind w:left="1701" w:hanging="170"/>
      </w:pPr>
      <w:r w:rsidRPr="00BE433D">
        <w:t>•</w:t>
      </w:r>
      <w:r w:rsidRPr="00BE433D">
        <w:tab/>
        <w:t>изменение норм, предусматривающих возможность привлечения осужденных к пожизненному лишению свободы к оплачиваемому труду.</w:t>
      </w:r>
    </w:p>
    <w:p w14:paraId="48FD4707" w14:textId="77777777" w:rsidR="009D5435" w:rsidRPr="00BE433D" w:rsidRDefault="009D5435" w:rsidP="009D5435">
      <w:pPr>
        <w:pStyle w:val="SingleTxtG"/>
        <w:tabs>
          <w:tab w:val="clear" w:pos="2268"/>
        </w:tabs>
      </w:pPr>
      <w:r w:rsidRPr="00BE433D">
        <w:t>294.</w:t>
      </w:r>
      <w:r w:rsidRPr="00BE433D">
        <w:tab/>
        <w:t>Согласно ст. 10 Закона «О содействии занятости населения» трудоспособные граждане имеют право на бесплатное профессиональное обучение и содействие в трудоустройстве.</w:t>
      </w:r>
    </w:p>
    <w:p w14:paraId="379AA8D7" w14:textId="77777777" w:rsidR="009D5435" w:rsidRPr="00BE433D" w:rsidRDefault="009D5435" w:rsidP="009D5435">
      <w:pPr>
        <w:pStyle w:val="SingleTxtG"/>
        <w:tabs>
          <w:tab w:val="clear" w:pos="2268"/>
        </w:tabs>
      </w:pPr>
      <w:r w:rsidRPr="00BE433D">
        <w:t>295.</w:t>
      </w:r>
      <w:r w:rsidRPr="00BE433D">
        <w:tab/>
        <w:t>Однако граждане из числа лиц, отбывающих наказание в местах лишения свободы, за получением услуги по профессионально-технической подготовке в 2019 году от МТСР не обращались.</w:t>
      </w:r>
    </w:p>
    <w:p w14:paraId="434C1D04" w14:textId="77777777" w:rsidR="009D5435" w:rsidRPr="00BE433D" w:rsidRDefault="009D5435" w:rsidP="009D5435">
      <w:pPr>
        <w:pStyle w:val="H1G"/>
      </w:pPr>
      <w:r w:rsidRPr="00BE433D">
        <w:tab/>
      </w:r>
      <w:r w:rsidRPr="00BE433D">
        <w:tab/>
        <w:t xml:space="preserve">Статья 19 </w:t>
      </w:r>
      <w:r w:rsidRPr="00BE433D">
        <w:br/>
        <w:t>Бездомность и право на достаточное жилище</w:t>
      </w:r>
    </w:p>
    <w:p w14:paraId="5A020548" w14:textId="77777777" w:rsidR="009D5435" w:rsidRPr="00BE433D" w:rsidRDefault="009D5435" w:rsidP="009D5435">
      <w:pPr>
        <w:pStyle w:val="SingleTxtG"/>
        <w:tabs>
          <w:tab w:val="clear" w:pos="2268"/>
        </w:tabs>
      </w:pPr>
      <w:r w:rsidRPr="00BE433D">
        <w:t>296.</w:t>
      </w:r>
      <w:r w:rsidRPr="00BE433D">
        <w:tab/>
        <w:t>Обеспеченность социальным жильем населения страны является одной из основных задач, стоящих перед государством. Согласно принятой в Кыргызской Республике санитарной норме, размер жилой площади на одного человека составляет не менее 12,0 кв. м. К примеру, в государствах — участниках СНГ эта норма составляет 18,0 кв.</w:t>
      </w:r>
      <w:r>
        <w:t xml:space="preserve"> </w:t>
      </w:r>
      <w:r w:rsidRPr="00BE433D">
        <w:t>м на человека.</w:t>
      </w:r>
    </w:p>
    <w:p w14:paraId="1A918B67" w14:textId="77777777" w:rsidR="009D5435" w:rsidRPr="00BE433D" w:rsidRDefault="009D5435" w:rsidP="009D5435">
      <w:pPr>
        <w:pStyle w:val="SingleTxtG"/>
        <w:tabs>
          <w:tab w:val="clear" w:pos="2268"/>
        </w:tabs>
      </w:pPr>
      <w:r w:rsidRPr="00BE433D">
        <w:t>297.</w:t>
      </w:r>
      <w:r w:rsidRPr="00BE433D">
        <w:tab/>
        <w:t>По официальным данным, в 1991 году обеспеченность жильем в Республике составляла 12,2 кв. м на одного человека, и в настоящее время этот показатель остается на том же уровне. Максимальный показатель обеспеченности граждан жильем в Кыргызской Республике за последние 25 лет составлял 15,7 кв. м в 2010 году. Несмотря на создание в Кыргызской Республике основ функционирования рынка жилой недвижимости, приобрести жилье с использованием рыночных механизмов в настоящее время способен только ограниченный контингент жителей с относительно высоким уровнем доходов.</w:t>
      </w:r>
    </w:p>
    <w:p w14:paraId="5C9DA5A4" w14:textId="77777777" w:rsidR="009D5435" w:rsidRPr="00BE433D" w:rsidRDefault="009D5435" w:rsidP="009D5435">
      <w:pPr>
        <w:pStyle w:val="SingleTxtG"/>
        <w:tabs>
          <w:tab w:val="clear" w:pos="2268"/>
        </w:tabs>
      </w:pPr>
      <w:r w:rsidRPr="00BE433D">
        <w:t>298.</w:t>
      </w:r>
      <w:r w:rsidRPr="00BE433D">
        <w:tab/>
        <w:t xml:space="preserve">В 2015 году в целях обеспечения доступным жильем граждан правительство запустило реализацию Программы «Доступное жилье 2015–2020». </w:t>
      </w:r>
    </w:p>
    <w:p w14:paraId="26E85966" w14:textId="77777777" w:rsidR="009D5435" w:rsidRPr="00BE433D" w:rsidRDefault="009D5435" w:rsidP="009D5435">
      <w:pPr>
        <w:pStyle w:val="SingleTxtG"/>
        <w:tabs>
          <w:tab w:val="clear" w:pos="2268"/>
        </w:tabs>
      </w:pPr>
      <w:r w:rsidRPr="00BE433D">
        <w:t>299.</w:t>
      </w:r>
      <w:r w:rsidRPr="00BE433D">
        <w:tab/>
        <w:t>ОАО «ГИК» является уполномоченным органом по реализации Программы правительства «Доступное жилье 2015–2020» (далее — Программа).</w:t>
      </w:r>
    </w:p>
    <w:p w14:paraId="3ABA6935" w14:textId="77777777" w:rsidR="009D5435" w:rsidRPr="00BE433D" w:rsidRDefault="009D5435" w:rsidP="009D5435">
      <w:pPr>
        <w:pStyle w:val="SingleTxtG"/>
        <w:tabs>
          <w:tab w:val="clear" w:pos="2268"/>
        </w:tabs>
      </w:pPr>
      <w:r w:rsidRPr="00BE433D">
        <w:t>300.</w:t>
      </w:r>
      <w:r w:rsidRPr="00BE433D">
        <w:tab/>
        <w:t>Через 13 банков-партнеров выдано 5399 тыс. кредитов на общую сумму более 6 581 336 268 сомов. Обеспечено жильем около 18 тыс. человек. Кроме этого, в списке активных участников Программы числятся более 6000 граждан, для финансирования которых дополнительно требуется сумма более 9 млрд сомов. С 1 ноября 2019 года процентные ставки снижены до 6–8 % годовых.</w:t>
      </w:r>
    </w:p>
    <w:p w14:paraId="1C62F737" w14:textId="77777777" w:rsidR="009D5435" w:rsidRPr="00BE433D" w:rsidRDefault="009D5435" w:rsidP="009D5435">
      <w:pPr>
        <w:pStyle w:val="SingleTxtG"/>
        <w:tabs>
          <w:tab w:val="clear" w:pos="2268"/>
        </w:tabs>
      </w:pPr>
      <w:r w:rsidRPr="00BE433D">
        <w:t>301.</w:t>
      </w:r>
      <w:r w:rsidRPr="00BE433D">
        <w:tab/>
        <w:t xml:space="preserve">Процентные ставки по ипотечным кредитам были снижены пять раз: в 2016 году с 12–14 % до 10–12 % годовых, в 2017 году —до 8–10 % годовых, в ноябре </w:t>
      </w:r>
      <w:r w:rsidRPr="00BE433D">
        <w:br/>
        <w:t xml:space="preserve">2018 года — до 7–9 % годовых. В ноябре 2019 года — до 6–8 % годовых и с 1 мая 2020 года снижены ставки по ранее выданным кредитам (до 1 ноября 2018 года) </w:t>
      </w:r>
      <w:r w:rsidRPr="00BE433D">
        <w:br/>
        <w:t>до 7–9 % годовых.</w:t>
      </w:r>
    </w:p>
    <w:p w14:paraId="1BB2AE1B" w14:textId="77777777" w:rsidR="009D5435" w:rsidRPr="00BE433D" w:rsidRDefault="009D5435" w:rsidP="009D5435">
      <w:pPr>
        <w:pStyle w:val="SingleTxtG"/>
        <w:tabs>
          <w:tab w:val="clear" w:pos="2268"/>
        </w:tabs>
      </w:pPr>
      <w:r w:rsidRPr="00BE433D">
        <w:t>302.</w:t>
      </w:r>
      <w:r w:rsidRPr="00BE433D">
        <w:tab/>
        <w:t>Также для участников Программы исключено обязательное требование поручительства.</w:t>
      </w:r>
    </w:p>
    <w:p w14:paraId="30CE1355" w14:textId="77777777" w:rsidR="009D5435" w:rsidRPr="00BE433D" w:rsidRDefault="009D5435" w:rsidP="009D5435">
      <w:pPr>
        <w:pStyle w:val="SingleTxtG"/>
        <w:tabs>
          <w:tab w:val="clear" w:pos="2268"/>
        </w:tabs>
      </w:pPr>
      <w:r w:rsidRPr="00BE433D">
        <w:t>303.</w:t>
      </w:r>
      <w:r w:rsidRPr="00BE433D">
        <w:tab/>
        <w:t xml:space="preserve">Завершено строительство 60-квартирного жилого дома в г. Нарын и </w:t>
      </w:r>
      <w:r w:rsidRPr="00BE433D">
        <w:br/>
        <w:t xml:space="preserve">135-квартирного жилого дома в </w:t>
      </w:r>
      <w:proofErr w:type="spellStart"/>
      <w:r w:rsidRPr="00BE433D">
        <w:t>мкр</w:t>
      </w:r>
      <w:proofErr w:type="spellEnd"/>
      <w:r w:rsidRPr="00BE433D">
        <w:t xml:space="preserve"> «</w:t>
      </w:r>
      <w:proofErr w:type="spellStart"/>
      <w:r w:rsidRPr="00BE433D">
        <w:t>Тунгуч</w:t>
      </w:r>
      <w:proofErr w:type="spellEnd"/>
      <w:r w:rsidRPr="00BE433D">
        <w:t>» г. Бишкек. В настоящее время проводятся мероприятия по заселению жилого дома с применением механизма «Арендное жилье с последующим выкупом».</w:t>
      </w:r>
    </w:p>
    <w:p w14:paraId="6CC86F54" w14:textId="77777777" w:rsidR="009D5435" w:rsidRPr="00BE433D" w:rsidRDefault="009D5435" w:rsidP="009D5435">
      <w:pPr>
        <w:pStyle w:val="SingleTxtG"/>
        <w:tabs>
          <w:tab w:val="clear" w:pos="2268"/>
        </w:tabs>
      </w:pPr>
      <w:r w:rsidRPr="00BE433D">
        <w:t>304.</w:t>
      </w:r>
      <w:r w:rsidRPr="00BE433D">
        <w:tab/>
        <w:t xml:space="preserve">В рамках привлечения внебюджетных финансовых средств достигнута договоренность между правительством КР и правительством Федеративной Республики Германия о финансовом и техническом сотрудничестве, предусматривающая два компонента, направленных на жилищное финансирование в регионах Республики: </w:t>
      </w:r>
    </w:p>
    <w:p w14:paraId="6063E658" w14:textId="77777777" w:rsidR="009D5435" w:rsidRPr="00BE433D" w:rsidRDefault="009D5435" w:rsidP="009D5435">
      <w:pPr>
        <w:pStyle w:val="SingleTxtG"/>
        <w:tabs>
          <w:tab w:val="clear" w:pos="2268"/>
        </w:tabs>
      </w:pPr>
      <w:r w:rsidRPr="00BE433D">
        <w:t>305.</w:t>
      </w:r>
      <w:r w:rsidRPr="00BE433D">
        <w:tab/>
        <w:t xml:space="preserve">компонент «Финансирование строительства жилья» — 11 млн евро </w:t>
      </w:r>
      <w:r w:rsidRPr="00BE433D">
        <w:br/>
        <w:t>(10,5 млн евро — в капитал ОАО «ГИК», 0,5 млн евро техническая поддержка ОАО «ГИК»);</w:t>
      </w:r>
    </w:p>
    <w:p w14:paraId="7388AF7B" w14:textId="77777777" w:rsidR="009D5435" w:rsidRPr="00BE433D" w:rsidRDefault="009D5435" w:rsidP="009D5435">
      <w:pPr>
        <w:pStyle w:val="SingleTxtG"/>
        <w:tabs>
          <w:tab w:val="clear" w:pos="2268"/>
        </w:tabs>
      </w:pPr>
      <w:r w:rsidRPr="00BE433D">
        <w:t>306.</w:t>
      </w:r>
      <w:r w:rsidRPr="00BE433D">
        <w:tab/>
        <w:t>компонент «Строительство социального жилья» 9 млн евро (8,5 млн евро в капитал ОАО «ГИК», 0,5 млн евро-техническая поддержка ОАО «ГИК»).</w:t>
      </w:r>
    </w:p>
    <w:p w14:paraId="5DC10901" w14:textId="77777777" w:rsidR="009D5435" w:rsidRPr="00BE433D" w:rsidRDefault="009D5435" w:rsidP="009D5435">
      <w:pPr>
        <w:pStyle w:val="SingleTxtG"/>
        <w:tabs>
          <w:tab w:val="clear" w:pos="2268"/>
        </w:tabs>
      </w:pPr>
      <w:r w:rsidRPr="00BE433D">
        <w:t>307.</w:t>
      </w:r>
      <w:r w:rsidRPr="00BE433D">
        <w:tab/>
        <w:t>Цель проекта — развитие доступного ипотечного кредитования в регионах (кроме городов Бишкек и Ош) для семей с малыми и средними доходами. В рамках проекта коммерческим банкам через ОАО «ГИК» будут предоставляться денежные средства (10,5 млн евро — 832 млн сомов) в национальной валюте для выдачи ипотечных кредитов для семей с малыми и средними доходами. ОАО «ГИК» активно реализует данный проект в регионах Кыргызской Республики, и по состоянию на 6 марта 2020 года предоставлено через банки-партнеры 59 кредитов на сумму 59,5 млн сомов.</w:t>
      </w:r>
    </w:p>
    <w:p w14:paraId="51834700" w14:textId="77777777" w:rsidR="009D5435" w:rsidRPr="00BE433D" w:rsidRDefault="009D5435" w:rsidP="009D5435">
      <w:pPr>
        <w:pStyle w:val="SingleTxtG"/>
        <w:tabs>
          <w:tab w:val="clear" w:pos="2268"/>
        </w:tabs>
      </w:pPr>
      <w:r w:rsidRPr="00BE433D">
        <w:t>308.</w:t>
      </w:r>
      <w:r w:rsidRPr="00BE433D">
        <w:tab/>
        <w:t>В целях реализации второй фазы проекта Парламентом страны ратифицировано соглашение о предоставлении 9 млн евро.</w:t>
      </w:r>
    </w:p>
    <w:p w14:paraId="3447AA76" w14:textId="77777777" w:rsidR="009D5435" w:rsidRPr="00BE433D" w:rsidRDefault="009D5435" w:rsidP="009D5435">
      <w:pPr>
        <w:pStyle w:val="SingleTxtG"/>
        <w:tabs>
          <w:tab w:val="clear" w:pos="2268"/>
        </w:tabs>
      </w:pPr>
      <w:r w:rsidRPr="00BE433D">
        <w:t>309.</w:t>
      </w:r>
      <w:r w:rsidRPr="00BE433D">
        <w:tab/>
        <w:t>Благодаря созданию ОАО «ГИК» в банковской системе Кыргызстана дан импульс для ипотечного кредитования на долгосрочной основе и с низкими процентными ставками. Население страны со средним и ниже среднего уровнем дохода получило доступ к ипотечным кредитам на постоянной основе.</w:t>
      </w:r>
    </w:p>
    <w:p w14:paraId="3C633414" w14:textId="77777777" w:rsidR="009D5435" w:rsidRPr="00BE433D" w:rsidRDefault="009D5435" w:rsidP="009D5435">
      <w:pPr>
        <w:pStyle w:val="SingleTxtG"/>
        <w:tabs>
          <w:tab w:val="clear" w:pos="2268"/>
        </w:tabs>
      </w:pPr>
      <w:r w:rsidRPr="00BE433D">
        <w:t>310.</w:t>
      </w:r>
      <w:r w:rsidRPr="00BE433D">
        <w:tab/>
        <w:t>По данным Государственной ипотечной кампании, на 2016 год из 746 семей, взявших ипотеку, 535 договоров заключено на женщин. Это свидетельствует о возросших экономических возможностях женщин и их стремлении вкладывать в жилье либо преимущественном заключении договоров об ипотеке женщинами. Более 55 % государственных ипотечных кредитов получили женщины.</w:t>
      </w:r>
    </w:p>
    <w:p w14:paraId="44D1BA7B" w14:textId="77777777" w:rsidR="009D5435" w:rsidRPr="00BE433D" w:rsidRDefault="009D5435" w:rsidP="009D5435">
      <w:pPr>
        <w:pStyle w:val="SingleTxtG"/>
        <w:tabs>
          <w:tab w:val="clear" w:pos="2268"/>
        </w:tabs>
      </w:pPr>
      <w:r w:rsidRPr="00BE433D">
        <w:t>311.</w:t>
      </w:r>
      <w:r w:rsidRPr="00BE433D">
        <w:tab/>
        <w:t>Также сообщаем, что постановлением правительства (2020 год) утверждено Положение о порядке предоставления жилых помещений государственного специализированного жилищного фонда при МТСР, которое определяет единый порядок и условия предоставления жилых помещений для отдельных категорий граждан, нуждающихся в социальной поддержке.</w:t>
      </w:r>
    </w:p>
    <w:p w14:paraId="3CEBEB02" w14:textId="77777777" w:rsidR="009D5435" w:rsidRPr="00BE433D" w:rsidRDefault="009D5435" w:rsidP="009D5435">
      <w:pPr>
        <w:pStyle w:val="SingleTxtG"/>
        <w:tabs>
          <w:tab w:val="clear" w:pos="2268"/>
        </w:tabs>
      </w:pPr>
      <w:r w:rsidRPr="00BE433D">
        <w:t>312.</w:t>
      </w:r>
      <w:r w:rsidRPr="00BE433D">
        <w:tab/>
        <w:t>В 2019 году из всех источников финансирования реабилитированы и построены объекты системы питьевого водоснабжения в 38 селах республики. В результате более 47 тыс. человек получили доступ к питьевой воде.</w:t>
      </w:r>
    </w:p>
    <w:p w14:paraId="41A37BE6" w14:textId="77777777" w:rsidR="009D5435" w:rsidRPr="00BE433D" w:rsidRDefault="009D5435" w:rsidP="009D5435">
      <w:pPr>
        <w:pStyle w:val="SingleTxtG"/>
        <w:tabs>
          <w:tab w:val="clear" w:pos="2268"/>
        </w:tabs>
      </w:pPr>
      <w:r w:rsidRPr="00BE433D">
        <w:t>313.</w:t>
      </w:r>
      <w:r w:rsidRPr="00BE433D">
        <w:tab/>
        <w:t>В рамках Стратегии развития систем питьевого водоснабжения и водоотведения населенных пунктов до 2026 года предусмотрено выполнение работ по строительству и реабилитации систем водоснабжения в 425 селах республики на сумму 8 млрд 882 млн сомов, а также систем водоотведения — в 27 районных центрах, на сумму 4 млрд 048 млн сомов.</w:t>
      </w:r>
    </w:p>
    <w:p w14:paraId="37D50E08" w14:textId="77777777" w:rsidR="009D5435" w:rsidRPr="00BE433D" w:rsidRDefault="009D5435" w:rsidP="009D5435">
      <w:pPr>
        <w:pStyle w:val="SingleTxtG"/>
        <w:tabs>
          <w:tab w:val="clear" w:pos="2268"/>
        </w:tabs>
      </w:pPr>
      <w:r w:rsidRPr="00BE433D">
        <w:t>314.</w:t>
      </w:r>
      <w:r w:rsidRPr="00BE433D">
        <w:tab/>
        <w:t>Статистические данные о бездомности и праве на достаточное жилище, а также доступе населения к безопасным источникам питьевой воды приведены в приложении 1 к настоящему докладу.</w:t>
      </w:r>
    </w:p>
    <w:p w14:paraId="03881CD4" w14:textId="77777777" w:rsidR="009D5435" w:rsidRPr="00BE433D" w:rsidRDefault="009D5435" w:rsidP="009D5435">
      <w:pPr>
        <w:pStyle w:val="H1G"/>
      </w:pPr>
      <w:r w:rsidRPr="00BE433D">
        <w:tab/>
      </w:r>
      <w:r w:rsidRPr="00BE433D">
        <w:tab/>
        <w:t>Статья 20</w:t>
      </w:r>
      <w:r w:rsidRPr="00BE433D">
        <w:br/>
        <w:t>Нищета</w:t>
      </w:r>
    </w:p>
    <w:p w14:paraId="17C6B547" w14:textId="77777777" w:rsidR="009D5435" w:rsidRPr="00BE433D" w:rsidRDefault="009D5435" w:rsidP="009D5435">
      <w:pPr>
        <w:pStyle w:val="SingleTxtG"/>
        <w:tabs>
          <w:tab w:val="clear" w:pos="2268"/>
        </w:tabs>
      </w:pPr>
      <w:r w:rsidRPr="00BE433D">
        <w:t>315.</w:t>
      </w:r>
      <w:r w:rsidRPr="00BE433D">
        <w:tab/>
        <w:t>Следует отметить, что республиканский бюджет является социально ориентированным. Почти половина доходов страны направляется на финансирование расходов, связанных с образованием, здравоохранением, развитием спорта, науки и культуры, социальным обеспечением и социальной защитой населения республики.</w:t>
      </w:r>
    </w:p>
    <w:p w14:paraId="3D252A7A" w14:textId="77777777" w:rsidR="009D5435" w:rsidRPr="00BE433D" w:rsidRDefault="009D5435" w:rsidP="009D5435">
      <w:pPr>
        <w:pStyle w:val="SingleTxtG"/>
        <w:tabs>
          <w:tab w:val="clear" w:pos="2268"/>
        </w:tabs>
      </w:pPr>
      <w:r w:rsidRPr="00BE433D">
        <w:t>316.</w:t>
      </w:r>
      <w:r w:rsidRPr="00BE433D">
        <w:tab/>
        <w:t>Так, например, расходы на социальное обеспечение и социальную защиту населения составляют 5,7 % ВВП и 20 % объемов расходов республиканского бюджета.</w:t>
      </w:r>
    </w:p>
    <w:p w14:paraId="55DB6150" w14:textId="77777777" w:rsidR="009D5435" w:rsidRPr="00BE433D" w:rsidRDefault="009D5435" w:rsidP="009D5435">
      <w:pPr>
        <w:pStyle w:val="SingleTxtG"/>
        <w:tabs>
          <w:tab w:val="clear" w:pos="2268"/>
        </w:tabs>
      </w:pPr>
      <w:r w:rsidRPr="00BE433D">
        <w:t>317.</w:t>
      </w:r>
      <w:r w:rsidRPr="00BE433D">
        <w:tab/>
        <w:t>В целях оказания социальной помощи населению со стороны государства в 2018 году вступил в силу в новой редакции Закон «О государственных пособиях в Кыргызской Республике». Данным Законом предоставляются населению следующие виды государственных пособий:</w:t>
      </w:r>
    </w:p>
    <w:p w14:paraId="5C310F7B" w14:textId="77777777" w:rsidR="009D5435" w:rsidRPr="00BE433D" w:rsidRDefault="009D5435" w:rsidP="009D5435">
      <w:pPr>
        <w:pStyle w:val="Bullet1G"/>
        <w:numPr>
          <w:ilvl w:val="0"/>
          <w:numId w:val="0"/>
        </w:numPr>
        <w:tabs>
          <w:tab w:val="left" w:pos="1701"/>
        </w:tabs>
        <w:ind w:left="1134"/>
      </w:pPr>
      <w:r w:rsidRPr="00BE433D">
        <w:t>318.</w:t>
      </w:r>
      <w:r w:rsidRPr="00BE433D">
        <w:tab/>
        <w:t>единовременное пособие (выплата) при рождении каждого ребенка «</w:t>
      </w:r>
      <w:proofErr w:type="spellStart"/>
      <w:r w:rsidRPr="00BE433D">
        <w:t>балага</w:t>
      </w:r>
      <w:proofErr w:type="spellEnd"/>
      <w:r w:rsidRPr="00BE433D">
        <w:t xml:space="preserve"> </w:t>
      </w:r>
      <w:proofErr w:type="spellStart"/>
      <w:r w:rsidRPr="00BE433D">
        <w:t>сүйүнчү</w:t>
      </w:r>
      <w:proofErr w:type="spellEnd"/>
      <w:r w:rsidRPr="00BE433D">
        <w:t>» в размере 4000 сомов всем новорожденным одинаково, а также без учета доходов семьи, т. е. без учета адресного подхода (почти до размера прожиточного минимума ребенка);</w:t>
      </w:r>
    </w:p>
    <w:p w14:paraId="612BBE38" w14:textId="77777777" w:rsidR="009D5435" w:rsidRPr="00BE433D" w:rsidRDefault="009D5435" w:rsidP="009D5435">
      <w:pPr>
        <w:pStyle w:val="Bullet1G"/>
        <w:numPr>
          <w:ilvl w:val="0"/>
          <w:numId w:val="0"/>
        </w:numPr>
        <w:tabs>
          <w:tab w:val="left" w:pos="1701"/>
        </w:tabs>
        <w:ind w:left="1134"/>
      </w:pPr>
      <w:r w:rsidRPr="00BE433D">
        <w:t>319.</w:t>
      </w:r>
      <w:r w:rsidRPr="00BE433D">
        <w:tab/>
        <w:t>ежемесячное пособие семьям, имеющим детей в возрасте от 0 до 16 лет, в размере 810 сомов в твердом размере с учетом доходов семьи, т. е. адресно, с применением гарантированного минимального дохода,</w:t>
      </w:r>
      <w:r w:rsidRPr="00BE433D">
        <w:rPr>
          <w:b/>
        </w:rPr>
        <w:t xml:space="preserve"> </w:t>
      </w:r>
      <w:r w:rsidRPr="00BE433D">
        <w:t>размер которого зависит от финансово-экономического положения страны.</w:t>
      </w:r>
    </w:p>
    <w:p w14:paraId="662D50B2" w14:textId="77777777" w:rsidR="009D5435" w:rsidRPr="00BE433D" w:rsidRDefault="009D5435" w:rsidP="009D5435">
      <w:pPr>
        <w:pStyle w:val="SingleTxtG"/>
        <w:tabs>
          <w:tab w:val="clear" w:pos="2268"/>
        </w:tabs>
      </w:pPr>
      <w:r w:rsidRPr="00BE433D">
        <w:t>320.</w:t>
      </w:r>
      <w:r w:rsidRPr="00BE433D">
        <w:tab/>
        <w:t>При определении степени нуждаемости семьи в государственной поддержке, в целях улучшения и расширения охвата населения адресной социальной помощью размер пенсий исключен из состава совокупного дохода при назначении пособия семьям, имеющим детей.</w:t>
      </w:r>
    </w:p>
    <w:p w14:paraId="737D9B25" w14:textId="77777777" w:rsidR="009D5435" w:rsidRPr="00BE433D" w:rsidRDefault="009D5435" w:rsidP="009D5435">
      <w:pPr>
        <w:pStyle w:val="SingleTxtG"/>
        <w:tabs>
          <w:tab w:val="clear" w:pos="2268"/>
        </w:tabs>
      </w:pPr>
      <w:r w:rsidRPr="00BE433D">
        <w:t>321.</w:t>
      </w:r>
      <w:r w:rsidRPr="00BE433D">
        <w:tab/>
        <w:t>В реализацию указанного Закона принято постановление правительства «О реализации Закона «О государственных пособиях в Кыргызской Республике» (2018 год), предусматривающее обеспечение адресности пособия по малообеспеченности путем совершенствования критериев определения нуждаемости семей в данном пособии:</w:t>
      </w:r>
    </w:p>
    <w:p w14:paraId="34B5DC85" w14:textId="77777777" w:rsidR="009D5435" w:rsidRPr="00BE433D" w:rsidRDefault="009D5435" w:rsidP="009D5435">
      <w:pPr>
        <w:pStyle w:val="Bullet1G"/>
        <w:numPr>
          <w:ilvl w:val="0"/>
          <w:numId w:val="0"/>
        </w:numPr>
        <w:tabs>
          <w:tab w:val="left" w:pos="1701"/>
        </w:tabs>
        <w:ind w:left="1701" w:hanging="170"/>
      </w:pPr>
      <w:r w:rsidRPr="00BE433D">
        <w:t>•</w:t>
      </w:r>
      <w:r w:rsidRPr="00BE433D">
        <w:tab/>
        <w:t>пересмотрены нормативы доходов от земельных наделов и приусадебных участков, с учетом действующих цен на сельскохозяйственную продукцию;</w:t>
      </w:r>
    </w:p>
    <w:p w14:paraId="3FD99A61" w14:textId="77777777" w:rsidR="009D5435" w:rsidRPr="00BE433D" w:rsidRDefault="009D5435" w:rsidP="009D5435">
      <w:pPr>
        <w:pStyle w:val="Bullet1G"/>
        <w:numPr>
          <w:ilvl w:val="0"/>
          <w:numId w:val="0"/>
        </w:numPr>
        <w:tabs>
          <w:tab w:val="left" w:pos="1701"/>
        </w:tabs>
        <w:ind w:left="1701" w:hanging="170"/>
      </w:pPr>
      <w:r w:rsidRPr="00BE433D">
        <w:t>•</w:t>
      </w:r>
      <w:r w:rsidRPr="00BE433D">
        <w:tab/>
        <w:t>введены в учет сельскохозяйственные животные;</w:t>
      </w:r>
    </w:p>
    <w:p w14:paraId="1A0460B2" w14:textId="77777777" w:rsidR="009D5435" w:rsidRPr="00BE433D" w:rsidRDefault="009D5435" w:rsidP="009D5435">
      <w:pPr>
        <w:pStyle w:val="Bullet1G"/>
        <w:numPr>
          <w:ilvl w:val="0"/>
          <w:numId w:val="0"/>
        </w:numPr>
        <w:tabs>
          <w:tab w:val="left" w:pos="1701"/>
        </w:tabs>
        <w:ind w:left="1701" w:hanging="170"/>
      </w:pPr>
      <w:r w:rsidRPr="00BE433D">
        <w:t>•</w:t>
      </w:r>
      <w:r w:rsidRPr="00BE433D">
        <w:tab/>
        <w:t xml:space="preserve">исключены пенсии из доходов семьи при определении нуждаемости семей </w:t>
      </w:r>
      <w:r w:rsidRPr="00BE433D">
        <w:br/>
        <w:t>«уй-</w:t>
      </w:r>
      <w:proofErr w:type="spellStart"/>
      <w:r w:rsidRPr="00BE433D">
        <w:t>булого</w:t>
      </w:r>
      <w:proofErr w:type="spellEnd"/>
      <w:r w:rsidRPr="00BE433D">
        <w:t xml:space="preserve"> комок».</w:t>
      </w:r>
    </w:p>
    <w:p w14:paraId="34FE3DE5" w14:textId="77777777" w:rsidR="009D5435" w:rsidRPr="00BE433D" w:rsidRDefault="009D5435" w:rsidP="009D5435">
      <w:pPr>
        <w:pStyle w:val="SingleTxtG"/>
        <w:tabs>
          <w:tab w:val="clear" w:pos="2268"/>
        </w:tabs>
      </w:pPr>
      <w:r w:rsidRPr="00BE433D">
        <w:t>322.</w:t>
      </w:r>
      <w:r w:rsidRPr="00BE433D">
        <w:tab/>
        <w:t>Принято постановление правительства «О внесении изменений в постановление правительства «О реализации Закона «О государственных пособиях в Кыргызской Республике» от 29 июня 2018 года № 307» (2019 год), предусматривающее не учитывать в доходе при определении нуждаемости семей в пособии по малообеспеченности оплату услуг персонального ассистента, осуществляющего уход за ребенком с ограниченными возможностями здоровья, нуждающегося в постоянном уходе и надзоре.</w:t>
      </w:r>
    </w:p>
    <w:p w14:paraId="18993AA2" w14:textId="77777777" w:rsidR="009D5435" w:rsidRPr="00BE433D" w:rsidRDefault="009D5435" w:rsidP="009D5435">
      <w:pPr>
        <w:pStyle w:val="SingleTxtG"/>
        <w:tabs>
          <w:tab w:val="clear" w:pos="2268"/>
        </w:tabs>
      </w:pPr>
      <w:r w:rsidRPr="00BE433D">
        <w:t>323.</w:t>
      </w:r>
      <w:r w:rsidRPr="00BE433D">
        <w:tab/>
        <w:t>Также в целях обеспечения адресности пособия по малообеспеченности принято постановление правительства «О внесении изменений в постановление правительства «О реализации Закона «О государственных пособиях в Кыргызской Республике» от 29 июня 2018 года № 307» (2019 год), предусматривающее повышение размера гарантированного минимального дохода (далее — ГМД), с помощью которого определяется нуждаемость семей в пособии, с 900 до 1000 сомов с 1 декабря 2019 года. Повышение размера ГМД позволит усилить охват детей из малообеспеченных семей пособиями.</w:t>
      </w:r>
    </w:p>
    <w:p w14:paraId="496B146B" w14:textId="77777777" w:rsidR="009D5435" w:rsidRPr="00BE433D" w:rsidRDefault="009D5435" w:rsidP="009D5435">
      <w:pPr>
        <w:pStyle w:val="SingleTxtG"/>
        <w:tabs>
          <w:tab w:val="clear" w:pos="2268"/>
        </w:tabs>
      </w:pPr>
      <w:r w:rsidRPr="00BE433D">
        <w:t>324.</w:t>
      </w:r>
      <w:r w:rsidRPr="00BE433D">
        <w:tab/>
        <w:t>По состоянию на 1 января 2020 года, ежемесячное пособие нуждающимся гражданам (семьям), имеющим детей до 16 лет «уй-</w:t>
      </w:r>
      <w:proofErr w:type="spellStart"/>
      <w:r w:rsidRPr="00BE433D">
        <w:t>булого</w:t>
      </w:r>
      <w:proofErr w:type="spellEnd"/>
      <w:r w:rsidRPr="00BE433D">
        <w:t xml:space="preserve"> комок», получают 96,1 тыс. семей, имеющих 308,8 тыс. детей.</w:t>
      </w:r>
    </w:p>
    <w:p w14:paraId="2BFB3639" w14:textId="77777777" w:rsidR="009D5435" w:rsidRPr="00BE433D" w:rsidRDefault="009D5435" w:rsidP="009D5435">
      <w:pPr>
        <w:pStyle w:val="SingleTxtG"/>
        <w:tabs>
          <w:tab w:val="clear" w:pos="2268"/>
        </w:tabs>
      </w:pPr>
      <w:r w:rsidRPr="00BE433D">
        <w:t>325.</w:t>
      </w:r>
      <w:r w:rsidRPr="00BE433D">
        <w:tab/>
        <w:t>Выплата ежемесячных денежных компенсаций взамен льгот не подходит для активных форм борьбы с нищетой (бедностью), так как группы льготников крайне неоднородны по материальному положению.</w:t>
      </w:r>
    </w:p>
    <w:p w14:paraId="5F5BEB04" w14:textId="77777777" w:rsidR="009D5435" w:rsidRPr="00BE433D" w:rsidRDefault="009D5435" w:rsidP="009D5435">
      <w:pPr>
        <w:pStyle w:val="SingleTxtG"/>
        <w:tabs>
          <w:tab w:val="clear" w:pos="2268"/>
        </w:tabs>
      </w:pPr>
      <w:r w:rsidRPr="00BE433D">
        <w:t>326.</w:t>
      </w:r>
      <w:r w:rsidRPr="00BE433D">
        <w:tab/>
        <w:t>В настоящее время в соответствии с законами «О ветеранах войны, Вооруженных Сил и тружениках тыла», «О социальной защите граждан, пострадавших вследствие чернобыльской катастрофы», «О правах и гарантиях реабилитированных граждан, пострадавших в результате репрессий за политические и религиозные убеждения, по социальным, национальным и другим признакам», «О правах и гарантиях лиц с ограниченными возможностями здоровья», «О донорстве крови и ее компонентов» денежная компенсация взамен льгот ежемесячно предоставляется 25 категориям льготников — это ветераны Великой Отечественной и Афганской войн, инвалиды Афганской войны, Советской Армии, ликвидаторы аварии на Чернобыльской АЭС, реабилитированные граждане, почетные доноры, а также ЛОВЗ по зрению и слуху.</w:t>
      </w:r>
    </w:p>
    <w:p w14:paraId="6453EF23" w14:textId="77777777" w:rsidR="009D5435" w:rsidRPr="00BE433D" w:rsidRDefault="009D5435" w:rsidP="009D5435">
      <w:pPr>
        <w:pStyle w:val="SingleTxtG"/>
        <w:tabs>
          <w:tab w:val="clear" w:pos="2268"/>
        </w:tabs>
      </w:pPr>
      <w:r w:rsidRPr="00BE433D">
        <w:t>327.</w:t>
      </w:r>
      <w:r w:rsidRPr="00BE433D">
        <w:tab/>
        <w:t>Денежная компенсация взамен льгот предоставляется по категориальному принципу при предоставлении соответствующих документов, указанных в приложении к Положению о порядке назначения ежемесячных денежных компенсаций взамен льгот, утвержденному постановлением правительства (2009 год).</w:t>
      </w:r>
    </w:p>
    <w:p w14:paraId="030A0722" w14:textId="77777777" w:rsidR="009D5435" w:rsidRPr="00BE433D" w:rsidRDefault="009D5435" w:rsidP="009D5435">
      <w:pPr>
        <w:pStyle w:val="SingleTxtG"/>
        <w:tabs>
          <w:tab w:val="clear" w:pos="2268"/>
        </w:tabs>
      </w:pPr>
      <w:r w:rsidRPr="00BE433D">
        <w:t>328.</w:t>
      </w:r>
      <w:r w:rsidRPr="00BE433D">
        <w:tab/>
        <w:t>Размеры денежных компенсаций установлены, независимо от региона проживания, в пределах от 1000 до 7000 сомов. В эту сумму входит стоимость жилищно-коммунальных услуг, проезда по СНГ и внутри страны, зубопротезирования, слуховых аппаратов и очков, санаторных путевок и лекарств.</w:t>
      </w:r>
    </w:p>
    <w:p w14:paraId="32C048AB" w14:textId="77777777" w:rsidR="009D5435" w:rsidRPr="00BE433D" w:rsidRDefault="009D5435" w:rsidP="009D5435">
      <w:pPr>
        <w:pStyle w:val="SingleTxtG"/>
        <w:tabs>
          <w:tab w:val="clear" w:pos="2268"/>
        </w:tabs>
      </w:pPr>
      <w:r w:rsidRPr="00BE433D">
        <w:t>329.</w:t>
      </w:r>
      <w:r w:rsidRPr="00BE433D">
        <w:tab/>
        <w:t>По состоянию на 1 января 2020 года, численность получателей денежной компенсации по республике составляет 42 018 человек.</w:t>
      </w:r>
    </w:p>
    <w:p w14:paraId="15B08D23" w14:textId="77777777" w:rsidR="009D5435" w:rsidRPr="00BE433D" w:rsidRDefault="009D5435" w:rsidP="009D5435">
      <w:pPr>
        <w:pStyle w:val="SingleTxtG"/>
        <w:tabs>
          <w:tab w:val="clear" w:pos="2268"/>
        </w:tabs>
      </w:pPr>
      <w:r w:rsidRPr="00BE433D">
        <w:t>330.</w:t>
      </w:r>
      <w:r w:rsidRPr="00BE433D">
        <w:tab/>
        <w:t>В соответствии с Кодексом о детях направление детей в детские учреждения интернатного типа (далее — ДУИТ) рассматривается как крайняя мера в случае исчерпания возможности по размещению ребенка в семью.</w:t>
      </w:r>
    </w:p>
    <w:p w14:paraId="312326FF" w14:textId="77777777" w:rsidR="009D5435" w:rsidRPr="00BE433D" w:rsidRDefault="009D5435" w:rsidP="009D5435">
      <w:pPr>
        <w:pStyle w:val="SingleTxtG"/>
        <w:tabs>
          <w:tab w:val="clear" w:pos="2268"/>
        </w:tabs>
      </w:pPr>
      <w:r w:rsidRPr="00BE433D">
        <w:t>331.</w:t>
      </w:r>
      <w:r w:rsidRPr="00BE433D">
        <w:tab/>
        <w:t xml:space="preserve">По итогам 2019 года в Республике функционирует 137 ДУИТ всех форм собственности, из которых 57 являются государственными (50 — МОН, 3 — МЗ, </w:t>
      </w:r>
      <w:r w:rsidRPr="00BE433D">
        <w:br/>
        <w:t xml:space="preserve">4 — МТСР), 25 — муниципальных, 41 — частное, созданное НКО, 14 — религиозных. В указанных учреждениях находятся более 10 тыс. детей и только 5,4 % детей являются сиротами, остальные дети имеют родителей или одного из них. </w:t>
      </w:r>
    </w:p>
    <w:p w14:paraId="2C9BCFB7" w14:textId="77777777" w:rsidR="009D5435" w:rsidRPr="00BE433D" w:rsidRDefault="009D5435" w:rsidP="009D5435">
      <w:pPr>
        <w:pStyle w:val="SingleTxtG"/>
        <w:tabs>
          <w:tab w:val="clear" w:pos="2268"/>
        </w:tabs>
      </w:pPr>
      <w:r w:rsidRPr="00BE433D">
        <w:t>332.</w:t>
      </w:r>
      <w:r w:rsidRPr="00BE433D">
        <w:tab/>
        <w:t>В ходе реализации Плана по оптимизации управления и финансирования детских учреждений интернатного типа на 2013–2018 годы, утвержденного постановлением правительства (2012 год), из 17 ДУИТ (из них: 12 — МОН, 2 — МЗ, 2 — МВД, 1 — МТСР) оптимизированы/трансформированы 10 (1 — МТСР, 7 — МОН, 2 — МВД).</w:t>
      </w:r>
    </w:p>
    <w:p w14:paraId="707C7977" w14:textId="77777777" w:rsidR="009D5435" w:rsidRPr="00BE433D" w:rsidRDefault="009D5435" w:rsidP="009D5435">
      <w:pPr>
        <w:pStyle w:val="SingleTxtG"/>
        <w:tabs>
          <w:tab w:val="clear" w:pos="2268"/>
        </w:tabs>
      </w:pPr>
      <w:r w:rsidRPr="00BE433D">
        <w:t>333.</w:t>
      </w:r>
      <w:r w:rsidRPr="00BE433D">
        <w:tab/>
        <w:t xml:space="preserve">В целях совершенствования процесса </w:t>
      </w:r>
      <w:proofErr w:type="spellStart"/>
      <w:r w:rsidRPr="00BE433D">
        <w:t>деинституционализации</w:t>
      </w:r>
      <w:proofErr w:type="spellEnd"/>
      <w:r w:rsidRPr="00BE433D">
        <w:t xml:space="preserve"> МТСР разработан План первоочередных мер по реформированию детских учреждений интернатного типа на 2019–2021 годы, который направлен на развитие социальных услуг детям, в том числе на развитие альтернативных форм устройства детей, а также предусматриваются мероприятия по упорядочению создания детских учреждений. </w:t>
      </w:r>
    </w:p>
    <w:p w14:paraId="724CD033" w14:textId="77777777" w:rsidR="009D5435" w:rsidRPr="00BE433D" w:rsidRDefault="009D5435" w:rsidP="009D5435">
      <w:pPr>
        <w:pStyle w:val="SingleTxtG"/>
        <w:tabs>
          <w:tab w:val="clear" w:pos="2268"/>
        </w:tabs>
      </w:pPr>
      <w:r w:rsidRPr="00BE433D">
        <w:t>334.</w:t>
      </w:r>
      <w:r w:rsidRPr="00BE433D">
        <w:tab/>
        <w:t xml:space="preserve">Также постановлением правительства (2019 год) утвержден Порядок эксплуатации автоматизированной информационно-аналитической системы детских учреждений интернатного типа. Согласно данному постановлению, администрации всех ДУИТ вводят данные детей, находящихся, вновь прибывших, а также выбывших из учреждения детей. Функционирование системы позволит в режиме реального времени отслеживать движение детей, причины устройства, их статус, имеющиеся выплаты, а также отследить количество выпускающихся детей. </w:t>
      </w:r>
    </w:p>
    <w:p w14:paraId="07DC2C0B" w14:textId="77777777" w:rsidR="009D5435" w:rsidRPr="00BE433D" w:rsidRDefault="009D5435" w:rsidP="009D5435">
      <w:pPr>
        <w:pStyle w:val="SingleTxtG"/>
        <w:tabs>
          <w:tab w:val="clear" w:pos="2268"/>
        </w:tabs>
      </w:pPr>
      <w:r w:rsidRPr="00BE433D">
        <w:t>335.</w:t>
      </w:r>
      <w:r w:rsidRPr="00BE433D">
        <w:tab/>
        <w:t>В соответствии с Кодексом о детях постановлением правительства (2015 год) утверждено Положение об аккредитации субъектов, оказывающих услуги детям, находящимся в трудной жизненной ситуации.</w:t>
      </w:r>
    </w:p>
    <w:p w14:paraId="24924AAF" w14:textId="77777777" w:rsidR="009D5435" w:rsidRPr="00BE433D" w:rsidRDefault="009D5435" w:rsidP="009D5435">
      <w:pPr>
        <w:pStyle w:val="SingleTxtG"/>
        <w:tabs>
          <w:tab w:val="clear" w:pos="2268"/>
        </w:tabs>
      </w:pPr>
      <w:r w:rsidRPr="00BE433D">
        <w:t>336.</w:t>
      </w:r>
      <w:r w:rsidRPr="00BE433D">
        <w:tab/>
        <w:t>В целях качественного предоставления социальных услуг по уходу за детьми, МТСР проводится аккредитация детских учреждений интернатного типа, независимо от форм собственности, на соответствие минимальным стандартам по уходу, воспитанию и социализации детей в учреждениях, оказывающих социальные услуги детям, оказавшимся в трудной жизненной ситуации, согласно постановлению правительства (2018 год).</w:t>
      </w:r>
    </w:p>
    <w:p w14:paraId="1B47E741" w14:textId="77777777" w:rsidR="009D5435" w:rsidRPr="00BE433D" w:rsidRDefault="009D5435" w:rsidP="009D5435">
      <w:pPr>
        <w:pStyle w:val="SingleTxtG"/>
        <w:tabs>
          <w:tab w:val="clear" w:pos="2268"/>
        </w:tabs>
      </w:pPr>
      <w:r w:rsidRPr="00BE433D">
        <w:t>337.</w:t>
      </w:r>
      <w:r w:rsidRPr="00BE433D">
        <w:tab/>
        <w:t>Национальной стратегией развития на 2018–2040 годы, утвержденной Указом Президента (2018 год), определены приоритетные задачи в политике труда и обеспечения старости.</w:t>
      </w:r>
    </w:p>
    <w:p w14:paraId="307F6DA0" w14:textId="77777777" w:rsidR="009D5435" w:rsidRPr="00BE433D" w:rsidRDefault="009D5435" w:rsidP="009D5435">
      <w:pPr>
        <w:pStyle w:val="SingleTxtG"/>
        <w:tabs>
          <w:tab w:val="clear" w:pos="2268"/>
        </w:tabs>
      </w:pPr>
      <w:r w:rsidRPr="00BE433D">
        <w:t>338.</w:t>
      </w:r>
      <w:r w:rsidRPr="00BE433D">
        <w:tab/>
        <w:t>Экономическая политика государства ориентирована на обеспечение занятости, стабильных доходов, создание производительных рабочих мест с учетом всех вызовов будущего в сфере рынка труда.</w:t>
      </w:r>
    </w:p>
    <w:p w14:paraId="239D51C4" w14:textId="77777777" w:rsidR="009D5435" w:rsidRPr="00BE433D" w:rsidRDefault="009D5435" w:rsidP="009D5435">
      <w:pPr>
        <w:pStyle w:val="SingleTxtG"/>
        <w:tabs>
          <w:tab w:val="clear" w:pos="2268"/>
        </w:tabs>
      </w:pPr>
      <w:r w:rsidRPr="00BE433D">
        <w:t>339.</w:t>
      </w:r>
      <w:r w:rsidRPr="00BE433D">
        <w:tab/>
        <w:t>Уровень бедности населения в разрезе регионов за период с 2014 по 2019 год приведен в приложении 2 к настоящему докладу.</w:t>
      </w:r>
    </w:p>
    <w:p w14:paraId="6556A058" w14:textId="77777777" w:rsidR="009D5435" w:rsidRPr="00BE433D" w:rsidRDefault="009D5435" w:rsidP="009D5435">
      <w:pPr>
        <w:pStyle w:val="SingleTxtG"/>
        <w:tabs>
          <w:tab w:val="clear" w:pos="2268"/>
        </w:tabs>
      </w:pPr>
      <w:r w:rsidRPr="00BE433D">
        <w:t>340.</w:t>
      </w:r>
      <w:r w:rsidRPr="00BE433D">
        <w:tab/>
        <w:t>Уровень бедности среди мужчин и женщин в целом по стране не имеет выраженной диспропорции, составляя менее одного процентного пункта в доле бедных среди мужчин и женщин (женщин — 20,1 %, мужчин — 20,2 %).</w:t>
      </w:r>
    </w:p>
    <w:p w14:paraId="47524F7F" w14:textId="77777777" w:rsidR="009D5435" w:rsidRPr="00BE433D" w:rsidRDefault="009D5435" w:rsidP="009D5435">
      <w:pPr>
        <w:pStyle w:val="H1G"/>
      </w:pPr>
      <w:r w:rsidRPr="00BE433D">
        <w:tab/>
      </w:r>
      <w:r w:rsidRPr="00BE433D">
        <w:tab/>
        <w:t>Статья 21</w:t>
      </w:r>
      <w:r w:rsidRPr="00BE433D">
        <w:br/>
        <w:t>Недоедание и право на питание</w:t>
      </w:r>
    </w:p>
    <w:p w14:paraId="3BC09AD2" w14:textId="77777777" w:rsidR="009D5435" w:rsidRPr="00BE433D" w:rsidRDefault="009D5435" w:rsidP="009D5435">
      <w:pPr>
        <w:pStyle w:val="SingleTxtG"/>
        <w:tabs>
          <w:tab w:val="clear" w:pos="2268"/>
        </w:tabs>
      </w:pPr>
      <w:r w:rsidRPr="00BE433D">
        <w:t>341.</w:t>
      </w:r>
      <w:r w:rsidRPr="00BE433D">
        <w:tab/>
        <w:t>В Кыргызской Республике утвержден ряд документов, направленных на улучшение состояния здоровья школьников, которые обязывают принять меры по улучшению организации питания детей, особенно 1–4 классов.</w:t>
      </w:r>
    </w:p>
    <w:p w14:paraId="67004267" w14:textId="77777777" w:rsidR="009D5435" w:rsidRPr="00BE433D" w:rsidRDefault="009D5435" w:rsidP="009D5435">
      <w:pPr>
        <w:pStyle w:val="SingleTxtG"/>
        <w:tabs>
          <w:tab w:val="clear" w:pos="2268"/>
        </w:tabs>
      </w:pPr>
      <w:r w:rsidRPr="00BE433D">
        <w:t>342.</w:t>
      </w:r>
      <w:r w:rsidRPr="00BE433D">
        <w:tab/>
        <w:t>Постановлением правительства (2016 год) утверждены санитарно-эпидемиологические требования к условиям и организации обучения в общеобразовательных организациях, в котором указаны требования по организации питания обучающихся.</w:t>
      </w:r>
    </w:p>
    <w:p w14:paraId="10005AA3" w14:textId="77777777" w:rsidR="009D5435" w:rsidRPr="00BE433D" w:rsidRDefault="009D5435" w:rsidP="009D5435">
      <w:pPr>
        <w:pStyle w:val="SingleTxtG"/>
        <w:tabs>
          <w:tab w:val="clear" w:pos="2268"/>
        </w:tabs>
      </w:pPr>
      <w:r w:rsidRPr="00BE433D">
        <w:t>343.</w:t>
      </w:r>
      <w:r w:rsidRPr="00BE433D">
        <w:tab/>
        <w:t>Кроме того, следует отметить, что с участием специалистов Департамента профилактики заболеваний и государственно санитарно-эпидемиологического надзора разработаны рекомендуемый ассортимент пищевых продуктов для реализации в школьных буфетах и столовых (переход к горячему питанию).</w:t>
      </w:r>
    </w:p>
    <w:p w14:paraId="78A1E44C" w14:textId="77777777" w:rsidR="009D5435" w:rsidRPr="00BE433D" w:rsidRDefault="009D5435" w:rsidP="009D5435">
      <w:pPr>
        <w:pStyle w:val="SingleTxtG"/>
        <w:tabs>
          <w:tab w:val="clear" w:pos="2268"/>
        </w:tabs>
      </w:pPr>
      <w:r w:rsidRPr="00BE433D">
        <w:t>344.</w:t>
      </w:r>
      <w:r w:rsidRPr="00BE433D">
        <w:tab/>
        <w:t>После начала реализации проекта разработано 36 видов первых блюд, 52 вида вторых блюд, 11 видов напитка, 19 видов выпечки и 28 видов салатов. В данное время 66 % пилотных школ используют мясо для приготовления блюд, 80 % школ используют в питании молочные продукты, как минимум 38 % пилотных школ предоставляют горячее питание четыре–пять раз в неделю, каждая четвертая школа предоставляют еженедельно салаты для учащихся начальных классов.</w:t>
      </w:r>
    </w:p>
    <w:p w14:paraId="75C02394" w14:textId="77777777" w:rsidR="009D5435" w:rsidRPr="00BE433D" w:rsidRDefault="009D5435" w:rsidP="009D5435">
      <w:pPr>
        <w:pStyle w:val="SingleTxtG"/>
        <w:tabs>
          <w:tab w:val="clear" w:pos="2268"/>
        </w:tabs>
      </w:pPr>
      <w:r w:rsidRPr="00BE433D">
        <w:t>345.</w:t>
      </w:r>
      <w:r w:rsidRPr="00BE433D">
        <w:tab/>
        <w:t>Разработаны Методические рекомендации по организации питания учащихся общеобразовательных учреждений.</w:t>
      </w:r>
    </w:p>
    <w:p w14:paraId="6721DB3A" w14:textId="77777777" w:rsidR="009D5435" w:rsidRPr="00BE433D" w:rsidRDefault="009D5435" w:rsidP="009D5435">
      <w:pPr>
        <w:pStyle w:val="SingleTxtG"/>
        <w:tabs>
          <w:tab w:val="clear" w:pos="2268"/>
        </w:tabs>
      </w:pPr>
      <w:r w:rsidRPr="00BE433D">
        <w:t>346.</w:t>
      </w:r>
      <w:r w:rsidRPr="00BE433D">
        <w:tab/>
        <w:t>Практически во всех школах республики учащимся начальных классов выдается одна булочка и кружка чая, которые заменяются другими видами хлебобулочных изделий и напитков (печенье, пряники, вафли, коржики, кексы, а также кипяченое молоко, какао, кофе и т. д.). Меню составляется с учетом норм продуктов питания на сумму семь сомов в день, в высокогорных и отдаленных районах выделяется 10 сомов.</w:t>
      </w:r>
    </w:p>
    <w:p w14:paraId="18E420A8" w14:textId="77777777" w:rsidR="009D5435" w:rsidRPr="00BE433D" w:rsidRDefault="009D5435" w:rsidP="009D5435">
      <w:pPr>
        <w:pStyle w:val="SingleTxtG"/>
        <w:tabs>
          <w:tab w:val="clear" w:pos="2268"/>
        </w:tabs>
      </w:pPr>
      <w:r w:rsidRPr="00BE433D">
        <w:t>347.</w:t>
      </w:r>
      <w:r w:rsidRPr="00BE433D">
        <w:tab/>
        <w:t>В настоящее время по республике функционируют 2218 пришкольных столовых. Всего обеспечены питанием 452 864 учащихся 1–4 классов. Ежегодно на организацию горячего питания учащихся 1–4 классов из республиканского бюджета выделяется около 450 млн сомов, с учетом семи сомов на каждого ребенка.</w:t>
      </w:r>
    </w:p>
    <w:p w14:paraId="02C585AE" w14:textId="77777777" w:rsidR="009D5435" w:rsidRPr="00BE433D" w:rsidRDefault="009D5435" w:rsidP="009D5435">
      <w:pPr>
        <w:pStyle w:val="SingleTxtG"/>
        <w:tabs>
          <w:tab w:val="clear" w:pos="2268"/>
        </w:tabs>
      </w:pPr>
      <w:r w:rsidRPr="00BE433D">
        <w:t>348.</w:t>
      </w:r>
      <w:r w:rsidRPr="00BE433D">
        <w:tab/>
        <w:t xml:space="preserve">Согласно Закону «Об организации питания учащихся в общеобразовательных школах Кыргызской Республики», Указу Президента (2006 год) «Об организации питания учащихся в общеобразовательных школах Кыргызской Республики», постановлению правительства (2006 год) во всех общеобразовательных школах организовывается школьное питание. </w:t>
      </w:r>
    </w:p>
    <w:p w14:paraId="6EA623F9" w14:textId="77777777" w:rsidR="009D5435" w:rsidRPr="00BE433D" w:rsidRDefault="009D5435" w:rsidP="009D5435">
      <w:pPr>
        <w:pStyle w:val="SingleTxtG"/>
        <w:tabs>
          <w:tab w:val="clear" w:pos="2268"/>
        </w:tabs>
      </w:pPr>
      <w:r w:rsidRPr="00BE433D">
        <w:t>349.</w:t>
      </w:r>
      <w:r w:rsidRPr="00BE433D">
        <w:tab/>
        <w:t>С 2013 года реализуется программа по оптимизации школьного питания при технической помощи ВПП ООН.</w:t>
      </w:r>
    </w:p>
    <w:p w14:paraId="76BEF766" w14:textId="77777777" w:rsidR="009D5435" w:rsidRPr="00BE433D" w:rsidRDefault="009D5435" w:rsidP="009D5435">
      <w:pPr>
        <w:pStyle w:val="SingleTxtG"/>
        <w:tabs>
          <w:tab w:val="clear" w:pos="2268"/>
        </w:tabs>
      </w:pPr>
      <w:r w:rsidRPr="00BE433D">
        <w:t>350.</w:t>
      </w:r>
      <w:r w:rsidRPr="00BE433D">
        <w:tab/>
        <w:t>В результате разработаны и приняты:</w:t>
      </w:r>
    </w:p>
    <w:p w14:paraId="17260336" w14:textId="77777777" w:rsidR="009D5435" w:rsidRPr="00BE433D" w:rsidRDefault="009D5435" w:rsidP="009D5435">
      <w:pPr>
        <w:pStyle w:val="Bullet1G"/>
        <w:numPr>
          <w:ilvl w:val="0"/>
          <w:numId w:val="0"/>
        </w:numPr>
        <w:tabs>
          <w:tab w:val="left" w:pos="1701"/>
        </w:tabs>
        <w:ind w:left="1701" w:hanging="170"/>
      </w:pPr>
      <w:r w:rsidRPr="00BE433D">
        <w:t>•</w:t>
      </w:r>
      <w:r w:rsidRPr="00BE433D">
        <w:tab/>
        <w:t>постановление правительства «Об основных направлениях развития школьного питания Кыргызской Республики» (2014 год);</w:t>
      </w:r>
    </w:p>
    <w:p w14:paraId="2855EB89" w14:textId="77777777" w:rsidR="009D5435" w:rsidRPr="00BE433D" w:rsidRDefault="009D5435" w:rsidP="009D5435">
      <w:pPr>
        <w:pStyle w:val="Bullet1G"/>
        <w:numPr>
          <w:ilvl w:val="0"/>
          <w:numId w:val="0"/>
        </w:numPr>
        <w:tabs>
          <w:tab w:val="left" w:pos="1701"/>
        </w:tabs>
        <w:ind w:left="1701" w:hanging="170"/>
      </w:pPr>
      <w:r w:rsidRPr="00BE433D">
        <w:t>•</w:t>
      </w:r>
      <w:r w:rsidRPr="00BE433D">
        <w:tab/>
        <w:t>постановление правительства (2014 и 2015 годы) «О выделении штата поваров для школ республики», предусматривающие штат поваров для 523 школ республики;</w:t>
      </w:r>
    </w:p>
    <w:p w14:paraId="0339B419" w14:textId="77777777" w:rsidR="009D5435" w:rsidRPr="00BE433D" w:rsidRDefault="009D5435" w:rsidP="009D5435">
      <w:pPr>
        <w:pStyle w:val="Bullet1G"/>
        <w:numPr>
          <w:ilvl w:val="0"/>
          <w:numId w:val="0"/>
        </w:numPr>
        <w:tabs>
          <w:tab w:val="left" w:pos="1701"/>
        </w:tabs>
        <w:ind w:left="1701" w:hanging="170"/>
      </w:pPr>
      <w:r w:rsidRPr="00BE433D">
        <w:t>•</w:t>
      </w:r>
      <w:r w:rsidRPr="00BE433D">
        <w:tab/>
        <w:t>приказы МОН и МЗ (2014 год) об утверждении Программы развития школьного питания в школах Кыргызской Республики;</w:t>
      </w:r>
    </w:p>
    <w:p w14:paraId="57BEE7F1" w14:textId="77777777" w:rsidR="009D5435" w:rsidRPr="00BE433D" w:rsidRDefault="009D5435" w:rsidP="009D5435">
      <w:pPr>
        <w:pStyle w:val="Bullet1G"/>
        <w:numPr>
          <w:ilvl w:val="0"/>
          <w:numId w:val="0"/>
        </w:numPr>
        <w:tabs>
          <w:tab w:val="left" w:pos="1701"/>
        </w:tabs>
        <w:ind w:left="1701" w:hanging="170"/>
      </w:pPr>
      <w:r w:rsidRPr="00BE433D">
        <w:t>•</w:t>
      </w:r>
      <w:r w:rsidRPr="00BE433D">
        <w:tab/>
        <w:t>приказ МОН об утверждении Плана по здоровому питанию, а также здоровому образу жизни (2013–2014 годы).</w:t>
      </w:r>
    </w:p>
    <w:p w14:paraId="51D4DF9E" w14:textId="77777777" w:rsidR="009D5435" w:rsidRPr="00BE433D" w:rsidRDefault="009D5435" w:rsidP="009D5435">
      <w:pPr>
        <w:pStyle w:val="SingleTxtG"/>
        <w:tabs>
          <w:tab w:val="clear" w:pos="2268"/>
        </w:tabs>
      </w:pPr>
      <w:r w:rsidRPr="00BE433D">
        <w:t>351.</w:t>
      </w:r>
      <w:r w:rsidRPr="00BE433D">
        <w:tab/>
        <w:t>Организованы пришкольные хозяйства в 65 % школ республики. Разработана и утверждена Техническая карта 130 блюд и внедрены в 836 школах республики новые модели школьного питания, которые позволили обеспечить школьников начальных классов полноценными горячими обедами в рамках бюджетных средств.</w:t>
      </w:r>
    </w:p>
    <w:p w14:paraId="6E93A3C9" w14:textId="77777777" w:rsidR="009D5435" w:rsidRPr="00BE433D" w:rsidRDefault="009D5435" w:rsidP="009D5435">
      <w:pPr>
        <w:pStyle w:val="SingleTxtG"/>
        <w:tabs>
          <w:tab w:val="clear" w:pos="2268"/>
        </w:tabs>
      </w:pPr>
      <w:r w:rsidRPr="00BE433D">
        <w:t>352.</w:t>
      </w:r>
      <w:r w:rsidRPr="00BE433D">
        <w:tab/>
        <w:t>С помощью доноров, таких как ВПП ООН и Международная организация «</w:t>
      </w:r>
      <w:proofErr w:type="spellStart"/>
      <w:r w:rsidRPr="00BE433D">
        <w:t>Мерсико</w:t>
      </w:r>
      <w:proofErr w:type="spellEnd"/>
      <w:r w:rsidRPr="00BE433D">
        <w:t xml:space="preserve">», а также органов местного самоуправления из 2236 общеобразовательных организаций, в которых обучается около 443 тыс. детей в начальных классах, в </w:t>
      </w:r>
      <w:r w:rsidRPr="00BE433D">
        <w:br/>
        <w:t>1146 школах (50,9 %) организовано горячее питание.</w:t>
      </w:r>
    </w:p>
    <w:p w14:paraId="30FF4BBC" w14:textId="77777777" w:rsidR="009D5435" w:rsidRPr="00BE433D" w:rsidRDefault="009D5435" w:rsidP="009D5435">
      <w:pPr>
        <w:pStyle w:val="SingleTxtG"/>
        <w:tabs>
          <w:tab w:val="clear" w:pos="2268"/>
        </w:tabs>
      </w:pPr>
      <w:r w:rsidRPr="00BE433D">
        <w:t>353.</w:t>
      </w:r>
      <w:r w:rsidRPr="00BE433D">
        <w:tab/>
        <w:t>Международной организацией «</w:t>
      </w:r>
      <w:proofErr w:type="spellStart"/>
      <w:r w:rsidRPr="00BE433D">
        <w:t>Мерсико</w:t>
      </w:r>
      <w:proofErr w:type="spellEnd"/>
      <w:r w:rsidRPr="00BE433D">
        <w:t xml:space="preserve">» в 2012–2017 годы поддержано 154 школы и 481 детский сад и предоставлено более 2000 метрических тонн продовольствия (обогащенная мука, рис, горох и растительное масло), около </w:t>
      </w:r>
      <w:r w:rsidRPr="00BE433D">
        <w:br/>
        <w:t xml:space="preserve">55 млн горячих обедов для более 32 000 учеников начальных классов и </w:t>
      </w:r>
      <w:r w:rsidRPr="00BE433D">
        <w:br/>
        <w:t xml:space="preserve">50 000 воспитанников детских садов. </w:t>
      </w:r>
    </w:p>
    <w:p w14:paraId="4D092C8F" w14:textId="77777777" w:rsidR="009D5435" w:rsidRPr="00BE433D" w:rsidRDefault="009D5435" w:rsidP="009D5435">
      <w:pPr>
        <w:pStyle w:val="SingleTxtG"/>
        <w:tabs>
          <w:tab w:val="clear" w:pos="2268"/>
        </w:tabs>
      </w:pPr>
      <w:r w:rsidRPr="00BE433D">
        <w:t>354.</w:t>
      </w:r>
      <w:r w:rsidRPr="00BE433D">
        <w:tab/>
        <w:t>Все продукты имеют декларации о соответствии Евразийского экономического союза. Норма питания, предоставляемая Программой на одного ребенка в день, составляет: 50 г муки, 10 г риса, 5 г гороха и 5 г масла. Детские сады и школы дополняют эти продукты свежими овощами, мясом и молоком из бюджета местного самоуправления и дополнительных взносов родителей.</w:t>
      </w:r>
    </w:p>
    <w:p w14:paraId="73FF4BCD" w14:textId="77777777" w:rsidR="009D5435" w:rsidRPr="00BE433D" w:rsidRDefault="009D5435" w:rsidP="009D5435">
      <w:pPr>
        <w:pStyle w:val="SingleTxtG"/>
        <w:tabs>
          <w:tab w:val="clear" w:pos="2268"/>
        </w:tabs>
      </w:pPr>
      <w:r w:rsidRPr="00BE433D">
        <w:t>355.</w:t>
      </w:r>
      <w:r w:rsidRPr="00BE433D">
        <w:tab/>
        <w:t xml:space="preserve">В 2017 году Программа получила продолжение финансирования на </w:t>
      </w:r>
      <w:r w:rsidRPr="00BE433D">
        <w:br/>
        <w:t>2018–2021 годы. Запуск новой Программы даст возможность оказать поддержку еще 350 начальным школам, которые в основном находятся в высокогорных и труднодоступных районах страны. Таким образом, общее количество поддерживаемых начальных школ в 2018–2021 годы составит 430 школ.</w:t>
      </w:r>
    </w:p>
    <w:p w14:paraId="240C0038" w14:textId="77777777" w:rsidR="009D5435" w:rsidRPr="00BE433D" w:rsidRDefault="009D5435" w:rsidP="009D5435">
      <w:pPr>
        <w:pStyle w:val="SingleTxtG"/>
        <w:tabs>
          <w:tab w:val="clear" w:pos="2268"/>
        </w:tabs>
      </w:pPr>
      <w:r w:rsidRPr="00BE433D">
        <w:t>356.</w:t>
      </w:r>
      <w:r w:rsidRPr="00BE433D">
        <w:tab/>
        <w:t>Постановлением правительства (2010 год) стоимость питания с 1 сентября 2010 года — 10 сомов в день на одного учащегося для учащихся 1–4 классов общеобразовательных школ, расположенных в тяжелых, неблагоприятных природно-климатических условиях высокогорья и отдаленных труднодоступных зонах.</w:t>
      </w:r>
    </w:p>
    <w:p w14:paraId="7B712AD9" w14:textId="77777777" w:rsidR="009D5435" w:rsidRPr="00BE433D" w:rsidRDefault="009D5435" w:rsidP="009D5435">
      <w:pPr>
        <w:pStyle w:val="SingleTxtG"/>
        <w:tabs>
          <w:tab w:val="clear" w:pos="2268"/>
        </w:tabs>
      </w:pPr>
      <w:r w:rsidRPr="00BE433D">
        <w:t>357.</w:t>
      </w:r>
      <w:r w:rsidRPr="00BE433D">
        <w:tab/>
        <w:t xml:space="preserve">Постановлением правительства (2015 год) утверждена Программа продовольственной безопасности и питания на 2015–2017 годы. В связи с завершением реализации указанной Программы </w:t>
      </w:r>
      <w:r w:rsidRPr="00BE433D">
        <w:rPr>
          <w:bCs/>
        </w:rPr>
        <w:t>постановлением правительства (2019 год) утверждены Программа продовольственной безопасности и питания в Кыргызской Республике на 2019–2023 годы и План мероприятий по ее реализации, целями которой являются обеспечение продовольственной безопасности страны, оперативное реагирование на внутренние и внешние угрозы стабильности продовольственного рынка и реализация стратегических приоритетов устойчивого развития страны.</w:t>
      </w:r>
    </w:p>
    <w:p w14:paraId="3F85C41D" w14:textId="77777777" w:rsidR="009D5435" w:rsidRPr="00BE433D" w:rsidRDefault="009D5435" w:rsidP="009D5435">
      <w:pPr>
        <w:pStyle w:val="SingleTxtG"/>
        <w:tabs>
          <w:tab w:val="clear" w:pos="2268"/>
        </w:tabs>
        <w:rPr>
          <w:bCs/>
        </w:rPr>
      </w:pPr>
      <w:r w:rsidRPr="00BE433D">
        <w:rPr>
          <w:bCs/>
        </w:rPr>
        <w:t>358.</w:t>
      </w:r>
      <w:r w:rsidRPr="00BE433D">
        <w:rPr>
          <w:bCs/>
        </w:rPr>
        <w:tab/>
      </w:r>
      <w:r w:rsidRPr="00BE433D">
        <w:t xml:space="preserve">В данной Программе одним из стратегических направлений является </w:t>
      </w:r>
      <w:r w:rsidRPr="00BE433D">
        <w:rPr>
          <w:bCs/>
        </w:rPr>
        <w:t>«Улучшение наличия продовольствия для потребления населением», предусматривающее повышение стабильности отечественного производства базовых продуктов питания, рост объемов и повышение устойчивости поставок продовольствия на внутренний рынок.</w:t>
      </w:r>
    </w:p>
    <w:p w14:paraId="09C15AFD" w14:textId="77777777" w:rsidR="009D5435" w:rsidRPr="00BE433D" w:rsidRDefault="009D5435" w:rsidP="009D5435">
      <w:pPr>
        <w:pStyle w:val="SingleTxtG"/>
        <w:tabs>
          <w:tab w:val="clear" w:pos="2268"/>
        </w:tabs>
      </w:pPr>
      <w:r w:rsidRPr="00BE433D">
        <w:t>359.</w:t>
      </w:r>
      <w:r w:rsidRPr="00BE433D">
        <w:tab/>
        <w:t xml:space="preserve">Кыргызская Республика является эндемичной территорией по содержанию железа в окружающей среде, регистрируется высокая заболеваемость по железодефицитной анемии среди населения, по причине чего в 2009 году принят Закон «Об обогащении муки хлебопекарной», где обязательному обогащению подлежит мука первого и высшего сортов (производимого, импортируемого). В Кыргызстан 55 % муки завозится из других стран, в том числе необогащенная мука. </w:t>
      </w:r>
    </w:p>
    <w:p w14:paraId="59CC5634" w14:textId="77777777" w:rsidR="009D5435" w:rsidRPr="00BE433D" w:rsidRDefault="009D5435" w:rsidP="009D5435">
      <w:pPr>
        <w:pStyle w:val="SingleTxtG"/>
        <w:tabs>
          <w:tab w:val="clear" w:pos="2268"/>
        </w:tabs>
      </w:pPr>
      <w:r w:rsidRPr="00BE433D">
        <w:t>360.</w:t>
      </w:r>
      <w:r w:rsidRPr="00BE433D">
        <w:tab/>
        <w:t>В 2017 году вступил в силу Технический регламент Таможенного союза «О безопасности пищевой продукции» (ТР ТС 021/2011). Однако в данный Технический регламент не внесена норма по обогащению муки. Согласно договору ЕАЭС, страна не имеет права запрещать ввоз продукции, если субъекты предпринимательства имеют декларацию соответствия ЕАЭС на продукцию. В связи с чем контроль осуществляется только при обращении продукции внутри рынка территории КР.</w:t>
      </w:r>
    </w:p>
    <w:p w14:paraId="0F13EEDF" w14:textId="77777777" w:rsidR="009D5435" w:rsidRPr="00BE433D" w:rsidRDefault="009D5435" w:rsidP="009D5435">
      <w:pPr>
        <w:pStyle w:val="SingleTxtG"/>
        <w:tabs>
          <w:tab w:val="clear" w:pos="2268"/>
        </w:tabs>
      </w:pPr>
      <w:r w:rsidRPr="00BE433D">
        <w:t>361.</w:t>
      </w:r>
      <w:r w:rsidRPr="00BE433D">
        <w:tab/>
        <w:t>Учитывая данную ситуацию, в начале 2019 года в Евразийскую экономическую комиссию инициировано внесение изменений и дополнений в Технический регламент Таможенного союза ТР ТС 021/2011, в части включения требований по обогащению муки первого и высшего сортов.</w:t>
      </w:r>
    </w:p>
    <w:p w14:paraId="0ABF9CA9" w14:textId="77777777" w:rsidR="009D5435" w:rsidRPr="00BE433D" w:rsidRDefault="009D5435" w:rsidP="009D5435">
      <w:pPr>
        <w:pStyle w:val="H1G"/>
      </w:pPr>
      <w:r w:rsidRPr="00BE433D">
        <w:tab/>
      </w:r>
      <w:r w:rsidRPr="00BE433D">
        <w:tab/>
        <w:t>Статья 22</w:t>
      </w:r>
      <w:r w:rsidRPr="00BE433D">
        <w:br/>
        <w:t>Доступ к медицинскому обслуживанию</w:t>
      </w:r>
    </w:p>
    <w:p w14:paraId="73E9A2FC" w14:textId="77777777" w:rsidR="009D5435" w:rsidRPr="00BE433D" w:rsidRDefault="009D5435" w:rsidP="009D5435">
      <w:pPr>
        <w:pStyle w:val="SingleTxtG"/>
        <w:tabs>
          <w:tab w:val="clear" w:pos="2268"/>
        </w:tabs>
      </w:pPr>
      <w:r w:rsidRPr="00BE433D">
        <w:t>362.</w:t>
      </w:r>
      <w:r w:rsidRPr="00BE433D">
        <w:tab/>
        <w:t>Основной задачей государственной политики в области охраны здоровья граждан, согласно Закону «Об охране здоровья граждан в Кыргызской Республике», является реализация неотъемлемого права граждан на защиту и охрану своего здоровья, жизни и здоровья других лиц, гарантируемых Конституцией.</w:t>
      </w:r>
    </w:p>
    <w:p w14:paraId="651E8219" w14:textId="77777777" w:rsidR="009D5435" w:rsidRPr="00BE433D" w:rsidRDefault="009D5435" w:rsidP="009D5435">
      <w:pPr>
        <w:pStyle w:val="SingleTxtG"/>
        <w:tabs>
          <w:tab w:val="clear" w:pos="2268"/>
        </w:tabs>
      </w:pPr>
      <w:r w:rsidRPr="00BE433D">
        <w:t>363.</w:t>
      </w:r>
      <w:r w:rsidRPr="00BE433D">
        <w:tab/>
        <w:t>Обеспечение доступа к услугам первичной медико-санитарной помощи, реализация прав граждан на свободный выбор групп семейных врачей (далее — ГСВ) на территории обслуживания ГСВ, ЦСМ/ЦОВП регулируются Правилами приписки населения к группам семейных врачей, утвержденными МЗ. Указанные Правила основаны на принципах территориальности, свободного выбора ГСВ на территории проживания, предоставления всем гражданам равных возможностей в реализации прав на получение первичной медико-санитарной помощи, независимо от социального статуса и вида заболеваемости, конфиденциальности информации по приписке.</w:t>
      </w:r>
    </w:p>
    <w:p w14:paraId="5E71F04B" w14:textId="77777777" w:rsidR="009D5435" w:rsidRPr="00BE433D" w:rsidRDefault="009D5435" w:rsidP="009D5435">
      <w:pPr>
        <w:pStyle w:val="SingleTxtG"/>
        <w:tabs>
          <w:tab w:val="clear" w:pos="2268"/>
        </w:tabs>
      </w:pPr>
      <w:r w:rsidRPr="00BE433D">
        <w:t>364.</w:t>
      </w:r>
      <w:r w:rsidRPr="00BE433D">
        <w:tab/>
        <w:t>Права граждан на получение медицинских услуг реализуются в соответствии с Программой государственных гарантий по обеспечению граждан медико-санитарной помощью (далее — Программа госгарантий), утвержденной постановлением правительства (2015 год), предусматривающей объем, условия и виды медицинской помощи. Программа госгарантий обеспечивает доступ к медицинским услугам всем гражданам, независимо от половой ориентации, нации, гендерных отношений, возраста и т. д.</w:t>
      </w:r>
    </w:p>
    <w:p w14:paraId="541C46B6" w14:textId="77777777" w:rsidR="009D5435" w:rsidRPr="00BE433D" w:rsidRDefault="009D5435" w:rsidP="009D5435">
      <w:pPr>
        <w:pStyle w:val="SingleTxtG"/>
        <w:tabs>
          <w:tab w:val="clear" w:pos="2268"/>
        </w:tabs>
      </w:pPr>
      <w:r w:rsidRPr="00BE433D">
        <w:t>365.</w:t>
      </w:r>
      <w:r w:rsidRPr="00BE433D">
        <w:tab/>
        <w:t>Согласно указанной Программе госгарантий, женщины, поступающие по поводу прерывания беременности по социальным и медицинским показаниям, относятся к льготной категории граждан и имеют право на бесплатное получение медико-санитарной помощи по клиническим показаниям основного заболевания на амбулаторном и стационарном уровнях.</w:t>
      </w:r>
    </w:p>
    <w:p w14:paraId="5BD1894F" w14:textId="77777777" w:rsidR="009D5435" w:rsidRPr="00BE433D" w:rsidRDefault="009D5435" w:rsidP="009D5435">
      <w:pPr>
        <w:pStyle w:val="SingleTxtG"/>
        <w:tabs>
          <w:tab w:val="clear" w:pos="2268"/>
        </w:tabs>
      </w:pPr>
      <w:r w:rsidRPr="00BE433D">
        <w:t>366.</w:t>
      </w:r>
      <w:r w:rsidRPr="00BE433D">
        <w:tab/>
        <w:t xml:space="preserve">Для улучшения доступа к льготным лекарственным программам, незастрахованным женщинам по ОМС, вставшим на учет по месту жительства по поводу беременности, бесплатно реализуются полисы ОМС. </w:t>
      </w:r>
    </w:p>
    <w:p w14:paraId="108D89B2" w14:textId="77777777" w:rsidR="009D5435" w:rsidRPr="00BE433D" w:rsidRDefault="009D5435" w:rsidP="009D5435">
      <w:pPr>
        <w:pStyle w:val="SingleTxtG"/>
        <w:tabs>
          <w:tab w:val="clear" w:pos="2268"/>
        </w:tabs>
      </w:pPr>
      <w:r w:rsidRPr="00BE433D">
        <w:t>367.</w:t>
      </w:r>
      <w:r w:rsidRPr="00BE433D">
        <w:tab/>
        <w:t>Так, за 2019 год беременным женщинам выписано 134,3 тыс. рецептов на сумму возмещения 24,2 млн сомов.</w:t>
      </w:r>
    </w:p>
    <w:p w14:paraId="20E83E05" w14:textId="77777777" w:rsidR="009D5435" w:rsidRPr="00BE433D" w:rsidRDefault="009D5435" w:rsidP="009D5435">
      <w:pPr>
        <w:pStyle w:val="SingleTxtG"/>
        <w:tabs>
          <w:tab w:val="clear" w:pos="2268"/>
        </w:tabs>
      </w:pPr>
      <w:r w:rsidRPr="00BE433D">
        <w:t>368.</w:t>
      </w:r>
      <w:r w:rsidRPr="00BE433D">
        <w:tab/>
        <w:t xml:space="preserve">В настоящее время проводится работа по пересмотру </w:t>
      </w:r>
      <w:proofErr w:type="gramStart"/>
      <w:r w:rsidRPr="00BE433D">
        <w:t>прейскуранта цен</w:t>
      </w:r>
      <w:proofErr w:type="gramEnd"/>
      <w:r w:rsidRPr="00BE433D">
        <w:t xml:space="preserve"> на медицинские услуги, в том числе на медикаментозное прерывание беременности для организаций здравоохранения, работающих в системе Единого плательщика.</w:t>
      </w:r>
    </w:p>
    <w:p w14:paraId="089FFCD1" w14:textId="77777777" w:rsidR="009D5435" w:rsidRPr="00BE433D" w:rsidRDefault="009D5435" w:rsidP="009D5435">
      <w:pPr>
        <w:pStyle w:val="SingleTxtG"/>
        <w:tabs>
          <w:tab w:val="clear" w:pos="2268"/>
        </w:tabs>
      </w:pPr>
      <w:r w:rsidRPr="00BE433D">
        <w:t>369.</w:t>
      </w:r>
      <w:r w:rsidRPr="00BE433D">
        <w:tab/>
        <w:t xml:space="preserve">Одной из приоритетных стратегических задач правительства, предусмотренных в Национальной программе по охране здоровья населения и развитию системы здравоохранения на 2019–2030 годы «Здоровый человек — процветающая страна», является улучшение качества жизни, здоровья матери и ребенка, которые всецело способствуют здоровью всей нации. </w:t>
      </w:r>
    </w:p>
    <w:p w14:paraId="7CB29DD6" w14:textId="77777777" w:rsidR="009D5435" w:rsidRPr="00BE433D" w:rsidRDefault="009D5435" w:rsidP="009D5435">
      <w:pPr>
        <w:pStyle w:val="SingleTxtG"/>
        <w:tabs>
          <w:tab w:val="clear" w:pos="2268"/>
        </w:tabs>
      </w:pPr>
      <w:r w:rsidRPr="00BE433D">
        <w:t>370.</w:t>
      </w:r>
      <w:r w:rsidRPr="00BE433D">
        <w:tab/>
        <w:t>В целях обеспечения физической и экономической доступности лекарственных средств на амбулаторном уровне, реализуется Программа льготного лекарственного обеспечения по дополнительной программе обязательного медицинского страхования, согласно которой граждане, застрахованные по обязательному медицинскому страхованию, обеспечиваются лекарственными средствами, в том числе контрацептивными средствами через аптечную сеть, со скидкой до 50 %.</w:t>
      </w:r>
    </w:p>
    <w:p w14:paraId="6B5E189F" w14:textId="77777777" w:rsidR="009D5435" w:rsidRPr="00BE433D" w:rsidRDefault="009D5435" w:rsidP="009D5435">
      <w:pPr>
        <w:pStyle w:val="SingleTxtG"/>
        <w:tabs>
          <w:tab w:val="clear" w:pos="2268"/>
        </w:tabs>
      </w:pPr>
      <w:r w:rsidRPr="00BE433D">
        <w:t>371.</w:t>
      </w:r>
      <w:r w:rsidRPr="00BE433D">
        <w:tab/>
        <w:t xml:space="preserve">В «Справочнике лекарственных средств, подлежащих возмещению по дополнительной программе ОМС и Программе госгарантий на амбулаторном уровне» приведено 55 </w:t>
      </w:r>
      <w:proofErr w:type="spellStart"/>
      <w:r w:rsidRPr="00BE433D">
        <w:t>генерических</w:t>
      </w:r>
      <w:proofErr w:type="spellEnd"/>
      <w:r w:rsidRPr="00BE433D">
        <w:t xml:space="preserve"> и более 200 торговых наименований лекарственных средств и изделий медицинского назначения, в том числе шесть наименований контрацептивных средств (внутриматочная спираль, </w:t>
      </w:r>
      <w:proofErr w:type="spellStart"/>
      <w:r w:rsidRPr="00BE433D">
        <w:t>левоноргестрел</w:t>
      </w:r>
      <w:proofErr w:type="spellEnd"/>
      <w:r w:rsidRPr="00BE433D">
        <w:t xml:space="preserve"> с этинилэстрадиолом: </w:t>
      </w:r>
      <w:proofErr w:type="spellStart"/>
      <w:r w:rsidRPr="00BE433D">
        <w:t>ригевидон</w:t>
      </w:r>
      <w:proofErr w:type="spellEnd"/>
      <w:r w:rsidRPr="00BE433D">
        <w:t>, три-</w:t>
      </w:r>
      <w:proofErr w:type="spellStart"/>
      <w:r w:rsidRPr="00BE433D">
        <w:t>регол</w:t>
      </w:r>
      <w:proofErr w:type="spellEnd"/>
      <w:r w:rsidRPr="00BE433D">
        <w:t xml:space="preserve">, </w:t>
      </w:r>
      <w:proofErr w:type="spellStart"/>
      <w:r w:rsidRPr="00BE433D">
        <w:t>медрогсипрогестерон</w:t>
      </w:r>
      <w:proofErr w:type="spellEnd"/>
      <w:r w:rsidRPr="00BE433D">
        <w:t>: депо-</w:t>
      </w:r>
      <w:proofErr w:type="spellStart"/>
      <w:r w:rsidRPr="00BE433D">
        <w:t>провера</w:t>
      </w:r>
      <w:proofErr w:type="spellEnd"/>
      <w:r w:rsidRPr="00BE433D">
        <w:t>) для женщин репродуктивного возраста.</w:t>
      </w:r>
    </w:p>
    <w:p w14:paraId="13E36B99" w14:textId="77777777" w:rsidR="009D5435" w:rsidRPr="00BE433D" w:rsidRDefault="009D5435" w:rsidP="009D5435">
      <w:pPr>
        <w:pStyle w:val="SingleTxtG"/>
      </w:pPr>
      <w:r w:rsidRPr="00BE433D">
        <w:t>372.</w:t>
      </w:r>
      <w:r w:rsidRPr="00BE433D">
        <w:tab/>
        <w:t>В целях улучшения доступности льготных лекарственных средств определены лица из социально уязвимых слоев населения, к которым отнесены незастрахованные по ОМС женщины, вставшие на учет по беременности по месту жительства в Центрах семейной медицины.</w:t>
      </w:r>
    </w:p>
    <w:p w14:paraId="16A38C59" w14:textId="77777777" w:rsidR="009D5435" w:rsidRPr="00BE433D" w:rsidRDefault="009D5435" w:rsidP="009D5435">
      <w:pPr>
        <w:pStyle w:val="SingleTxtG"/>
      </w:pPr>
      <w:r w:rsidRPr="00BE433D">
        <w:t>373.</w:t>
      </w:r>
      <w:r w:rsidRPr="00BE433D">
        <w:tab/>
        <w:t xml:space="preserve">Для данной категории женщин бесплатно реализуется полис ОМС, со сроком действия 12 календарных месяцев, включающим и послеродовой период. Полис ОМС предоставляет им возможность приобретать фолиевую кислоту, </w:t>
      </w:r>
      <w:proofErr w:type="spellStart"/>
      <w:r w:rsidRPr="00BE433D">
        <w:t>йодомарин</w:t>
      </w:r>
      <w:proofErr w:type="spellEnd"/>
      <w:r w:rsidRPr="00BE433D">
        <w:t>, железосодержащие препараты на льготной основе (со скидкой до 50 %).</w:t>
      </w:r>
    </w:p>
    <w:p w14:paraId="1B4BFBEA" w14:textId="77777777" w:rsidR="009D5435" w:rsidRPr="00BE433D" w:rsidRDefault="009D5435" w:rsidP="009D5435">
      <w:pPr>
        <w:pStyle w:val="SingleTxtG"/>
      </w:pPr>
      <w:r w:rsidRPr="00BE433D">
        <w:t>374.</w:t>
      </w:r>
      <w:r w:rsidRPr="00BE433D">
        <w:tab/>
        <w:t>Льготными лекарственными препаратами по дополнительной программе ОМС охвачены застрахованные по ОМС граждане и льготные категории граждан по социальным и медицинским показаниям: пенсионеры, дети, лица, получающие социальные пособия, беременные женщины, зарегистрированные безработные, студенты и др. Основная часть льготных рецептов (до 40 %) среди застрахованных категорий граждан выписывается пенсионерам по сердечно-сосудистым заболеваниям. Препараты железа и антибиотики — детям и беременным женщинам.</w:t>
      </w:r>
    </w:p>
    <w:p w14:paraId="4D0C01B8" w14:textId="77777777" w:rsidR="009D5435" w:rsidRPr="00BE433D" w:rsidRDefault="009D5435" w:rsidP="009D5435">
      <w:pPr>
        <w:pStyle w:val="SingleTxtG"/>
      </w:pPr>
      <w:r w:rsidRPr="00BE433D">
        <w:t>375.</w:t>
      </w:r>
      <w:r w:rsidRPr="00BE433D">
        <w:tab/>
        <w:t>Льготное лекарственное обеспечение по Программе госгарантий по пяти нозологиям (больные параноидной шизофренией, больные аффективными расстройствами различного генеза, больные эпилепсией, больные бронхиальной астмой, онкологические больные в терминальной стадии) возмещается Фондом ОМС до 90 % базисной цены лекарственного препарата.</w:t>
      </w:r>
    </w:p>
    <w:p w14:paraId="60AAD525" w14:textId="77777777" w:rsidR="009D5435" w:rsidRPr="00BE433D" w:rsidRDefault="009D5435" w:rsidP="009D5435">
      <w:pPr>
        <w:pStyle w:val="SingleTxtG"/>
      </w:pPr>
      <w:r w:rsidRPr="00BE433D">
        <w:t>376.</w:t>
      </w:r>
      <w:r w:rsidRPr="00BE433D">
        <w:tab/>
        <w:t xml:space="preserve">Освоение финансовых средств, направленных на льготное лекарственное обеспечение граждан в рамках Программы госгарантий составило в 2017 году — </w:t>
      </w:r>
      <w:r w:rsidRPr="00BE433D">
        <w:br/>
        <w:t>264,5 млн сомов, 2018 году — 286,4 млн сомов, 2019 году — 334,4 млн сомов.</w:t>
      </w:r>
    </w:p>
    <w:p w14:paraId="14BFDC76" w14:textId="77777777" w:rsidR="009D5435" w:rsidRPr="00BE433D" w:rsidRDefault="009D5435" w:rsidP="009D5435">
      <w:pPr>
        <w:pStyle w:val="SingleTxtG"/>
      </w:pPr>
      <w:r w:rsidRPr="00BE433D">
        <w:t>377.</w:t>
      </w:r>
      <w:r w:rsidRPr="00BE433D">
        <w:tab/>
        <w:t>Для повышения информированности населения об их правах при получении медицинской помощи по Программе госгарантий, дополнительной программе лекарственного обеспечения, выявления и решения проблем в системе предоставления медицинских услуг Фондом ОМС и его территориальными управлениями организованы и проведены встречи, выступления и публикации в СМИ.</w:t>
      </w:r>
    </w:p>
    <w:p w14:paraId="1F79638D" w14:textId="77777777" w:rsidR="009D5435" w:rsidRPr="00BE433D" w:rsidRDefault="009D5435" w:rsidP="009D5435">
      <w:pPr>
        <w:pStyle w:val="SingleTxtG"/>
      </w:pPr>
      <w:r w:rsidRPr="00BE433D">
        <w:t>378.</w:t>
      </w:r>
      <w:r w:rsidRPr="00BE433D">
        <w:tab/>
        <w:t xml:space="preserve">Так, за 2019 год организовано и проведено 1968 встреч (2018 год — 2057, </w:t>
      </w:r>
      <w:r w:rsidRPr="00BE433D">
        <w:br/>
        <w:t xml:space="preserve">2017 год — 1920, в 2016 году — 1 807), из них с населением — 1054 (2018 год — </w:t>
      </w:r>
      <w:r w:rsidRPr="00BE433D">
        <w:br/>
        <w:t xml:space="preserve">1044, 2017 год — 994, в 2016 году — 1807), с медицинскими работниками — 796 </w:t>
      </w:r>
      <w:r w:rsidRPr="00BE433D">
        <w:br/>
        <w:t xml:space="preserve">(2018 год — 892, 2017 год — 800, 2016 год – 718), с представителями неправительственных организаций — 118 (2018 год — 121, 2017 год — 126, </w:t>
      </w:r>
      <w:r w:rsidRPr="00BE433D">
        <w:br/>
        <w:t xml:space="preserve">2016 год — 100). По республиканскому и местному телевидению было </w:t>
      </w:r>
      <w:r w:rsidRPr="00BE433D">
        <w:br/>
        <w:t xml:space="preserve">выступлений — 136 (2018 год — 118, 2017 год — 111, 2016 год — 110), по радио — 63 (2018 год — 65, 2017 год —79, 2016 год — 80), в прессе — 104 (2018 год — 95, </w:t>
      </w:r>
      <w:r w:rsidRPr="00BE433D">
        <w:br/>
        <w:t>2017 год — 109, 2016 год — 104).</w:t>
      </w:r>
    </w:p>
    <w:p w14:paraId="0EECD30B" w14:textId="77777777" w:rsidR="009D5435" w:rsidRPr="00BE433D" w:rsidRDefault="009D5435" w:rsidP="009D5435">
      <w:pPr>
        <w:pStyle w:val="SingleTxtG"/>
      </w:pPr>
      <w:r w:rsidRPr="00BE433D">
        <w:t>379.</w:t>
      </w:r>
      <w:r w:rsidRPr="00BE433D">
        <w:tab/>
        <w:t xml:space="preserve">Также по республиканскому и местному телевидению во всех регионах Республики организовываются показы социальных роликов: о бесплатной выдаче Полиса ОМС незастрахованным беременным женщинам; гарантированных государством медицинских услугах; Программе госгарантий медицинской помощи; льготном лекарственном обеспечении на амбулаторном уровне — ежегодно более </w:t>
      </w:r>
      <w:r w:rsidRPr="00BE433D">
        <w:br/>
        <w:t>1700 трансляций.</w:t>
      </w:r>
    </w:p>
    <w:p w14:paraId="2E691707" w14:textId="77777777" w:rsidR="009D5435" w:rsidRPr="00BE433D" w:rsidRDefault="009D5435" w:rsidP="009D5435">
      <w:pPr>
        <w:pStyle w:val="SingleTxtG"/>
      </w:pPr>
      <w:r w:rsidRPr="00BE433D">
        <w:t>380.</w:t>
      </w:r>
      <w:r w:rsidRPr="00BE433D">
        <w:tab/>
        <w:t xml:space="preserve">Во всех организациях здравоохранения, работающих по договору с ФОМС, размещены плакаты с информацией о Горячей линии ФОМС. Также по телевидению областного и местного значений запущены бегущие строки о Горячей </w:t>
      </w:r>
      <w:r w:rsidRPr="00BE433D">
        <w:br/>
        <w:t>линии ФОМС — более 16 000 трансляций и баннерная реклама — 150 трансляций за последний год.</w:t>
      </w:r>
    </w:p>
    <w:p w14:paraId="10A52CB4" w14:textId="77777777" w:rsidR="009D5435" w:rsidRPr="00BE433D" w:rsidRDefault="009D5435" w:rsidP="009D5435">
      <w:pPr>
        <w:pStyle w:val="SingleTxtG"/>
      </w:pPr>
      <w:r w:rsidRPr="00BE433D">
        <w:t>381.</w:t>
      </w:r>
      <w:r w:rsidRPr="00BE433D">
        <w:tab/>
        <w:t xml:space="preserve">В целях изучения мнения населения о деятельности организаций здравоохранения, согласно указанию Фонда ОМС «Об утверждении </w:t>
      </w:r>
      <w:proofErr w:type="spellStart"/>
      <w:r w:rsidRPr="00BE433D">
        <w:t>online</w:t>
      </w:r>
      <w:proofErr w:type="spellEnd"/>
      <w:r w:rsidRPr="00BE433D">
        <w:t xml:space="preserve"> опросника населения», разработан и внедрен механизм мониторинга удовлетворенности пациентов на электронной площадке (</w:t>
      </w:r>
      <w:proofErr w:type="spellStart"/>
      <w:r w:rsidRPr="00BE433D">
        <w:t>online</w:t>
      </w:r>
      <w:proofErr w:type="spellEnd"/>
      <w:r w:rsidRPr="00BE433D">
        <w:t>). Опрос населения через сайт запущен с апреля 2019 года, в котором на конец 2019 года приняли участие 115 человек.</w:t>
      </w:r>
    </w:p>
    <w:p w14:paraId="2BB0C1F8" w14:textId="77777777" w:rsidR="009D5435" w:rsidRPr="00BE433D" w:rsidRDefault="009D5435" w:rsidP="009D5435">
      <w:pPr>
        <w:pStyle w:val="SingleTxtG"/>
      </w:pPr>
      <w:r w:rsidRPr="00BE433D">
        <w:t>382.</w:t>
      </w:r>
      <w:r w:rsidRPr="00BE433D">
        <w:tab/>
        <w:t>Фондом ОМС выпущены буклеты «</w:t>
      </w:r>
      <w:proofErr w:type="spellStart"/>
      <w:r w:rsidRPr="00BE433D">
        <w:t>Жарандарды</w:t>
      </w:r>
      <w:proofErr w:type="spellEnd"/>
      <w:r w:rsidRPr="00BE433D">
        <w:t xml:space="preserve"> </w:t>
      </w:r>
      <w:proofErr w:type="spellStart"/>
      <w:r w:rsidRPr="00BE433D">
        <w:t>медициналык-санитардык</w:t>
      </w:r>
      <w:proofErr w:type="spellEnd"/>
      <w:r w:rsidRPr="00BE433D">
        <w:t xml:space="preserve"> </w:t>
      </w:r>
      <w:proofErr w:type="spellStart"/>
      <w:r w:rsidRPr="00BE433D">
        <w:t>жардам</w:t>
      </w:r>
      <w:proofErr w:type="spellEnd"/>
      <w:r w:rsidRPr="00BE433D">
        <w:t xml:space="preserve"> </w:t>
      </w:r>
      <w:proofErr w:type="spellStart"/>
      <w:r w:rsidRPr="00BE433D">
        <w:t>менен</w:t>
      </w:r>
      <w:proofErr w:type="spellEnd"/>
      <w:r w:rsidRPr="00BE433D">
        <w:t xml:space="preserve"> </w:t>
      </w:r>
      <w:proofErr w:type="spellStart"/>
      <w:r w:rsidRPr="00BE433D">
        <w:t>камсыздоо</w:t>
      </w:r>
      <w:proofErr w:type="spellEnd"/>
      <w:r w:rsidRPr="00BE433D">
        <w:t xml:space="preserve"> </w:t>
      </w:r>
      <w:proofErr w:type="spellStart"/>
      <w:r w:rsidRPr="00BE433D">
        <w:t>боюнча</w:t>
      </w:r>
      <w:proofErr w:type="spellEnd"/>
      <w:r w:rsidRPr="00BE433D">
        <w:t xml:space="preserve"> </w:t>
      </w:r>
      <w:proofErr w:type="spellStart"/>
      <w:r w:rsidRPr="00BE433D">
        <w:t>Мамлекеттик</w:t>
      </w:r>
      <w:proofErr w:type="spellEnd"/>
      <w:r w:rsidRPr="00BE433D">
        <w:t xml:space="preserve"> </w:t>
      </w:r>
      <w:proofErr w:type="spellStart"/>
      <w:r w:rsidRPr="00BE433D">
        <w:t>кепилдиктер</w:t>
      </w:r>
      <w:proofErr w:type="spellEnd"/>
      <w:r w:rsidRPr="00BE433D">
        <w:t xml:space="preserve"> </w:t>
      </w:r>
      <w:proofErr w:type="spellStart"/>
      <w:r w:rsidRPr="00BE433D">
        <w:t>программасы</w:t>
      </w:r>
      <w:proofErr w:type="spellEnd"/>
      <w:r w:rsidRPr="00BE433D">
        <w:t>» в количестве 3000 штук, а также «Контрацепция по льготным ценам» в количестве 27 000 экземпляров и «Памятка для населения при получении услуг по диагностике и лечению туберкулеза в организациях здравоохранения» в количестве 1000 штук и направлены по территориальным управлениям.</w:t>
      </w:r>
    </w:p>
    <w:p w14:paraId="370E12FF" w14:textId="77777777" w:rsidR="009D5435" w:rsidRPr="00BE433D" w:rsidRDefault="009D5435" w:rsidP="009D5435">
      <w:pPr>
        <w:pStyle w:val="SingleTxtG"/>
      </w:pPr>
      <w:r w:rsidRPr="00BE433D">
        <w:t>383.</w:t>
      </w:r>
      <w:r w:rsidRPr="00BE433D">
        <w:tab/>
        <w:t>При нарушении прав при получении медицинской помощи граждане могут обращаться на Горячую линию 113 Фонда ОМС.</w:t>
      </w:r>
    </w:p>
    <w:p w14:paraId="31FB9A8D" w14:textId="77777777" w:rsidR="009D5435" w:rsidRPr="00BE433D" w:rsidRDefault="009D5435" w:rsidP="009D5435">
      <w:pPr>
        <w:pStyle w:val="H1G"/>
      </w:pPr>
      <w:r w:rsidRPr="00BE433D">
        <w:tab/>
      </w:r>
      <w:r w:rsidRPr="00BE433D">
        <w:tab/>
        <w:t xml:space="preserve">Статья 23 </w:t>
      </w:r>
      <w:r w:rsidRPr="00BE433D">
        <w:br/>
        <w:t>Политика в области наркотиков и право на здоровье</w:t>
      </w:r>
    </w:p>
    <w:p w14:paraId="1C64EBDE" w14:textId="77777777" w:rsidR="009D5435" w:rsidRPr="00BE433D" w:rsidRDefault="009D5435" w:rsidP="009D5435">
      <w:pPr>
        <w:pStyle w:val="SingleTxtG"/>
      </w:pPr>
      <w:r w:rsidRPr="00BE433D">
        <w:t>384.</w:t>
      </w:r>
      <w:r w:rsidRPr="00BE433D">
        <w:tab/>
        <w:t>В соответствии с новыми УК и УПК, вступившими в силу с 1 января 2019 года, все правонарушения должны быть зарегистрированы в ЕРПП. В данном реестре указываются все сведения о начале досудебного производства, процессуальных действиях, движении уголовного дела или дела о проступках, заявителях и участниках уголовного судопроизводства (п. 9 ст. 5 УПК).</w:t>
      </w:r>
    </w:p>
    <w:p w14:paraId="66B9528D" w14:textId="77777777" w:rsidR="009D5435" w:rsidRPr="00BE433D" w:rsidRDefault="009D5435" w:rsidP="009D5435">
      <w:pPr>
        <w:pStyle w:val="SingleTxtG"/>
      </w:pPr>
      <w:r w:rsidRPr="00BE433D">
        <w:t>385.</w:t>
      </w:r>
      <w:r w:rsidRPr="00BE433D">
        <w:tab/>
        <w:t>В связи с этим все оперативно-розыскные и специально-следственные действия, в том числе задержания, в обязательном порядке проводятся только по зарегистрированным заявлениям при имеющемся следственном поручении следователя.</w:t>
      </w:r>
    </w:p>
    <w:p w14:paraId="6EA0E02F" w14:textId="77777777" w:rsidR="009D5435" w:rsidRPr="00BE433D" w:rsidRDefault="009D5435" w:rsidP="009D5435">
      <w:pPr>
        <w:pStyle w:val="SingleTxtG"/>
      </w:pPr>
      <w:r w:rsidRPr="00BE433D">
        <w:t>386.</w:t>
      </w:r>
      <w:r w:rsidRPr="00BE433D">
        <w:tab/>
        <w:t>Таким образом, исключаются различные необоснованные и несанкционированные действия со стороны сотрудников ОВД, связанные с проведением оперативно-розыскных мероприятий.</w:t>
      </w:r>
    </w:p>
    <w:p w14:paraId="2CC559AB" w14:textId="77777777" w:rsidR="009D5435" w:rsidRPr="00BE433D" w:rsidRDefault="009D5435" w:rsidP="009D5435">
      <w:pPr>
        <w:pStyle w:val="SingleTxtG"/>
      </w:pPr>
      <w:r w:rsidRPr="00BE433D">
        <w:t>387.</w:t>
      </w:r>
      <w:r w:rsidRPr="00BE433D">
        <w:tab/>
        <w:t xml:space="preserve">В 2019 году произвольных задержаний участников программы лечения метадоном не зарегистрировано. </w:t>
      </w:r>
    </w:p>
    <w:p w14:paraId="2A0DD2DC" w14:textId="77777777" w:rsidR="009D5435" w:rsidRPr="00BE433D" w:rsidRDefault="009D5435" w:rsidP="009D5435">
      <w:pPr>
        <w:pStyle w:val="SingleTxtG"/>
      </w:pPr>
      <w:r w:rsidRPr="00BE433D">
        <w:t>388.</w:t>
      </w:r>
      <w:r w:rsidRPr="00BE433D">
        <w:tab/>
        <w:t xml:space="preserve">Законодательство не предусматривает наказания за потребление наркотиков. Статья 268 УК (введен в действие с 1 января 2019 года) «Незаконное изготовление наркотических средств, психотропных веществ и их аналогов без цели сбыта» предусматривает ответственность только в случае незаконного изготовления, приобретения, хранения, перевозки или пересылки наркотических средств, психотропных веществ или их аналогов без цели сбыта, совершенные в крупных и особо крупных размерах. </w:t>
      </w:r>
    </w:p>
    <w:p w14:paraId="6F5EFE50" w14:textId="77777777" w:rsidR="009D5435" w:rsidRPr="00BE433D" w:rsidRDefault="009D5435" w:rsidP="009D5435">
      <w:pPr>
        <w:pStyle w:val="SingleTxtG"/>
      </w:pPr>
      <w:r w:rsidRPr="00BE433D">
        <w:t>389.</w:t>
      </w:r>
      <w:r w:rsidRPr="00BE433D">
        <w:tab/>
        <w:t xml:space="preserve">Однако Кодекс о проступках от 1 февраля 2017 года № 18 (введен в действие с 1 января 2019 года) включает ст. 123 «Незаконное изготовление наркотических средств либо психотропных веществ, их аналогов и прекурсоров без цели сбыта в небольших размерах». Данная статья предусматривает наказание за незаконное изготовление, приобретение, хранение, перевозку или пересылку наркотических средств, психотропных веществ, их аналогов или прекурсоров без цели сбыта в небольших размерах в виде штрафа II категории с ограничением свободы I категории. </w:t>
      </w:r>
    </w:p>
    <w:p w14:paraId="2A4F2C57" w14:textId="77777777" w:rsidR="009D5435" w:rsidRPr="00BE433D" w:rsidRDefault="009D5435" w:rsidP="009D5435">
      <w:pPr>
        <w:pStyle w:val="SingleTxtG"/>
      </w:pPr>
      <w:r w:rsidRPr="00BE433D">
        <w:t>390.</w:t>
      </w:r>
      <w:r w:rsidRPr="00BE433D">
        <w:tab/>
        <w:t xml:space="preserve">С учетом высокой суммы штрафов по отношению к минимальной заработной плате и прожиточному минимуму, данная позиция Кодекса фактически приводит к уголовной ответственности, так как большинство наркопотребителей не имеют возможности заплатить. </w:t>
      </w:r>
    </w:p>
    <w:p w14:paraId="3A64C106" w14:textId="77777777" w:rsidR="009D5435" w:rsidRPr="00BE433D" w:rsidRDefault="009D5435" w:rsidP="009D5435">
      <w:pPr>
        <w:pStyle w:val="SingleTxtG"/>
      </w:pPr>
      <w:r w:rsidRPr="00BE433D">
        <w:t>391.</w:t>
      </w:r>
      <w:r w:rsidRPr="00BE433D">
        <w:tab/>
        <w:t xml:space="preserve">Введение в действие института пробации позволяет снизить негативные последствия, связанные с реализацией санкций, предусмотренных УК и Кодексом о проступках, и способствует ресоциализации людей, потребляющих наркотики. </w:t>
      </w:r>
    </w:p>
    <w:p w14:paraId="464DDE98" w14:textId="77777777" w:rsidR="009D5435" w:rsidRPr="00BE433D" w:rsidRDefault="009D5435" w:rsidP="009D5435">
      <w:pPr>
        <w:pStyle w:val="SingleTxtG"/>
      </w:pPr>
      <w:r w:rsidRPr="00BE433D">
        <w:t>392.</w:t>
      </w:r>
      <w:r w:rsidRPr="00BE433D">
        <w:tab/>
        <w:t>Серьезной проблемой остается отсутствие эффективных средств лечения и реабилитации наркозависимых лиц. В условиях трудной экономической ситуации страна не имеет ресурсов на создание реабилитационных центров, в связи с высокой затратностью и малой эффективностью таких программ нет возможности привлечения донорских средств на эти цели.</w:t>
      </w:r>
    </w:p>
    <w:p w14:paraId="346137C6" w14:textId="77777777" w:rsidR="009D5435" w:rsidRPr="00BE433D" w:rsidRDefault="009D5435" w:rsidP="009D5435">
      <w:pPr>
        <w:pStyle w:val="SingleTxtG"/>
      </w:pPr>
      <w:r w:rsidRPr="00BE433D">
        <w:t>393.</w:t>
      </w:r>
      <w:r w:rsidRPr="00BE433D">
        <w:tab/>
        <w:t xml:space="preserve">Распоряжением правительства (2014 год) утвержден и реализуется План мероприятий по реализации Антинаркотической программы правительства. </w:t>
      </w:r>
    </w:p>
    <w:p w14:paraId="10A57682" w14:textId="77777777" w:rsidR="009D5435" w:rsidRPr="00BE433D" w:rsidRDefault="009D5435" w:rsidP="009D5435">
      <w:pPr>
        <w:pStyle w:val="SingleTxtG"/>
      </w:pPr>
      <w:r w:rsidRPr="00BE433D">
        <w:t>394.</w:t>
      </w:r>
      <w:r w:rsidRPr="00BE433D">
        <w:tab/>
        <w:t>По состоянию на 01.09.2019 года, по Республике функционирует 24 сайта (пункт выдачи метадона и т. д) поддерживающей терапии метадоном (далее — ПТМ) (фактическое число 1052/85), в т</w:t>
      </w:r>
      <w:r>
        <w:t>ом числе</w:t>
      </w:r>
      <w:r w:rsidRPr="00BE433D">
        <w:t xml:space="preserve"> 15 — при организациях здравоохранения (666/73) и 9 — в учреждениях пенитенциарной системы (386/12).</w:t>
      </w:r>
    </w:p>
    <w:p w14:paraId="36C008F5" w14:textId="77777777" w:rsidR="009D5435" w:rsidRPr="00BE433D" w:rsidRDefault="009D5435" w:rsidP="009D5435">
      <w:pPr>
        <w:pStyle w:val="SingleTxtG"/>
      </w:pPr>
      <w:r w:rsidRPr="00BE433D">
        <w:t>395.</w:t>
      </w:r>
      <w:r w:rsidRPr="00BE433D">
        <w:tab/>
        <w:t>Все сайты оснащены необходимым оборудованием, а также системой видеонаблюдения и тревожными кнопками в целях безопасности медперсонала.</w:t>
      </w:r>
    </w:p>
    <w:p w14:paraId="00246D88" w14:textId="77777777" w:rsidR="009D5435" w:rsidRPr="00BE433D" w:rsidRDefault="009D5435" w:rsidP="009D5435">
      <w:pPr>
        <w:pStyle w:val="SingleTxtG"/>
      </w:pPr>
      <w:r w:rsidRPr="00BE433D">
        <w:t>396.</w:t>
      </w:r>
      <w:r w:rsidRPr="00BE433D">
        <w:tab/>
        <w:t>На всех сайтах ПТМ функционирует электронный регистр пациента на заместительной поддерживающей терапии метадоном.</w:t>
      </w:r>
    </w:p>
    <w:p w14:paraId="108ABBAC" w14:textId="77777777" w:rsidR="009D5435" w:rsidRPr="00BE433D" w:rsidRDefault="009D5435" w:rsidP="009D5435">
      <w:pPr>
        <w:pStyle w:val="SingleTxtG"/>
      </w:pPr>
      <w:r w:rsidRPr="00BE433D">
        <w:t>397.</w:t>
      </w:r>
      <w:r w:rsidRPr="00BE433D">
        <w:tab/>
        <w:t>Все участники ПТМ получают метадон бесплатно, при возникновении проблем со здоровьем соматического характера пациенты ПТМ получают лечение (стационарное) согласно госгарантиям.</w:t>
      </w:r>
    </w:p>
    <w:p w14:paraId="354E70FB" w14:textId="77777777" w:rsidR="009D5435" w:rsidRPr="00BE433D" w:rsidRDefault="009D5435" w:rsidP="009D5435">
      <w:pPr>
        <w:pStyle w:val="SingleTxtG"/>
      </w:pPr>
      <w:r w:rsidRPr="00BE433D">
        <w:t>398.</w:t>
      </w:r>
      <w:r w:rsidRPr="00BE433D">
        <w:tab/>
        <w:t xml:space="preserve">В целях снижения стигмы и дискриминации лиц, потребляющих психоактивные вещества, а также повышения уровня информированности по вопросам </w:t>
      </w:r>
      <w:proofErr w:type="spellStart"/>
      <w:r w:rsidRPr="00BE433D">
        <w:t>наркопрофилактики</w:t>
      </w:r>
      <w:proofErr w:type="spellEnd"/>
      <w:r w:rsidRPr="00BE433D">
        <w:t xml:space="preserve"> подготовлен учебный план «Совместные мероприятия по </w:t>
      </w:r>
      <w:proofErr w:type="spellStart"/>
      <w:r w:rsidRPr="00BE433D">
        <w:t>наркопрофилактике</w:t>
      </w:r>
      <w:proofErr w:type="spellEnd"/>
      <w:r w:rsidRPr="00BE433D">
        <w:t xml:space="preserve"> на 2019 год», утвержденный РЦН и СБНОН. В настоящее время проводится информационная работа согласно указанному плану.</w:t>
      </w:r>
    </w:p>
    <w:p w14:paraId="1D511792" w14:textId="77777777" w:rsidR="009D5435" w:rsidRPr="00BE433D" w:rsidRDefault="009D5435" w:rsidP="009D5435">
      <w:pPr>
        <w:pStyle w:val="SingleTxtG"/>
      </w:pPr>
      <w:r w:rsidRPr="00BE433D">
        <w:t>399.</w:t>
      </w:r>
      <w:r w:rsidRPr="00BE433D">
        <w:tab/>
        <w:t>Совместным приказом «Об усилении профилактики ВИЧ-инфекции при взаимодействии с уязвимыми группами» МЗ, МВД, ГСИН, ГСКН (2014 год) утверждена Инструкция о профилактике ВИЧ-инфекции уполномоченными государственными органами внутренних дел, по контролю наркотиков и в сфере исполнения наказаний, взаимодействующими с уязвимыми группами, где указано о запрещении сотрудникам внутренних дел производить необоснованные задержания и личный досмотр лиц участников программ снижения вреда (пунктов обмена шприцев, поддерживающей терапии метадоном).</w:t>
      </w:r>
    </w:p>
    <w:p w14:paraId="4B02058B" w14:textId="77777777" w:rsidR="009D5435" w:rsidRPr="00BE433D" w:rsidRDefault="009D5435" w:rsidP="009D5435">
      <w:pPr>
        <w:pStyle w:val="H1G"/>
      </w:pPr>
      <w:r w:rsidRPr="00BE433D">
        <w:tab/>
      </w:r>
      <w:r w:rsidRPr="00BE433D">
        <w:tab/>
        <w:t>Статья 24</w:t>
      </w:r>
      <w:r w:rsidRPr="00BE433D">
        <w:br/>
        <w:t>Материнская смертность</w:t>
      </w:r>
    </w:p>
    <w:p w14:paraId="279B869B" w14:textId="77777777" w:rsidR="009D5435" w:rsidRPr="00BE433D" w:rsidRDefault="009D5435" w:rsidP="009D5435">
      <w:pPr>
        <w:pStyle w:val="SingleTxtG"/>
      </w:pPr>
      <w:r w:rsidRPr="00BE433D">
        <w:t>400.</w:t>
      </w:r>
      <w:r w:rsidRPr="00BE433D">
        <w:tab/>
        <w:t xml:space="preserve">По данным Национального статистического комитета (сборник женщины и мужчины КР 2014–2018, выпуск 2019), материнская смертность остается по-прежнему высокой. </w:t>
      </w:r>
    </w:p>
    <w:p w14:paraId="1487AB5F" w14:textId="77777777" w:rsidR="009D5435" w:rsidRPr="00BE433D" w:rsidRDefault="009D5435" w:rsidP="009D5435">
      <w:pPr>
        <w:pStyle w:val="SingleTxtG"/>
      </w:pPr>
      <w:r w:rsidRPr="00BE433D">
        <w:t>401.</w:t>
      </w:r>
      <w:r w:rsidRPr="00BE433D">
        <w:tab/>
        <w:t>В 2018 году от осложнений, беременности, родов и послеродового периода зарегистрировано 49 женщин или 29 умерших женщин на 100 000 детей, родившихся живыми. В общем числе случаев материнской смертности 67,3 % зарегистрировано в сельской местности (см. в таблице 2).</w:t>
      </w:r>
    </w:p>
    <w:p w14:paraId="33C624CB" w14:textId="77777777" w:rsidR="009D5435" w:rsidRPr="00BE433D" w:rsidRDefault="009D5435" w:rsidP="009D5435">
      <w:pPr>
        <w:pStyle w:val="SingleTxtG"/>
      </w:pPr>
      <w:r w:rsidRPr="00BE433D">
        <w:t>402.</w:t>
      </w:r>
      <w:r w:rsidRPr="00BE433D">
        <w:tab/>
        <w:t xml:space="preserve">На протяжении последних лет в структуре причин материнской смертности на первом месте — </w:t>
      </w:r>
      <w:proofErr w:type="spellStart"/>
      <w:r w:rsidRPr="00BE433D">
        <w:t>экстрагенитальные</w:t>
      </w:r>
      <w:proofErr w:type="spellEnd"/>
      <w:r w:rsidRPr="00BE433D">
        <w:t xml:space="preserve"> заболевания.</w:t>
      </w:r>
    </w:p>
    <w:p w14:paraId="537E4BF3" w14:textId="77777777" w:rsidR="009D5435" w:rsidRPr="00BE433D" w:rsidRDefault="009D5435" w:rsidP="009D5435">
      <w:pPr>
        <w:pStyle w:val="SingleTxtG"/>
      </w:pPr>
      <w:r w:rsidRPr="00BE433D">
        <w:t>403.</w:t>
      </w:r>
      <w:r w:rsidRPr="00BE433D">
        <w:tab/>
        <w:t xml:space="preserve">В 2019 году в Республике показатель материнской смертности составил 25 на 100 000 живорожденных или зарегистрирована смерть 43 женщин при родах и в послеродовом периоде. Показатель материнской смертности, по сравнению с 2018 годом, снизился на 13,8 %. </w:t>
      </w:r>
    </w:p>
    <w:p w14:paraId="2F3478B4" w14:textId="77777777" w:rsidR="009D5435" w:rsidRPr="00BE433D" w:rsidRDefault="009D5435" w:rsidP="009D5435">
      <w:pPr>
        <w:pStyle w:val="SingleTxtG"/>
      </w:pPr>
      <w:r w:rsidRPr="00BE433D">
        <w:t>404.</w:t>
      </w:r>
      <w:r w:rsidRPr="00BE433D">
        <w:tab/>
        <w:t xml:space="preserve">Отмечается рост числа умерших женщин-мигрантов на 24,9 %, из 43 случаев в 2019 году 9 (20,9 %) — женщины были мигрантами, из них 3 — внешними </w:t>
      </w:r>
      <w:r w:rsidRPr="00BE433D">
        <w:br/>
        <w:t>(в 2018 году — 8 случаев, или 15,7 %).</w:t>
      </w:r>
    </w:p>
    <w:p w14:paraId="0B07598D" w14:textId="77777777" w:rsidR="009D5435" w:rsidRPr="00BE433D" w:rsidRDefault="009D5435" w:rsidP="009D5435">
      <w:pPr>
        <w:pStyle w:val="SingleTxtG"/>
      </w:pPr>
      <w:r w:rsidRPr="00BE433D">
        <w:t>405.</w:t>
      </w:r>
      <w:r w:rsidRPr="00BE433D">
        <w:tab/>
        <w:t xml:space="preserve">В 2019 году, по сравнению с 2018 годом, на 20,0 % снизилось число случаев смерти с паритетом беременности 5 и более, на 32,8 % выросло число случаев женщин с первой беременностью. </w:t>
      </w:r>
    </w:p>
    <w:p w14:paraId="340326A1" w14:textId="77777777" w:rsidR="009D5435" w:rsidRPr="00BE433D" w:rsidRDefault="009D5435" w:rsidP="009D5435">
      <w:pPr>
        <w:pStyle w:val="SingleTxtG"/>
      </w:pPr>
      <w:r w:rsidRPr="00BE433D">
        <w:t>406.</w:t>
      </w:r>
      <w:r w:rsidRPr="00BE433D">
        <w:tab/>
        <w:t xml:space="preserve">В 2019 году отмечены один случай смерти на дому и один случай в пути, </w:t>
      </w:r>
      <w:r w:rsidRPr="00BE433D">
        <w:br/>
        <w:t xml:space="preserve">в 2018 году — три случая смерти на дому. </w:t>
      </w:r>
    </w:p>
    <w:p w14:paraId="77EDAF00" w14:textId="2B71BAF1" w:rsidR="009D5435" w:rsidRPr="00BE433D" w:rsidRDefault="009D5435" w:rsidP="009D5435">
      <w:pPr>
        <w:pStyle w:val="SingleTxtG"/>
      </w:pPr>
      <w:r w:rsidRPr="00BE433D">
        <w:t>407.</w:t>
      </w:r>
      <w:r w:rsidRPr="00BE433D">
        <w:tab/>
        <w:t xml:space="preserve">В структуре причин материнской смертности в 2019 году на первом месте — </w:t>
      </w:r>
      <w:proofErr w:type="spellStart"/>
      <w:r w:rsidRPr="00BE433D">
        <w:t>экстрагенитальные</w:t>
      </w:r>
      <w:proofErr w:type="spellEnd"/>
      <w:r w:rsidRPr="00BE433D">
        <w:t xml:space="preserve"> заболевания (32,6 %, или 14</w:t>
      </w:r>
      <w:r>
        <w:t xml:space="preserve"> </w:t>
      </w:r>
      <w:r w:rsidRPr="00BE433D">
        <w:t xml:space="preserve">случаев), затем кровотечения </w:t>
      </w:r>
      <w:r w:rsidRPr="00BE433D">
        <w:br/>
        <w:t xml:space="preserve">(10 случаев, или 23,2 %), </w:t>
      </w:r>
      <w:proofErr w:type="spellStart"/>
      <w:r w:rsidRPr="00BE433D">
        <w:t>преэклампсия</w:t>
      </w:r>
      <w:proofErr w:type="spellEnd"/>
      <w:r w:rsidRPr="00BE433D">
        <w:t xml:space="preserve">/эклампсия (7 случаев, или 16,3 %), </w:t>
      </w:r>
      <w:r w:rsidRPr="00BE433D">
        <w:br/>
        <w:t>сепсис (8 случаев, или 18,6 %), ТЭЛА и АШ (4</w:t>
      </w:r>
      <w:r w:rsidR="005F21B5">
        <w:rPr>
          <w:lang w:val="en-US"/>
        </w:rPr>
        <w:t> </w:t>
      </w:r>
      <w:r w:rsidRPr="00BE433D">
        <w:t>% и 9,3</w:t>
      </w:r>
      <w:r w:rsidR="005F21B5">
        <w:rPr>
          <w:lang w:val="en-US"/>
        </w:rPr>
        <w:t> </w:t>
      </w:r>
      <w:r w:rsidRPr="00BE433D">
        <w:t xml:space="preserve">%). Снизился (на 15,0 %) и остается низким показатель патологоанатомических вскрытий (30,2 %, или 13 случаев в 2019 году) и 35,3 %, или 18 случаев в 2018 году). </w:t>
      </w:r>
    </w:p>
    <w:p w14:paraId="745F7BE6" w14:textId="77777777" w:rsidR="009D5435" w:rsidRPr="00BE433D" w:rsidRDefault="009D5435" w:rsidP="009D5435">
      <w:pPr>
        <w:pStyle w:val="SingleTxtG"/>
      </w:pPr>
      <w:r w:rsidRPr="00BE433D">
        <w:t>408.</w:t>
      </w:r>
      <w:r w:rsidRPr="00BE433D">
        <w:tab/>
        <w:t xml:space="preserve">Совместным приказом МЗ и МОН (2019 год) утверждена Программа развития сестринского и акушерского дела. </w:t>
      </w:r>
    </w:p>
    <w:p w14:paraId="0E210BC9" w14:textId="77777777" w:rsidR="009D5435" w:rsidRPr="00BE433D" w:rsidRDefault="009D5435" w:rsidP="009D5435">
      <w:pPr>
        <w:pStyle w:val="SingleTxtG"/>
      </w:pPr>
      <w:r w:rsidRPr="00BE433D">
        <w:t>409.</w:t>
      </w:r>
      <w:r w:rsidRPr="00BE433D">
        <w:tab/>
        <w:t xml:space="preserve">Утверждены приказами МЗ (2018 год): </w:t>
      </w:r>
    </w:p>
    <w:p w14:paraId="24CDE0C8" w14:textId="77777777" w:rsidR="009D5435" w:rsidRPr="00BE433D" w:rsidRDefault="009D5435" w:rsidP="009D5435">
      <w:pPr>
        <w:pStyle w:val="Bullet1G"/>
        <w:numPr>
          <w:ilvl w:val="0"/>
          <w:numId w:val="0"/>
        </w:numPr>
        <w:tabs>
          <w:tab w:val="left" w:pos="1701"/>
        </w:tabs>
        <w:ind w:left="1701" w:hanging="170"/>
      </w:pPr>
      <w:r w:rsidRPr="00BE433D">
        <w:t>•</w:t>
      </w:r>
      <w:r w:rsidRPr="00BE433D">
        <w:tab/>
        <w:t xml:space="preserve">функциональные обязанности, компетенции акушерок, этический кодекс акушерок; </w:t>
      </w:r>
    </w:p>
    <w:p w14:paraId="09352C6E" w14:textId="77777777" w:rsidR="009D5435" w:rsidRPr="00BE433D" w:rsidRDefault="009D5435" w:rsidP="009D5435">
      <w:pPr>
        <w:pStyle w:val="Bullet1G"/>
        <w:numPr>
          <w:ilvl w:val="0"/>
          <w:numId w:val="0"/>
        </w:numPr>
        <w:tabs>
          <w:tab w:val="left" w:pos="1701"/>
        </w:tabs>
        <w:ind w:left="1701" w:hanging="170"/>
      </w:pPr>
      <w:r w:rsidRPr="00BE433D">
        <w:t>•</w:t>
      </w:r>
      <w:r w:rsidRPr="00BE433D">
        <w:tab/>
        <w:t xml:space="preserve">пять </w:t>
      </w:r>
      <w:proofErr w:type="spellStart"/>
      <w:r w:rsidRPr="00BE433D">
        <w:t>СОПов</w:t>
      </w:r>
      <w:proofErr w:type="spellEnd"/>
      <w:r w:rsidRPr="00BE433D">
        <w:t xml:space="preserve"> для акушерок:</w:t>
      </w:r>
    </w:p>
    <w:p w14:paraId="57F62E48" w14:textId="77777777" w:rsidR="009D5435" w:rsidRPr="00BE433D" w:rsidRDefault="009D5435" w:rsidP="009D5435">
      <w:pPr>
        <w:pStyle w:val="SingleTxtG"/>
        <w:ind w:left="1701"/>
      </w:pPr>
      <w:r w:rsidRPr="00BE433D">
        <w:t>1)</w:t>
      </w:r>
      <w:r w:rsidRPr="00BE433D">
        <w:tab/>
        <w:t>«Стандартная операционная процедура по активному ведению третьего периода родов»;</w:t>
      </w:r>
    </w:p>
    <w:p w14:paraId="1A5A7473" w14:textId="77777777" w:rsidR="009D5435" w:rsidRPr="00BE433D" w:rsidRDefault="009D5435" w:rsidP="009D5435">
      <w:pPr>
        <w:pStyle w:val="SingleTxtG"/>
        <w:ind w:left="1701"/>
      </w:pPr>
      <w:r w:rsidRPr="00BE433D">
        <w:t>2)</w:t>
      </w:r>
      <w:r w:rsidRPr="00BE433D">
        <w:tab/>
        <w:t xml:space="preserve">«Стандартная операционная процедура по рутинному наблюдению за родильницей в раннем послеродовом периоде»; </w:t>
      </w:r>
    </w:p>
    <w:p w14:paraId="1B320FA9" w14:textId="77777777" w:rsidR="009D5435" w:rsidRPr="00BE433D" w:rsidRDefault="009D5435" w:rsidP="009D5435">
      <w:pPr>
        <w:pStyle w:val="SingleTxtG"/>
        <w:ind w:left="1701"/>
      </w:pPr>
      <w:r w:rsidRPr="00BE433D">
        <w:t>3)</w:t>
      </w:r>
      <w:r w:rsidRPr="00BE433D">
        <w:tab/>
        <w:t xml:space="preserve">«Стандартная операционная процедура по оценке и стабилизации состояния женщины при послеродовом кровотечении»; </w:t>
      </w:r>
    </w:p>
    <w:p w14:paraId="6A8F7C7E" w14:textId="77777777" w:rsidR="009D5435" w:rsidRPr="00BE433D" w:rsidRDefault="009D5435" w:rsidP="009D5435">
      <w:pPr>
        <w:pStyle w:val="SingleTxtG"/>
        <w:ind w:left="1701"/>
      </w:pPr>
      <w:r w:rsidRPr="00BE433D">
        <w:t>4)</w:t>
      </w:r>
      <w:r w:rsidRPr="00BE433D">
        <w:tab/>
        <w:t>«Стандартная операционная процедура по оценке состояния и стабилизации женщины при осложненном ведении последового периода»;</w:t>
      </w:r>
    </w:p>
    <w:p w14:paraId="1DA7CD29" w14:textId="77777777" w:rsidR="009D5435" w:rsidRPr="00BE433D" w:rsidRDefault="009D5435" w:rsidP="009D5435">
      <w:pPr>
        <w:pStyle w:val="SingleTxtG"/>
        <w:ind w:left="1701"/>
      </w:pPr>
      <w:r w:rsidRPr="00BE433D">
        <w:t>5)</w:t>
      </w:r>
      <w:r w:rsidRPr="00BE433D">
        <w:tab/>
        <w:t xml:space="preserve">«Памятка по проведению консультирования по оказанию помощи матерям и новорожденным». </w:t>
      </w:r>
    </w:p>
    <w:p w14:paraId="49765A23" w14:textId="77777777" w:rsidR="009D5435" w:rsidRPr="00BE433D" w:rsidRDefault="009D5435" w:rsidP="009D5435">
      <w:pPr>
        <w:pStyle w:val="SingleTxtG"/>
      </w:pPr>
      <w:r w:rsidRPr="00BE433D">
        <w:t>410.</w:t>
      </w:r>
      <w:r w:rsidRPr="00BE433D">
        <w:tab/>
        <w:t xml:space="preserve">В настоящее время Центром электронного здравоохранения при МЗ совместно с ГРС продолжается работа по совершенствованию АИС «Медицинское свидетельство» с целью интеграции с АИС ЗАГС. </w:t>
      </w:r>
    </w:p>
    <w:p w14:paraId="5C6CCC0D" w14:textId="77777777" w:rsidR="009D5435" w:rsidRPr="00BE433D" w:rsidRDefault="009D5435" w:rsidP="009D5435">
      <w:pPr>
        <w:pStyle w:val="SingleTxtG"/>
      </w:pPr>
      <w:r w:rsidRPr="00BE433D">
        <w:t>411.</w:t>
      </w:r>
      <w:r w:rsidRPr="00BE433D">
        <w:tab/>
        <w:t xml:space="preserve">В ЦСМ, ГСВ/ФАП, ЦОВП на постоянной основе проводится антенатальное наблюдение за беременными женщинами, в том числе беременные с имеющимися </w:t>
      </w:r>
      <w:proofErr w:type="spellStart"/>
      <w:r w:rsidRPr="00BE433D">
        <w:t>экстрагенитальными</w:t>
      </w:r>
      <w:proofErr w:type="spellEnd"/>
      <w:r w:rsidRPr="00BE433D">
        <w:t xml:space="preserve"> заболеваниями, согласно утвержденному клиническому протоколу МЗ (2018 год) «Дородовая и послеродовая помощь». </w:t>
      </w:r>
    </w:p>
    <w:p w14:paraId="54DCF8AC" w14:textId="77777777" w:rsidR="009D5435" w:rsidRPr="00BE433D" w:rsidRDefault="009D5435" w:rsidP="009D5435">
      <w:pPr>
        <w:pStyle w:val="SingleTxtG"/>
      </w:pPr>
      <w:r w:rsidRPr="00BE433D">
        <w:t>412.</w:t>
      </w:r>
      <w:r w:rsidRPr="00BE433D">
        <w:tab/>
        <w:t>Продолжается работа по институционализации учебных программ по неотложной акушерской помощи (НАП) для медицинских специалистов первичного звена здравоохранения и родовспомогательных организаций. Для улучшения практических навыков разработаны клинические протоколы и руководства по НАП.</w:t>
      </w:r>
    </w:p>
    <w:p w14:paraId="3C3CB22E" w14:textId="77777777" w:rsidR="009D5435" w:rsidRPr="00BE433D" w:rsidRDefault="009D5435" w:rsidP="009D5435">
      <w:pPr>
        <w:pStyle w:val="SingleTxtG"/>
      </w:pPr>
      <w:r w:rsidRPr="00BE433D">
        <w:t>413.</w:t>
      </w:r>
      <w:r w:rsidRPr="00BE433D">
        <w:tab/>
        <w:t xml:space="preserve">В случае выявления </w:t>
      </w:r>
      <w:proofErr w:type="spellStart"/>
      <w:r w:rsidRPr="00BE433D">
        <w:t>экстрагенитального</w:t>
      </w:r>
      <w:proofErr w:type="spellEnd"/>
      <w:r w:rsidRPr="00BE433D">
        <w:t xml:space="preserve"> заболевания у беременной, медицинским работником проводится консультирование беременных специалистами согласно профильному заболеванию и при необходимости госпитализация в стационар по показаниям. </w:t>
      </w:r>
    </w:p>
    <w:p w14:paraId="7F8C646D" w14:textId="77777777" w:rsidR="009D5435" w:rsidRPr="00BE433D" w:rsidRDefault="009D5435" w:rsidP="009D5435">
      <w:pPr>
        <w:pStyle w:val="SingleTxtG"/>
      </w:pPr>
      <w:r w:rsidRPr="00BE433D">
        <w:t>414.</w:t>
      </w:r>
      <w:r w:rsidRPr="00BE433D">
        <w:tab/>
        <w:t>В 2018 году МЗ и ФОМС проведена оптимизация деятельности приемных блоков в родовспомогательных организациях города Бишкек (Перинатальный центр г. Бишкек, РД № 1, КРД № 2), что позволило улучшить доступ пациентов к диагностической и лечебной помощи. В результате проведенных мероприятий создана оптимальная система обслуживания беременных, рожениц/родильниц, поступающих в родильные дома.</w:t>
      </w:r>
    </w:p>
    <w:p w14:paraId="47F5A202" w14:textId="77777777" w:rsidR="009D5435" w:rsidRPr="00BE433D" w:rsidRDefault="009D5435" w:rsidP="009D5435">
      <w:pPr>
        <w:pStyle w:val="SingleTxtG"/>
      </w:pPr>
      <w:r w:rsidRPr="00BE433D">
        <w:t>415.</w:t>
      </w:r>
      <w:r w:rsidRPr="00BE433D">
        <w:tab/>
        <w:t>На базе Национального госпиталя при МЗ функционирует экстренная консультативно-транспортная служба (</w:t>
      </w:r>
      <w:proofErr w:type="spellStart"/>
      <w:r w:rsidRPr="00BE433D">
        <w:t>санавиация</w:t>
      </w:r>
      <w:proofErr w:type="spellEnd"/>
      <w:r w:rsidRPr="00BE433D">
        <w:t>) по оказанию неотложной акушерско-гинекологической и неонатальной помощи по стране. Для улучшения оказания неотложной медицинской помощи беременным женщинам в рамках национальной программы «Ден-</w:t>
      </w:r>
      <w:proofErr w:type="spellStart"/>
      <w:r w:rsidRPr="00BE433D">
        <w:t>соолук</w:t>
      </w:r>
      <w:proofErr w:type="spellEnd"/>
      <w:r w:rsidRPr="00BE433D">
        <w:t>» за счет средств SWAР закуплено и передано восемь реанимобилей для Джалал-</w:t>
      </w:r>
      <w:proofErr w:type="spellStart"/>
      <w:r w:rsidRPr="00BE433D">
        <w:t>Абадского</w:t>
      </w:r>
      <w:proofErr w:type="spellEnd"/>
      <w:r w:rsidRPr="00BE433D">
        <w:t xml:space="preserve">, Ошского, </w:t>
      </w:r>
      <w:proofErr w:type="spellStart"/>
      <w:r w:rsidRPr="00BE433D">
        <w:t>Баткенского</w:t>
      </w:r>
      <w:proofErr w:type="spellEnd"/>
      <w:r w:rsidRPr="00BE433D">
        <w:t xml:space="preserve">, Иссык-Кульского, </w:t>
      </w:r>
      <w:proofErr w:type="spellStart"/>
      <w:r w:rsidRPr="00BE433D">
        <w:t>Таласского</w:t>
      </w:r>
      <w:proofErr w:type="spellEnd"/>
      <w:r w:rsidRPr="00BE433D">
        <w:t xml:space="preserve">, </w:t>
      </w:r>
      <w:proofErr w:type="spellStart"/>
      <w:r w:rsidRPr="00BE433D">
        <w:t>Нарынского</w:t>
      </w:r>
      <w:proofErr w:type="spellEnd"/>
      <w:r w:rsidRPr="00BE433D">
        <w:t xml:space="preserve">, Чуйского областных родильных отделений и </w:t>
      </w:r>
      <w:proofErr w:type="spellStart"/>
      <w:r w:rsidRPr="00BE433D">
        <w:t>НЦОМиД</w:t>
      </w:r>
      <w:proofErr w:type="spellEnd"/>
      <w:r w:rsidRPr="00BE433D">
        <w:t xml:space="preserve">. </w:t>
      </w:r>
    </w:p>
    <w:p w14:paraId="3554FCAC" w14:textId="77777777" w:rsidR="009D5435" w:rsidRPr="00BE433D" w:rsidRDefault="009D5435" w:rsidP="009D5435">
      <w:pPr>
        <w:pStyle w:val="SingleTxtG"/>
      </w:pPr>
      <w:r w:rsidRPr="00BE433D">
        <w:t>416.</w:t>
      </w:r>
      <w:r w:rsidRPr="00BE433D">
        <w:tab/>
        <w:t xml:space="preserve">В настоящее время на территории Национального центра охраны материнства и детства при МЗ завершается строительство Перинатального центра на 182 койки. </w:t>
      </w:r>
    </w:p>
    <w:p w14:paraId="186E1313" w14:textId="77777777" w:rsidR="009D5435" w:rsidRPr="00BE433D" w:rsidRDefault="009D5435" w:rsidP="009D5435">
      <w:pPr>
        <w:pStyle w:val="SingleTxtG"/>
      </w:pPr>
      <w:r w:rsidRPr="00BE433D">
        <w:t>417.</w:t>
      </w:r>
      <w:r w:rsidRPr="00BE433D">
        <w:tab/>
        <w:t xml:space="preserve">В целях дальнейшего развития и совершенствования перинатальных технологий, улучшения качества медицинской помощи и снижения перинатальной смертности среди новорожденных в республике МЗ внедрена методология конфиденциального перинатального аудита в четырех пилотных организациях здравоохранения: клинический родильный дом Национального центра охраны материнства и детства, Перинатальный центр г. Бишкек, родильное отделение Ошской межобластной клинической больницы, родильное отделение клинической больницы г. Ош с дальнейшим внедрением в родильных отделениях областных объединенных больниц </w:t>
      </w:r>
      <w:proofErr w:type="spellStart"/>
      <w:r w:rsidRPr="00BE433D">
        <w:t>Баткенской</w:t>
      </w:r>
      <w:proofErr w:type="spellEnd"/>
      <w:r w:rsidRPr="00BE433D">
        <w:t xml:space="preserve"> и Джалал-</w:t>
      </w:r>
      <w:proofErr w:type="spellStart"/>
      <w:r w:rsidRPr="00BE433D">
        <w:t>Абадской</w:t>
      </w:r>
      <w:proofErr w:type="spellEnd"/>
      <w:r w:rsidRPr="00BE433D">
        <w:t xml:space="preserve"> областей, которая поможет оценить перинатальные показатели и наметить пути дальнейшего развития и совершенствования медицинских услуг как на региональном уровне, так и в отдельно взятых организациях здравоохранения по родовспоможению. </w:t>
      </w:r>
    </w:p>
    <w:p w14:paraId="51DE8968" w14:textId="77777777" w:rsidR="009D5435" w:rsidRPr="00BE433D" w:rsidRDefault="009D5435" w:rsidP="009D5435">
      <w:pPr>
        <w:pStyle w:val="SingleTxtG"/>
      </w:pPr>
      <w:r w:rsidRPr="00BE433D">
        <w:t>418.</w:t>
      </w:r>
      <w:r w:rsidRPr="00BE433D">
        <w:tab/>
        <w:t xml:space="preserve">МЗ определены критерии группы риска и подготовлен проект пятилетнего плана по закупке контрацептивных средств за счет государственного бюджета для социально уязвимых групп женщин. </w:t>
      </w:r>
    </w:p>
    <w:p w14:paraId="614A3BE3" w14:textId="77777777" w:rsidR="009D5435" w:rsidRPr="00BE433D" w:rsidRDefault="009D5435" w:rsidP="009D5435">
      <w:pPr>
        <w:pStyle w:val="SingleTxtG"/>
      </w:pPr>
      <w:r w:rsidRPr="00BE433D">
        <w:t>419.</w:t>
      </w:r>
      <w:r w:rsidRPr="00BE433D">
        <w:tab/>
        <w:t>Кроме этого, через Республиканский центр укрепления здоровья продолжается укрепление связи с органами местного самоуправления и религиозными деятелями по вопросам иммунизации детей, планирования семьи, безопасного материнства, профилактики ранних браков, жестокого обращения и насилия, с привлечением партнеров по развитию, НПО и гражданского сектора.</w:t>
      </w:r>
    </w:p>
    <w:p w14:paraId="77E85CE3" w14:textId="77777777" w:rsidR="009D5435" w:rsidRPr="00BE433D" w:rsidRDefault="009D5435" w:rsidP="009D5435">
      <w:pPr>
        <w:pStyle w:val="SingleTxtG"/>
      </w:pPr>
      <w:r w:rsidRPr="00BE433D">
        <w:t>420.</w:t>
      </w:r>
      <w:r w:rsidRPr="00BE433D">
        <w:tab/>
        <w:t xml:space="preserve">Внедряется программа направительной системы (ваучера), способствующая доступности услуг планирования семьи женщинам из уязвимой группы населения районных центров и городов. Программа направлена на повышение информированности населения, после принятия информированного решения женщине предлагается безопасная услуга. </w:t>
      </w:r>
    </w:p>
    <w:p w14:paraId="2840601C" w14:textId="77777777" w:rsidR="009D5435" w:rsidRPr="00BE433D" w:rsidRDefault="009D5435" w:rsidP="009D5435">
      <w:pPr>
        <w:pStyle w:val="H23G"/>
        <w:rPr>
          <w:bCs/>
        </w:rPr>
      </w:pPr>
      <w:r w:rsidRPr="00BE433D">
        <w:tab/>
      </w:r>
      <w:r w:rsidRPr="00BE433D">
        <w:rPr>
          <w:b w:val="0"/>
          <w:bCs/>
        </w:rPr>
        <w:tab/>
        <w:t xml:space="preserve">Таблица 2 </w:t>
      </w:r>
      <w:r w:rsidRPr="00BE433D">
        <w:br/>
        <w:t>Материнская смертность</w:t>
      </w:r>
      <w:r w:rsidRPr="00BE433D">
        <w:rPr>
          <w:bCs/>
        </w:rPr>
        <w:t xml:space="preserve"> (число женщин, умерших от осложнений беременности, родов и послеродового периода)</w:t>
      </w:r>
    </w:p>
    <w:tbl>
      <w:tblPr>
        <w:tblW w:w="7370" w:type="dxa"/>
        <w:tblInd w:w="1134" w:type="dxa"/>
        <w:tblLayout w:type="fixed"/>
        <w:tblCellMar>
          <w:left w:w="0" w:type="dxa"/>
          <w:right w:w="0" w:type="dxa"/>
        </w:tblCellMar>
        <w:tblLook w:val="04A0" w:firstRow="1" w:lastRow="0" w:firstColumn="1" w:lastColumn="0" w:noHBand="0" w:noVBand="1"/>
      </w:tblPr>
      <w:tblGrid>
        <w:gridCol w:w="1276"/>
        <w:gridCol w:w="955"/>
        <w:gridCol w:w="956"/>
        <w:gridCol w:w="956"/>
        <w:gridCol w:w="86"/>
        <w:gridCol w:w="1047"/>
        <w:gridCol w:w="1047"/>
        <w:gridCol w:w="1047"/>
      </w:tblGrid>
      <w:tr w:rsidR="00A974DA" w:rsidRPr="00D80F0C" w14:paraId="2AE3CB2A" w14:textId="77777777" w:rsidTr="00A974DA">
        <w:trPr>
          <w:tblHeader/>
        </w:trPr>
        <w:tc>
          <w:tcPr>
            <w:tcW w:w="1276" w:type="dxa"/>
            <w:tcBorders>
              <w:top w:val="single" w:sz="4" w:space="0" w:color="auto"/>
            </w:tcBorders>
            <w:shd w:val="clear" w:color="auto" w:fill="auto"/>
            <w:tcMar>
              <w:left w:w="28" w:type="dxa"/>
              <w:right w:w="28" w:type="dxa"/>
            </w:tcMar>
            <w:vAlign w:val="bottom"/>
          </w:tcPr>
          <w:p w14:paraId="48B3DE86" w14:textId="77777777" w:rsidR="00A974DA" w:rsidRPr="00BE433D" w:rsidRDefault="00A974DA" w:rsidP="00A974DA">
            <w:pPr>
              <w:suppressAutoHyphens w:val="0"/>
              <w:spacing w:before="80" w:after="80" w:line="200" w:lineRule="exact"/>
              <w:rPr>
                <w:i/>
                <w:sz w:val="16"/>
              </w:rPr>
            </w:pPr>
          </w:p>
        </w:tc>
        <w:tc>
          <w:tcPr>
            <w:tcW w:w="2867" w:type="dxa"/>
            <w:gridSpan w:val="3"/>
            <w:tcBorders>
              <w:top w:val="single" w:sz="4" w:space="0" w:color="auto"/>
              <w:bottom w:val="single" w:sz="4" w:space="0" w:color="auto"/>
            </w:tcBorders>
            <w:shd w:val="clear" w:color="auto" w:fill="auto"/>
            <w:tcMar>
              <w:left w:w="28" w:type="dxa"/>
              <w:right w:w="28" w:type="dxa"/>
            </w:tcMar>
            <w:vAlign w:val="bottom"/>
          </w:tcPr>
          <w:p w14:paraId="376C980B" w14:textId="77777777" w:rsidR="00A974DA" w:rsidRPr="00BE433D" w:rsidRDefault="00A974DA" w:rsidP="00A974DA">
            <w:pPr>
              <w:suppressAutoHyphens w:val="0"/>
              <w:spacing w:before="80" w:after="80" w:line="200" w:lineRule="exact"/>
              <w:jc w:val="center"/>
              <w:rPr>
                <w:i/>
                <w:sz w:val="16"/>
              </w:rPr>
            </w:pPr>
            <w:r w:rsidRPr="00BE433D">
              <w:rPr>
                <w:i/>
                <w:sz w:val="16"/>
              </w:rPr>
              <w:t>Человек</w:t>
            </w:r>
          </w:p>
        </w:tc>
        <w:tc>
          <w:tcPr>
            <w:tcW w:w="86" w:type="dxa"/>
            <w:tcBorders>
              <w:top w:val="single" w:sz="4" w:space="0" w:color="auto"/>
            </w:tcBorders>
          </w:tcPr>
          <w:p w14:paraId="1B658BE3" w14:textId="77777777" w:rsidR="00A974DA" w:rsidRPr="00BE433D" w:rsidRDefault="00A974DA" w:rsidP="00A974DA">
            <w:pPr>
              <w:suppressAutoHyphens w:val="0"/>
              <w:spacing w:before="80" w:after="80" w:line="200" w:lineRule="exact"/>
              <w:jc w:val="center"/>
              <w:rPr>
                <w:i/>
                <w:sz w:val="16"/>
              </w:rPr>
            </w:pPr>
          </w:p>
        </w:tc>
        <w:tc>
          <w:tcPr>
            <w:tcW w:w="3141" w:type="dxa"/>
            <w:gridSpan w:val="3"/>
            <w:tcBorders>
              <w:top w:val="single" w:sz="4" w:space="0" w:color="auto"/>
              <w:bottom w:val="single" w:sz="4" w:space="0" w:color="auto"/>
            </w:tcBorders>
            <w:shd w:val="clear" w:color="auto" w:fill="auto"/>
            <w:tcMar>
              <w:left w:w="28" w:type="dxa"/>
              <w:right w:w="28" w:type="dxa"/>
            </w:tcMar>
            <w:vAlign w:val="bottom"/>
          </w:tcPr>
          <w:p w14:paraId="5C119DE9" w14:textId="29D9963E" w:rsidR="00A974DA" w:rsidRPr="00BE433D" w:rsidRDefault="00A974DA" w:rsidP="00A974DA">
            <w:pPr>
              <w:suppressAutoHyphens w:val="0"/>
              <w:spacing w:before="80" w:after="80" w:line="200" w:lineRule="exact"/>
              <w:jc w:val="center"/>
              <w:rPr>
                <w:i/>
                <w:sz w:val="16"/>
              </w:rPr>
            </w:pPr>
            <w:r w:rsidRPr="00BE433D">
              <w:rPr>
                <w:i/>
                <w:sz w:val="16"/>
              </w:rPr>
              <w:t>На 100 тыс. детей, родившихся живыми</w:t>
            </w:r>
          </w:p>
        </w:tc>
      </w:tr>
      <w:tr w:rsidR="00A974DA" w:rsidRPr="00BE433D" w14:paraId="34F0F1E5" w14:textId="77777777" w:rsidTr="00A974DA">
        <w:trPr>
          <w:tblHeader/>
        </w:trPr>
        <w:tc>
          <w:tcPr>
            <w:tcW w:w="1276" w:type="dxa"/>
            <w:tcBorders>
              <w:bottom w:val="single" w:sz="12" w:space="0" w:color="auto"/>
            </w:tcBorders>
            <w:shd w:val="clear" w:color="auto" w:fill="auto"/>
            <w:tcMar>
              <w:left w:w="28" w:type="dxa"/>
              <w:right w:w="28" w:type="dxa"/>
            </w:tcMar>
          </w:tcPr>
          <w:p w14:paraId="7FF5C3B9" w14:textId="77777777" w:rsidR="00A974DA" w:rsidRPr="00BE433D" w:rsidRDefault="00A974DA" w:rsidP="00A974DA">
            <w:pPr>
              <w:suppressAutoHyphens w:val="0"/>
              <w:spacing w:before="80" w:after="80" w:line="200" w:lineRule="exact"/>
              <w:rPr>
                <w:i/>
                <w:sz w:val="16"/>
              </w:rPr>
            </w:pPr>
            <w:r w:rsidRPr="00BE433D">
              <w:rPr>
                <w:i/>
                <w:sz w:val="16"/>
              </w:rPr>
              <w:t>Годы</w:t>
            </w:r>
          </w:p>
        </w:tc>
        <w:tc>
          <w:tcPr>
            <w:tcW w:w="955" w:type="dxa"/>
            <w:tcBorders>
              <w:top w:val="single" w:sz="4" w:space="0" w:color="auto"/>
              <w:bottom w:val="single" w:sz="12" w:space="0" w:color="auto"/>
            </w:tcBorders>
            <w:shd w:val="clear" w:color="auto" w:fill="auto"/>
            <w:tcMar>
              <w:left w:w="28" w:type="dxa"/>
              <w:right w:w="28" w:type="dxa"/>
            </w:tcMar>
          </w:tcPr>
          <w:p w14:paraId="12629CA0" w14:textId="77777777" w:rsidR="00A974DA" w:rsidRPr="00BE433D" w:rsidRDefault="00A974DA" w:rsidP="00A974DA">
            <w:pPr>
              <w:suppressAutoHyphens w:val="0"/>
              <w:spacing w:before="80" w:after="80" w:line="200" w:lineRule="exact"/>
              <w:jc w:val="right"/>
              <w:rPr>
                <w:i/>
                <w:sz w:val="16"/>
              </w:rPr>
            </w:pPr>
            <w:r w:rsidRPr="00BE433D">
              <w:rPr>
                <w:i/>
                <w:sz w:val="16"/>
              </w:rPr>
              <w:t>все</w:t>
            </w:r>
          </w:p>
        </w:tc>
        <w:tc>
          <w:tcPr>
            <w:tcW w:w="956" w:type="dxa"/>
            <w:tcBorders>
              <w:top w:val="single" w:sz="4" w:space="0" w:color="auto"/>
              <w:bottom w:val="single" w:sz="12" w:space="0" w:color="auto"/>
            </w:tcBorders>
            <w:shd w:val="clear" w:color="auto" w:fill="auto"/>
            <w:tcMar>
              <w:left w:w="28" w:type="dxa"/>
              <w:right w:w="28" w:type="dxa"/>
            </w:tcMar>
            <w:vAlign w:val="bottom"/>
          </w:tcPr>
          <w:p w14:paraId="6C1F68E2" w14:textId="77777777" w:rsidR="00A974DA" w:rsidRPr="00BE433D" w:rsidRDefault="00A974DA" w:rsidP="00A974DA">
            <w:pPr>
              <w:suppressAutoHyphens w:val="0"/>
              <w:spacing w:before="80" w:after="80" w:line="200" w:lineRule="exact"/>
              <w:jc w:val="right"/>
              <w:rPr>
                <w:i/>
                <w:sz w:val="16"/>
              </w:rPr>
            </w:pPr>
            <w:r w:rsidRPr="00BE433D">
              <w:rPr>
                <w:i/>
                <w:sz w:val="16"/>
              </w:rPr>
              <w:t>городское</w:t>
            </w:r>
          </w:p>
        </w:tc>
        <w:tc>
          <w:tcPr>
            <w:tcW w:w="956" w:type="dxa"/>
            <w:tcBorders>
              <w:top w:val="single" w:sz="4" w:space="0" w:color="auto"/>
              <w:bottom w:val="single" w:sz="12" w:space="0" w:color="auto"/>
            </w:tcBorders>
            <w:shd w:val="clear" w:color="auto" w:fill="auto"/>
            <w:tcMar>
              <w:left w:w="28" w:type="dxa"/>
              <w:right w:w="28" w:type="dxa"/>
            </w:tcMar>
            <w:vAlign w:val="bottom"/>
          </w:tcPr>
          <w:p w14:paraId="0C07A03D" w14:textId="77777777" w:rsidR="00A974DA" w:rsidRPr="00BE433D" w:rsidRDefault="00A974DA" w:rsidP="00A974DA">
            <w:pPr>
              <w:suppressAutoHyphens w:val="0"/>
              <w:spacing w:before="80" w:after="80" w:line="200" w:lineRule="exact"/>
              <w:jc w:val="right"/>
              <w:rPr>
                <w:i/>
                <w:sz w:val="16"/>
              </w:rPr>
            </w:pPr>
            <w:r w:rsidRPr="00BE433D">
              <w:rPr>
                <w:i/>
                <w:sz w:val="16"/>
              </w:rPr>
              <w:t>сельское</w:t>
            </w:r>
          </w:p>
        </w:tc>
        <w:tc>
          <w:tcPr>
            <w:tcW w:w="86" w:type="dxa"/>
            <w:tcBorders>
              <w:bottom w:val="single" w:sz="12" w:space="0" w:color="auto"/>
            </w:tcBorders>
          </w:tcPr>
          <w:p w14:paraId="1B5E99B2" w14:textId="77777777" w:rsidR="00A974DA" w:rsidRPr="00BE433D" w:rsidRDefault="00A974DA" w:rsidP="00A974DA">
            <w:pPr>
              <w:suppressAutoHyphens w:val="0"/>
              <w:spacing w:before="80" w:after="80" w:line="200" w:lineRule="exact"/>
              <w:jc w:val="right"/>
              <w:rPr>
                <w:i/>
                <w:sz w:val="16"/>
              </w:rPr>
            </w:pPr>
          </w:p>
        </w:tc>
        <w:tc>
          <w:tcPr>
            <w:tcW w:w="1047" w:type="dxa"/>
            <w:tcBorders>
              <w:top w:val="single" w:sz="4" w:space="0" w:color="auto"/>
              <w:bottom w:val="single" w:sz="12" w:space="0" w:color="auto"/>
            </w:tcBorders>
            <w:shd w:val="clear" w:color="auto" w:fill="auto"/>
            <w:tcMar>
              <w:left w:w="28" w:type="dxa"/>
              <w:right w:w="28" w:type="dxa"/>
            </w:tcMar>
            <w:vAlign w:val="bottom"/>
          </w:tcPr>
          <w:p w14:paraId="1B9AFAA3" w14:textId="21B44242" w:rsidR="00A974DA" w:rsidRPr="00BE433D" w:rsidRDefault="00A974DA" w:rsidP="00A974DA">
            <w:pPr>
              <w:suppressAutoHyphens w:val="0"/>
              <w:spacing w:before="80" w:after="80" w:line="200" w:lineRule="exact"/>
              <w:jc w:val="right"/>
              <w:rPr>
                <w:i/>
                <w:sz w:val="16"/>
              </w:rPr>
            </w:pPr>
            <w:r w:rsidRPr="00BE433D">
              <w:rPr>
                <w:i/>
                <w:sz w:val="16"/>
              </w:rPr>
              <w:t>все</w:t>
            </w:r>
          </w:p>
        </w:tc>
        <w:tc>
          <w:tcPr>
            <w:tcW w:w="1047" w:type="dxa"/>
            <w:tcBorders>
              <w:top w:val="single" w:sz="4" w:space="0" w:color="auto"/>
              <w:bottom w:val="single" w:sz="12" w:space="0" w:color="auto"/>
            </w:tcBorders>
            <w:shd w:val="clear" w:color="auto" w:fill="auto"/>
            <w:tcMar>
              <w:left w:w="28" w:type="dxa"/>
              <w:right w:w="28" w:type="dxa"/>
            </w:tcMar>
            <w:vAlign w:val="bottom"/>
          </w:tcPr>
          <w:p w14:paraId="238DF4B7" w14:textId="77777777" w:rsidR="00A974DA" w:rsidRPr="00BE433D" w:rsidRDefault="00A974DA" w:rsidP="00A974DA">
            <w:pPr>
              <w:suppressAutoHyphens w:val="0"/>
              <w:spacing w:before="80" w:after="80" w:line="200" w:lineRule="exact"/>
              <w:jc w:val="right"/>
              <w:rPr>
                <w:i/>
                <w:sz w:val="16"/>
              </w:rPr>
            </w:pPr>
            <w:r w:rsidRPr="00BE433D">
              <w:rPr>
                <w:i/>
                <w:sz w:val="16"/>
              </w:rPr>
              <w:t>городское</w:t>
            </w:r>
          </w:p>
        </w:tc>
        <w:tc>
          <w:tcPr>
            <w:tcW w:w="1047" w:type="dxa"/>
            <w:tcBorders>
              <w:top w:val="single" w:sz="4" w:space="0" w:color="auto"/>
              <w:bottom w:val="single" w:sz="12" w:space="0" w:color="auto"/>
            </w:tcBorders>
            <w:shd w:val="clear" w:color="auto" w:fill="auto"/>
            <w:tcMar>
              <w:left w:w="28" w:type="dxa"/>
              <w:right w:w="28" w:type="dxa"/>
            </w:tcMar>
            <w:vAlign w:val="bottom"/>
          </w:tcPr>
          <w:p w14:paraId="17F1DE7C" w14:textId="77777777" w:rsidR="00A974DA" w:rsidRPr="00BE433D" w:rsidRDefault="00A974DA" w:rsidP="00A974DA">
            <w:pPr>
              <w:suppressAutoHyphens w:val="0"/>
              <w:spacing w:before="80" w:after="80" w:line="200" w:lineRule="exact"/>
              <w:jc w:val="right"/>
              <w:rPr>
                <w:i/>
                <w:sz w:val="16"/>
              </w:rPr>
            </w:pPr>
            <w:r w:rsidRPr="00BE433D">
              <w:rPr>
                <w:i/>
                <w:sz w:val="16"/>
              </w:rPr>
              <w:t>сельское</w:t>
            </w:r>
          </w:p>
        </w:tc>
      </w:tr>
      <w:tr w:rsidR="00A974DA" w:rsidRPr="00BE433D" w14:paraId="71BC3BAC" w14:textId="77777777" w:rsidTr="00A974DA">
        <w:tc>
          <w:tcPr>
            <w:tcW w:w="1276" w:type="dxa"/>
            <w:tcBorders>
              <w:top w:val="single" w:sz="12" w:space="0" w:color="auto"/>
            </w:tcBorders>
            <w:shd w:val="clear" w:color="auto" w:fill="auto"/>
            <w:tcMar>
              <w:left w:w="28" w:type="dxa"/>
              <w:right w:w="28" w:type="dxa"/>
            </w:tcMar>
          </w:tcPr>
          <w:p w14:paraId="1A7CB689" w14:textId="77777777" w:rsidR="00A974DA" w:rsidRPr="00BE433D" w:rsidRDefault="00A974DA" w:rsidP="00A974DA">
            <w:pPr>
              <w:suppressAutoHyphens w:val="0"/>
              <w:spacing w:before="40" w:after="40" w:line="220" w:lineRule="exact"/>
              <w:rPr>
                <w:sz w:val="18"/>
              </w:rPr>
            </w:pPr>
            <w:r w:rsidRPr="00BE433D">
              <w:rPr>
                <w:sz w:val="18"/>
              </w:rPr>
              <w:t>2013</w:t>
            </w:r>
          </w:p>
        </w:tc>
        <w:tc>
          <w:tcPr>
            <w:tcW w:w="955" w:type="dxa"/>
            <w:tcBorders>
              <w:top w:val="single" w:sz="12" w:space="0" w:color="auto"/>
            </w:tcBorders>
            <w:shd w:val="clear" w:color="auto" w:fill="auto"/>
            <w:tcMar>
              <w:left w:w="28" w:type="dxa"/>
              <w:right w:w="28" w:type="dxa"/>
            </w:tcMar>
            <w:vAlign w:val="bottom"/>
          </w:tcPr>
          <w:p w14:paraId="3D735F2A" w14:textId="77777777" w:rsidR="00A974DA" w:rsidRPr="00BE433D" w:rsidRDefault="00A974DA" w:rsidP="00A974DA">
            <w:pPr>
              <w:suppressAutoHyphens w:val="0"/>
              <w:spacing w:before="40" w:after="40" w:line="220" w:lineRule="exact"/>
              <w:jc w:val="right"/>
              <w:rPr>
                <w:sz w:val="18"/>
              </w:rPr>
            </w:pPr>
            <w:r w:rsidRPr="00BE433D">
              <w:rPr>
                <w:sz w:val="18"/>
              </w:rPr>
              <w:t>56</w:t>
            </w:r>
          </w:p>
        </w:tc>
        <w:tc>
          <w:tcPr>
            <w:tcW w:w="956" w:type="dxa"/>
            <w:tcBorders>
              <w:top w:val="single" w:sz="12" w:space="0" w:color="auto"/>
            </w:tcBorders>
            <w:shd w:val="clear" w:color="auto" w:fill="auto"/>
            <w:tcMar>
              <w:left w:w="28" w:type="dxa"/>
              <w:right w:w="28" w:type="dxa"/>
            </w:tcMar>
            <w:vAlign w:val="bottom"/>
          </w:tcPr>
          <w:p w14:paraId="0E16AD58" w14:textId="77777777" w:rsidR="00A974DA" w:rsidRPr="00BE433D" w:rsidRDefault="00A974DA" w:rsidP="00A974DA">
            <w:pPr>
              <w:suppressAutoHyphens w:val="0"/>
              <w:spacing w:before="40" w:after="40" w:line="220" w:lineRule="exact"/>
              <w:jc w:val="right"/>
              <w:rPr>
                <w:sz w:val="18"/>
              </w:rPr>
            </w:pPr>
            <w:r w:rsidRPr="00BE433D">
              <w:rPr>
                <w:sz w:val="18"/>
              </w:rPr>
              <w:t>18</w:t>
            </w:r>
          </w:p>
        </w:tc>
        <w:tc>
          <w:tcPr>
            <w:tcW w:w="956" w:type="dxa"/>
            <w:tcBorders>
              <w:top w:val="single" w:sz="12" w:space="0" w:color="auto"/>
            </w:tcBorders>
            <w:shd w:val="clear" w:color="auto" w:fill="auto"/>
            <w:tcMar>
              <w:left w:w="28" w:type="dxa"/>
              <w:right w:w="28" w:type="dxa"/>
            </w:tcMar>
            <w:vAlign w:val="bottom"/>
          </w:tcPr>
          <w:p w14:paraId="1704CFB4" w14:textId="77777777" w:rsidR="00A974DA" w:rsidRPr="00BE433D" w:rsidRDefault="00A974DA" w:rsidP="00A974DA">
            <w:pPr>
              <w:suppressAutoHyphens w:val="0"/>
              <w:spacing w:before="40" w:after="40" w:line="220" w:lineRule="exact"/>
              <w:jc w:val="right"/>
              <w:rPr>
                <w:sz w:val="18"/>
              </w:rPr>
            </w:pPr>
            <w:r w:rsidRPr="00BE433D">
              <w:rPr>
                <w:sz w:val="18"/>
              </w:rPr>
              <w:t>38</w:t>
            </w:r>
          </w:p>
        </w:tc>
        <w:tc>
          <w:tcPr>
            <w:tcW w:w="86" w:type="dxa"/>
            <w:tcBorders>
              <w:top w:val="single" w:sz="12" w:space="0" w:color="auto"/>
            </w:tcBorders>
          </w:tcPr>
          <w:p w14:paraId="5044E4ED" w14:textId="77777777" w:rsidR="00A974DA" w:rsidRPr="00BE433D" w:rsidRDefault="00A974DA" w:rsidP="00A974DA">
            <w:pPr>
              <w:suppressAutoHyphens w:val="0"/>
              <w:spacing w:before="40" w:after="40" w:line="220" w:lineRule="exact"/>
              <w:jc w:val="right"/>
              <w:rPr>
                <w:sz w:val="18"/>
              </w:rPr>
            </w:pPr>
          </w:p>
        </w:tc>
        <w:tc>
          <w:tcPr>
            <w:tcW w:w="1047" w:type="dxa"/>
            <w:tcBorders>
              <w:top w:val="single" w:sz="12" w:space="0" w:color="auto"/>
            </w:tcBorders>
            <w:shd w:val="clear" w:color="auto" w:fill="auto"/>
            <w:tcMar>
              <w:left w:w="28" w:type="dxa"/>
              <w:right w:w="28" w:type="dxa"/>
            </w:tcMar>
            <w:vAlign w:val="bottom"/>
          </w:tcPr>
          <w:p w14:paraId="2EA0F1DA" w14:textId="173B1297" w:rsidR="00A974DA" w:rsidRPr="00BE433D" w:rsidRDefault="00A974DA" w:rsidP="00A974DA">
            <w:pPr>
              <w:suppressAutoHyphens w:val="0"/>
              <w:spacing w:before="40" w:after="40" w:line="220" w:lineRule="exact"/>
              <w:jc w:val="right"/>
              <w:rPr>
                <w:sz w:val="18"/>
              </w:rPr>
            </w:pPr>
            <w:r w:rsidRPr="00BE433D">
              <w:rPr>
                <w:sz w:val="18"/>
              </w:rPr>
              <w:t>36,0</w:t>
            </w:r>
          </w:p>
        </w:tc>
        <w:tc>
          <w:tcPr>
            <w:tcW w:w="1047" w:type="dxa"/>
            <w:tcBorders>
              <w:top w:val="single" w:sz="12" w:space="0" w:color="auto"/>
            </w:tcBorders>
            <w:shd w:val="clear" w:color="auto" w:fill="auto"/>
            <w:tcMar>
              <w:left w:w="28" w:type="dxa"/>
              <w:right w:w="28" w:type="dxa"/>
            </w:tcMar>
            <w:vAlign w:val="bottom"/>
          </w:tcPr>
          <w:p w14:paraId="6F6AFA48" w14:textId="77777777" w:rsidR="00A974DA" w:rsidRPr="00BE433D" w:rsidRDefault="00A974DA" w:rsidP="00A974DA">
            <w:pPr>
              <w:suppressAutoHyphens w:val="0"/>
              <w:spacing w:before="40" w:after="40" w:line="220" w:lineRule="exact"/>
              <w:jc w:val="right"/>
              <w:rPr>
                <w:sz w:val="18"/>
              </w:rPr>
            </w:pPr>
            <w:r w:rsidRPr="00BE433D">
              <w:rPr>
                <w:sz w:val="18"/>
              </w:rPr>
              <w:t>33,4</w:t>
            </w:r>
          </w:p>
        </w:tc>
        <w:tc>
          <w:tcPr>
            <w:tcW w:w="1047" w:type="dxa"/>
            <w:tcBorders>
              <w:top w:val="single" w:sz="12" w:space="0" w:color="auto"/>
            </w:tcBorders>
            <w:shd w:val="clear" w:color="auto" w:fill="auto"/>
            <w:tcMar>
              <w:left w:w="28" w:type="dxa"/>
              <w:right w:w="28" w:type="dxa"/>
            </w:tcMar>
            <w:vAlign w:val="bottom"/>
          </w:tcPr>
          <w:p w14:paraId="76107DEF" w14:textId="77777777" w:rsidR="00A974DA" w:rsidRPr="00BE433D" w:rsidRDefault="00A974DA" w:rsidP="00A974DA">
            <w:pPr>
              <w:suppressAutoHyphens w:val="0"/>
              <w:spacing w:before="40" w:after="40" w:line="220" w:lineRule="exact"/>
              <w:jc w:val="right"/>
              <w:rPr>
                <w:sz w:val="18"/>
              </w:rPr>
            </w:pPr>
            <w:r w:rsidRPr="00BE433D">
              <w:rPr>
                <w:sz w:val="18"/>
              </w:rPr>
              <w:t>37,4</w:t>
            </w:r>
          </w:p>
        </w:tc>
      </w:tr>
      <w:tr w:rsidR="00A974DA" w:rsidRPr="00BE433D" w14:paraId="1E7485B5" w14:textId="77777777" w:rsidTr="00A974DA">
        <w:tc>
          <w:tcPr>
            <w:tcW w:w="1276" w:type="dxa"/>
            <w:shd w:val="clear" w:color="auto" w:fill="auto"/>
            <w:tcMar>
              <w:left w:w="28" w:type="dxa"/>
              <w:right w:w="28" w:type="dxa"/>
            </w:tcMar>
          </w:tcPr>
          <w:p w14:paraId="5D4A2D71" w14:textId="77777777" w:rsidR="00A974DA" w:rsidRPr="00BE433D" w:rsidRDefault="00A974DA" w:rsidP="00A974DA">
            <w:pPr>
              <w:suppressAutoHyphens w:val="0"/>
              <w:spacing w:before="40" w:after="40" w:line="220" w:lineRule="exact"/>
              <w:rPr>
                <w:sz w:val="18"/>
              </w:rPr>
            </w:pPr>
            <w:r w:rsidRPr="00BE433D">
              <w:rPr>
                <w:sz w:val="18"/>
              </w:rPr>
              <w:t>2014</w:t>
            </w:r>
          </w:p>
        </w:tc>
        <w:tc>
          <w:tcPr>
            <w:tcW w:w="955" w:type="dxa"/>
            <w:shd w:val="clear" w:color="auto" w:fill="auto"/>
            <w:tcMar>
              <w:left w:w="28" w:type="dxa"/>
              <w:right w:w="28" w:type="dxa"/>
            </w:tcMar>
            <w:vAlign w:val="bottom"/>
          </w:tcPr>
          <w:p w14:paraId="01BE40EA" w14:textId="77777777" w:rsidR="00A974DA" w:rsidRPr="00BE433D" w:rsidRDefault="00A974DA" w:rsidP="00A974DA">
            <w:pPr>
              <w:suppressAutoHyphens w:val="0"/>
              <w:spacing w:before="40" w:after="40" w:line="220" w:lineRule="exact"/>
              <w:jc w:val="right"/>
              <w:rPr>
                <w:sz w:val="18"/>
              </w:rPr>
            </w:pPr>
            <w:r w:rsidRPr="00BE433D">
              <w:rPr>
                <w:sz w:val="18"/>
              </w:rPr>
              <w:t>81</w:t>
            </w:r>
          </w:p>
        </w:tc>
        <w:tc>
          <w:tcPr>
            <w:tcW w:w="956" w:type="dxa"/>
            <w:shd w:val="clear" w:color="auto" w:fill="auto"/>
            <w:tcMar>
              <w:left w:w="28" w:type="dxa"/>
              <w:right w:w="28" w:type="dxa"/>
            </w:tcMar>
            <w:vAlign w:val="bottom"/>
          </w:tcPr>
          <w:p w14:paraId="7ACD03F5" w14:textId="77777777" w:rsidR="00A974DA" w:rsidRPr="00BE433D" w:rsidRDefault="00A974DA" w:rsidP="00A974DA">
            <w:pPr>
              <w:suppressAutoHyphens w:val="0"/>
              <w:spacing w:before="40" w:after="40" w:line="220" w:lineRule="exact"/>
              <w:jc w:val="right"/>
              <w:rPr>
                <w:sz w:val="18"/>
              </w:rPr>
            </w:pPr>
            <w:r w:rsidRPr="00BE433D">
              <w:rPr>
                <w:sz w:val="18"/>
              </w:rPr>
              <w:t>21</w:t>
            </w:r>
          </w:p>
        </w:tc>
        <w:tc>
          <w:tcPr>
            <w:tcW w:w="956" w:type="dxa"/>
            <w:shd w:val="clear" w:color="auto" w:fill="auto"/>
            <w:tcMar>
              <w:left w:w="28" w:type="dxa"/>
              <w:right w:w="28" w:type="dxa"/>
            </w:tcMar>
            <w:vAlign w:val="bottom"/>
          </w:tcPr>
          <w:p w14:paraId="261DBBA1" w14:textId="77777777" w:rsidR="00A974DA" w:rsidRPr="00BE433D" w:rsidRDefault="00A974DA" w:rsidP="00A974DA">
            <w:pPr>
              <w:suppressAutoHyphens w:val="0"/>
              <w:spacing w:before="40" w:after="40" w:line="220" w:lineRule="exact"/>
              <w:jc w:val="right"/>
              <w:rPr>
                <w:sz w:val="18"/>
              </w:rPr>
            </w:pPr>
            <w:r w:rsidRPr="00BE433D">
              <w:rPr>
                <w:sz w:val="18"/>
              </w:rPr>
              <w:t>60</w:t>
            </w:r>
          </w:p>
        </w:tc>
        <w:tc>
          <w:tcPr>
            <w:tcW w:w="86" w:type="dxa"/>
          </w:tcPr>
          <w:p w14:paraId="26AB44FE" w14:textId="77777777" w:rsidR="00A974DA" w:rsidRPr="00BE433D" w:rsidRDefault="00A974DA" w:rsidP="00A974DA">
            <w:pPr>
              <w:suppressAutoHyphens w:val="0"/>
              <w:spacing w:before="40" w:after="40" w:line="220" w:lineRule="exact"/>
              <w:jc w:val="right"/>
              <w:rPr>
                <w:sz w:val="18"/>
              </w:rPr>
            </w:pPr>
          </w:p>
        </w:tc>
        <w:tc>
          <w:tcPr>
            <w:tcW w:w="1047" w:type="dxa"/>
            <w:shd w:val="clear" w:color="auto" w:fill="auto"/>
            <w:tcMar>
              <w:left w:w="28" w:type="dxa"/>
              <w:right w:w="28" w:type="dxa"/>
            </w:tcMar>
            <w:vAlign w:val="bottom"/>
          </w:tcPr>
          <w:p w14:paraId="5DB3D000" w14:textId="7E0F292B" w:rsidR="00A974DA" w:rsidRPr="00BE433D" w:rsidRDefault="00A974DA" w:rsidP="00A974DA">
            <w:pPr>
              <w:suppressAutoHyphens w:val="0"/>
              <w:spacing w:before="40" w:after="40" w:line="220" w:lineRule="exact"/>
              <w:jc w:val="right"/>
              <w:rPr>
                <w:sz w:val="18"/>
              </w:rPr>
            </w:pPr>
            <w:r w:rsidRPr="00BE433D">
              <w:rPr>
                <w:sz w:val="18"/>
              </w:rPr>
              <w:t>50,1</w:t>
            </w:r>
          </w:p>
        </w:tc>
        <w:tc>
          <w:tcPr>
            <w:tcW w:w="1047" w:type="dxa"/>
            <w:shd w:val="clear" w:color="auto" w:fill="auto"/>
            <w:tcMar>
              <w:left w:w="28" w:type="dxa"/>
              <w:right w:w="28" w:type="dxa"/>
            </w:tcMar>
            <w:vAlign w:val="bottom"/>
          </w:tcPr>
          <w:p w14:paraId="563F78E6" w14:textId="77777777" w:rsidR="00A974DA" w:rsidRPr="00BE433D" w:rsidRDefault="00A974DA" w:rsidP="00A974DA">
            <w:pPr>
              <w:suppressAutoHyphens w:val="0"/>
              <w:spacing w:before="40" w:after="40" w:line="220" w:lineRule="exact"/>
              <w:jc w:val="right"/>
              <w:rPr>
                <w:sz w:val="18"/>
              </w:rPr>
            </w:pPr>
            <w:r w:rsidRPr="00BE433D">
              <w:rPr>
                <w:sz w:val="18"/>
              </w:rPr>
              <w:t>37,9</w:t>
            </w:r>
          </w:p>
        </w:tc>
        <w:tc>
          <w:tcPr>
            <w:tcW w:w="1047" w:type="dxa"/>
            <w:shd w:val="clear" w:color="auto" w:fill="auto"/>
            <w:tcMar>
              <w:left w:w="28" w:type="dxa"/>
              <w:right w:w="28" w:type="dxa"/>
            </w:tcMar>
            <w:vAlign w:val="bottom"/>
          </w:tcPr>
          <w:p w14:paraId="5C0DF4C8" w14:textId="77777777" w:rsidR="00A974DA" w:rsidRPr="00BE433D" w:rsidRDefault="00A974DA" w:rsidP="00A974DA">
            <w:pPr>
              <w:suppressAutoHyphens w:val="0"/>
              <w:spacing w:before="40" w:after="40" w:line="220" w:lineRule="exact"/>
              <w:jc w:val="right"/>
              <w:rPr>
                <w:sz w:val="18"/>
              </w:rPr>
            </w:pPr>
            <w:r w:rsidRPr="00BE433D">
              <w:rPr>
                <w:sz w:val="18"/>
              </w:rPr>
              <w:t>56,4</w:t>
            </w:r>
          </w:p>
        </w:tc>
      </w:tr>
      <w:tr w:rsidR="00A974DA" w:rsidRPr="00BE433D" w14:paraId="3E15AB41" w14:textId="77777777" w:rsidTr="00A974DA">
        <w:tc>
          <w:tcPr>
            <w:tcW w:w="1276" w:type="dxa"/>
            <w:shd w:val="clear" w:color="auto" w:fill="auto"/>
            <w:tcMar>
              <w:left w:w="28" w:type="dxa"/>
              <w:right w:w="28" w:type="dxa"/>
            </w:tcMar>
          </w:tcPr>
          <w:p w14:paraId="773A3D8D" w14:textId="77777777" w:rsidR="00A974DA" w:rsidRPr="00BE433D" w:rsidRDefault="00A974DA" w:rsidP="00A974DA">
            <w:pPr>
              <w:suppressAutoHyphens w:val="0"/>
              <w:spacing w:before="40" w:after="40" w:line="220" w:lineRule="exact"/>
              <w:rPr>
                <w:sz w:val="18"/>
              </w:rPr>
            </w:pPr>
            <w:r w:rsidRPr="00BE433D">
              <w:rPr>
                <w:sz w:val="18"/>
              </w:rPr>
              <w:t>2015</w:t>
            </w:r>
          </w:p>
        </w:tc>
        <w:tc>
          <w:tcPr>
            <w:tcW w:w="955" w:type="dxa"/>
            <w:shd w:val="clear" w:color="auto" w:fill="auto"/>
            <w:tcMar>
              <w:left w:w="28" w:type="dxa"/>
              <w:right w:w="28" w:type="dxa"/>
            </w:tcMar>
            <w:vAlign w:val="bottom"/>
          </w:tcPr>
          <w:p w14:paraId="10585166" w14:textId="77777777" w:rsidR="00A974DA" w:rsidRPr="00BE433D" w:rsidRDefault="00A974DA" w:rsidP="00A974DA">
            <w:pPr>
              <w:suppressAutoHyphens w:val="0"/>
              <w:spacing w:before="40" w:after="40" w:line="220" w:lineRule="exact"/>
              <w:jc w:val="right"/>
              <w:rPr>
                <w:sz w:val="18"/>
              </w:rPr>
            </w:pPr>
            <w:r w:rsidRPr="00BE433D">
              <w:rPr>
                <w:sz w:val="18"/>
              </w:rPr>
              <w:t>63</w:t>
            </w:r>
          </w:p>
        </w:tc>
        <w:tc>
          <w:tcPr>
            <w:tcW w:w="956" w:type="dxa"/>
            <w:shd w:val="clear" w:color="auto" w:fill="auto"/>
            <w:tcMar>
              <w:left w:w="28" w:type="dxa"/>
              <w:right w:w="28" w:type="dxa"/>
            </w:tcMar>
            <w:vAlign w:val="bottom"/>
          </w:tcPr>
          <w:p w14:paraId="27375D3E" w14:textId="77777777" w:rsidR="00A974DA" w:rsidRPr="00BE433D" w:rsidRDefault="00A974DA" w:rsidP="00A974DA">
            <w:pPr>
              <w:suppressAutoHyphens w:val="0"/>
              <w:spacing w:before="40" w:after="40" w:line="220" w:lineRule="exact"/>
              <w:jc w:val="right"/>
              <w:rPr>
                <w:sz w:val="18"/>
              </w:rPr>
            </w:pPr>
            <w:r w:rsidRPr="00BE433D">
              <w:rPr>
                <w:sz w:val="18"/>
              </w:rPr>
              <w:t>19</w:t>
            </w:r>
          </w:p>
        </w:tc>
        <w:tc>
          <w:tcPr>
            <w:tcW w:w="956" w:type="dxa"/>
            <w:shd w:val="clear" w:color="auto" w:fill="auto"/>
            <w:tcMar>
              <w:left w:w="28" w:type="dxa"/>
              <w:right w:w="28" w:type="dxa"/>
            </w:tcMar>
            <w:vAlign w:val="bottom"/>
          </w:tcPr>
          <w:p w14:paraId="1200ED4A" w14:textId="77777777" w:rsidR="00A974DA" w:rsidRPr="00BE433D" w:rsidRDefault="00A974DA" w:rsidP="00A974DA">
            <w:pPr>
              <w:suppressAutoHyphens w:val="0"/>
              <w:spacing w:before="40" w:after="40" w:line="220" w:lineRule="exact"/>
              <w:jc w:val="right"/>
              <w:rPr>
                <w:sz w:val="18"/>
              </w:rPr>
            </w:pPr>
            <w:r w:rsidRPr="00BE433D">
              <w:rPr>
                <w:sz w:val="18"/>
              </w:rPr>
              <w:t>44</w:t>
            </w:r>
          </w:p>
        </w:tc>
        <w:tc>
          <w:tcPr>
            <w:tcW w:w="86" w:type="dxa"/>
          </w:tcPr>
          <w:p w14:paraId="126EED70" w14:textId="77777777" w:rsidR="00A974DA" w:rsidRPr="00BE433D" w:rsidRDefault="00A974DA" w:rsidP="00A974DA">
            <w:pPr>
              <w:suppressAutoHyphens w:val="0"/>
              <w:spacing w:before="40" w:after="40" w:line="220" w:lineRule="exact"/>
              <w:jc w:val="right"/>
              <w:rPr>
                <w:sz w:val="18"/>
              </w:rPr>
            </w:pPr>
          </w:p>
        </w:tc>
        <w:tc>
          <w:tcPr>
            <w:tcW w:w="1047" w:type="dxa"/>
            <w:shd w:val="clear" w:color="auto" w:fill="auto"/>
            <w:tcMar>
              <w:left w:w="28" w:type="dxa"/>
              <w:right w:w="28" w:type="dxa"/>
            </w:tcMar>
            <w:vAlign w:val="bottom"/>
          </w:tcPr>
          <w:p w14:paraId="489BFA96" w14:textId="13828D2F" w:rsidR="00A974DA" w:rsidRPr="00BE433D" w:rsidRDefault="00A974DA" w:rsidP="00A974DA">
            <w:pPr>
              <w:suppressAutoHyphens w:val="0"/>
              <w:spacing w:before="40" w:after="40" w:line="220" w:lineRule="exact"/>
              <w:jc w:val="right"/>
              <w:rPr>
                <w:sz w:val="18"/>
              </w:rPr>
            </w:pPr>
            <w:r w:rsidRPr="00BE433D">
              <w:rPr>
                <w:sz w:val="18"/>
              </w:rPr>
              <w:t>38,5</w:t>
            </w:r>
          </w:p>
        </w:tc>
        <w:tc>
          <w:tcPr>
            <w:tcW w:w="1047" w:type="dxa"/>
            <w:shd w:val="clear" w:color="auto" w:fill="auto"/>
            <w:tcMar>
              <w:left w:w="28" w:type="dxa"/>
              <w:right w:w="28" w:type="dxa"/>
            </w:tcMar>
            <w:vAlign w:val="bottom"/>
          </w:tcPr>
          <w:p w14:paraId="22E92A01" w14:textId="77777777" w:rsidR="00A974DA" w:rsidRPr="00BE433D" w:rsidRDefault="00A974DA" w:rsidP="00A974DA">
            <w:pPr>
              <w:suppressAutoHyphens w:val="0"/>
              <w:spacing w:before="40" w:after="40" w:line="220" w:lineRule="exact"/>
              <w:jc w:val="right"/>
              <w:rPr>
                <w:sz w:val="18"/>
              </w:rPr>
            </w:pPr>
            <w:r w:rsidRPr="00BE433D">
              <w:rPr>
                <w:sz w:val="18"/>
              </w:rPr>
              <w:t>36,2</w:t>
            </w:r>
          </w:p>
        </w:tc>
        <w:tc>
          <w:tcPr>
            <w:tcW w:w="1047" w:type="dxa"/>
            <w:shd w:val="clear" w:color="auto" w:fill="auto"/>
            <w:tcMar>
              <w:left w:w="28" w:type="dxa"/>
              <w:right w:w="28" w:type="dxa"/>
            </w:tcMar>
            <w:vAlign w:val="bottom"/>
          </w:tcPr>
          <w:p w14:paraId="65FD3636" w14:textId="77777777" w:rsidR="00A974DA" w:rsidRPr="00BE433D" w:rsidRDefault="00A974DA" w:rsidP="00A974DA">
            <w:pPr>
              <w:suppressAutoHyphens w:val="0"/>
              <w:spacing w:before="40" w:after="40" w:line="220" w:lineRule="exact"/>
              <w:jc w:val="right"/>
              <w:rPr>
                <w:sz w:val="18"/>
              </w:rPr>
            </w:pPr>
            <w:r w:rsidRPr="00BE433D">
              <w:rPr>
                <w:sz w:val="18"/>
              </w:rPr>
              <w:t>39,6</w:t>
            </w:r>
          </w:p>
        </w:tc>
      </w:tr>
      <w:tr w:rsidR="00A974DA" w:rsidRPr="00BE433D" w14:paraId="03F2BC01" w14:textId="77777777" w:rsidTr="00A974DA">
        <w:tc>
          <w:tcPr>
            <w:tcW w:w="1276" w:type="dxa"/>
            <w:shd w:val="clear" w:color="auto" w:fill="auto"/>
            <w:tcMar>
              <w:left w:w="28" w:type="dxa"/>
              <w:right w:w="28" w:type="dxa"/>
            </w:tcMar>
          </w:tcPr>
          <w:p w14:paraId="6057BD32" w14:textId="77777777" w:rsidR="00A974DA" w:rsidRPr="00BE433D" w:rsidRDefault="00A974DA" w:rsidP="00A974DA">
            <w:pPr>
              <w:suppressAutoHyphens w:val="0"/>
              <w:spacing w:before="40" w:after="40" w:line="220" w:lineRule="exact"/>
              <w:rPr>
                <w:sz w:val="18"/>
              </w:rPr>
            </w:pPr>
            <w:r w:rsidRPr="00BE433D">
              <w:rPr>
                <w:sz w:val="18"/>
              </w:rPr>
              <w:t>2016</w:t>
            </w:r>
          </w:p>
        </w:tc>
        <w:tc>
          <w:tcPr>
            <w:tcW w:w="955" w:type="dxa"/>
            <w:shd w:val="clear" w:color="auto" w:fill="auto"/>
            <w:tcMar>
              <w:left w:w="28" w:type="dxa"/>
              <w:right w:w="28" w:type="dxa"/>
            </w:tcMar>
            <w:vAlign w:val="bottom"/>
          </w:tcPr>
          <w:p w14:paraId="2102062D" w14:textId="77777777" w:rsidR="00A974DA" w:rsidRPr="00BE433D" w:rsidRDefault="00A974DA" w:rsidP="00A974DA">
            <w:pPr>
              <w:suppressAutoHyphens w:val="0"/>
              <w:spacing w:before="40" w:after="40" w:line="220" w:lineRule="exact"/>
              <w:jc w:val="right"/>
              <w:rPr>
                <w:sz w:val="18"/>
              </w:rPr>
            </w:pPr>
            <w:r w:rsidRPr="00BE433D">
              <w:rPr>
                <w:sz w:val="18"/>
              </w:rPr>
              <w:t>48</w:t>
            </w:r>
          </w:p>
        </w:tc>
        <w:tc>
          <w:tcPr>
            <w:tcW w:w="956" w:type="dxa"/>
            <w:shd w:val="clear" w:color="auto" w:fill="auto"/>
            <w:tcMar>
              <w:left w:w="28" w:type="dxa"/>
              <w:right w:w="28" w:type="dxa"/>
            </w:tcMar>
            <w:vAlign w:val="bottom"/>
          </w:tcPr>
          <w:p w14:paraId="65B3AC1C" w14:textId="77777777" w:rsidR="00A974DA" w:rsidRPr="00BE433D" w:rsidRDefault="00A974DA" w:rsidP="00A974DA">
            <w:pPr>
              <w:suppressAutoHyphens w:val="0"/>
              <w:spacing w:before="40" w:after="40" w:line="220" w:lineRule="exact"/>
              <w:jc w:val="right"/>
              <w:rPr>
                <w:sz w:val="18"/>
              </w:rPr>
            </w:pPr>
            <w:r w:rsidRPr="00BE433D">
              <w:rPr>
                <w:sz w:val="18"/>
              </w:rPr>
              <w:t>11</w:t>
            </w:r>
          </w:p>
        </w:tc>
        <w:tc>
          <w:tcPr>
            <w:tcW w:w="956" w:type="dxa"/>
            <w:shd w:val="clear" w:color="auto" w:fill="auto"/>
            <w:tcMar>
              <w:left w:w="28" w:type="dxa"/>
              <w:right w:w="28" w:type="dxa"/>
            </w:tcMar>
            <w:vAlign w:val="bottom"/>
          </w:tcPr>
          <w:p w14:paraId="38DE9E1E" w14:textId="77777777" w:rsidR="00A974DA" w:rsidRPr="00BE433D" w:rsidRDefault="00A974DA" w:rsidP="00A974DA">
            <w:pPr>
              <w:suppressAutoHyphens w:val="0"/>
              <w:spacing w:before="40" w:after="40" w:line="220" w:lineRule="exact"/>
              <w:jc w:val="right"/>
              <w:rPr>
                <w:sz w:val="18"/>
              </w:rPr>
            </w:pPr>
            <w:r w:rsidRPr="00BE433D">
              <w:rPr>
                <w:sz w:val="18"/>
              </w:rPr>
              <w:t>37</w:t>
            </w:r>
          </w:p>
        </w:tc>
        <w:tc>
          <w:tcPr>
            <w:tcW w:w="86" w:type="dxa"/>
          </w:tcPr>
          <w:p w14:paraId="07C92C58" w14:textId="77777777" w:rsidR="00A974DA" w:rsidRPr="00BE433D" w:rsidRDefault="00A974DA" w:rsidP="00A974DA">
            <w:pPr>
              <w:suppressAutoHyphens w:val="0"/>
              <w:spacing w:before="40" w:after="40" w:line="220" w:lineRule="exact"/>
              <w:jc w:val="right"/>
              <w:rPr>
                <w:sz w:val="18"/>
              </w:rPr>
            </w:pPr>
          </w:p>
        </w:tc>
        <w:tc>
          <w:tcPr>
            <w:tcW w:w="1047" w:type="dxa"/>
            <w:shd w:val="clear" w:color="auto" w:fill="auto"/>
            <w:tcMar>
              <w:left w:w="28" w:type="dxa"/>
              <w:right w:w="28" w:type="dxa"/>
            </w:tcMar>
            <w:vAlign w:val="bottom"/>
          </w:tcPr>
          <w:p w14:paraId="4F64A69C" w14:textId="44979F5B" w:rsidR="00A974DA" w:rsidRPr="00BE433D" w:rsidRDefault="00A974DA" w:rsidP="00A974DA">
            <w:pPr>
              <w:suppressAutoHyphens w:val="0"/>
              <w:spacing w:before="40" w:after="40" w:line="220" w:lineRule="exact"/>
              <w:jc w:val="right"/>
              <w:rPr>
                <w:sz w:val="18"/>
              </w:rPr>
            </w:pPr>
            <w:r w:rsidRPr="00BE433D">
              <w:rPr>
                <w:sz w:val="18"/>
              </w:rPr>
              <w:t>30,3</w:t>
            </w:r>
          </w:p>
        </w:tc>
        <w:tc>
          <w:tcPr>
            <w:tcW w:w="1047" w:type="dxa"/>
            <w:shd w:val="clear" w:color="auto" w:fill="auto"/>
            <w:tcMar>
              <w:left w:w="28" w:type="dxa"/>
              <w:right w:w="28" w:type="dxa"/>
            </w:tcMar>
            <w:vAlign w:val="bottom"/>
          </w:tcPr>
          <w:p w14:paraId="635893F9" w14:textId="77777777" w:rsidR="00A974DA" w:rsidRPr="00BE433D" w:rsidRDefault="00A974DA" w:rsidP="00A974DA">
            <w:pPr>
              <w:suppressAutoHyphens w:val="0"/>
              <w:spacing w:before="40" w:after="40" w:line="220" w:lineRule="exact"/>
              <w:jc w:val="right"/>
              <w:rPr>
                <w:sz w:val="18"/>
              </w:rPr>
            </w:pPr>
            <w:r w:rsidRPr="00BE433D">
              <w:rPr>
                <w:sz w:val="18"/>
              </w:rPr>
              <w:t>21,3</w:t>
            </w:r>
          </w:p>
        </w:tc>
        <w:tc>
          <w:tcPr>
            <w:tcW w:w="1047" w:type="dxa"/>
            <w:shd w:val="clear" w:color="auto" w:fill="auto"/>
            <w:tcMar>
              <w:left w:w="28" w:type="dxa"/>
              <w:right w:w="28" w:type="dxa"/>
            </w:tcMar>
            <w:vAlign w:val="bottom"/>
          </w:tcPr>
          <w:p w14:paraId="5831A779" w14:textId="77777777" w:rsidR="00A974DA" w:rsidRPr="00BE433D" w:rsidRDefault="00A974DA" w:rsidP="00A974DA">
            <w:pPr>
              <w:suppressAutoHyphens w:val="0"/>
              <w:spacing w:before="40" w:after="40" w:line="220" w:lineRule="exact"/>
              <w:jc w:val="right"/>
              <w:rPr>
                <w:sz w:val="18"/>
              </w:rPr>
            </w:pPr>
            <w:r w:rsidRPr="00BE433D">
              <w:rPr>
                <w:sz w:val="18"/>
              </w:rPr>
              <w:t>34,7</w:t>
            </w:r>
          </w:p>
        </w:tc>
      </w:tr>
      <w:tr w:rsidR="00A974DA" w:rsidRPr="00BE433D" w14:paraId="45FFD395" w14:textId="77777777" w:rsidTr="00A974DA">
        <w:tc>
          <w:tcPr>
            <w:tcW w:w="1276" w:type="dxa"/>
            <w:shd w:val="clear" w:color="auto" w:fill="auto"/>
            <w:tcMar>
              <w:left w:w="28" w:type="dxa"/>
              <w:right w:w="28" w:type="dxa"/>
            </w:tcMar>
          </w:tcPr>
          <w:p w14:paraId="12232D2F" w14:textId="77777777" w:rsidR="00A974DA" w:rsidRPr="00BE433D" w:rsidRDefault="00A974DA" w:rsidP="00A974DA">
            <w:pPr>
              <w:suppressAutoHyphens w:val="0"/>
              <w:spacing w:before="40" w:after="40" w:line="220" w:lineRule="exact"/>
              <w:rPr>
                <w:sz w:val="18"/>
              </w:rPr>
            </w:pPr>
            <w:r w:rsidRPr="00BE433D">
              <w:rPr>
                <w:sz w:val="18"/>
              </w:rPr>
              <w:t>2017</w:t>
            </w:r>
          </w:p>
        </w:tc>
        <w:tc>
          <w:tcPr>
            <w:tcW w:w="955" w:type="dxa"/>
            <w:shd w:val="clear" w:color="auto" w:fill="auto"/>
            <w:tcMar>
              <w:left w:w="28" w:type="dxa"/>
              <w:right w:w="28" w:type="dxa"/>
            </w:tcMar>
            <w:vAlign w:val="bottom"/>
          </w:tcPr>
          <w:p w14:paraId="6A892E1A" w14:textId="77777777" w:rsidR="00A974DA" w:rsidRPr="00BE433D" w:rsidRDefault="00A974DA" w:rsidP="00A974DA">
            <w:pPr>
              <w:suppressAutoHyphens w:val="0"/>
              <w:spacing w:before="40" w:after="40" w:line="220" w:lineRule="exact"/>
              <w:jc w:val="right"/>
              <w:rPr>
                <w:sz w:val="18"/>
              </w:rPr>
            </w:pPr>
            <w:r w:rsidRPr="00BE433D">
              <w:rPr>
                <w:sz w:val="18"/>
              </w:rPr>
              <w:t>49</w:t>
            </w:r>
          </w:p>
        </w:tc>
        <w:tc>
          <w:tcPr>
            <w:tcW w:w="956" w:type="dxa"/>
            <w:shd w:val="clear" w:color="auto" w:fill="auto"/>
            <w:tcMar>
              <w:left w:w="28" w:type="dxa"/>
              <w:right w:w="28" w:type="dxa"/>
            </w:tcMar>
            <w:vAlign w:val="bottom"/>
          </w:tcPr>
          <w:p w14:paraId="2BBA86F8" w14:textId="77777777" w:rsidR="00A974DA" w:rsidRPr="00BE433D" w:rsidRDefault="00A974DA" w:rsidP="00A974DA">
            <w:pPr>
              <w:suppressAutoHyphens w:val="0"/>
              <w:spacing w:before="40" w:after="40" w:line="220" w:lineRule="exact"/>
              <w:jc w:val="right"/>
              <w:rPr>
                <w:sz w:val="18"/>
              </w:rPr>
            </w:pPr>
            <w:r w:rsidRPr="00BE433D">
              <w:rPr>
                <w:sz w:val="18"/>
              </w:rPr>
              <w:t>12</w:t>
            </w:r>
          </w:p>
        </w:tc>
        <w:tc>
          <w:tcPr>
            <w:tcW w:w="956" w:type="dxa"/>
            <w:shd w:val="clear" w:color="auto" w:fill="auto"/>
            <w:tcMar>
              <w:left w:w="28" w:type="dxa"/>
              <w:right w:w="28" w:type="dxa"/>
            </w:tcMar>
            <w:vAlign w:val="bottom"/>
          </w:tcPr>
          <w:p w14:paraId="2DD8A4AC" w14:textId="77777777" w:rsidR="00A974DA" w:rsidRPr="00BE433D" w:rsidRDefault="00A974DA" w:rsidP="00A974DA">
            <w:pPr>
              <w:suppressAutoHyphens w:val="0"/>
              <w:spacing w:before="40" w:after="40" w:line="220" w:lineRule="exact"/>
              <w:jc w:val="right"/>
              <w:rPr>
                <w:sz w:val="18"/>
              </w:rPr>
            </w:pPr>
            <w:r w:rsidRPr="00BE433D">
              <w:rPr>
                <w:sz w:val="18"/>
              </w:rPr>
              <w:t>37</w:t>
            </w:r>
          </w:p>
        </w:tc>
        <w:tc>
          <w:tcPr>
            <w:tcW w:w="86" w:type="dxa"/>
          </w:tcPr>
          <w:p w14:paraId="43D490FF" w14:textId="77777777" w:rsidR="00A974DA" w:rsidRPr="00BE433D" w:rsidRDefault="00A974DA" w:rsidP="00A974DA">
            <w:pPr>
              <w:suppressAutoHyphens w:val="0"/>
              <w:spacing w:before="40" w:after="40" w:line="220" w:lineRule="exact"/>
              <w:jc w:val="right"/>
              <w:rPr>
                <w:sz w:val="18"/>
              </w:rPr>
            </w:pPr>
          </w:p>
        </w:tc>
        <w:tc>
          <w:tcPr>
            <w:tcW w:w="1047" w:type="dxa"/>
            <w:shd w:val="clear" w:color="auto" w:fill="auto"/>
            <w:tcMar>
              <w:left w:w="28" w:type="dxa"/>
              <w:right w:w="28" w:type="dxa"/>
            </w:tcMar>
            <w:vAlign w:val="bottom"/>
          </w:tcPr>
          <w:p w14:paraId="6B322662" w14:textId="4BB6EDFB" w:rsidR="00A974DA" w:rsidRPr="00BE433D" w:rsidRDefault="00A974DA" w:rsidP="00A974DA">
            <w:pPr>
              <w:suppressAutoHyphens w:val="0"/>
              <w:spacing w:before="40" w:after="40" w:line="220" w:lineRule="exact"/>
              <w:jc w:val="right"/>
              <w:rPr>
                <w:sz w:val="18"/>
              </w:rPr>
            </w:pPr>
            <w:r w:rsidRPr="00BE433D">
              <w:rPr>
                <w:sz w:val="18"/>
              </w:rPr>
              <w:t>31,9</w:t>
            </w:r>
          </w:p>
        </w:tc>
        <w:tc>
          <w:tcPr>
            <w:tcW w:w="1047" w:type="dxa"/>
            <w:shd w:val="clear" w:color="auto" w:fill="auto"/>
            <w:tcMar>
              <w:left w:w="28" w:type="dxa"/>
              <w:right w:w="28" w:type="dxa"/>
            </w:tcMar>
            <w:vAlign w:val="bottom"/>
          </w:tcPr>
          <w:p w14:paraId="7DF77DE0" w14:textId="77777777" w:rsidR="00A974DA" w:rsidRPr="00BE433D" w:rsidRDefault="00A974DA" w:rsidP="00A974DA">
            <w:pPr>
              <w:suppressAutoHyphens w:val="0"/>
              <w:spacing w:before="40" w:after="40" w:line="220" w:lineRule="exact"/>
              <w:jc w:val="right"/>
              <w:rPr>
                <w:sz w:val="18"/>
              </w:rPr>
            </w:pPr>
            <w:r w:rsidRPr="00BE433D">
              <w:rPr>
                <w:sz w:val="18"/>
              </w:rPr>
              <w:t>22,7</w:t>
            </w:r>
          </w:p>
        </w:tc>
        <w:tc>
          <w:tcPr>
            <w:tcW w:w="1047" w:type="dxa"/>
            <w:shd w:val="clear" w:color="auto" w:fill="auto"/>
            <w:tcMar>
              <w:left w:w="28" w:type="dxa"/>
              <w:right w:w="28" w:type="dxa"/>
            </w:tcMar>
            <w:vAlign w:val="bottom"/>
          </w:tcPr>
          <w:p w14:paraId="1AA4F962" w14:textId="77777777" w:rsidR="00A974DA" w:rsidRPr="00BE433D" w:rsidRDefault="00A974DA" w:rsidP="00A974DA">
            <w:pPr>
              <w:suppressAutoHyphens w:val="0"/>
              <w:spacing w:before="40" w:after="40" w:line="220" w:lineRule="exact"/>
              <w:jc w:val="right"/>
              <w:rPr>
                <w:sz w:val="18"/>
              </w:rPr>
            </w:pPr>
            <w:r w:rsidRPr="00BE433D">
              <w:rPr>
                <w:sz w:val="18"/>
              </w:rPr>
              <w:t>36,7</w:t>
            </w:r>
          </w:p>
        </w:tc>
      </w:tr>
      <w:tr w:rsidR="00A974DA" w:rsidRPr="00BE433D" w14:paraId="20F3CAC9" w14:textId="77777777" w:rsidTr="00A974DA">
        <w:tc>
          <w:tcPr>
            <w:tcW w:w="1276" w:type="dxa"/>
            <w:shd w:val="clear" w:color="auto" w:fill="auto"/>
            <w:tcMar>
              <w:left w:w="28" w:type="dxa"/>
              <w:right w:w="28" w:type="dxa"/>
            </w:tcMar>
          </w:tcPr>
          <w:p w14:paraId="0264D0B3" w14:textId="77777777" w:rsidR="00A974DA" w:rsidRPr="00BE433D" w:rsidRDefault="00A974DA" w:rsidP="00A974DA">
            <w:pPr>
              <w:suppressAutoHyphens w:val="0"/>
              <w:spacing w:before="40" w:after="40" w:line="220" w:lineRule="exact"/>
              <w:rPr>
                <w:sz w:val="18"/>
              </w:rPr>
            </w:pPr>
            <w:r w:rsidRPr="00BE433D">
              <w:rPr>
                <w:sz w:val="18"/>
              </w:rPr>
              <w:t>2018</w:t>
            </w:r>
          </w:p>
        </w:tc>
        <w:tc>
          <w:tcPr>
            <w:tcW w:w="955" w:type="dxa"/>
            <w:shd w:val="clear" w:color="auto" w:fill="auto"/>
            <w:tcMar>
              <w:left w:w="28" w:type="dxa"/>
              <w:right w:w="28" w:type="dxa"/>
            </w:tcMar>
            <w:vAlign w:val="bottom"/>
          </w:tcPr>
          <w:p w14:paraId="70A72722" w14:textId="77777777" w:rsidR="00A974DA" w:rsidRPr="00BE433D" w:rsidRDefault="00A974DA" w:rsidP="00A974DA">
            <w:pPr>
              <w:suppressAutoHyphens w:val="0"/>
              <w:spacing w:before="40" w:after="40" w:line="220" w:lineRule="exact"/>
              <w:jc w:val="right"/>
              <w:rPr>
                <w:sz w:val="18"/>
              </w:rPr>
            </w:pPr>
            <w:r w:rsidRPr="00BE433D">
              <w:rPr>
                <w:sz w:val="18"/>
              </w:rPr>
              <w:t>49</w:t>
            </w:r>
          </w:p>
        </w:tc>
        <w:tc>
          <w:tcPr>
            <w:tcW w:w="956" w:type="dxa"/>
            <w:shd w:val="clear" w:color="auto" w:fill="auto"/>
            <w:tcMar>
              <w:left w:w="28" w:type="dxa"/>
              <w:right w:w="28" w:type="dxa"/>
            </w:tcMar>
            <w:vAlign w:val="bottom"/>
          </w:tcPr>
          <w:p w14:paraId="579547D3" w14:textId="77777777" w:rsidR="00A974DA" w:rsidRPr="00BE433D" w:rsidRDefault="00A974DA" w:rsidP="00A974DA">
            <w:pPr>
              <w:suppressAutoHyphens w:val="0"/>
              <w:spacing w:before="40" w:after="40" w:line="220" w:lineRule="exact"/>
              <w:jc w:val="right"/>
              <w:rPr>
                <w:sz w:val="18"/>
              </w:rPr>
            </w:pPr>
            <w:r w:rsidRPr="00BE433D">
              <w:rPr>
                <w:sz w:val="18"/>
              </w:rPr>
              <w:t>16</w:t>
            </w:r>
          </w:p>
        </w:tc>
        <w:tc>
          <w:tcPr>
            <w:tcW w:w="956" w:type="dxa"/>
            <w:shd w:val="clear" w:color="auto" w:fill="auto"/>
            <w:tcMar>
              <w:left w:w="28" w:type="dxa"/>
              <w:right w:w="28" w:type="dxa"/>
            </w:tcMar>
            <w:vAlign w:val="bottom"/>
          </w:tcPr>
          <w:p w14:paraId="14F15FF8" w14:textId="77777777" w:rsidR="00A974DA" w:rsidRPr="00BE433D" w:rsidRDefault="00A974DA" w:rsidP="00A974DA">
            <w:pPr>
              <w:suppressAutoHyphens w:val="0"/>
              <w:spacing w:before="40" w:after="40" w:line="220" w:lineRule="exact"/>
              <w:jc w:val="right"/>
              <w:rPr>
                <w:sz w:val="18"/>
              </w:rPr>
            </w:pPr>
            <w:r w:rsidRPr="00BE433D">
              <w:rPr>
                <w:sz w:val="18"/>
              </w:rPr>
              <w:t>33</w:t>
            </w:r>
          </w:p>
        </w:tc>
        <w:tc>
          <w:tcPr>
            <w:tcW w:w="86" w:type="dxa"/>
          </w:tcPr>
          <w:p w14:paraId="321B702A" w14:textId="77777777" w:rsidR="00A974DA" w:rsidRPr="00BE433D" w:rsidRDefault="00A974DA" w:rsidP="00A974DA">
            <w:pPr>
              <w:suppressAutoHyphens w:val="0"/>
              <w:spacing w:before="40" w:after="40" w:line="220" w:lineRule="exact"/>
              <w:jc w:val="right"/>
              <w:rPr>
                <w:sz w:val="18"/>
              </w:rPr>
            </w:pPr>
          </w:p>
        </w:tc>
        <w:tc>
          <w:tcPr>
            <w:tcW w:w="1047" w:type="dxa"/>
            <w:shd w:val="clear" w:color="auto" w:fill="auto"/>
            <w:tcMar>
              <w:left w:w="28" w:type="dxa"/>
              <w:right w:w="28" w:type="dxa"/>
            </w:tcMar>
            <w:vAlign w:val="bottom"/>
          </w:tcPr>
          <w:p w14:paraId="0AFB594E" w14:textId="4CCB662B" w:rsidR="00A974DA" w:rsidRPr="00BE433D" w:rsidRDefault="00A974DA" w:rsidP="00A974DA">
            <w:pPr>
              <w:suppressAutoHyphens w:val="0"/>
              <w:spacing w:before="40" w:after="40" w:line="220" w:lineRule="exact"/>
              <w:jc w:val="right"/>
              <w:rPr>
                <w:sz w:val="18"/>
              </w:rPr>
            </w:pPr>
            <w:r w:rsidRPr="00BE433D">
              <w:rPr>
                <w:sz w:val="18"/>
              </w:rPr>
              <w:t>28,6</w:t>
            </w:r>
          </w:p>
        </w:tc>
        <w:tc>
          <w:tcPr>
            <w:tcW w:w="1047" w:type="dxa"/>
            <w:shd w:val="clear" w:color="auto" w:fill="auto"/>
            <w:tcMar>
              <w:left w:w="28" w:type="dxa"/>
              <w:right w:w="28" w:type="dxa"/>
            </w:tcMar>
            <w:vAlign w:val="bottom"/>
          </w:tcPr>
          <w:p w14:paraId="679DBF41" w14:textId="77777777" w:rsidR="00A974DA" w:rsidRPr="00BE433D" w:rsidRDefault="00A974DA" w:rsidP="00A974DA">
            <w:pPr>
              <w:suppressAutoHyphens w:val="0"/>
              <w:spacing w:before="40" w:after="40" w:line="220" w:lineRule="exact"/>
              <w:jc w:val="right"/>
              <w:rPr>
                <w:sz w:val="18"/>
              </w:rPr>
            </w:pPr>
            <w:r w:rsidRPr="00BE433D">
              <w:rPr>
                <w:sz w:val="18"/>
              </w:rPr>
              <w:t>25,8</w:t>
            </w:r>
          </w:p>
        </w:tc>
        <w:tc>
          <w:tcPr>
            <w:tcW w:w="1047" w:type="dxa"/>
            <w:shd w:val="clear" w:color="auto" w:fill="auto"/>
            <w:tcMar>
              <w:left w:w="28" w:type="dxa"/>
              <w:right w:w="28" w:type="dxa"/>
            </w:tcMar>
            <w:vAlign w:val="bottom"/>
          </w:tcPr>
          <w:p w14:paraId="29BF0A1D" w14:textId="77777777" w:rsidR="00A974DA" w:rsidRPr="00BE433D" w:rsidRDefault="00A974DA" w:rsidP="00A974DA">
            <w:pPr>
              <w:suppressAutoHyphens w:val="0"/>
              <w:spacing w:before="40" w:after="40" w:line="220" w:lineRule="exact"/>
              <w:jc w:val="right"/>
              <w:rPr>
                <w:sz w:val="18"/>
              </w:rPr>
            </w:pPr>
            <w:r w:rsidRPr="00BE433D">
              <w:rPr>
                <w:sz w:val="18"/>
              </w:rPr>
              <w:t>30,2</w:t>
            </w:r>
          </w:p>
        </w:tc>
      </w:tr>
      <w:tr w:rsidR="00A974DA" w:rsidRPr="00BE433D" w14:paraId="29844E8D" w14:textId="77777777" w:rsidTr="00A974DA">
        <w:tc>
          <w:tcPr>
            <w:tcW w:w="1276" w:type="dxa"/>
            <w:tcBorders>
              <w:bottom w:val="single" w:sz="12" w:space="0" w:color="auto"/>
            </w:tcBorders>
            <w:shd w:val="clear" w:color="auto" w:fill="auto"/>
            <w:tcMar>
              <w:left w:w="28" w:type="dxa"/>
              <w:right w:w="28" w:type="dxa"/>
            </w:tcMar>
          </w:tcPr>
          <w:p w14:paraId="43B7491A" w14:textId="77777777" w:rsidR="00A974DA" w:rsidRPr="00BE433D" w:rsidRDefault="00A974DA" w:rsidP="00A974DA">
            <w:pPr>
              <w:suppressAutoHyphens w:val="0"/>
              <w:spacing w:before="40" w:after="40" w:line="220" w:lineRule="exact"/>
              <w:rPr>
                <w:sz w:val="18"/>
              </w:rPr>
            </w:pPr>
            <w:r w:rsidRPr="00BE433D">
              <w:rPr>
                <w:sz w:val="18"/>
              </w:rPr>
              <w:t>2019</w:t>
            </w:r>
          </w:p>
        </w:tc>
        <w:tc>
          <w:tcPr>
            <w:tcW w:w="955" w:type="dxa"/>
            <w:tcBorders>
              <w:bottom w:val="single" w:sz="12" w:space="0" w:color="auto"/>
            </w:tcBorders>
            <w:shd w:val="clear" w:color="auto" w:fill="auto"/>
            <w:tcMar>
              <w:left w:w="28" w:type="dxa"/>
              <w:right w:w="28" w:type="dxa"/>
            </w:tcMar>
            <w:vAlign w:val="bottom"/>
          </w:tcPr>
          <w:p w14:paraId="697C3A3E" w14:textId="77777777" w:rsidR="00A974DA" w:rsidRPr="00BE433D" w:rsidRDefault="00A974DA" w:rsidP="00A974DA">
            <w:pPr>
              <w:suppressAutoHyphens w:val="0"/>
              <w:spacing w:before="40" w:after="40" w:line="220" w:lineRule="exact"/>
              <w:jc w:val="right"/>
              <w:rPr>
                <w:sz w:val="18"/>
              </w:rPr>
            </w:pPr>
            <w:r w:rsidRPr="00BE433D">
              <w:rPr>
                <w:sz w:val="18"/>
              </w:rPr>
              <w:t>43</w:t>
            </w:r>
          </w:p>
        </w:tc>
        <w:tc>
          <w:tcPr>
            <w:tcW w:w="956" w:type="dxa"/>
            <w:tcBorders>
              <w:bottom w:val="single" w:sz="12" w:space="0" w:color="auto"/>
            </w:tcBorders>
            <w:shd w:val="clear" w:color="auto" w:fill="auto"/>
            <w:tcMar>
              <w:left w:w="28" w:type="dxa"/>
              <w:right w:w="28" w:type="dxa"/>
            </w:tcMar>
            <w:vAlign w:val="bottom"/>
          </w:tcPr>
          <w:p w14:paraId="5DD34785" w14:textId="77777777" w:rsidR="00A974DA" w:rsidRPr="00BE433D" w:rsidRDefault="00A974DA" w:rsidP="00A974DA">
            <w:pPr>
              <w:suppressAutoHyphens w:val="0"/>
              <w:spacing w:before="40" w:after="40" w:line="220" w:lineRule="exact"/>
              <w:jc w:val="right"/>
              <w:rPr>
                <w:sz w:val="18"/>
              </w:rPr>
            </w:pPr>
            <w:r w:rsidRPr="00BE433D">
              <w:rPr>
                <w:sz w:val="18"/>
              </w:rPr>
              <w:t>19</w:t>
            </w:r>
          </w:p>
        </w:tc>
        <w:tc>
          <w:tcPr>
            <w:tcW w:w="956" w:type="dxa"/>
            <w:tcBorders>
              <w:bottom w:val="single" w:sz="12" w:space="0" w:color="auto"/>
            </w:tcBorders>
            <w:shd w:val="clear" w:color="auto" w:fill="auto"/>
            <w:tcMar>
              <w:left w:w="28" w:type="dxa"/>
              <w:right w:w="28" w:type="dxa"/>
            </w:tcMar>
            <w:vAlign w:val="bottom"/>
          </w:tcPr>
          <w:p w14:paraId="0D6BA1D8" w14:textId="77777777" w:rsidR="00A974DA" w:rsidRPr="00BE433D" w:rsidRDefault="00A974DA" w:rsidP="00A974DA">
            <w:pPr>
              <w:suppressAutoHyphens w:val="0"/>
              <w:spacing w:before="40" w:after="40" w:line="220" w:lineRule="exact"/>
              <w:jc w:val="right"/>
              <w:rPr>
                <w:sz w:val="18"/>
              </w:rPr>
            </w:pPr>
            <w:r w:rsidRPr="00BE433D">
              <w:rPr>
                <w:sz w:val="18"/>
              </w:rPr>
              <w:t>24</w:t>
            </w:r>
          </w:p>
        </w:tc>
        <w:tc>
          <w:tcPr>
            <w:tcW w:w="86" w:type="dxa"/>
            <w:tcBorders>
              <w:bottom w:val="single" w:sz="12" w:space="0" w:color="auto"/>
            </w:tcBorders>
          </w:tcPr>
          <w:p w14:paraId="70BB3D64" w14:textId="77777777" w:rsidR="00A974DA" w:rsidRPr="00BE433D" w:rsidRDefault="00A974DA" w:rsidP="00A974DA">
            <w:pPr>
              <w:suppressAutoHyphens w:val="0"/>
              <w:spacing w:before="40" w:after="40" w:line="220" w:lineRule="exact"/>
              <w:jc w:val="right"/>
              <w:rPr>
                <w:sz w:val="18"/>
              </w:rPr>
            </w:pPr>
          </w:p>
        </w:tc>
        <w:tc>
          <w:tcPr>
            <w:tcW w:w="1047" w:type="dxa"/>
            <w:tcBorders>
              <w:bottom w:val="single" w:sz="12" w:space="0" w:color="auto"/>
            </w:tcBorders>
            <w:shd w:val="clear" w:color="auto" w:fill="auto"/>
            <w:tcMar>
              <w:left w:w="28" w:type="dxa"/>
              <w:right w:w="28" w:type="dxa"/>
            </w:tcMar>
            <w:vAlign w:val="bottom"/>
          </w:tcPr>
          <w:p w14:paraId="752C9DDA" w14:textId="61AACE5A" w:rsidR="00A974DA" w:rsidRPr="00BE433D" w:rsidRDefault="00A974DA" w:rsidP="00A974DA">
            <w:pPr>
              <w:suppressAutoHyphens w:val="0"/>
              <w:spacing w:before="40" w:after="40" w:line="220" w:lineRule="exact"/>
              <w:jc w:val="right"/>
              <w:rPr>
                <w:sz w:val="18"/>
              </w:rPr>
            </w:pPr>
            <w:r w:rsidRPr="00BE433D">
              <w:rPr>
                <w:sz w:val="18"/>
              </w:rPr>
              <w:t>24,8</w:t>
            </w:r>
          </w:p>
        </w:tc>
        <w:tc>
          <w:tcPr>
            <w:tcW w:w="1047" w:type="dxa"/>
            <w:tcBorders>
              <w:bottom w:val="single" w:sz="12" w:space="0" w:color="auto"/>
            </w:tcBorders>
            <w:shd w:val="clear" w:color="auto" w:fill="auto"/>
            <w:tcMar>
              <w:left w:w="28" w:type="dxa"/>
              <w:right w:w="28" w:type="dxa"/>
            </w:tcMar>
            <w:vAlign w:val="bottom"/>
          </w:tcPr>
          <w:p w14:paraId="4BB0B1DA" w14:textId="77777777" w:rsidR="00A974DA" w:rsidRPr="00BE433D" w:rsidRDefault="00A974DA" w:rsidP="00A974DA">
            <w:pPr>
              <w:suppressAutoHyphens w:val="0"/>
              <w:spacing w:before="40" w:after="40" w:line="220" w:lineRule="exact"/>
              <w:jc w:val="right"/>
              <w:rPr>
                <w:sz w:val="18"/>
              </w:rPr>
            </w:pPr>
            <w:r w:rsidRPr="00BE433D">
              <w:rPr>
                <w:sz w:val="18"/>
              </w:rPr>
              <w:t>28,8</w:t>
            </w:r>
          </w:p>
        </w:tc>
        <w:tc>
          <w:tcPr>
            <w:tcW w:w="1047" w:type="dxa"/>
            <w:tcBorders>
              <w:bottom w:val="single" w:sz="12" w:space="0" w:color="auto"/>
            </w:tcBorders>
            <w:shd w:val="clear" w:color="auto" w:fill="auto"/>
            <w:tcMar>
              <w:left w:w="28" w:type="dxa"/>
              <w:right w:w="28" w:type="dxa"/>
            </w:tcMar>
            <w:vAlign w:val="bottom"/>
          </w:tcPr>
          <w:p w14:paraId="54A3C333" w14:textId="77777777" w:rsidR="00A974DA" w:rsidRPr="00BE433D" w:rsidRDefault="00A974DA" w:rsidP="00A974DA">
            <w:pPr>
              <w:suppressAutoHyphens w:val="0"/>
              <w:spacing w:before="40" w:after="40" w:line="220" w:lineRule="exact"/>
              <w:jc w:val="right"/>
              <w:rPr>
                <w:sz w:val="18"/>
              </w:rPr>
            </w:pPr>
            <w:r w:rsidRPr="00BE433D">
              <w:rPr>
                <w:sz w:val="18"/>
              </w:rPr>
              <w:t>22,3</w:t>
            </w:r>
          </w:p>
        </w:tc>
      </w:tr>
    </w:tbl>
    <w:p w14:paraId="53C63497" w14:textId="77777777" w:rsidR="009D5435" w:rsidRPr="00BE433D" w:rsidRDefault="009D5435" w:rsidP="009D5435">
      <w:pPr>
        <w:pStyle w:val="H1G"/>
      </w:pPr>
      <w:r w:rsidRPr="00BE433D">
        <w:tab/>
      </w:r>
      <w:r w:rsidRPr="00BE433D">
        <w:tab/>
      </w:r>
      <w:proofErr w:type="spellStart"/>
      <w:r w:rsidRPr="00BE433D">
        <w:rPr>
          <w:szCs w:val="24"/>
        </w:rPr>
        <w:t>Cтатья</w:t>
      </w:r>
      <w:proofErr w:type="spellEnd"/>
      <w:r w:rsidRPr="00BE433D">
        <w:rPr>
          <w:szCs w:val="24"/>
        </w:rPr>
        <w:t xml:space="preserve"> 25</w:t>
      </w:r>
      <w:r w:rsidRPr="00BE433D">
        <w:rPr>
          <w:szCs w:val="24"/>
        </w:rPr>
        <w:br/>
      </w:r>
      <w:r w:rsidRPr="00BE433D">
        <w:t>Загрязнение окружающей среды и почвы</w:t>
      </w:r>
    </w:p>
    <w:p w14:paraId="75DC55A0" w14:textId="77777777" w:rsidR="009D5435" w:rsidRPr="00BE433D" w:rsidRDefault="009D5435" w:rsidP="009D5435">
      <w:pPr>
        <w:pStyle w:val="SingleTxtG"/>
      </w:pPr>
      <w:r w:rsidRPr="00BE433D">
        <w:t>421.</w:t>
      </w:r>
      <w:r w:rsidRPr="00BE433D">
        <w:tab/>
        <w:t xml:space="preserve">В целях обеспечения безопасности объектов уранового наследия (хвостохранилищ и горных отвалов), снижения риска возникновения радиационно-опасных экологических катастроф МЧС реализуется ряд международных проектов, именно: </w:t>
      </w:r>
    </w:p>
    <w:p w14:paraId="20CDD3FD" w14:textId="77777777" w:rsidR="009D5435" w:rsidRPr="00BE433D" w:rsidRDefault="009D5435" w:rsidP="009D5435">
      <w:pPr>
        <w:pStyle w:val="Bullet1G"/>
        <w:numPr>
          <w:ilvl w:val="0"/>
          <w:numId w:val="0"/>
        </w:numPr>
        <w:tabs>
          <w:tab w:val="left" w:pos="1701"/>
        </w:tabs>
        <w:ind w:left="1701" w:hanging="170"/>
      </w:pPr>
      <w:r w:rsidRPr="00BE433D">
        <w:t>•</w:t>
      </w:r>
      <w:r w:rsidRPr="00BE433D">
        <w:tab/>
        <w:t xml:space="preserve">в рамках грантовой помощи Европейского союза реализуется проект Европейского союза по проведению комплексной оценки воздействия на окружающую среду и разработке технико-экономического обоснования безопасного обращения и рекультивации бывшего уранового комплекса </w:t>
      </w:r>
      <w:r w:rsidRPr="00BE433D">
        <w:br/>
        <w:t xml:space="preserve">в г. </w:t>
      </w:r>
      <w:proofErr w:type="spellStart"/>
      <w:r w:rsidRPr="00BE433D">
        <w:t>Майлуу-Суу</w:t>
      </w:r>
      <w:proofErr w:type="spellEnd"/>
      <w:r w:rsidRPr="00BE433D">
        <w:t>, ратифицированного Законом КР (2016 год).</w:t>
      </w:r>
    </w:p>
    <w:p w14:paraId="134A43F0" w14:textId="1FBDC1D6" w:rsidR="009D5435" w:rsidRPr="00BE433D" w:rsidRDefault="009D5435" w:rsidP="009D5435">
      <w:pPr>
        <w:pStyle w:val="SingleTxtG"/>
      </w:pPr>
      <w:r w:rsidRPr="00BE433D">
        <w:t>422.</w:t>
      </w:r>
      <w:r w:rsidRPr="00BE433D">
        <w:tab/>
        <w:t xml:space="preserve">Проводятся </w:t>
      </w:r>
      <w:proofErr w:type="spellStart"/>
      <w:r w:rsidR="00B94BC2">
        <w:t>исследовательско</w:t>
      </w:r>
      <w:proofErr w:type="spellEnd"/>
      <w:r w:rsidRPr="00BE433D">
        <w:t>-изыскательные мероприятия, комплексное и детальное изучение текущего состояния окружающей среды, оценка радиологических рисков, их воздействия на здоровье населения, социально-экономическую ситуацию</w:t>
      </w:r>
      <w:r w:rsidRPr="00BE433D">
        <w:rPr>
          <w:rStyle w:val="a8"/>
        </w:rPr>
        <w:t>.</w:t>
      </w:r>
      <w:r w:rsidRPr="00BE433D">
        <w:t xml:space="preserve"> После завершения указанного проекта планируется переход к II этапу — рекультивации объектов.</w:t>
      </w:r>
    </w:p>
    <w:p w14:paraId="231D1C6A" w14:textId="2F0DEB1D" w:rsidR="009D5435" w:rsidRPr="00BE433D" w:rsidRDefault="009D5435" w:rsidP="009D5435">
      <w:pPr>
        <w:pStyle w:val="SingleTxtG"/>
      </w:pPr>
      <w:r w:rsidRPr="00BE433D">
        <w:t>423.</w:t>
      </w:r>
      <w:r w:rsidRPr="00BE433D">
        <w:tab/>
        <w:t xml:space="preserve">В рамках Счета экологической реабилитации для Центральной Азии (СЭР): в период 2015–2017 годов реализовывался проект Европейского союза по проведению комплексной оценки воздействия на окружающую среду и разработке технико-экономического обоснования для рекультивации комплекса урановых рудников в </w:t>
      </w:r>
      <w:r w:rsidR="00477F1D">
        <w:br/>
      </w:r>
      <w:proofErr w:type="spellStart"/>
      <w:r w:rsidRPr="00BE433D">
        <w:t>н</w:t>
      </w:r>
      <w:r w:rsidRPr="00AD72AD">
        <w:rPr>
          <w:rStyle w:val="a8"/>
          <w:sz w:val="20"/>
          <w:vertAlign w:val="baseline"/>
        </w:rPr>
        <w:t>.</w:t>
      </w:r>
      <w:r w:rsidRPr="00BE433D">
        <w:t>п</w:t>
      </w:r>
      <w:proofErr w:type="spellEnd"/>
      <w:r w:rsidRPr="00AD72AD">
        <w:rPr>
          <w:rStyle w:val="a8"/>
          <w:sz w:val="20"/>
          <w:vertAlign w:val="baseline"/>
        </w:rPr>
        <w:t>.</w:t>
      </w:r>
      <w:r w:rsidRPr="00BE433D">
        <w:t xml:space="preserve"> </w:t>
      </w:r>
      <w:proofErr w:type="spellStart"/>
      <w:r w:rsidRPr="00BE433D">
        <w:t>Шекафтар</w:t>
      </w:r>
      <w:proofErr w:type="spellEnd"/>
      <w:r w:rsidRPr="00BE433D">
        <w:t xml:space="preserve"> и Мин-Куш, одобренный распоряжением правительства (2012 год).</w:t>
      </w:r>
    </w:p>
    <w:p w14:paraId="2ED7DA43" w14:textId="56669568" w:rsidR="009D5435" w:rsidRPr="00BE433D" w:rsidRDefault="009D5435" w:rsidP="009D5435">
      <w:pPr>
        <w:pStyle w:val="SingleTxtG"/>
      </w:pPr>
      <w:r w:rsidRPr="00BE433D">
        <w:t>424</w:t>
      </w:r>
      <w:r w:rsidRPr="00AD72AD">
        <w:rPr>
          <w:rStyle w:val="a8"/>
          <w:sz w:val="20"/>
          <w:vertAlign w:val="baseline"/>
        </w:rPr>
        <w:t>.</w:t>
      </w:r>
      <w:r w:rsidRPr="00BE433D">
        <w:tab/>
        <w:t xml:space="preserve">Долгосрочная цель проекта — это безопасное управление и рекультивация площадок уранового наследия Мин-Куш и </w:t>
      </w:r>
      <w:proofErr w:type="spellStart"/>
      <w:r w:rsidRPr="00BE433D">
        <w:t>Шекафтар</w:t>
      </w:r>
      <w:proofErr w:type="spellEnd"/>
      <w:r w:rsidR="00506167" w:rsidRPr="00506167">
        <w:t>.</w:t>
      </w:r>
      <w:r w:rsidRPr="00BE433D">
        <w:t xml:space="preserve"> Подготовлены комплексные концептуальные планы по управлению и рекультивации площадок Мин-Куш и </w:t>
      </w:r>
      <w:proofErr w:type="spellStart"/>
      <w:r w:rsidRPr="00BE433D">
        <w:t>Шекафтар</w:t>
      </w:r>
      <w:proofErr w:type="spellEnd"/>
      <w:r w:rsidRPr="00BE433D">
        <w:t xml:space="preserve">, включая критерии и стандарты для проведения </w:t>
      </w:r>
      <w:proofErr w:type="spellStart"/>
      <w:r w:rsidRPr="00BE433D">
        <w:t>рекультивационных</w:t>
      </w:r>
      <w:proofErr w:type="spellEnd"/>
      <w:r w:rsidRPr="00BE433D">
        <w:t xml:space="preserve"> работ, определения воздействия на окружающую среду, а также меры по снижению воздействия, безопасности и вопросов радиационной защиты</w:t>
      </w:r>
      <w:r w:rsidR="00506167" w:rsidRPr="00506167">
        <w:t>.</w:t>
      </w:r>
    </w:p>
    <w:p w14:paraId="29DD0852" w14:textId="77777777" w:rsidR="009D5435" w:rsidRPr="00BE433D" w:rsidRDefault="009D5435" w:rsidP="009D5435">
      <w:pPr>
        <w:pStyle w:val="SingleTxtG"/>
      </w:pPr>
      <w:r w:rsidRPr="00BE433D">
        <w:t>425.</w:t>
      </w:r>
      <w:r w:rsidRPr="00BE433D">
        <w:tab/>
        <w:t>Рекультивация площадок планируется в рамках созданного под управлением Европейского банка реконструкции и развития (ЕБРР) «Счета экологической реабилитации для Центральной Азии» в соответствии с Рамочным соглашением между правительством и ЕБРР, ратифицированным Законом (2017 год) со сроком реализации — 2017–2029 годы.</w:t>
      </w:r>
    </w:p>
    <w:p w14:paraId="1F94EC4F" w14:textId="0C8A83AA" w:rsidR="009D5435" w:rsidRPr="00506167" w:rsidRDefault="009D5435" w:rsidP="009D5435">
      <w:pPr>
        <w:pStyle w:val="SingleTxtG"/>
      </w:pPr>
      <w:r w:rsidRPr="00BE433D">
        <w:t>426</w:t>
      </w:r>
      <w:r w:rsidR="00506167" w:rsidRPr="00506167">
        <w:t>.</w:t>
      </w:r>
      <w:r w:rsidRPr="00BE433D">
        <w:tab/>
        <w:t>Приоритет восстановительных проектов будет определяться Ассамблеей доноров при условии наличия средств</w:t>
      </w:r>
      <w:r w:rsidR="00506167" w:rsidRPr="00506167">
        <w:t>.</w:t>
      </w:r>
      <w:r w:rsidRPr="00BE433D">
        <w:t xml:space="preserve"> Текущие проекты Европейского союза станут основой для работы Счета</w:t>
      </w:r>
      <w:r w:rsidR="002B01FB">
        <w:t>.</w:t>
      </w:r>
      <w:r w:rsidRPr="00BE433D">
        <w:t xml:space="preserve"> По итогам донорской конференции (ноябрь 2019 года) Европейский союз и государства США, Бельгия, Швейцария, Норвегия и Литва выразили свои намерения о выделении финансовых средств на Счет экологической реабилитации для Центральной Азии (по предварительным данным, около </w:t>
      </w:r>
      <w:r w:rsidRPr="00BE433D">
        <w:br/>
        <w:t>17 млн евро)</w:t>
      </w:r>
      <w:r w:rsidR="00506167" w:rsidRPr="00506167">
        <w:t>.</w:t>
      </w:r>
    </w:p>
    <w:p w14:paraId="2F3A6738" w14:textId="5346FCE5" w:rsidR="009D5435" w:rsidRPr="00BE433D" w:rsidRDefault="009D5435" w:rsidP="009D5435">
      <w:pPr>
        <w:pStyle w:val="SingleTxtG"/>
      </w:pPr>
      <w:r w:rsidRPr="00BE433D">
        <w:t>427.</w:t>
      </w:r>
      <w:r w:rsidRPr="00BE433D">
        <w:tab/>
        <w:t>С учетом того, что на Счет в конце 2016 года поступил взнос Европейской Комиссии в размере 16, 5 млн евро, в данное время на счету Фонда аккумулировано 45 млн евро для Кыргызстана, Узбекистана и Таджикистана</w:t>
      </w:r>
      <w:r w:rsidR="00506167" w:rsidRPr="00506167">
        <w:t>.</w:t>
      </w:r>
    </w:p>
    <w:p w14:paraId="6E96A4FC" w14:textId="39DF3B01" w:rsidR="009D5435" w:rsidRPr="00BE433D" w:rsidRDefault="009D5435" w:rsidP="009D5435">
      <w:pPr>
        <w:pStyle w:val="SingleTxtG"/>
      </w:pPr>
      <w:r w:rsidRPr="00BE433D">
        <w:t>428.</w:t>
      </w:r>
      <w:r w:rsidRPr="00BE433D">
        <w:tab/>
        <w:t>Также в рамках СНГ (ранее — ЕврАзЭС) в 2013 году начата реализация Межгосударственной Целевой Программы «Рекультивация территорий государств, подвергшихся воздействию уранодобывающих производств» (далее — Программа)</w:t>
      </w:r>
      <w:r w:rsidRPr="00BE433D">
        <w:rPr>
          <w:rStyle w:val="a8"/>
        </w:rPr>
        <w:t>.</w:t>
      </w:r>
      <w:r w:rsidRPr="00BE433D">
        <w:t xml:space="preserve"> Срок реализации — 2013–2023 годы (согласно решению СГП СНГ от 28 октября 2016 года, г</w:t>
      </w:r>
      <w:r w:rsidR="005668F2" w:rsidRPr="00506167">
        <w:t>.</w:t>
      </w:r>
      <w:r w:rsidRPr="00BE433D">
        <w:t> Минск)</w:t>
      </w:r>
      <w:r w:rsidR="00506167" w:rsidRPr="00506167">
        <w:t>.</w:t>
      </w:r>
    </w:p>
    <w:p w14:paraId="244448FE" w14:textId="35D0F4D5" w:rsidR="009D5435" w:rsidRPr="00BE433D" w:rsidRDefault="009D5435" w:rsidP="009D5435">
      <w:pPr>
        <w:pStyle w:val="SingleTxtG"/>
      </w:pPr>
      <w:r w:rsidRPr="00BE433D">
        <w:t>429</w:t>
      </w:r>
      <w:r w:rsidR="00506167" w:rsidRPr="00506167">
        <w:t>.</w:t>
      </w:r>
      <w:r w:rsidRPr="00BE433D">
        <w:tab/>
        <w:t xml:space="preserve">В ноябре 2019 года завершены основные </w:t>
      </w:r>
      <w:proofErr w:type="spellStart"/>
      <w:r w:rsidRPr="00BE433D">
        <w:t>рекультивационные</w:t>
      </w:r>
      <w:proofErr w:type="spellEnd"/>
      <w:r w:rsidRPr="00BE433D">
        <w:t xml:space="preserve"> работы на хвостохранилище в п</w:t>
      </w:r>
      <w:r w:rsidRPr="00BE433D">
        <w:rPr>
          <w:rStyle w:val="a8"/>
        </w:rPr>
        <w:t>.</w:t>
      </w:r>
      <w:r w:rsidRPr="00BE433D">
        <w:t xml:space="preserve"> </w:t>
      </w:r>
      <w:proofErr w:type="spellStart"/>
      <w:r w:rsidRPr="00BE433D">
        <w:t>Каджи</w:t>
      </w:r>
      <w:proofErr w:type="spellEnd"/>
      <w:r w:rsidRPr="00BE433D">
        <w:t>-Сай, произведена государственная приемка объекта в соответствии с законодательством Кыргызской Республики</w:t>
      </w:r>
      <w:r w:rsidR="00506167" w:rsidRPr="00506167">
        <w:t>.</w:t>
      </w:r>
    </w:p>
    <w:p w14:paraId="6AB0EC0C" w14:textId="4636E1CC" w:rsidR="009D5435" w:rsidRPr="00BE433D" w:rsidRDefault="009D5435" w:rsidP="009D5435">
      <w:pPr>
        <w:pStyle w:val="SingleTxtG"/>
      </w:pPr>
      <w:r w:rsidRPr="00BE433D">
        <w:t>430</w:t>
      </w:r>
      <w:r w:rsidR="00506167" w:rsidRPr="00506167">
        <w:t>.</w:t>
      </w:r>
      <w:r w:rsidRPr="00BE433D">
        <w:tab/>
        <w:t>В п</w:t>
      </w:r>
      <w:r w:rsidR="00711165" w:rsidRPr="00506167">
        <w:t>.</w:t>
      </w:r>
      <w:r w:rsidRPr="00BE433D">
        <w:t xml:space="preserve"> Мин-Куш ведутся подготовительные работы (строительство временных зданий и сооружений, технологической дороги) для проведения строительно-монтажных работ по рекультивации</w:t>
      </w:r>
      <w:r w:rsidR="00506167" w:rsidRPr="00506167">
        <w:t>.</w:t>
      </w:r>
    </w:p>
    <w:p w14:paraId="205C75E8" w14:textId="149751A4" w:rsidR="009D5435" w:rsidRPr="00BE433D" w:rsidRDefault="009D5435" w:rsidP="009D5435">
      <w:pPr>
        <w:pStyle w:val="SingleTxtG"/>
      </w:pPr>
      <w:r w:rsidRPr="00BE433D">
        <w:t>431</w:t>
      </w:r>
      <w:r w:rsidR="00506167" w:rsidRPr="00506167">
        <w:t>.</w:t>
      </w:r>
      <w:r w:rsidRPr="00BE433D">
        <w:tab/>
        <w:t>С 2008 года в рамках различных международных проектов проведена инвентаризация устаревших пестицидов</w:t>
      </w:r>
      <w:r w:rsidR="00506167" w:rsidRPr="00506167">
        <w:t>.</w:t>
      </w:r>
      <w:r w:rsidRPr="00BE433D">
        <w:t xml:space="preserve"> Выявлено 42 склада и 3 могильника устаревших пестицидов, общим количеством более 5000 тонн</w:t>
      </w:r>
      <w:r w:rsidR="00506167" w:rsidRPr="00506167">
        <w:t>.</w:t>
      </w:r>
      <w:r w:rsidRPr="00BE433D">
        <w:t xml:space="preserve"> Разработан проектный документ для одобрения ГЭФ проекта «Демонстрация нетермической обработки </w:t>
      </w:r>
      <w:r w:rsidRPr="00BE433D">
        <w:br/>
        <w:t>ДДТ-содержащих отходов в странах Центральной Азии (Таджикистан и Кыргызстан)»</w:t>
      </w:r>
      <w:r w:rsidR="00506167" w:rsidRPr="00506167">
        <w:rPr>
          <w:rStyle w:val="a8"/>
          <w:sz w:val="20"/>
          <w:vertAlign w:val="baseline"/>
        </w:rPr>
        <w:t>.</w:t>
      </w:r>
      <w:r w:rsidRPr="00BE433D">
        <w:t xml:space="preserve"> В рамках проекта планируется уничтожение устаревших пестицидов в могильнике «Сузак А»</w:t>
      </w:r>
      <w:r w:rsidR="00506167" w:rsidRPr="00506167">
        <w:t>.</w:t>
      </w:r>
    </w:p>
    <w:p w14:paraId="16240E30" w14:textId="1C8A39D0" w:rsidR="009D5435" w:rsidRPr="00BE433D" w:rsidRDefault="009D5435" w:rsidP="009D5435">
      <w:pPr>
        <w:pStyle w:val="SingleTxtG"/>
      </w:pPr>
      <w:r w:rsidRPr="00BE433D">
        <w:t>432</w:t>
      </w:r>
      <w:r w:rsidR="00506167" w:rsidRPr="00506167">
        <w:t>.</w:t>
      </w:r>
      <w:r w:rsidRPr="00BE433D">
        <w:tab/>
        <w:t xml:space="preserve">Проведена переупаковка и складирование устаревших пестицидов в Ошской области, а также на складах Ат-Баши и </w:t>
      </w:r>
      <w:proofErr w:type="spellStart"/>
      <w:r w:rsidRPr="00BE433D">
        <w:t>Балыкчы</w:t>
      </w:r>
      <w:proofErr w:type="spellEnd"/>
      <w:r w:rsidR="00506167" w:rsidRPr="00506167">
        <w:t>.</w:t>
      </w:r>
    </w:p>
    <w:p w14:paraId="0041172A" w14:textId="77777777" w:rsidR="009D5435" w:rsidRPr="00BE433D" w:rsidRDefault="009D5435" w:rsidP="009D5435">
      <w:pPr>
        <w:pStyle w:val="SingleTxtG"/>
      </w:pPr>
      <w:r w:rsidRPr="00BE433D">
        <w:rPr>
          <w:b/>
        </w:rPr>
        <w:tab/>
      </w:r>
      <w:r w:rsidRPr="00BE433D">
        <w:rPr>
          <w:bCs/>
        </w:rPr>
        <w:t>b)</w:t>
      </w:r>
      <w:r w:rsidRPr="00BE433D">
        <w:rPr>
          <w:bCs/>
        </w:rPr>
        <w:tab/>
      </w:r>
      <w:proofErr w:type="spellStart"/>
      <w:r w:rsidRPr="00BE433D">
        <w:t>Хайдарканский</w:t>
      </w:r>
      <w:proofErr w:type="spellEnd"/>
      <w:r w:rsidRPr="00BE433D">
        <w:t xml:space="preserve"> ртутный комбинат в настоящее время закрыть нельзя, необходимо перепрофилировать в целях защиты материального и социального благосостояния жителей поселка </w:t>
      </w:r>
      <w:proofErr w:type="spellStart"/>
      <w:r w:rsidRPr="00BE433D">
        <w:t>Хайдаркан</w:t>
      </w:r>
      <w:proofErr w:type="spellEnd"/>
      <w:r w:rsidRPr="00BE433D">
        <w:t>. Проводятся следующие действия:</w:t>
      </w:r>
    </w:p>
    <w:p w14:paraId="5C2263EC" w14:textId="77777777" w:rsidR="009D5435" w:rsidRPr="00BE433D" w:rsidRDefault="009D5435" w:rsidP="009D5435">
      <w:pPr>
        <w:pStyle w:val="Bullet1G"/>
        <w:numPr>
          <w:ilvl w:val="0"/>
          <w:numId w:val="0"/>
        </w:numPr>
        <w:tabs>
          <w:tab w:val="left" w:pos="1701"/>
        </w:tabs>
        <w:ind w:left="1701" w:hanging="170"/>
      </w:pPr>
      <w:r w:rsidRPr="00BE433D">
        <w:t>•</w:t>
      </w:r>
      <w:r w:rsidRPr="00BE433D">
        <w:tab/>
        <w:t>на комбинате идет работа по внедрению прогрессивной технологии переработки комплексной руды, позволяющей повысить коэффициенты извлечения сурьмы, ртути и флюорита более чем в два раза по сравнению с действовавшей технологией;</w:t>
      </w:r>
    </w:p>
    <w:p w14:paraId="2E604162" w14:textId="77777777" w:rsidR="009D5435" w:rsidRPr="00BE433D" w:rsidRDefault="009D5435" w:rsidP="009D5435">
      <w:pPr>
        <w:pStyle w:val="Bullet1G"/>
        <w:numPr>
          <w:ilvl w:val="0"/>
          <w:numId w:val="0"/>
        </w:numPr>
        <w:tabs>
          <w:tab w:val="left" w:pos="1701"/>
        </w:tabs>
        <w:ind w:left="1701" w:hanging="170"/>
      </w:pPr>
      <w:r w:rsidRPr="00BE433D">
        <w:t>•</w:t>
      </w:r>
      <w:r w:rsidRPr="00BE433D">
        <w:tab/>
        <w:t>в настоящее время на комбинате трудятся около 400 человек, после полного запуска планируется увеличение численности работников до 600;</w:t>
      </w:r>
    </w:p>
    <w:p w14:paraId="3DB91D00" w14:textId="3DAE075E" w:rsidR="009D5435" w:rsidRPr="00BE433D" w:rsidRDefault="009D5435" w:rsidP="009D5435">
      <w:pPr>
        <w:pStyle w:val="Bullet1G"/>
        <w:numPr>
          <w:ilvl w:val="0"/>
          <w:numId w:val="0"/>
        </w:numPr>
        <w:tabs>
          <w:tab w:val="left" w:pos="1701"/>
        </w:tabs>
        <w:ind w:left="1701" w:hanging="170"/>
      </w:pPr>
      <w:r w:rsidRPr="00BE433D">
        <w:t>•</w:t>
      </w:r>
      <w:r w:rsidRPr="00BE433D">
        <w:tab/>
        <w:t xml:space="preserve">ведется совместная работа с </w:t>
      </w:r>
      <w:proofErr w:type="spellStart"/>
      <w:r w:rsidRPr="00BE433D">
        <w:t>ОсОО</w:t>
      </w:r>
      <w:proofErr w:type="spellEnd"/>
      <w:r w:rsidRPr="00BE433D">
        <w:t xml:space="preserve"> «Сурьма-</w:t>
      </w:r>
      <w:proofErr w:type="spellStart"/>
      <w:r w:rsidRPr="00BE433D">
        <w:t>Таш</w:t>
      </w:r>
      <w:proofErr w:type="spellEnd"/>
      <w:r w:rsidRPr="00BE433D">
        <w:t>», которым уже построено и запушен мини-завод по производству металлической сурьмы</w:t>
      </w:r>
      <w:r w:rsidR="00506167" w:rsidRPr="00506167">
        <w:t>.</w:t>
      </w:r>
    </w:p>
    <w:p w14:paraId="019A5F06" w14:textId="48FD70CF" w:rsidR="009D5435" w:rsidRPr="00BE433D" w:rsidRDefault="009D5435" w:rsidP="009D5435">
      <w:pPr>
        <w:pStyle w:val="SingleTxtG"/>
      </w:pPr>
      <w:r w:rsidRPr="00BE433D">
        <w:rPr>
          <w:b/>
        </w:rPr>
        <w:tab/>
      </w:r>
      <w:r w:rsidRPr="00BE433D">
        <w:rPr>
          <w:bCs/>
        </w:rPr>
        <w:t>c)</w:t>
      </w:r>
      <w:r w:rsidRPr="00BE433D">
        <w:tab/>
        <w:t>В соответствии с санитарными правилами, утвержденными постановлением правительства (2016 г</w:t>
      </w:r>
      <w:r w:rsidRPr="00506167">
        <w:rPr>
          <w:rStyle w:val="a8"/>
          <w:sz w:val="20"/>
          <w:vertAlign w:val="baseline"/>
        </w:rPr>
        <w:t>од</w:t>
      </w:r>
      <w:r w:rsidRPr="00BE433D">
        <w:t>), при планировании строительства необходимо соблюдать нормативы по Санитарно-защитным зонам и санитарной классификации предприятий, сооружений и иных объектов</w:t>
      </w:r>
      <w:r w:rsidR="00506167" w:rsidRPr="00506167">
        <w:t>.</w:t>
      </w:r>
    </w:p>
    <w:p w14:paraId="1A3C0A60" w14:textId="536E4FD9" w:rsidR="009D5435" w:rsidRPr="00BE433D" w:rsidRDefault="009D5435" w:rsidP="009D5435">
      <w:pPr>
        <w:pStyle w:val="SingleTxtG"/>
      </w:pPr>
      <w:r w:rsidRPr="00BE433D">
        <w:t>433</w:t>
      </w:r>
      <w:r w:rsidR="00506167" w:rsidRPr="00506167">
        <w:t>.</w:t>
      </w:r>
      <w:r w:rsidRPr="00BE433D">
        <w:tab/>
        <w:t>В жилмассиве Ала-</w:t>
      </w:r>
      <w:proofErr w:type="spellStart"/>
      <w:r w:rsidRPr="00BE433D">
        <w:t>Тоо</w:t>
      </w:r>
      <w:proofErr w:type="spellEnd"/>
      <w:r w:rsidRPr="00BE433D">
        <w:t xml:space="preserve"> Ленинского района г</w:t>
      </w:r>
      <w:r w:rsidR="00506167" w:rsidRPr="00506167">
        <w:t>.</w:t>
      </w:r>
      <w:r w:rsidRPr="00BE433D">
        <w:t xml:space="preserve"> Бишкек имеется один сибиреязвенный очаг, зарегистрированный 6 ноября 1940 года на территории бывшего колхоза «Красная заря» </w:t>
      </w:r>
      <w:proofErr w:type="spellStart"/>
      <w:r w:rsidRPr="00BE433D">
        <w:t>Сокулукского</w:t>
      </w:r>
      <w:proofErr w:type="spellEnd"/>
      <w:r w:rsidRPr="00BE433D">
        <w:t xml:space="preserve"> района</w:t>
      </w:r>
      <w:r w:rsidR="00506167" w:rsidRPr="00506167">
        <w:t>.</w:t>
      </w:r>
      <w:r w:rsidRPr="00BE433D">
        <w:t xml:space="preserve"> Данный очаг паспортизирован 20</w:t>
      </w:r>
      <w:r w:rsidRPr="00506167">
        <w:rPr>
          <w:rStyle w:val="a8"/>
          <w:sz w:val="20"/>
          <w:vertAlign w:val="baseline"/>
        </w:rPr>
        <w:t xml:space="preserve"> октября </w:t>
      </w:r>
      <w:r w:rsidRPr="00BE433D">
        <w:t>1965 года, в котором с 1940 по 1946 год были захоронены трупы животных (лошадей — 3, крупного рогатого скота — 3 и мелкого рогатого скота — 3 головы), павшие от сибирской язвы</w:t>
      </w:r>
      <w:r w:rsidR="00506167" w:rsidRPr="00506167">
        <w:t>.</w:t>
      </w:r>
    </w:p>
    <w:p w14:paraId="0C66CA43" w14:textId="1B539056" w:rsidR="009D5435" w:rsidRPr="00BE433D" w:rsidRDefault="009D5435" w:rsidP="009D5435">
      <w:pPr>
        <w:pStyle w:val="SingleTxtG"/>
      </w:pPr>
      <w:r w:rsidRPr="00BE433D">
        <w:t>434</w:t>
      </w:r>
      <w:r w:rsidR="00506167" w:rsidRPr="00506167">
        <w:t>.</w:t>
      </w:r>
      <w:r w:rsidRPr="00BE433D">
        <w:tab/>
        <w:t xml:space="preserve">В 2005 году на сессии </w:t>
      </w:r>
      <w:proofErr w:type="spellStart"/>
      <w:r w:rsidRPr="00BE433D">
        <w:t>Бишкекского</w:t>
      </w:r>
      <w:proofErr w:type="spellEnd"/>
      <w:r w:rsidRPr="00BE433D">
        <w:t xml:space="preserve"> городского </w:t>
      </w:r>
      <w:proofErr w:type="spellStart"/>
      <w:r w:rsidRPr="00BE433D">
        <w:t>кенеша</w:t>
      </w:r>
      <w:proofErr w:type="spellEnd"/>
      <w:r w:rsidRPr="00BE433D">
        <w:t xml:space="preserve"> принято постановление (2005 год) о запрещении строительства в санитарно-защитной зоне, переселении людей на другие территории, завершении строительных работ по ограждению скотомогильника, проведении лабораторных исследований воды и почвы в жилмассиве Ала-</w:t>
      </w:r>
      <w:proofErr w:type="spellStart"/>
      <w:r w:rsidRPr="00BE433D">
        <w:t>Тоо</w:t>
      </w:r>
      <w:proofErr w:type="spellEnd"/>
      <w:r w:rsidRPr="00BE433D">
        <w:t xml:space="preserve"> и возле скотомогильника</w:t>
      </w:r>
      <w:r w:rsidR="00506167" w:rsidRPr="00506167">
        <w:t>.</w:t>
      </w:r>
    </w:p>
    <w:p w14:paraId="5E6A32F5" w14:textId="59A0649B" w:rsidR="009D5435" w:rsidRPr="00BE433D" w:rsidRDefault="009D5435" w:rsidP="009D5435">
      <w:pPr>
        <w:pStyle w:val="SingleTxtG"/>
      </w:pPr>
      <w:r w:rsidRPr="00BE433D">
        <w:t>435</w:t>
      </w:r>
      <w:r w:rsidR="00506167" w:rsidRPr="00506167">
        <w:t>.</w:t>
      </w:r>
      <w:r w:rsidRPr="00BE433D">
        <w:tab/>
        <w:t>В данном очаге ежегодно проводится двукратная (весенняя и осеняя) санация с отбором проб почвы на лабораторный анализ</w:t>
      </w:r>
      <w:r w:rsidR="00506167" w:rsidRPr="00506167">
        <w:t>.</w:t>
      </w:r>
    </w:p>
    <w:p w14:paraId="2B31D58E" w14:textId="3613950C" w:rsidR="009D5435" w:rsidRPr="00BE433D" w:rsidRDefault="009D5435" w:rsidP="009D5435">
      <w:pPr>
        <w:pStyle w:val="SingleTxtG"/>
      </w:pPr>
      <w:r w:rsidRPr="00BE433D">
        <w:t>436</w:t>
      </w:r>
      <w:r w:rsidR="00506167" w:rsidRPr="00506167">
        <w:t>.</w:t>
      </w:r>
      <w:r w:rsidRPr="00BE433D">
        <w:tab/>
        <w:t>Согласно результату исследований почвы, возбудитель сибирской язвы не выявлен, качество дезинфекции удовлетворительное</w:t>
      </w:r>
      <w:r w:rsidR="00506167" w:rsidRPr="00506167">
        <w:t>.</w:t>
      </w:r>
    </w:p>
    <w:p w14:paraId="31DA8400" w14:textId="310FC557" w:rsidR="009D5435" w:rsidRPr="00BE433D" w:rsidRDefault="009D5435" w:rsidP="009D5435">
      <w:pPr>
        <w:pStyle w:val="SingleTxtG"/>
      </w:pPr>
      <w:r w:rsidRPr="00BE433D">
        <w:t>437</w:t>
      </w:r>
      <w:r w:rsidR="00506167" w:rsidRPr="00506167">
        <w:t>.</w:t>
      </w:r>
      <w:r w:rsidRPr="00BE433D">
        <w:tab/>
        <w:t>В целях снижения рисков от негативного воздействия ртути на здоровье населения проведены следующие действия:</w:t>
      </w:r>
    </w:p>
    <w:p w14:paraId="2706BE8E" w14:textId="77777777" w:rsidR="009D5435" w:rsidRPr="00BE433D" w:rsidRDefault="009D5435" w:rsidP="009D5435">
      <w:pPr>
        <w:pStyle w:val="Bullet1G"/>
        <w:numPr>
          <w:ilvl w:val="0"/>
          <w:numId w:val="0"/>
        </w:numPr>
        <w:tabs>
          <w:tab w:val="left" w:pos="1701"/>
        </w:tabs>
        <w:ind w:left="1701" w:hanging="170"/>
      </w:pPr>
      <w:r w:rsidRPr="00BE433D">
        <w:t>•</w:t>
      </w:r>
      <w:r w:rsidRPr="00BE433D">
        <w:tab/>
        <w:t>разработаны и внесены изменения в Закон «Об отходах производства и потребления», который был принят Парламентом 7 марта 2019 года;</w:t>
      </w:r>
    </w:p>
    <w:p w14:paraId="48C91D29" w14:textId="77777777" w:rsidR="009D5435" w:rsidRPr="00BE433D" w:rsidRDefault="009D5435" w:rsidP="009D5435">
      <w:pPr>
        <w:pStyle w:val="Bullet1G"/>
        <w:numPr>
          <w:ilvl w:val="0"/>
          <w:numId w:val="0"/>
        </w:numPr>
        <w:tabs>
          <w:tab w:val="left" w:pos="1701"/>
        </w:tabs>
        <w:ind w:left="1701" w:hanging="170"/>
      </w:pPr>
      <w:r w:rsidRPr="00BE433D">
        <w:t>•</w:t>
      </w:r>
      <w:r w:rsidRPr="00BE433D">
        <w:tab/>
        <w:t>принято постановление правительства «О вопросах по обращению с медицинскими отходами и работе с ртутьсодержащими изделиями в организациях здравоохранения» (2019 год).</w:t>
      </w:r>
    </w:p>
    <w:p w14:paraId="667083FC" w14:textId="77777777" w:rsidR="009D5435" w:rsidRPr="00BE433D" w:rsidRDefault="009D5435" w:rsidP="009D5435">
      <w:pPr>
        <w:pStyle w:val="SingleTxtG"/>
      </w:pPr>
      <w:r w:rsidRPr="00BE433D">
        <w:t>438.</w:t>
      </w:r>
      <w:r w:rsidRPr="00BE433D">
        <w:tab/>
        <w:t>Разработаны и приняты следующие нормативные правовые акты:</w:t>
      </w:r>
    </w:p>
    <w:p w14:paraId="05844F70" w14:textId="77777777" w:rsidR="009D5435" w:rsidRPr="00BE433D" w:rsidRDefault="009D5435" w:rsidP="009D5435">
      <w:pPr>
        <w:pStyle w:val="Bullet1G"/>
        <w:numPr>
          <w:ilvl w:val="0"/>
          <w:numId w:val="0"/>
        </w:numPr>
        <w:tabs>
          <w:tab w:val="left" w:pos="1701"/>
        </w:tabs>
        <w:ind w:left="1701" w:hanging="170"/>
      </w:pPr>
      <w:r w:rsidRPr="00BE433D">
        <w:t>•</w:t>
      </w:r>
      <w:r w:rsidRPr="00BE433D">
        <w:tab/>
        <w:t>проект Закона «О внесении изменений в некоторые законодательные акты» (в законы «О лицензионно-разрешительной системе», «О радиационной безопасности населения») и внесен на рассмотрение в Парламент;</w:t>
      </w:r>
    </w:p>
    <w:p w14:paraId="3FE83CF3" w14:textId="77777777" w:rsidR="009D5435" w:rsidRPr="00BE433D" w:rsidRDefault="009D5435" w:rsidP="009D5435">
      <w:pPr>
        <w:pStyle w:val="Bullet1G"/>
        <w:numPr>
          <w:ilvl w:val="0"/>
          <w:numId w:val="0"/>
        </w:numPr>
        <w:tabs>
          <w:tab w:val="left" w:pos="1701"/>
        </w:tabs>
        <w:ind w:left="1701" w:hanging="170"/>
      </w:pPr>
      <w:r w:rsidRPr="00BE433D">
        <w:t>•</w:t>
      </w:r>
      <w:r w:rsidRPr="00BE433D">
        <w:tab/>
        <w:t xml:space="preserve">распоряжением правительства утвержден комплексный план поддержки ядерной и радиационной безопасности на 2021–2024 годы (2021 год); </w:t>
      </w:r>
    </w:p>
    <w:p w14:paraId="4B771822" w14:textId="03658478" w:rsidR="009D5435" w:rsidRPr="00BE433D" w:rsidRDefault="009D5435" w:rsidP="009D5435">
      <w:pPr>
        <w:pStyle w:val="Bullet1G"/>
        <w:numPr>
          <w:ilvl w:val="0"/>
          <w:numId w:val="0"/>
        </w:numPr>
        <w:tabs>
          <w:tab w:val="left" w:pos="1701"/>
        </w:tabs>
        <w:ind w:left="1701" w:hanging="170"/>
      </w:pPr>
      <w:r w:rsidRPr="00BE433D">
        <w:t>•</w:t>
      </w:r>
      <w:r w:rsidRPr="00BE433D">
        <w:tab/>
        <w:t>для эффективного учета и контроля источников ионизирующего излучения (далее — ИИИ) установлена последняя (новая) версия программы по учету ИИИ «ARIS v2</w:t>
      </w:r>
      <w:r w:rsidRPr="00BE433D">
        <w:rPr>
          <w:rStyle w:val="a8"/>
        </w:rPr>
        <w:t>.</w:t>
      </w:r>
      <w:r w:rsidRPr="00BE433D">
        <w:t>5»</w:t>
      </w:r>
      <w:r w:rsidR="00D91FBC" w:rsidRPr="00506167">
        <w:t>.</w:t>
      </w:r>
      <w:r w:rsidRPr="00BE433D">
        <w:t xml:space="preserve"> Разработано Положение о Национальном реестре источников ионизирующего излучения;</w:t>
      </w:r>
    </w:p>
    <w:p w14:paraId="32E5B2BC" w14:textId="77777777" w:rsidR="009D5435" w:rsidRPr="00BE433D" w:rsidRDefault="009D5435" w:rsidP="009D5435">
      <w:pPr>
        <w:pStyle w:val="Bullet1G"/>
        <w:numPr>
          <w:ilvl w:val="0"/>
          <w:numId w:val="0"/>
        </w:numPr>
        <w:tabs>
          <w:tab w:val="left" w:pos="1701"/>
        </w:tabs>
        <w:ind w:left="1701" w:hanging="170"/>
      </w:pPr>
      <w:r w:rsidRPr="00BE433D">
        <w:t>•</w:t>
      </w:r>
      <w:r w:rsidRPr="00BE433D">
        <w:tab/>
        <w:t>постановление правительства «Об утверждении Соглашения о сотрудничестве государств — участников СНГ в области обращения с отходами электронного и электротехнического оборудования, подписанного 1 июня 2018 года в городе Душанбе»;</w:t>
      </w:r>
    </w:p>
    <w:p w14:paraId="31069CBB" w14:textId="77777777" w:rsidR="009D5435" w:rsidRPr="00BE433D" w:rsidRDefault="009D5435" w:rsidP="009D5435">
      <w:pPr>
        <w:pStyle w:val="Bullet1G"/>
        <w:numPr>
          <w:ilvl w:val="0"/>
          <w:numId w:val="0"/>
        </w:numPr>
        <w:tabs>
          <w:tab w:val="left" w:pos="1701"/>
        </w:tabs>
        <w:ind w:left="1701" w:hanging="170"/>
      </w:pPr>
      <w:r w:rsidRPr="00BE433D">
        <w:t>•</w:t>
      </w:r>
      <w:r w:rsidRPr="00BE433D">
        <w:tab/>
        <w:t xml:space="preserve">распоряжение правительства (2018 год) — Страновая рамочная программа сотрудничества Кыргызской Республики с МАГАТЭ на период </w:t>
      </w:r>
      <w:r w:rsidRPr="00BE433D">
        <w:br/>
        <w:t xml:space="preserve">2018–2023 годов, которая подписана 17 сентября 2018 года, </w:t>
      </w:r>
      <w:r w:rsidRPr="00BE433D">
        <w:br/>
        <w:t>на шестьдесят второй Генеральной конференции МАГАТЭ;</w:t>
      </w:r>
    </w:p>
    <w:p w14:paraId="65B781E1" w14:textId="77777777" w:rsidR="009D5435" w:rsidRPr="00BE433D" w:rsidRDefault="009D5435" w:rsidP="009D5435">
      <w:pPr>
        <w:pStyle w:val="Bullet1G"/>
        <w:numPr>
          <w:ilvl w:val="0"/>
          <w:numId w:val="0"/>
        </w:numPr>
        <w:tabs>
          <w:tab w:val="left" w:pos="1701"/>
        </w:tabs>
        <w:ind w:left="1701" w:hanging="170"/>
      </w:pPr>
      <w:r w:rsidRPr="00BE433D">
        <w:t>•</w:t>
      </w:r>
      <w:r w:rsidRPr="00BE433D">
        <w:tab/>
        <w:t>распоряжение правительства (2019 г</w:t>
      </w:r>
      <w:r w:rsidRPr="00506167">
        <w:rPr>
          <w:rStyle w:val="a8"/>
          <w:sz w:val="20"/>
          <w:vertAlign w:val="baseline"/>
        </w:rPr>
        <w:t>од</w:t>
      </w:r>
      <w:r w:rsidRPr="00BE433D">
        <w:t>) об утверждении Плана действий по выполнению Стокгольмской конвенции о стойких органических загрязнителях;</w:t>
      </w:r>
    </w:p>
    <w:p w14:paraId="4BFE8DAC" w14:textId="77777777" w:rsidR="009D5435" w:rsidRPr="00BE433D" w:rsidRDefault="009D5435" w:rsidP="009D5435">
      <w:pPr>
        <w:pStyle w:val="Bullet1G"/>
        <w:numPr>
          <w:ilvl w:val="0"/>
          <w:numId w:val="0"/>
        </w:numPr>
        <w:tabs>
          <w:tab w:val="left" w:pos="1701"/>
        </w:tabs>
        <w:ind w:left="1701" w:hanging="170"/>
      </w:pPr>
      <w:r w:rsidRPr="00BE433D">
        <w:t>•</w:t>
      </w:r>
      <w:r w:rsidRPr="00BE433D">
        <w:tab/>
        <w:t>в соотве</w:t>
      </w:r>
      <w:r>
        <w:t>т</w:t>
      </w:r>
      <w:r w:rsidRPr="00BE433D">
        <w:t>ствии с постановлением правительства (2001 год) запрещен ввоз и использование на территории страны СОЗ-содержащих пестицидов</w:t>
      </w:r>
      <w:r w:rsidRPr="00506167">
        <w:rPr>
          <w:rStyle w:val="a8"/>
          <w:sz w:val="20"/>
          <w:vertAlign w:val="baseline"/>
        </w:rPr>
        <w:t>;</w:t>
      </w:r>
    </w:p>
    <w:p w14:paraId="7F8DDFC4" w14:textId="2776CD07" w:rsidR="009D5435" w:rsidRPr="00BE433D" w:rsidRDefault="009D5435" w:rsidP="009D5435">
      <w:pPr>
        <w:pStyle w:val="Bullet1G"/>
        <w:numPr>
          <w:ilvl w:val="0"/>
          <w:numId w:val="0"/>
        </w:numPr>
        <w:tabs>
          <w:tab w:val="left" w:pos="1701"/>
        </w:tabs>
        <w:ind w:left="1701" w:hanging="170"/>
      </w:pPr>
      <w:r w:rsidRPr="00BE433D">
        <w:t>•</w:t>
      </w:r>
      <w:r w:rsidRPr="00BE433D">
        <w:tab/>
        <w:t>согласно Решению Коллегии Евразийской экономической комиссии «О мерах нетарифного регулирования» (2015 год) запрещен ввоз на территорию ЕАЭС СОЗ-содержащих пестицидов</w:t>
      </w:r>
      <w:r w:rsidR="00506167" w:rsidRPr="00506167">
        <w:t>.</w:t>
      </w:r>
    </w:p>
    <w:p w14:paraId="00CE4BB5" w14:textId="1EF85D4F" w:rsidR="009D5435" w:rsidRPr="00BE433D" w:rsidRDefault="009D5435" w:rsidP="009D5435">
      <w:pPr>
        <w:pStyle w:val="SingleTxtG"/>
      </w:pPr>
      <w:r w:rsidRPr="00BE433D">
        <w:rPr>
          <w:b/>
        </w:rPr>
        <w:tab/>
      </w:r>
      <w:r w:rsidRPr="00BE433D">
        <w:rPr>
          <w:bCs/>
        </w:rPr>
        <w:t>f)</w:t>
      </w:r>
      <w:r w:rsidRPr="00BE433D">
        <w:rPr>
          <w:b/>
        </w:rPr>
        <w:tab/>
      </w:r>
      <w:r w:rsidRPr="00BE433D">
        <w:t>Информация по химической и радиационной безопасности систематически размещается на сайтах ГАООСЛХ, а также в печати, радио, на телевидении и интернет-ресурсах</w:t>
      </w:r>
      <w:r w:rsidR="00506167" w:rsidRPr="00506167">
        <w:t>.</w:t>
      </w:r>
    </w:p>
    <w:p w14:paraId="053B08A5" w14:textId="6CBCF11B" w:rsidR="009D5435" w:rsidRPr="00BE433D" w:rsidRDefault="009D5435" w:rsidP="009D5435">
      <w:pPr>
        <w:pStyle w:val="SingleTxtG"/>
      </w:pPr>
      <w:r w:rsidRPr="00BE433D">
        <w:t>439</w:t>
      </w:r>
      <w:r w:rsidR="00506167" w:rsidRPr="00506167">
        <w:t>.</w:t>
      </w:r>
      <w:r w:rsidRPr="00BE433D">
        <w:tab/>
        <w:t>В рамках реализованного проекта «Социально-экономическое развитие населенных пунктов, расположенных вблизи радиоактивных хвостохранилищ в Кыргызстане» проведены мероприятия по повышению информированности местного населения и созданию регулярного мониторинга окружающей среды, повышению потенциала местных органов власти и сообщества</w:t>
      </w:r>
      <w:r w:rsidR="00506167" w:rsidRPr="00506167">
        <w:t>.</w:t>
      </w:r>
    </w:p>
    <w:p w14:paraId="44C743A9" w14:textId="22D4764A" w:rsidR="009D5435" w:rsidRPr="00BE433D" w:rsidRDefault="009D5435" w:rsidP="009D5435">
      <w:pPr>
        <w:pStyle w:val="SingleTxtG"/>
      </w:pPr>
      <w:r w:rsidRPr="00BE433D">
        <w:t>440</w:t>
      </w:r>
      <w:r w:rsidR="00506167" w:rsidRPr="00506167">
        <w:t>.</w:t>
      </w:r>
      <w:r w:rsidRPr="00BE433D">
        <w:tab/>
        <w:t>На постоянной основе проводятся соответствующая разъяснительная работа среди населения, проживающего вблизи хвостохранилищ и горных отвалов</w:t>
      </w:r>
      <w:r w:rsidR="00506167" w:rsidRPr="00506167">
        <w:t>.</w:t>
      </w:r>
    </w:p>
    <w:p w14:paraId="2B7B85B1" w14:textId="07AF005A" w:rsidR="009D5435" w:rsidRPr="00BE433D" w:rsidRDefault="009D5435" w:rsidP="009D5435">
      <w:pPr>
        <w:pStyle w:val="SingleTxtG"/>
      </w:pPr>
      <w:r w:rsidRPr="00BE433D">
        <w:t>441</w:t>
      </w:r>
      <w:r w:rsidR="00506167" w:rsidRPr="00506167">
        <w:t>.</w:t>
      </w:r>
      <w:r w:rsidRPr="00BE433D">
        <w:tab/>
        <w:t>Проблему уничтожения запрещенных и устаревших и СОЗ пестицидов (пестициды — стойкие органические загрязнители) пытались решить путем захоронения в так называемых «могильниках»</w:t>
      </w:r>
      <w:r w:rsidR="00506167" w:rsidRPr="00506167">
        <w:t>.</w:t>
      </w:r>
      <w:r w:rsidRPr="00BE433D">
        <w:t xml:space="preserve"> </w:t>
      </w:r>
    </w:p>
    <w:p w14:paraId="3CC4A2FB" w14:textId="5EFE909D" w:rsidR="009D5435" w:rsidRPr="00BE433D" w:rsidRDefault="009D5435" w:rsidP="009D5435">
      <w:pPr>
        <w:pStyle w:val="SingleTxtG"/>
      </w:pPr>
      <w:r w:rsidRPr="00BE433D">
        <w:t>442</w:t>
      </w:r>
      <w:r w:rsidR="00506167" w:rsidRPr="00506167">
        <w:t>.</w:t>
      </w:r>
      <w:r w:rsidRPr="00BE433D">
        <w:tab/>
        <w:t xml:space="preserve">В 1973 и 1980 годы в </w:t>
      </w:r>
      <w:proofErr w:type="spellStart"/>
      <w:r w:rsidRPr="00BE433D">
        <w:t>Сузакском</w:t>
      </w:r>
      <w:proofErr w:type="spellEnd"/>
      <w:r w:rsidRPr="00BE433D">
        <w:t xml:space="preserve"> районе Джалал-</w:t>
      </w:r>
      <w:proofErr w:type="spellStart"/>
      <w:r w:rsidRPr="00BE433D">
        <w:t>Абадской</w:t>
      </w:r>
      <w:proofErr w:type="spellEnd"/>
      <w:r w:rsidRPr="00BE433D">
        <w:t xml:space="preserve"> области — </w:t>
      </w:r>
      <w:r w:rsidRPr="00BE433D">
        <w:br/>
        <w:t>в могильнике «Сузак-А» было захоронено около 3000 тонн пестицидов, в могильнике «Сузак-Б» более 1000 тонн устаревших пестицидов</w:t>
      </w:r>
      <w:r w:rsidR="00506167" w:rsidRPr="00506167">
        <w:t>.</w:t>
      </w:r>
      <w:r w:rsidRPr="00BE433D">
        <w:t xml:space="preserve"> В </w:t>
      </w:r>
      <w:proofErr w:type="spellStart"/>
      <w:r w:rsidRPr="00BE433D">
        <w:t>ядомогильнике</w:t>
      </w:r>
      <w:proofErr w:type="spellEnd"/>
      <w:r w:rsidRPr="00BE433D">
        <w:t xml:space="preserve"> в урочище </w:t>
      </w:r>
      <w:proofErr w:type="spellStart"/>
      <w:r w:rsidRPr="00BE433D">
        <w:t>Кургак-Укок</w:t>
      </w:r>
      <w:proofErr w:type="spellEnd"/>
      <w:r w:rsidRPr="00BE433D">
        <w:t xml:space="preserve"> с</w:t>
      </w:r>
      <w:r w:rsidRPr="00BE433D">
        <w:rPr>
          <w:rStyle w:val="a8"/>
        </w:rPr>
        <w:t>.</w:t>
      </w:r>
      <w:r w:rsidRPr="00BE433D">
        <w:t xml:space="preserve"> </w:t>
      </w:r>
      <w:proofErr w:type="spellStart"/>
      <w:r w:rsidRPr="00BE433D">
        <w:t>Кочкор</w:t>
      </w:r>
      <w:proofErr w:type="spellEnd"/>
      <w:r w:rsidRPr="00BE433D">
        <w:t xml:space="preserve"> </w:t>
      </w:r>
      <w:proofErr w:type="spellStart"/>
      <w:r w:rsidRPr="00BE433D">
        <w:t>Нарынской</w:t>
      </w:r>
      <w:proofErr w:type="spellEnd"/>
      <w:r w:rsidRPr="00BE433D">
        <w:t xml:space="preserve"> области захоронено 850 тонн устаревших пестицидов</w:t>
      </w:r>
      <w:r w:rsidR="0087167E" w:rsidRPr="00506167">
        <w:t>.</w:t>
      </w:r>
      <w:r w:rsidRPr="00BE433D">
        <w:t xml:space="preserve"> </w:t>
      </w:r>
    </w:p>
    <w:p w14:paraId="5EAD3C31" w14:textId="6F694723" w:rsidR="009D5435" w:rsidRPr="00BE433D" w:rsidRDefault="009D5435" w:rsidP="009D5435">
      <w:pPr>
        <w:pStyle w:val="SingleTxtG"/>
      </w:pPr>
      <w:r w:rsidRPr="00BE433D">
        <w:t>443</w:t>
      </w:r>
      <w:r w:rsidR="00506167" w:rsidRPr="00506167">
        <w:t>.</w:t>
      </w:r>
      <w:r w:rsidRPr="00BE433D">
        <w:tab/>
        <w:t>В двух могильниках «Сузак-А» и «Сузак-Б» проведены работы по покрытию специальными пленками (международного стандарта), ограждению, установлены сторожевые будки и предупредительные знаки</w:t>
      </w:r>
      <w:r w:rsidR="00506167" w:rsidRPr="00506167">
        <w:t>.</w:t>
      </w:r>
      <w:r w:rsidRPr="00BE433D">
        <w:t xml:space="preserve"> Риски этих могильников для окружающей среды и здоровья населения снижены до минимума</w:t>
      </w:r>
      <w:r w:rsidR="00506167" w:rsidRPr="00506167">
        <w:t>.</w:t>
      </w:r>
      <w:r w:rsidRPr="00BE433D">
        <w:t xml:space="preserve"> </w:t>
      </w:r>
    </w:p>
    <w:p w14:paraId="36EB08CE" w14:textId="018F30D6" w:rsidR="009D5435" w:rsidRPr="00BE433D" w:rsidRDefault="009D5435" w:rsidP="009D5435">
      <w:pPr>
        <w:pStyle w:val="SingleTxtG"/>
      </w:pPr>
      <w:r w:rsidRPr="00BE433D">
        <w:t>444</w:t>
      </w:r>
      <w:r w:rsidR="00CB36CC" w:rsidRPr="00506167">
        <w:t>.</w:t>
      </w:r>
      <w:r w:rsidRPr="00BE433D">
        <w:tab/>
        <w:t xml:space="preserve">На могильнике </w:t>
      </w:r>
      <w:proofErr w:type="spellStart"/>
      <w:r w:rsidRPr="00BE433D">
        <w:t>Кочкор</w:t>
      </w:r>
      <w:proofErr w:type="spellEnd"/>
      <w:r w:rsidRPr="00BE433D">
        <w:t xml:space="preserve"> также проводятся работы по минимизации рисков для экологии</w:t>
      </w:r>
      <w:r w:rsidR="00506167" w:rsidRPr="00506167">
        <w:t>.</w:t>
      </w:r>
    </w:p>
    <w:p w14:paraId="71BD9AFA" w14:textId="77777777" w:rsidR="009D5435" w:rsidRPr="00BE433D" w:rsidRDefault="009D5435" w:rsidP="009D5435">
      <w:pPr>
        <w:pStyle w:val="H23G"/>
      </w:pPr>
      <w:r w:rsidRPr="00BE433D">
        <w:tab/>
      </w:r>
      <w:r w:rsidRPr="00BE433D">
        <w:tab/>
      </w:r>
      <w:proofErr w:type="spellStart"/>
      <w:r w:rsidRPr="00BE433D">
        <w:t>Сузакские</w:t>
      </w:r>
      <w:proofErr w:type="spellEnd"/>
      <w:r w:rsidRPr="00BE433D">
        <w:t xml:space="preserve"> могильники</w:t>
      </w:r>
    </w:p>
    <w:p w14:paraId="11EF685A" w14:textId="64CB0B64" w:rsidR="009D5435" w:rsidRPr="00BE433D" w:rsidRDefault="009D5435" w:rsidP="009D5435">
      <w:pPr>
        <w:pStyle w:val="SingleTxtG"/>
      </w:pPr>
      <w:r w:rsidRPr="00BE433D">
        <w:t>445</w:t>
      </w:r>
      <w:r w:rsidR="00A67129" w:rsidRPr="00506167">
        <w:t>.</w:t>
      </w:r>
      <w:r w:rsidRPr="00BE433D">
        <w:tab/>
        <w:t>С 2018 года ГАООСЛХ и заинтересованными министерствами и ведомствами началась разработка проектной документации к проекту ГЭФ «Демонстрация нетепловой обработки отходов, содержащих ДДТ, в странах Центральной Азии (Кыргызская Республика и Таджикистан)» (GEFID 9421)</w:t>
      </w:r>
      <w:r w:rsidR="00A67129" w:rsidRPr="00506167">
        <w:t>.</w:t>
      </w:r>
      <w:r w:rsidRPr="00BE433D">
        <w:t xml:space="preserve"> Во время разработки проектного документа будут изучены все методы нетепловой обработки СОЗ и выбор метода для Кыргызстана и Таджикистана</w:t>
      </w:r>
      <w:r w:rsidR="00A67129" w:rsidRPr="00506167">
        <w:t>.</w:t>
      </w:r>
      <w:r w:rsidRPr="00BE433D">
        <w:t xml:space="preserve"> В результате проекта планируется уничтожить экологически безопасным нетермическим способом (без сжигания) устаревшие и СОЗ-пестициды в могильниках «Сузак-А» и «Сузак-Б»</w:t>
      </w:r>
      <w:r w:rsidR="00CB36CC" w:rsidRPr="00506167">
        <w:t>.</w:t>
      </w:r>
      <w:r w:rsidRPr="00BE433D">
        <w:t xml:space="preserve"> Проект финансируется ГЭФ</w:t>
      </w:r>
      <w:r w:rsidR="00103D42" w:rsidRPr="00506167">
        <w:t>.</w:t>
      </w:r>
      <w:r w:rsidRPr="00BE433D">
        <w:t xml:space="preserve"> </w:t>
      </w:r>
    </w:p>
    <w:p w14:paraId="2882FE2B" w14:textId="3FB76F14" w:rsidR="009D5435" w:rsidRPr="00BE433D" w:rsidRDefault="009D5435" w:rsidP="009D5435">
      <w:pPr>
        <w:pStyle w:val="SingleTxtG"/>
      </w:pPr>
      <w:r w:rsidRPr="00BE433D">
        <w:t>446.</w:t>
      </w:r>
      <w:r w:rsidRPr="00BE433D">
        <w:tab/>
        <w:t>В рамках данного проекта в 2018 году были отобраны пробы с указанных двух могильников, в Нидерландах проведены лабораторные исследования (анализы)</w:t>
      </w:r>
      <w:r w:rsidR="00A67129" w:rsidRPr="00506167">
        <w:t>.</w:t>
      </w:r>
      <w:r w:rsidRPr="00BE433D">
        <w:t xml:space="preserve"> </w:t>
      </w:r>
    </w:p>
    <w:p w14:paraId="445D774F" w14:textId="0C2A9A34" w:rsidR="009D5435" w:rsidRPr="00BE433D" w:rsidRDefault="009D5435" w:rsidP="009D5435">
      <w:pPr>
        <w:pStyle w:val="SingleTxtG"/>
      </w:pPr>
      <w:r w:rsidRPr="00BE433D">
        <w:t>447.</w:t>
      </w:r>
      <w:r w:rsidRPr="00BE433D">
        <w:tab/>
        <w:t>Также в рамках проекта запланирована работа по повышению информированности среди общин, расположенных вблизи от мест повышенного риска</w:t>
      </w:r>
      <w:r w:rsidR="00A67129" w:rsidRPr="00506167">
        <w:t>.</w:t>
      </w:r>
    </w:p>
    <w:p w14:paraId="50B6FAAC" w14:textId="77777777" w:rsidR="009D5435" w:rsidRPr="00BE433D" w:rsidRDefault="009D5435" w:rsidP="009D5435">
      <w:pPr>
        <w:pStyle w:val="H23G"/>
      </w:pPr>
      <w:r w:rsidRPr="00BE433D">
        <w:tab/>
      </w:r>
      <w:r w:rsidRPr="00BE433D">
        <w:tab/>
      </w:r>
      <w:proofErr w:type="spellStart"/>
      <w:r w:rsidRPr="00BE433D">
        <w:t>Кочкорский</w:t>
      </w:r>
      <w:proofErr w:type="spellEnd"/>
      <w:r w:rsidRPr="00BE433D">
        <w:t xml:space="preserve"> могильник</w:t>
      </w:r>
    </w:p>
    <w:p w14:paraId="16BB84AF" w14:textId="70873CEB" w:rsidR="009D5435" w:rsidRPr="00BE433D" w:rsidRDefault="009D5435" w:rsidP="009D5435">
      <w:pPr>
        <w:pStyle w:val="SingleTxtG"/>
      </w:pPr>
      <w:r w:rsidRPr="00BE433D">
        <w:t>448.</w:t>
      </w:r>
      <w:r w:rsidRPr="00BE433D">
        <w:tab/>
        <w:t>В 2019 г</w:t>
      </w:r>
      <w:r w:rsidRPr="00A67129">
        <w:rPr>
          <w:rStyle w:val="a8"/>
          <w:sz w:val="20"/>
          <w:vertAlign w:val="baseline"/>
        </w:rPr>
        <w:t>оду</w:t>
      </w:r>
      <w:r w:rsidRPr="00BE433D">
        <w:t xml:space="preserve"> между МСХППП и ФАО ООН подписан проект ФАО и ГЭФ «Управление жизненным циклом пестицидов и ликвидация СОЗ-пестицидов в странах Центральной Азии и Турции», GCP/SEC/011/GFF</w:t>
      </w:r>
      <w:r w:rsidR="00A67129" w:rsidRPr="00506167">
        <w:t>.</w:t>
      </w:r>
      <w:r w:rsidRPr="00BE433D">
        <w:t xml:space="preserve"> </w:t>
      </w:r>
    </w:p>
    <w:p w14:paraId="32DDEC24" w14:textId="0CD775E5" w:rsidR="009D5435" w:rsidRPr="00BE433D" w:rsidRDefault="009D5435" w:rsidP="009D5435">
      <w:pPr>
        <w:pStyle w:val="SingleTxtG"/>
      </w:pPr>
      <w:r w:rsidRPr="00BE433D">
        <w:t>449.</w:t>
      </w:r>
      <w:r w:rsidRPr="00BE433D">
        <w:tab/>
        <w:t>Цель проекта заключается в сокращении выбросов СОЗ и загрязненных участков и укреплении потенциала в области экологически обоснованного регулирования пестицидов</w:t>
      </w:r>
      <w:r w:rsidR="00A67129" w:rsidRPr="00506167">
        <w:t>.</w:t>
      </w:r>
      <w:r w:rsidRPr="00BE433D">
        <w:t xml:space="preserve"> В рамках данного проекта планируется исполнение работ по снижению экологических рисков </w:t>
      </w:r>
      <w:proofErr w:type="spellStart"/>
      <w:r w:rsidRPr="00BE433D">
        <w:t>Кочкорского</w:t>
      </w:r>
      <w:proofErr w:type="spellEnd"/>
      <w:r w:rsidRPr="00BE433D">
        <w:t xml:space="preserve"> могильника</w:t>
      </w:r>
      <w:r w:rsidR="00A67129" w:rsidRPr="00506167">
        <w:t>.</w:t>
      </w:r>
      <w:r w:rsidRPr="00BE433D">
        <w:t xml:space="preserve"> </w:t>
      </w:r>
    </w:p>
    <w:p w14:paraId="06B8EE42" w14:textId="2FA9FF4C" w:rsidR="009D5435" w:rsidRPr="00BE433D" w:rsidRDefault="009D5435" w:rsidP="009D5435">
      <w:pPr>
        <w:pStyle w:val="SingleTxtG"/>
      </w:pPr>
      <w:r w:rsidRPr="00BE433D">
        <w:t>450.</w:t>
      </w:r>
      <w:r w:rsidRPr="00BE433D">
        <w:tab/>
        <w:t>Инвентаризация устаревших и СОЗ-пестицидов</w:t>
      </w:r>
      <w:r w:rsidR="00A67129" w:rsidRPr="00506167">
        <w:t>.</w:t>
      </w:r>
      <w:r w:rsidRPr="00BE433D">
        <w:t xml:space="preserve"> В последние годы в Кыргызской Республике начались работы по уменьшению общего количества СОЗ в окружающей среде путем инвентаризации и переупаковки устаревших и запрещенных пестицидов, хранившихся на бывших складах пестицидов системы «</w:t>
      </w:r>
      <w:proofErr w:type="spellStart"/>
      <w:r w:rsidRPr="00BE433D">
        <w:t>Союзсельхозхимия</w:t>
      </w:r>
      <w:proofErr w:type="spellEnd"/>
      <w:r w:rsidRPr="00BE433D">
        <w:t>»</w:t>
      </w:r>
      <w:r w:rsidR="00A67129" w:rsidRPr="00506167">
        <w:t>.</w:t>
      </w:r>
      <w:r w:rsidRPr="00BE433D">
        <w:t xml:space="preserve"> </w:t>
      </w:r>
    </w:p>
    <w:p w14:paraId="7F9910E5" w14:textId="0106C1FD" w:rsidR="009D5435" w:rsidRPr="00BE433D" w:rsidRDefault="009D5435" w:rsidP="009D5435">
      <w:pPr>
        <w:pStyle w:val="SingleTxtG"/>
      </w:pPr>
      <w:r w:rsidRPr="00BE433D">
        <w:t>451.</w:t>
      </w:r>
      <w:r w:rsidRPr="00BE433D">
        <w:tab/>
        <w:t>В 2012 году в рамках проекта ФАО «Инвентаризация устаревших пестицидов и связанных с ними отходов в странах Центральной Азии, Кавказа и Турция» GCP/RER/035/TUR проведена инвентаризация согласно международным стандартам, разработанным ФАО</w:t>
      </w:r>
      <w:r w:rsidR="00A67129" w:rsidRPr="00506167">
        <w:t>.</w:t>
      </w:r>
      <w:r w:rsidRPr="00BE433D">
        <w:t xml:space="preserve"> Все данные внесены в онлайн-Систему учета запасов устаревших пестицидов PSMS (инструмент для учета и оценки рисков, разработанный ФАО)</w:t>
      </w:r>
      <w:r w:rsidR="00A67129" w:rsidRPr="00506167">
        <w:t>.</w:t>
      </w:r>
      <w:r w:rsidRPr="00BE433D">
        <w:t xml:space="preserve"> Национальным администратором системы PSMS в Кыргызстане является ДХЗР</w:t>
      </w:r>
      <w:r w:rsidR="00A67129" w:rsidRPr="00506167">
        <w:t>.</w:t>
      </w:r>
      <w:r w:rsidRPr="00BE433D">
        <w:t xml:space="preserve"> </w:t>
      </w:r>
    </w:p>
    <w:p w14:paraId="2E2A26DD" w14:textId="5AB46849" w:rsidR="009D5435" w:rsidRPr="00BE433D" w:rsidRDefault="009D5435" w:rsidP="009D5435">
      <w:pPr>
        <w:pStyle w:val="SingleTxtG"/>
      </w:pPr>
      <w:r w:rsidRPr="00BE433D">
        <w:t>452.</w:t>
      </w:r>
      <w:r w:rsidRPr="00BE433D">
        <w:tab/>
        <w:t xml:space="preserve">По последним данным, количество СОЗ-пестицидов в могильниках и складах составляет 2073,7 тонны, из них в </w:t>
      </w:r>
      <w:proofErr w:type="spellStart"/>
      <w:r w:rsidRPr="00BE433D">
        <w:t>ядомогильниках</w:t>
      </w:r>
      <w:proofErr w:type="spellEnd"/>
      <w:r w:rsidRPr="00BE433D">
        <w:t xml:space="preserve"> — 2052,5 тонны (в «Сузак-А» — </w:t>
      </w:r>
      <w:r w:rsidRPr="00BE433D">
        <w:br/>
        <w:t xml:space="preserve">1033,4 тонны, в «Сузак-Б» — 724,7 тонны, </w:t>
      </w:r>
      <w:proofErr w:type="spellStart"/>
      <w:r w:rsidRPr="00BE433D">
        <w:t>Кочкор</w:t>
      </w:r>
      <w:proofErr w:type="spellEnd"/>
      <w:r w:rsidRPr="00BE433D">
        <w:t xml:space="preserve"> — 294,4 тонны), в складах </w:t>
      </w:r>
      <w:r w:rsidRPr="00BE433D">
        <w:br/>
        <w:t xml:space="preserve">(в </w:t>
      </w:r>
      <w:proofErr w:type="spellStart"/>
      <w:r w:rsidRPr="00BE433D">
        <w:t>Ат-Башинской</w:t>
      </w:r>
      <w:proofErr w:type="spellEnd"/>
      <w:r w:rsidRPr="00BE433D">
        <w:t xml:space="preserve"> противочумной станции) — 21,2 тонны</w:t>
      </w:r>
      <w:r w:rsidR="00103D42" w:rsidRPr="00506167">
        <w:t>.</w:t>
      </w:r>
      <w:r w:rsidRPr="00BE433D">
        <w:t xml:space="preserve"> </w:t>
      </w:r>
    </w:p>
    <w:p w14:paraId="2221C7ED" w14:textId="210DB3F2" w:rsidR="009D5435" w:rsidRPr="00BE433D" w:rsidRDefault="009D5435" w:rsidP="009D5435">
      <w:pPr>
        <w:pStyle w:val="SingleTxtG"/>
      </w:pPr>
      <w:r w:rsidRPr="00BE433D">
        <w:t>453.</w:t>
      </w:r>
      <w:r w:rsidRPr="00BE433D">
        <w:tab/>
        <w:t xml:space="preserve">ДХЗР </w:t>
      </w:r>
      <w:proofErr w:type="spellStart"/>
      <w:r w:rsidRPr="00BE433D">
        <w:t>МСХППиМ</w:t>
      </w:r>
      <w:proofErr w:type="spellEnd"/>
      <w:r w:rsidRPr="00BE433D">
        <w:t xml:space="preserve"> совместно с МЗ в рамках проекта ЕС и ФАО </w:t>
      </w:r>
      <w:r>
        <w:br/>
      </w:r>
      <w:r w:rsidRPr="00BE433D">
        <w:t>GCP/RER/040/EC и ГЭФ-ЮНЕП «Демонстрация и увеличение устойчивых альтернатив ДДТ для контроля над трансмиссивными болезнями» в 2015–2016 годах проведены работы по переупаковке устаревших и СОЗ-пестицидов на двух приоритетных и экологически чувствительных объектах (склад бывшей «</w:t>
      </w:r>
      <w:proofErr w:type="spellStart"/>
      <w:r w:rsidRPr="00BE433D">
        <w:t>Кыргызсельхозхимии</w:t>
      </w:r>
      <w:proofErr w:type="spellEnd"/>
      <w:r w:rsidRPr="00BE433D">
        <w:t>» в г</w:t>
      </w:r>
      <w:r w:rsidRPr="00BE433D">
        <w:rPr>
          <w:rStyle w:val="a8"/>
          <w:szCs w:val="22"/>
        </w:rPr>
        <w:t>.</w:t>
      </w:r>
      <w:r w:rsidRPr="00BE433D">
        <w:t xml:space="preserve"> </w:t>
      </w:r>
      <w:proofErr w:type="spellStart"/>
      <w:r w:rsidRPr="00BE433D">
        <w:t>Балыкчы</w:t>
      </w:r>
      <w:proofErr w:type="spellEnd"/>
      <w:r w:rsidRPr="00BE433D">
        <w:t xml:space="preserve"> — 51,94 тонны и склад </w:t>
      </w:r>
      <w:proofErr w:type="spellStart"/>
      <w:r w:rsidRPr="00BE433D">
        <w:t>Ат-Башинской</w:t>
      </w:r>
      <w:proofErr w:type="spellEnd"/>
      <w:r w:rsidRPr="00BE433D">
        <w:t xml:space="preserve"> противочумной станции — 17,15 тонны)</w:t>
      </w:r>
      <w:r w:rsidR="005F0B4B" w:rsidRPr="00506167">
        <w:t>.</w:t>
      </w:r>
    </w:p>
    <w:p w14:paraId="04FF8832" w14:textId="77777777" w:rsidR="009D5435" w:rsidRPr="00BE433D" w:rsidRDefault="009D5435" w:rsidP="009D5435">
      <w:pPr>
        <w:pStyle w:val="H23G"/>
      </w:pPr>
      <w:r w:rsidRPr="00BE433D">
        <w:tab/>
      </w:r>
      <w:r w:rsidRPr="00BE433D">
        <w:tab/>
      </w:r>
      <w:proofErr w:type="spellStart"/>
      <w:r w:rsidRPr="00BE433D">
        <w:t>Сузакские</w:t>
      </w:r>
      <w:proofErr w:type="spellEnd"/>
      <w:r w:rsidRPr="00BE433D">
        <w:t xml:space="preserve"> могильники</w:t>
      </w:r>
    </w:p>
    <w:p w14:paraId="5A18A960" w14:textId="61CAEDB8" w:rsidR="009D5435" w:rsidRPr="00BE433D" w:rsidRDefault="009D5435" w:rsidP="009D5435">
      <w:pPr>
        <w:pStyle w:val="SingleTxtG"/>
      </w:pPr>
      <w:r w:rsidRPr="00BE433D">
        <w:t>454.</w:t>
      </w:r>
      <w:r w:rsidRPr="00BE433D">
        <w:tab/>
        <w:t>В 2015 году при координации ГАООСЛХ проведены работы по снижению экологических рисков: восстановлено ограждение, установлены ворота, по периметру сооружены дренажные рвы, саркофаги покрыты водонепроницаемой пленкой и засыпаны грунтом, установлен домик сторожа, предупреждающие знаки, солнечная электростанция, система видеонаблюдения</w:t>
      </w:r>
      <w:r w:rsidRPr="00BE433D">
        <w:rPr>
          <w:rStyle w:val="a8"/>
        </w:rPr>
        <w:t>.</w:t>
      </w:r>
      <w:r w:rsidRPr="00BE433D">
        <w:t xml:space="preserve"> Финансирование произведено ЮНЕП</w:t>
      </w:r>
      <w:r w:rsidR="005F0B4B" w:rsidRPr="00506167">
        <w:t>.</w:t>
      </w:r>
    </w:p>
    <w:p w14:paraId="7F269F17" w14:textId="77777777" w:rsidR="009D5435" w:rsidRPr="00BE433D" w:rsidRDefault="009D5435" w:rsidP="009D5435">
      <w:pPr>
        <w:pStyle w:val="H23G"/>
      </w:pPr>
      <w:r w:rsidRPr="00BE433D">
        <w:tab/>
      </w:r>
      <w:r w:rsidRPr="00BE433D">
        <w:tab/>
      </w:r>
      <w:proofErr w:type="spellStart"/>
      <w:r w:rsidRPr="00BE433D">
        <w:t>Кочкорский</w:t>
      </w:r>
      <w:proofErr w:type="spellEnd"/>
      <w:r w:rsidRPr="00BE433D">
        <w:t xml:space="preserve"> могильник</w:t>
      </w:r>
    </w:p>
    <w:p w14:paraId="07B21FAF" w14:textId="66450F92" w:rsidR="009D5435" w:rsidRPr="00BE433D" w:rsidRDefault="009D5435" w:rsidP="009D5435">
      <w:pPr>
        <w:pStyle w:val="SingleTxtG"/>
      </w:pPr>
      <w:r w:rsidRPr="00BE433D">
        <w:t>455.</w:t>
      </w:r>
      <w:r w:rsidRPr="00BE433D">
        <w:tab/>
        <w:t xml:space="preserve">В рамках проекта ФАО ООН и ГЭФ «Управление жизненным циклом пестицидов и ликвидация СОЗ-пестицидов в странах Центральной Азии и Турции» GCP/SEC/011/GFF в 2020–2022 годах планируются работы по снижению экологических рисков </w:t>
      </w:r>
      <w:proofErr w:type="spellStart"/>
      <w:r w:rsidRPr="00BE433D">
        <w:t>Кочкорского</w:t>
      </w:r>
      <w:proofErr w:type="spellEnd"/>
      <w:r w:rsidRPr="00BE433D">
        <w:t xml:space="preserve"> могильника</w:t>
      </w:r>
      <w:r w:rsidR="005F0B4B" w:rsidRPr="00506167">
        <w:t>.</w:t>
      </w:r>
    </w:p>
    <w:p w14:paraId="57762675" w14:textId="77777777" w:rsidR="009D5435" w:rsidRPr="00BE433D" w:rsidRDefault="009D5435" w:rsidP="009D5435">
      <w:pPr>
        <w:pStyle w:val="H1G"/>
      </w:pPr>
      <w:r w:rsidRPr="00BE433D">
        <w:tab/>
      </w:r>
      <w:r w:rsidRPr="00BE433D">
        <w:tab/>
      </w:r>
      <w:proofErr w:type="spellStart"/>
      <w:r w:rsidRPr="00BE433D">
        <w:t>Cтатья</w:t>
      </w:r>
      <w:proofErr w:type="spellEnd"/>
      <w:r w:rsidRPr="00BE433D">
        <w:t xml:space="preserve"> 26</w:t>
      </w:r>
      <w:r w:rsidRPr="00BE433D">
        <w:br/>
        <w:t>Доступ к образованию</w:t>
      </w:r>
    </w:p>
    <w:p w14:paraId="6AAE44F2" w14:textId="045354AA" w:rsidR="009D5435" w:rsidRPr="00BE433D" w:rsidRDefault="009D5435" w:rsidP="009D5435">
      <w:pPr>
        <w:pStyle w:val="SingleTxtG"/>
      </w:pPr>
      <w:r w:rsidRPr="00BE433D">
        <w:t>456.</w:t>
      </w:r>
      <w:r w:rsidRPr="00BE433D">
        <w:tab/>
        <w:t>В соответствии с Конституцией каждый имеет право на образование Основное общее образование обязательно</w:t>
      </w:r>
      <w:r w:rsidRPr="00BE433D">
        <w:rPr>
          <w:rStyle w:val="a8"/>
        </w:rPr>
        <w:t>.</w:t>
      </w:r>
      <w:r w:rsidRPr="00BE433D">
        <w:t xml:space="preserve"> Каждый имеет право бесплатно получить основное общее и среднее общее образование в государственных образовательных организациях</w:t>
      </w:r>
      <w:r w:rsidR="00EB4511" w:rsidRPr="00506167">
        <w:t>.</w:t>
      </w:r>
    </w:p>
    <w:p w14:paraId="3A97EE14" w14:textId="082C93AD" w:rsidR="009D5435" w:rsidRPr="00BE433D" w:rsidRDefault="009D5435" w:rsidP="009D5435">
      <w:pPr>
        <w:pStyle w:val="SingleTxtG"/>
      </w:pPr>
      <w:r w:rsidRPr="00BE433D">
        <w:t>457.</w:t>
      </w:r>
      <w:r w:rsidRPr="00BE433D">
        <w:tab/>
        <w:t>В 2017 году принято постановление правительства, предусматривающее внедрение обновленной системы учета детей и подростков школьного возраста, в целях снижения детской безнадзорности и организации единого подхода по составлению статистических данных детей, не посещающих общеобразовательные организации (2017 год)</w:t>
      </w:r>
      <w:r w:rsidR="00EB4511">
        <w:rPr>
          <w:rStyle w:val="a8"/>
          <w:sz w:val="20"/>
          <w:vertAlign w:val="baseline"/>
        </w:rPr>
        <w:t>.</w:t>
      </w:r>
    </w:p>
    <w:p w14:paraId="719539E6" w14:textId="1424FCF1" w:rsidR="009D5435" w:rsidRPr="00EB4511" w:rsidRDefault="009D5435" w:rsidP="009D5435">
      <w:pPr>
        <w:pStyle w:val="SingleTxtG"/>
      </w:pPr>
      <w:r w:rsidRPr="00BE433D">
        <w:t>458</w:t>
      </w:r>
      <w:r w:rsidR="00EB4511">
        <w:t>.</w:t>
      </w:r>
      <w:r w:rsidRPr="00BE433D">
        <w:tab/>
        <w:t>Помимо дневных общеобразовательных организаций, содействует возвращению молодежи в систему школьного образования функционирующая сеть школ с вечерней/заочной формами обучения, в которых продолжают обучение несовершеннолетние и взрослое население, у которых нет основного общего образования по различным причинам</w:t>
      </w:r>
      <w:r w:rsidR="00EB4511" w:rsidRPr="00EB4511">
        <w:rPr>
          <w:rStyle w:val="a8"/>
          <w:sz w:val="20"/>
          <w:vertAlign w:val="baseline"/>
        </w:rPr>
        <w:t>.</w:t>
      </w:r>
    </w:p>
    <w:p w14:paraId="04DB1515" w14:textId="4401A52B" w:rsidR="009D5435" w:rsidRPr="00BE433D" w:rsidRDefault="009D5435" w:rsidP="009D5435">
      <w:pPr>
        <w:pStyle w:val="SingleTxtG"/>
      </w:pPr>
      <w:r w:rsidRPr="00BE433D">
        <w:t>459.</w:t>
      </w:r>
      <w:r w:rsidRPr="00BE433D">
        <w:tab/>
        <w:t>В настоящее время 1245 детей не обучаются, из них: 789 детей с ограниченными возможностями здоровья, 258 детей восьмилетнего возраста не пошли в первый класс по болезни, 198 — детей по социальным и семейным проблемам (ТЖС, дети без документов, работающие дети)</w:t>
      </w:r>
      <w:r w:rsidR="00EB4511" w:rsidRPr="00EB4511">
        <w:rPr>
          <w:rStyle w:val="a8"/>
          <w:sz w:val="20"/>
          <w:vertAlign w:val="baseline"/>
        </w:rPr>
        <w:t>.</w:t>
      </w:r>
    </w:p>
    <w:p w14:paraId="63C48917" w14:textId="038CA17E" w:rsidR="009D5435" w:rsidRPr="00BE433D" w:rsidRDefault="009D5435" w:rsidP="009D5435">
      <w:pPr>
        <w:pStyle w:val="SingleTxtG"/>
      </w:pPr>
      <w:r w:rsidRPr="00BE433D">
        <w:t>460.</w:t>
      </w:r>
      <w:r w:rsidRPr="00BE433D">
        <w:tab/>
        <w:t>Согласно анализу исследований, основными причинами непосещения детьми школы являются личностные, семейные и социальные факторы, в том числе, такие как необходимость зарабатывать деньги, выезд родителей на заработки, что приводит к тому, что подростки должны ухаживать за младшими детьми, оставшимися на их попечении, различные болезни детей, инвалидность, различного рода правонарушения и тому подобное</w:t>
      </w:r>
      <w:r w:rsidR="00EB4511" w:rsidRPr="00EB4511">
        <w:rPr>
          <w:rStyle w:val="a8"/>
          <w:sz w:val="20"/>
          <w:vertAlign w:val="baseline"/>
        </w:rPr>
        <w:t>.</w:t>
      </w:r>
    </w:p>
    <w:p w14:paraId="05CC159E" w14:textId="68B9FD8F" w:rsidR="009D5435" w:rsidRPr="00BE433D" w:rsidRDefault="009D5435" w:rsidP="009D5435">
      <w:pPr>
        <w:pStyle w:val="SingleTxtG"/>
      </w:pPr>
      <w:r w:rsidRPr="00BE433D">
        <w:t>461.</w:t>
      </w:r>
      <w:r w:rsidRPr="00BE433D">
        <w:tab/>
        <w:t>Вместе с тем необходимо отметить, что в марте 2019 года Кыргызстан ратифицировал Конвенцию ООН о правах инвалидов. В связи с чем страна взяла обязательства обеспечивать и поощрять полную реализацию всех прав человека и основных свобод всеми инвалидами без какой бы то ни было дискриминации по признаку инвалидности</w:t>
      </w:r>
      <w:r w:rsidR="00EB4511" w:rsidRPr="00EB4511">
        <w:rPr>
          <w:rStyle w:val="a8"/>
          <w:sz w:val="20"/>
          <w:vertAlign w:val="baseline"/>
        </w:rPr>
        <w:t>.</w:t>
      </w:r>
    </w:p>
    <w:p w14:paraId="01661536" w14:textId="77777777" w:rsidR="009D5435" w:rsidRPr="00BE433D" w:rsidRDefault="009D5435" w:rsidP="009D5435">
      <w:pPr>
        <w:pStyle w:val="SingleTxtG"/>
      </w:pPr>
      <w:r w:rsidRPr="00BE433D">
        <w:t>462.</w:t>
      </w:r>
      <w:r w:rsidRPr="00BE433D">
        <w:tab/>
        <w:t>В июле 2019 года правительством утверждены Концепция и Программа развития инклюзивного образования на 2019–2023 годы.</w:t>
      </w:r>
    </w:p>
    <w:p w14:paraId="44485EAE" w14:textId="5B04DB07" w:rsidR="009D5435" w:rsidRPr="00BE433D" w:rsidRDefault="009D5435" w:rsidP="009D5435">
      <w:pPr>
        <w:pStyle w:val="SingleTxtG"/>
      </w:pPr>
      <w:r w:rsidRPr="00BE433D">
        <w:t>463.</w:t>
      </w:r>
      <w:r w:rsidRPr="00BE433D">
        <w:tab/>
        <w:t>Согласно Закону «О попечительском совете», в учреждениях, предоставляющих социальные услуги в области образования, может быть образован попечительский совет, который избирается родителями учащихся конкретного учебного заведения из числа родителей, общественных деятелей и спонсоров</w:t>
      </w:r>
      <w:r w:rsidR="00EB4511" w:rsidRPr="00EB4511">
        <w:rPr>
          <w:rStyle w:val="a8"/>
          <w:sz w:val="20"/>
          <w:vertAlign w:val="baseline"/>
        </w:rPr>
        <w:t>.</w:t>
      </w:r>
    </w:p>
    <w:p w14:paraId="27651D8B" w14:textId="70C82266" w:rsidR="009D5435" w:rsidRPr="00BE433D" w:rsidRDefault="009D5435" w:rsidP="009D5435">
      <w:pPr>
        <w:pStyle w:val="SingleTxtG"/>
      </w:pPr>
      <w:r w:rsidRPr="00BE433D">
        <w:t>464.</w:t>
      </w:r>
      <w:r w:rsidRPr="00BE433D">
        <w:tab/>
        <w:t>Основной целью их деятельности является содействие в укреплении и совершенствовании материально-технической и учебной базы общеобразовательной организации, благоустройство ее помещений и территории, улучшение условий для осуществления образовательного процесса, защита законных прав и интересов, охрана жизни и здоровья обучающихся, а также обеспечение контроля целевого и рационального использования спонсорской помощи и грантов</w:t>
      </w:r>
      <w:r w:rsidR="00EB4511" w:rsidRPr="00EB4511">
        <w:rPr>
          <w:rStyle w:val="a8"/>
          <w:sz w:val="20"/>
          <w:vertAlign w:val="baseline"/>
        </w:rPr>
        <w:t>.</w:t>
      </w:r>
    </w:p>
    <w:p w14:paraId="6D2B24C0" w14:textId="53FCC64F" w:rsidR="009D5435" w:rsidRPr="00BE433D" w:rsidRDefault="009D5435" w:rsidP="009D5435">
      <w:pPr>
        <w:pStyle w:val="SingleTxtG"/>
      </w:pPr>
      <w:r w:rsidRPr="00BE433D">
        <w:t>465.</w:t>
      </w:r>
      <w:r w:rsidRPr="00BE433D">
        <w:tab/>
        <w:t>Спонсорская помощь родителями учащихся в общеобразовательных организациях оказывается на добровольной основе, и работники образовательной организации не вправе требовать с учащихся и их родителей оказания финансовой и иной материальной помощи</w:t>
      </w:r>
      <w:r w:rsidR="00EB4511" w:rsidRPr="00EB4511">
        <w:rPr>
          <w:rStyle w:val="a8"/>
          <w:sz w:val="20"/>
          <w:vertAlign w:val="baseline"/>
        </w:rPr>
        <w:t>.</w:t>
      </w:r>
    </w:p>
    <w:p w14:paraId="2B2DCFFD" w14:textId="6B0955D3" w:rsidR="009D5435" w:rsidRPr="00BE433D" w:rsidRDefault="009D5435" w:rsidP="009D5435">
      <w:pPr>
        <w:pStyle w:val="SingleTxtG"/>
      </w:pPr>
      <w:r w:rsidRPr="00BE433D">
        <w:t>466.</w:t>
      </w:r>
      <w:r w:rsidRPr="00BE433D">
        <w:tab/>
        <w:t>МОН издан приказ (2018 год) о проведении соответствующей работы по искоренению поборов и подарков для учителей во время торжественных мероприятий и государственных экзаменов в школах республики</w:t>
      </w:r>
      <w:r w:rsidR="00EB4511" w:rsidRPr="00EB4511">
        <w:rPr>
          <w:rStyle w:val="a8"/>
          <w:sz w:val="20"/>
          <w:vertAlign w:val="baseline"/>
        </w:rPr>
        <w:t>.</w:t>
      </w:r>
    </w:p>
    <w:p w14:paraId="1790E8AA" w14:textId="6DF25F85" w:rsidR="009D5435" w:rsidRPr="00BE433D" w:rsidRDefault="009D5435" w:rsidP="009D5435">
      <w:pPr>
        <w:pStyle w:val="SingleTxtG"/>
      </w:pPr>
      <w:r w:rsidRPr="00BE433D">
        <w:t>467.</w:t>
      </w:r>
      <w:r w:rsidRPr="00BE433D">
        <w:tab/>
        <w:t>Для столицы города Бишкек по искоренению вступительных взносов издан совместный приказ МОН с мэрией города Бишкек (2017 год) о запрете проводить любые вступительные испытания при приеме в первый класс и собирать вступительные взносы</w:t>
      </w:r>
      <w:r w:rsidR="00EB4511" w:rsidRPr="00EB4511">
        <w:rPr>
          <w:rStyle w:val="a8"/>
          <w:sz w:val="20"/>
          <w:vertAlign w:val="baseline"/>
        </w:rPr>
        <w:t>.</w:t>
      </w:r>
    </w:p>
    <w:p w14:paraId="2D3A8DBD" w14:textId="2579C525" w:rsidR="009D5435" w:rsidRPr="00BE433D" w:rsidRDefault="009D5435" w:rsidP="009D5435">
      <w:pPr>
        <w:pStyle w:val="SingleTxtG"/>
      </w:pPr>
      <w:r w:rsidRPr="00BE433D">
        <w:t>468.</w:t>
      </w:r>
      <w:r w:rsidRPr="00BE433D">
        <w:tab/>
        <w:t>По искоренению вступительных взносов в общеобразовательных организациях МОН разработана инструкция «Электронная запись в общеобразовательные организации Кыргызской Республики» и внедрена как проект в школах г</w:t>
      </w:r>
      <w:r w:rsidR="00AC24BF" w:rsidRPr="00506167">
        <w:t>.</w:t>
      </w:r>
      <w:r w:rsidRPr="00BE433D">
        <w:t xml:space="preserve"> Бишкек, который дал положительный результат по искоренению вступительных взносов</w:t>
      </w:r>
      <w:r w:rsidR="00EB4511" w:rsidRPr="00EB4511">
        <w:rPr>
          <w:rStyle w:val="a8"/>
          <w:sz w:val="20"/>
          <w:vertAlign w:val="baseline"/>
        </w:rPr>
        <w:t>.</w:t>
      </w:r>
    </w:p>
    <w:p w14:paraId="3A5C462E" w14:textId="1D6384F5" w:rsidR="009D5435" w:rsidRPr="00BE433D" w:rsidRDefault="009D5435" w:rsidP="009D5435">
      <w:pPr>
        <w:pStyle w:val="SingleTxtG"/>
      </w:pPr>
      <w:r w:rsidRPr="00BE433D">
        <w:t>469.</w:t>
      </w:r>
      <w:r w:rsidRPr="00BE433D">
        <w:tab/>
        <w:t>Для перевода системы учета школьников в электронный формат с апреля по июнь 2016 года проведена оцифровка данных учащихся школ (электронная паспортизация детей) в рамках совместного проекта ГРС и МОН</w:t>
      </w:r>
      <w:r w:rsidR="00EB4511" w:rsidRPr="00EB4511">
        <w:rPr>
          <w:rStyle w:val="a8"/>
          <w:sz w:val="20"/>
          <w:vertAlign w:val="baseline"/>
        </w:rPr>
        <w:t>.</w:t>
      </w:r>
      <w:r w:rsidRPr="00BE433D">
        <w:t xml:space="preserve"> ГРС проводит регистрацию полученных данных в автоматизированной информационной системе ЗАГС с присвоением им персональных идентификационных номеров, с привязкой к ИНН их родителей</w:t>
      </w:r>
      <w:r w:rsidR="00EB4511" w:rsidRPr="00EB4511">
        <w:rPr>
          <w:rStyle w:val="a8"/>
          <w:sz w:val="20"/>
          <w:vertAlign w:val="baseline"/>
        </w:rPr>
        <w:t>.</w:t>
      </w:r>
    </w:p>
    <w:p w14:paraId="00FD273C" w14:textId="5C76230C" w:rsidR="009D5435" w:rsidRPr="00BE433D" w:rsidRDefault="009D5435" w:rsidP="009D5435">
      <w:pPr>
        <w:pStyle w:val="SingleTxtG"/>
      </w:pPr>
      <w:r w:rsidRPr="00BE433D">
        <w:t>470.</w:t>
      </w:r>
      <w:r w:rsidRPr="00BE433D">
        <w:tab/>
        <w:t>Ежегодно проводятся январский, майский и августовский учет детей школьного возраста</w:t>
      </w:r>
      <w:r w:rsidR="00EB4511" w:rsidRPr="00EB4511">
        <w:rPr>
          <w:rStyle w:val="a8"/>
          <w:sz w:val="20"/>
          <w:vertAlign w:val="baseline"/>
        </w:rPr>
        <w:t>.</w:t>
      </w:r>
    </w:p>
    <w:p w14:paraId="0AD6D815" w14:textId="0D71B35C" w:rsidR="009D5435" w:rsidRPr="00BE433D" w:rsidRDefault="009D5435" w:rsidP="009D5435">
      <w:pPr>
        <w:pStyle w:val="SingleTxtG"/>
      </w:pPr>
      <w:r w:rsidRPr="00BE433D">
        <w:t>471.</w:t>
      </w:r>
      <w:r w:rsidRPr="00BE433D">
        <w:tab/>
        <w:t xml:space="preserve">В настоящее время внедрена система электронной записи для поступления в </w:t>
      </w:r>
      <w:r w:rsidRPr="00BE433D">
        <w:br/>
        <w:t xml:space="preserve">первый класс в общеобразовательные организации в пяти городах республики </w:t>
      </w:r>
      <w:r w:rsidRPr="00BE433D">
        <w:br/>
        <w:t>(г</w:t>
      </w:r>
      <w:r w:rsidR="00EB4511" w:rsidRPr="00EB4511">
        <w:rPr>
          <w:rStyle w:val="a8"/>
          <w:sz w:val="20"/>
          <w:vertAlign w:val="baseline"/>
        </w:rPr>
        <w:t>.</w:t>
      </w:r>
      <w:r w:rsidRPr="00BE433D">
        <w:t xml:space="preserve"> Бишкек, Ош, Джалал-Абад, Кызыл-</w:t>
      </w:r>
      <w:proofErr w:type="spellStart"/>
      <w:r w:rsidRPr="00BE433D">
        <w:t>Кыя</w:t>
      </w:r>
      <w:proofErr w:type="spellEnd"/>
      <w:r w:rsidRPr="00BE433D">
        <w:t>, Кара-Балта)</w:t>
      </w:r>
      <w:r w:rsidRPr="00BE433D">
        <w:rPr>
          <w:rStyle w:val="a8"/>
        </w:rPr>
        <w:t>.</w:t>
      </w:r>
    </w:p>
    <w:p w14:paraId="6F2C4258" w14:textId="1DDDD396" w:rsidR="009D5435" w:rsidRPr="00BE433D" w:rsidRDefault="009D5435" w:rsidP="009D5435">
      <w:pPr>
        <w:pStyle w:val="SingleTxtG"/>
      </w:pPr>
      <w:r w:rsidRPr="00BE433D">
        <w:t>472.</w:t>
      </w:r>
      <w:r w:rsidRPr="00BE433D">
        <w:tab/>
        <w:t xml:space="preserve">Достаточно стабильно функционируют учебные заведения профессионального образования — с 9,4 % до 10,1 % увеличился охват молодежи в возрасте 15–17 лет начальным профессиональным образованием (НПО) (70 % мужчин и 30 % женщин), с 20,3 % до 23,1 % — охват средним профессиональным образованием (СПО) для молодежи 17–20 лет (43,8 % мужчин и 56,1 % </w:t>
      </w:r>
      <w:r w:rsidR="00EB4511" w:rsidRPr="00EB4511">
        <w:t>—</w:t>
      </w:r>
      <w:r w:rsidRPr="00BE433D">
        <w:t xml:space="preserve"> женщин)</w:t>
      </w:r>
      <w:r w:rsidR="00EB4511" w:rsidRPr="00EB4511">
        <w:rPr>
          <w:rStyle w:val="a8"/>
          <w:sz w:val="20"/>
          <w:vertAlign w:val="baseline"/>
        </w:rPr>
        <w:t>.</w:t>
      </w:r>
      <w:r w:rsidRPr="00BE433D">
        <w:t xml:space="preserve"> Это позитивно повлияло на снижение доли молодежи (от 15 до 24 лет), которая не работает, не учится и не приобретает профессиональных навыков, с 22,1 % до 20,5 % (категория NEET)</w:t>
      </w:r>
      <w:r w:rsidR="00EB4511" w:rsidRPr="00EB4511">
        <w:rPr>
          <w:rStyle w:val="a8"/>
          <w:sz w:val="20"/>
          <w:vertAlign w:val="baseline"/>
        </w:rPr>
        <w:t>.</w:t>
      </w:r>
    </w:p>
    <w:p w14:paraId="0FFA0F76" w14:textId="5878B326" w:rsidR="009D5435" w:rsidRPr="00BE433D" w:rsidRDefault="009D5435" w:rsidP="009D5435">
      <w:pPr>
        <w:pStyle w:val="SingleTxtG"/>
      </w:pPr>
      <w:r w:rsidRPr="00BE433D">
        <w:t>473.</w:t>
      </w:r>
      <w:r w:rsidRPr="00BE433D">
        <w:tab/>
        <w:t>Охват высшим профессиональным образованием среди населения 17–24 лет снизился с 24,3 % до 19,8 % (47,1 % мужчин и 52,8 % женщин) за счет того, что молодежь стала чаще выбирать учебу в колледжах и профессиональных лицеях, что должно позитивно повлиять на формирование в стране стабильного среднего рабочего класса</w:t>
      </w:r>
      <w:r w:rsidR="00EB4511" w:rsidRPr="00EB4511">
        <w:rPr>
          <w:rStyle w:val="a8"/>
          <w:sz w:val="20"/>
          <w:vertAlign w:val="baseline"/>
        </w:rPr>
        <w:t>.</w:t>
      </w:r>
    </w:p>
    <w:p w14:paraId="072FE9E1" w14:textId="77777777" w:rsidR="009D5435" w:rsidRPr="00BE433D" w:rsidRDefault="009D5435" w:rsidP="009D5435">
      <w:pPr>
        <w:pStyle w:val="H1G"/>
      </w:pPr>
      <w:r w:rsidRPr="00BE433D">
        <w:tab/>
      </w:r>
      <w:r w:rsidRPr="00BE433D">
        <w:tab/>
      </w:r>
      <w:proofErr w:type="spellStart"/>
      <w:r w:rsidRPr="00BE433D">
        <w:t>Cтатья</w:t>
      </w:r>
      <w:proofErr w:type="spellEnd"/>
      <w:r w:rsidRPr="00BE433D">
        <w:t xml:space="preserve"> 27</w:t>
      </w:r>
      <w:r w:rsidRPr="00BE433D">
        <w:br/>
        <w:t>Культурные права</w:t>
      </w:r>
    </w:p>
    <w:p w14:paraId="542BFF34" w14:textId="60296952" w:rsidR="009D5435" w:rsidRPr="00BE433D" w:rsidRDefault="009D5435" w:rsidP="009D5435">
      <w:pPr>
        <w:pStyle w:val="SingleTxtG"/>
      </w:pPr>
      <w:r w:rsidRPr="00BE433D">
        <w:t>474.</w:t>
      </w:r>
      <w:r w:rsidRPr="00BE433D">
        <w:tab/>
        <w:t>Кыргызская Республика — полиэтническое государство, в котором проживают представители около 100 различных этносов</w:t>
      </w:r>
      <w:r w:rsidR="00EB4511" w:rsidRPr="00EB4511">
        <w:rPr>
          <w:rStyle w:val="a8"/>
          <w:sz w:val="20"/>
          <w:vertAlign w:val="baseline"/>
        </w:rPr>
        <w:t>.</w:t>
      </w:r>
      <w:r w:rsidRPr="00EB4511">
        <w:rPr>
          <w:bCs/>
        </w:rPr>
        <w:t xml:space="preserve"> </w:t>
      </w:r>
      <w:r w:rsidRPr="00BE433D">
        <w:t>Согласно данным Национального статистического комитета, в 2019 году в Кыргызской Республике с населением 6 389 500 человек, проживают 14,7 % — узбеки; 5,4 % — русские; 1,1 % — дунгане; 0,9 % — уйгуры; 0,8 % — таджики и другие этнические группы — 3,9 %</w:t>
      </w:r>
      <w:r w:rsidR="00EB4511" w:rsidRPr="00EB4511">
        <w:rPr>
          <w:rStyle w:val="a8"/>
          <w:sz w:val="20"/>
          <w:vertAlign w:val="baseline"/>
        </w:rPr>
        <w:t>.</w:t>
      </w:r>
    </w:p>
    <w:p w14:paraId="36EA5D03" w14:textId="18AC3839" w:rsidR="009D5435" w:rsidRPr="00BE433D" w:rsidRDefault="009D5435" w:rsidP="009D5435">
      <w:pPr>
        <w:pStyle w:val="SingleTxtG"/>
      </w:pPr>
      <w:r w:rsidRPr="00BE433D">
        <w:t>475.</w:t>
      </w:r>
      <w:r w:rsidRPr="00BE433D">
        <w:tab/>
        <w:t>Сегодня в Республике создана законодательная база защиты прав представителей этнических групп, которая нашла отражение в соответствующих статьях Конституции, а также ряде законов, предусматривающих административное и уголовное наказание за дестабилизацию межэтнических отношений</w:t>
      </w:r>
      <w:r w:rsidR="00EB4511" w:rsidRPr="00EB4511">
        <w:rPr>
          <w:rStyle w:val="a8"/>
          <w:sz w:val="20"/>
          <w:vertAlign w:val="baseline"/>
        </w:rPr>
        <w:t>.</w:t>
      </w:r>
    </w:p>
    <w:p w14:paraId="57FEFDE0" w14:textId="569359A7" w:rsidR="009D5435" w:rsidRPr="00BE433D" w:rsidRDefault="009D5435" w:rsidP="009D5435">
      <w:pPr>
        <w:pStyle w:val="SingleTxtG"/>
      </w:pPr>
      <w:r w:rsidRPr="00BE433D">
        <w:t>476.</w:t>
      </w:r>
      <w:r w:rsidRPr="00BE433D">
        <w:tab/>
        <w:t>Основные принципы этнической политики заложены в Конституции «в Кыргызской Республике все равны перед законом»</w:t>
      </w:r>
      <w:r w:rsidRPr="00BE433D">
        <w:rPr>
          <w:rStyle w:val="a8"/>
        </w:rPr>
        <w:t>.</w:t>
      </w:r>
      <w:r w:rsidRPr="00BE433D">
        <w:t xml:space="preserve"> Конституция запрещает дискриминацию по признаку расы, языка, инвалидности, этнической принадлежности вероисповедания, возраста, политических или иных убеждений, образования, происхождения, имущественного или иного положения, а также других обстоятельств</w:t>
      </w:r>
      <w:r w:rsidR="00EB4511" w:rsidRPr="00EB4511">
        <w:rPr>
          <w:rStyle w:val="a8"/>
          <w:sz w:val="20"/>
          <w:vertAlign w:val="baseline"/>
        </w:rPr>
        <w:t>.</w:t>
      </w:r>
      <w:r w:rsidRPr="00BE433D">
        <w:t xml:space="preserve"> При этом существует конституционный принцип недискриминации, который касается не только государственных структур, но и политических партий и общественных объединений</w:t>
      </w:r>
      <w:r w:rsidR="00EB4511" w:rsidRPr="00EB4511">
        <w:rPr>
          <w:rStyle w:val="a8"/>
          <w:sz w:val="20"/>
          <w:vertAlign w:val="baseline"/>
        </w:rPr>
        <w:t>.</w:t>
      </w:r>
    </w:p>
    <w:p w14:paraId="6C5E66A5" w14:textId="400CF376" w:rsidR="009D5435" w:rsidRPr="00BE433D" w:rsidRDefault="009D5435" w:rsidP="009D5435">
      <w:pPr>
        <w:pStyle w:val="SingleTxtG"/>
      </w:pPr>
      <w:r w:rsidRPr="00BE433D">
        <w:t>477.</w:t>
      </w:r>
      <w:r w:rsidRPr="00BE433D">
        <w:tab/>
        <w:t xml:space="preserve">Следует отметить, что государство стремится реализовать сбалансированную языковую политику, т. е. сформировать новое </w:t>
      </w:r>
      <w:proofErr w:type="spellStart"/>
      <w:r w:rsidRPr="00BE433D">
        <w:t>трехязычное</w:t>
      </w:r>
      <w:proofErr w:type="spellEnd"/>
      <w:r w:rsidRPr="00BE433D">
        <w:t xml:space="preserve"> поколение </w:t>
      </w:r>
      <w:proofErr w:type="spellStart"/>
      <w:r w:rsidRPr="00BE433D">
        <w:t>кыргызстанцев</w:t>
      </w:r>
      <w:proofErr w:type="spellEnd"/>
      <w:r w:rsidRPr="00BE433D">
        <w:t>, владеющих государственным, официальным и одним из иностранных языков, при создании условий для сохранения родных языков этнических сообществ</w:t>
      </w:r>
      <w:r w:rsidR="00EB4511" w:rsidRPr="00EB4511">
        <w:rPr>
          <w:rStyle w:val="a8"/>
          <w:sz w:val="20"/>
          <w:vertAlign w:val="baseline"/>
        </w:rPr>
        <w:t>.</w:t>
      </w:r>
    </w:p>
    <w:p w14:paraId="7C94B3D6" w14:textId="21C23E4B" w:rsidR="009D5435" w:rsidRPr="00BE433D" w:rsidRDefault="009D5435" w:rsidP="009D5435">
      <w:pPr>
        <w:pStyle w:val="SingleTxtG"/>
      </w:pPr>
      <w:r w:rsidRPr="00BE433D">
        <w:t>478.</w:t>
      </w:r>
      <w:r w:rsidRPr="00BE433D">
        <w:tab/>
        <w:t xml:space="preserve">В Кыргызской Республике во исполнение постановления </w:t>
      </w:r>
      <w:proofErr w:type="spellStart"/>
      <w:r w:rsidRPr="00BE433D">
        <w:t>Жогорку</w:t>
      </w:r>
      <w:proofErr w:type="spellEnd"/>
      <w:r w:rsidRPr="00BE433D">
        <w:t xml:space="preserve"> </w:t>
      </w:r>
      <w:proofErr w:type="spellStart"/>
      <w:r w:rsidRPr="00BE433D">
        <w:t>Кенеша</w:t>
      </w:r>
      <w:proofErr w:type="spellEnd"/>
      <w:r w:rsidRPr="00BE433D">
        <w:t xml:space="preserve"> от 30 июня 2016 года «О внедрении многоязычного образования в КР» принята Программа по внедрению многоязычного образования на 2017–2030 годы</w:t>
      </w:r>
      <w:r w:rsidR="00EB4511" w:rsidRPr="00EB4511">
        <w:rPr>
          <w:rStyle w:val="a8"/>
          <w:sz w:val="20"/>
          <w:vertAlign w:val="baseline"/>
        </w:rPr>
        <w:t>.</w:t>
      </w:r>
    </w:p>
    <w:p w14:paraId="6FC40828" w14:textId="2E7B0995" w:rsidR="009D5435" w:rsidRPr="00BE433D" w:rsidRDefault="009D5435" w:rsidP="009D5435">
      <w:pPr>
        <w:pStyle w:val="SingleTxtG"/>
      </w:pPr>
      <w:r w:rsidRPr="00BE433D">
        <w:t>479.</w:t>
      </w:r>
      <w:r w:rsidRPr="00BE433D">
        <w:tab/>
        <w:t xml:space="preserve">В Кыргызской Республике в 2018–2019 учебном году всего 2265 школ, из них с одним языком обучения: 1395 — на кыргызском, 234 — на русском, 31 школа — на узбекском, 3 — на таджикском; с двумя и более языками обучения: 50 — на узбекско-русском, 49 — на кыргызско-узбекском, 2 — на кыргызско-таджикском, 1 — </w:t>
      </w:r>
      <w:proofErr w:type="spellStart"/>
      <w:r w:rsidRPr="00BE433D">
        <w:t>узбекско</w:t>
      </w:r>
      <w:proofErr w:type="spellEnd"/>
      <w:r w:rsidRPr="00BE433D">
        <w:t>–кыргызско-</w:t>
      </w:r>
      <w:proofErr w:type="spellStart"/>
      <w:r w:rsidRPr="00BE433D">
        <w:t>таджикско</w:t>
      </w:r>
      <w:proofErr w:type="spellEnd"/>
      <w:r w:rsidRPr="00BE433D">
        <w:t>–русском языках</w:t>
      </w:r>
      <w:r w:rsidR="00EB4511" w:rsidRPr="00EB4511">
        <w:rPr>
          <w:rStyle w:val="a8"/>
          <w:sz w:val="20"/>
          <w:vertAlign w:val="baseline"/>
        </w:rPr>
        <w:t>.</w:t>
      </w:r>
    </w:p>
    <w:p w14:paraId="4E79EAA1" w14:textId="44FFC1D9" w:rsidR="009D5435" w:rsidRPr="00BE433D" w:rsidRDefault="009D5435" w:rsidP="009D5435">
      <w:pPr>
        <w:pStyle w:val="SingleTxtG"/>
      </w:pPr>
      <w:r w:rsidRPr="00BE433D">
        <w:t>480.</w:t>
      </w:r>
      <w:r w:rsidRPr="00BE433D">
        <w:tab/>
        <w:t>В 1998–2018 годах Центром подготовки учебников (ЦПУ) при МОН выпущено более 147 наименований учебников, тиражом более 2 млн экземпляров</w:t>
      </w:r>
      <w:r w:rsidR="00EB4511" w:rsidRPr="00EB4511">
        <w:rPr>
          <w:rStyle w:val="a8"/>
          <w:sz w:val="20"/>
          <w:vertAlign w:val="baseline"/>
        </w:rPr>
        <w:t>.</w:t>
      </w:r>
      <w:r w:rsidR="00EB4511" w:rsidRPr="00EB4511">
        <w:t xml:space="preserve"> </w:t>
      </w:r>
      <w:r w:rsidRPr="00BE433D">
        <w:t>Это означает, что школы с узбекским языком обучения обеспечены учебниками и учебно-методическими пособиями по всем циклам на 70 %</w:t>
      </w:r>
      <w:r w:rsidR="00EB4511" w:rsidRPr="00EB4511">
        <w:rPr>
          <w:rStyle w:val="a8"/>
          <w:sz w:val="20"/>
          <w:vertAlign w:val="baseline"/>
        </w:rPr>
        <w:t>.</w:t>
      </w:r>
      <w:r w:rsidRPr="00BE433D">
        <w:t xml:space="preserve"> Правительство в лице МОН по выпуску и обеспечению учебниками школ с узбекским языком обучения оказывает постоянно финансовую поддержку для коллектива ЦПУ</w:t>
      </w:r>
      <w:r w:rsidR="00EB4511" w:rsidRPr="00EB4511">
        <w:rPr>
          <w:rStyle w:val="a8"/>
          <w:sz w:val="20"/>
          <w:vertAlign w:val="baseline"/>
        </w:rPr>
        <w:t>.</w:t>
      </w:r>
    </w:p>
    <w:p w14:paraId="362B0552" w14:textId="44097688" w:rsidR="009D5435" w:rsidRPr="00BE433D" w:rsidRDefault="009D5435" w:rsidP="009D5435">
      <w:pPr>
        <w:pStyle w:val="SingleTxtG"/>
      </w:pPr>
      <w:r w:rsidRPr="00BE433D">
        <w:t>481.</w:t>
      </w:r>
      <w:r w:rsidRPr="00BE433D">
        <w:tab/>
        <w:t>За последние годы творческий коллектив Центра укреплен высоко квалифицированными специалистами</w:t>
      </w:r>
      <w:r w:rsidR="00EB4511" w:rsidRPr="00EB4511">
        <w:rPr>
          <w:rStyle w:val="a8"/>
          <w:sz w:val="20"/>
          <w:vertAlign w:val="baseline"/>
        </w:rPr>
        <w:t>.</w:t>
      </w:r>
      <w:r w:rsidRPr="00BE433D">
        <w:t xml:space="preserve"> В настоящее время в нем работают один академик, три доктора и четыре кандидата наук, а также большой авторский коллектив из опытных специалистов</w:t>
      </w:r>
      <w:r w:rsidR="00EB4511" w:rsidRPr="00EB4511">
        <w:rPr>
          <w:rStyle w:val="a8"/>
          <w:sz w:val="20"/>
          <w:vertAlign w:val="baseline"/>
        </w:rPr>
        <w:t>.</w:t>
      </w:r>
    </w:p>
    <w:p w14:paraId="2B77E4AC" w14:textId="55AA40BD" w:rsidR="009D5435" w:rsidRPr="00BE433D" w:rsidRDefault="009D5435" w:rsidP="009D5435">
      <w:pPr>
        <w:pStyle w:val="SingleTxtG"/>
      </w:pPr>
      <w:r w:rsidRPr="00BE433D">
        <w:t>482.</w:t>
      </w:r>
      <w:r w:rsidRPr="00BE433D">
        <w:tab/>
        <w:t>Авторские коллективы и специалисты Центра активно участвуют в апробации и переводе новых учебников для 5–6 классов школ с узбекским языком обучения</w:t>
      </w:r>
      <w:r w:rsidRPr="00BE433D">
        <w:rPr>
          <w:rStyle w:val="a8"/>
        </w:rPr>
        <w:t>.</w:t>
      </w:r>
      <w:r w:rsidRPr="00BE433D">
        <w:t xml:space="preserve"> При этом особое внимание уделено разработке новых учебников «Узбек тили» и «Узбек </w:t>
      </w:r>
      <w:proofErr w:type="spellStart"/>
      <w:r w:rsidRPr="00BE433D">
        <w:t>адабиёти</w:t>
      </w:r>
      <w:proofErr w:type="spellEnd"/>
      <w:r w:rsidRPr="00BE433D">
        <w:t>» для 5–6 классов</w:t>
      </w:r>
      <w:r w:rsidR="00EB4511" w:rsidRPr="00EB4511">
        <w:rPr>
          <w:rStyle w:val="a8"/>
          <w:sz w:val="20"/>
          <w:vertAlign w:val="baseline"/>
        </w:rPr>
        <w:t>.</w:t>
      </w:r>
      <w:r w:rsidRPr="00BE433D">
        <w:t xml:space="preserve"> В настоящее время эти учебники выпущены и сейчас широко используются в школах с узбекским языком обучения</w:t>
      </w:r>
      <w:r w:rsidRPr="00BE433D">
        <w:rPr>
          <w:rStyle w:val="a8"/>
        </w:rPr>
        <w:t>.</w:t>
      </w:r>
    </w:p>
    <w:p w14:paraId="318C51B5" w14:textId="77777777" w:rsidR="009D5435" w:rsidRPr="00BE433D" w:rsidRDefault="009D5435" w:rsidP="009D5435">
      <w:pPr>
        <w:pStyle w:val="SingleTxtG"/>
      </w:pPr>
      <w:r w:rsidRPr="00BE433D">
        <w:t>483.</w:t>
      </w:r>
      <w:r w:rsidRPr="00BE433D">
        <w:tab/>
        <w:t xml:space="preserve">Обеспеченность образовательных организаций учебниками в </w:t>
      </w:r>
      <w:r w:rsidRPr="00BE433D">
        <w:br/>
        <w:t>2018/19 учебном году составила 74,3 %, в том числе по школам:</w:t>
      </w:r>
    </w:p>
    <w:p w14:paraId="6F276192" w14:textId="77777777" w:rsidR="009D5435" w:rsidRPr="00BE433D" w:rsidRDefault="009D5435" w:rsidP="009D5435">
      <w:pPr>
        <w:pStyle w:val="Bullet1G"/>
        <w:numPr>
          <w:ilvl w:val="0"/>
          <w:numId w:val="6"/>
        </w:numPr>
        <w:kinsoku w:val="0"/>
        <w:overflowPunct w:val="0"/>
        <w:autoSpaceDE w:val="0"/>
        <w:autoSpaceDN w:val="0"/>
        <w:adjustRightInd w:val="0"/>
        <w:snapToGrid w:val="0"/>
      </w:pPr>
      <w:r w:rsidRPr="00BE433D">
        <w:tab/>
        <w:t>с кыргызским языком обучения — 84,9 %;</w:t>
      </w:r>
    </w:p>
    <w:p w14:paraId="54D70F8E" w14:textId="77777777" w:rsidR="009D5435" w:rsidRPr="00BE433D" w:rsidRDefault="009D5435" w:rsidP="009D5435">
      <w:pPr>
        <w:pStyle w:val="Bullet1G"/>
        <w:numPr>
          <w:ilvl w:val="0"/>
          <w:numId w:val="6"/>
        </w:numPr>
        <w:kinsoku w:val="0"/>
        <w:overflowPunct w:val="0"/>
        <w:autoSpaceDE w:val="0"/>
        <w:autoSpaceDN w:val="0"/>
        <w:adjustRightInd w:val="0"/>
        <w:snapToGrid w:val="0"/>
      </w:pPr>
      <w:r w:rsidRPr="00BE433D">
        <w:tab/>
        <w:t>с русским языком обучения — 62,2 %;</w:t>
      </w:r>
    </w:p>
    <w:p w14:paraId="597C9B9E" w14:textId="77777777" w:rsidR="009D5435" w:rsidRPr="00BE433D" w:rsidRDefault="009D5435" w:rsidP="009D5435">
      <w:pPr>
        <w:pStyle w:val="Bullet1G"/>
        <w:numPr>
          <w:ilvl w:val="0"/>
          <w:numId w:val="6"/>
        </w:numPr>
        <w:kinsoku w:val="0"/>
        <w:overflowPunct w:val="0"/>
        <w:autoSpaceDE w:val="0"/>
        <w:autoSpaceDN w:val="0"/>
        <w:adjustRightInd w:val="0"/>
        <w:snapToGrid w:val="0"/>
      </w:pPr>
      <w:r w:rsidRPr="00BE433D">
        <w:tab/>
        <w:t>с узбекским языком обучения — 74,5 %;</w:t>
      </w:r>
    </w:p>
    <w:p w14:paraId="1C6ADEDB" w14:textId="0E7A8C6C" w:rsidR="009D5435" w:rsidRPr="00BE433D" w:rsidRDefault="009D5435" w:rsidP="009D5435">
      <w:pPr>
        <w:pStyle w:val="Bullet1G"/>
        <w:numPr>
          <w:ilvl w:val="0"/>
          <w:numId w:val="0"/>
        </w:numPr>
        <w:tabs>
          <w:tab w:val="left" w:pos="1701"/>
        </w:tabs>
        <w:ind w:left="1701" w:hanging="170"/>
      </w:pPr>
      <w:r w:rsidRPr="00BE433D">
        <w:t>•</w:t>
      </w:r>
      <w:r w:rsidRPr="00BE433D">
        <w:tab/>
        <w:t xml:space="preserve">с таджикским языком обучения </w:t>
      </w:r>
      <w:r w:rsidR="00EB35FE" w:rsidRPr="00BE433D">
        <w:t>—</w:t>
      </w:r>
      <w:r w:rsidRPr="00BE433D">
        <w:t xml:space="preserve"> 63,4 %</w:t>
      </w:r>
      <w:r w:rsidR="00EB4511" w:rsidRPr="00EB4511">
        <w:rPr>
          <w:rStyle w:val="a8"/>
          <w:sz w:val="20"/>
          <w:vertAlign w:val="baseline"/>
        </w:rPr>
        <w:t>.</w:t>
      </w:r>
    </w:p>
    <w:p w14:paraId="4AF444F6" w14:textId="553D95ED" w:rsidR="009D5435" w:rsidRPr="00BE433D" w:rsidRDefault="009D5435" w:rsidP="009D5435">
      <w:pPr>
        <w:pStyle w:val="SingleTxtG"/>
        <w:tabs>
          <w:tab w:val="clear" w:pos="1701"/>
          <w:tab w:val="clear" w:pos="2268"/>
          <w:tab w:val="clear" w:pos="2835"/>
        </w:tabs>
      </w:pPr>
      <w:r w:rsidRPr="00BE433D">
        <w:t>484.</w:t>
      </w:r>
      <w:r w:rsidRPr="00BE433D">
        <w:tab/>
        <w:t xml:space="preserve">Авторские коллективы ЦПУ завершили разработку новых учебников и методических пособий «Узбек тили» и «Узбек </w:t>
      </w:r>
      <w:proofErr w:type="spellStart"/>
      <w:r w:rsidRPr="00BE433D">
        <w:t>адабиёти</w:t>
      </w:r>
      <w:proofErr w:type="spellEnd"/>
      <w:r w:rsidRPr="00BE433D">
        <w:t>» для 7–8 классов</w:t>
      </w:r>
      <w:r w:rsidR="00A508E8" w:rsidRPr="00EB4511">
        <w:rPr>
          <w:rStyle w:val="a8"/>
          <w:sz w:val="20"/>
          <w:vertAlign w:val="baseline"/>
        </w:rPr>
        <w:t>.</w:t>
      </w:r>
      <w:r w:rsidRPr="00BE433D">
        <w:t xml:space="preserve"> Эти учебники успешно прошли экспертизу экспертной комиссии МОН, ожидается выпуск </w:t>
      </w:r>
      <w:proofErr w:type="spellStart"/>
      <w:r w:rsidRPr="00BE433D">
        <w:t>апробационного</w:t>
      </w:r>
      <w:proofErr w:type="spellEnd"/>
      <w:r w:rsidRPr="00BE433D">
        <w:t xml:space="preserve"> варианта</w:t>
      </w:r>
      <w:r w:rsidR="00A508E8" w:rsidRPr="00EB4511">
        <w:rPr>
          <w:rStyle w:val="a8"/>
          <w:sz w:val="20"/>
          <w:vertAlign w:val="baseline"/>
        </w:rPr>
        <w:t>.</w:t>
      </w:r>
    </w:p>
    <w:p w14:paraId="18065D33" w14:textId="0150C4BC" w:rsidR="009D5435" w:rsidRPr="00BE433D" w:rsidRDefault="009D5435" w:rsidP="009D5435">
      <w:pPr>
        <w:pStyle w:val="SingleTxtG"/>
        <w:tabs>
          <w:tab w:val="clear" w:pos="2268"/>
        </w:tabs>
      </w:pPr>
      <w:r w:rsidRPr="00BE433D">
        <w:t>485.</w:t>
      </w:r>
      <w:r w:rsidRPr="00BE433D">
        <w:tab/>
        <w:t xml:space="preserve">Каждые три года </w:t>
      </w:r>
      <w:r w:rsidRPr="00BE433D">
        <w:rPr>
          <w:bCs/>
        </w:rPr>
        <w:t xml:space="preserve">Центр </w:t>
      </w:r>
      <w:proofErr w:type="spellStart"/>
      <w:r w:rsidRPr="00BE433D">
        <w:rPr>
          <w:bCs/>
        </w:rPr>
        <w:t>дунгановедения</w:t>
      </w:r>
      <w:proofErr w:type="spellEnd"/>
      <w:r w:rsidRPr="00BE433D">
        <w:rPr>
          <w:bCs/>
        </w:rPr>
        <w:t xml:space="preserve"> и китаистики </w:t>
      </w:r>
      <w:r w:rsidRPr="00BE433D">
        <w:t>проводит курсы повышения квалификации для учителей-</w:t>
      </w:r>
      <w:proofErr w:type="spellStart"/>
      <w:r w:rsidRPr="00BE433D">
        <w:t>дунгановедов</w:t>
      </w:r>
      <w:proofErr w:type="spellEnd"/>
      <w:r w:rsidR="00A508E8" w:rsidRPr="00EB4511">
        <w:rPr>
          <w:rStyle w:val="a8"/>
          <w:sz w:val="20"/>
          <w:vertAlign w:val="baseline"/>
        </w:rPr>
        <w:t>.</w:t>
      </w:r>
      <w:r w:rsidRPr="00BE433D">
        <w:t xml:space="preserve"> Полностью оборудован учебно-методический кабинет дунганского языка в Александровской средней школе имени Я</w:t>
      </w:r>
      <w:r w:rsidR="00A508E8" w:rsidRPr="00EB4511">
        <w:rPr>
          <w:rStyle w:val="a8"/>
          <w:sz w:val="20"/>
          <w:vertAlign w:val="baseline"/>
        </w:rPr>
        <w:t>.</w:t>
      </w:r>
      <w:r w:rsidRPr="00BE433D">
        <w:t xml:space="preserve"> </w:t>
      </w:r>
      <w:proofErr w:type="spellStart"/>
      <w:r w:rsidRPr="00BE433D">
        <w:t>Шиваза</w:t>
      </w:r>
      <w:proofErr w:type="spellEnd"/>
      <w:r w:rsidR="00A508E8" w:rsidRPr="00EB4511">
        <w:rPr>
          <w:rStyle w:val="a8"/>
          <w:sz w:val="20"/>
          <w:vertAlign w:val="baseline"/>
        </w:rPr>
        <w:t>.</w:t>
      </w:r>
      <w:r w:rsidRPr="00BE433D">
        <w:t xml:space="preserve"> Совместно с Центром учебно-методическим кабинетом по развитию и сохранению дунганского языка регулярно проводятся курсы, семинары, открытые уроки, литературные конкурсы, мероприятия, приуроченные к юбилеям писателей и поэтов</w:t>
      </w:r>
      <w:r w:rsidR="00A508E8" w:rsidRPr="00EB4511">
        <w:rPr>
          <w:rStyle w:val="a8"/>
          <w:sz w:val="20"/>
          <w:vertAlign w:val="baseline"/>
        </w:rPr>
        <w:t>.</w:t>
      </w:r>
      <w:r w:rsidRPr="00BE433D">
        <w:t xml:space="preserve"> При учебно-методическом кабинете располагается также самая большая библиотека книг на дунганском языке, написанных латиницей и кириллицей</w:t>
      </w:r>
      <w:r w:rsidRPr="00BE433D">
        <w:rPr>
          <w:rStyle w:val="a8"/>
        </w:rPr>
        <w:t>.</w:t>
      </w:r>
    </w:p>
    <w:p w14:paraId="47321A1C" w14:textId="17C2C5AE" w:rsidR="009D5435" w:rsidRPr="00BE433D" w:rsidRDefault="009D5435" w:rsidP="009D5435">
      <w:pPr>
        <w:pStyle w:val="SingleTxtG"/>
        <w:tabs>
          <w:tab w:val="clear" w:pos="2268"/>
        </w:tabs>
        <w:rPr>
          <w:bCs/>
          <w:iCs/>
        </w:rPr>
      </w:pPr>
      <w:r w:rsidRPr="00BE433D">
        <w:rPr>
          <w:bCs/>
          <w:iCs/>
        </w:rPr>
        <w:t>486.</w:t>
      </w:r>
      <w:r w:rsidRPr="00BE433D">
        <w:rPr>
          <w:bCs/>
          <w:iCs/>
        </w:rPr>
        <w:tab/>
      </w:r>
      <w:r w:rsidRPr="00BE433D">
        <w:t>Нужно отметить, что со стороны государства предпринимаются определенные меры</w:t>
      </w:r>
      <w:r w:rsidR="00C668BE" w:rsidRPr="00EB4511">
        <w:rPr>
          <w:rStyle w:val="a8"/>
          <w:sz w:val="20"/>
          <w:vertAlign w:val="baseline"/>
        </w:rPr>
        <w:t>.</w:t>
      </w:r>
      <w:r w:rsidRPr="00BE433D">
        <w:t xml:space="preserve"> </w:t>
      </w:r>
      <w:r w:rsidRPr="00BE433D">
        <w:rPr>
          <w:bCs/>
          <w:iCs/>
        </w:rPr>
        <w:t xml:space="preserve">Так, </w:t>
      </w:r>
      <w:r w:rsidRPr="00BE433D">
        <w:t xml:space="preserve">ГАМСУМО через конкурс малых грантов дважды выделены денежные средства </w:t>
      </w:r>
      <w:r w:rsidRPr="00BE433D">
        <w:rPr>
          <w:bCs/>
          <w:iCs/>
        </w:rPr>
        <w:t>Ассоциации дунган Кыргызстана, которая выиграла грант в рамках государственной программы для переиздания учебников на дунганском языке: выпущено 3500 экземпляров книг «Дунганский язык — грамматика» для малышей, 1400 экземпляров учебника «Наша литература (чтение)» для школьников среднего звена и 1800 пособий по дунганскому языку для старшеклассников</w:t>
      </w:r>
      <w:r w:rsidR="000E515E" w:rsidRPr="00EB4511">
        <w:rPr>
          <w:rStyle w:val="a8"/>
          <w:sz w:val="20"/>
          <w:vertAlign w:val="baseline"/>
        </w:rPr>
        <w:t>.</w:t>
      </w:r>
      <w:r w:rsidRPr="00BE433D">
        <w:rPr>
          <w:bCs/>
          <w:iCs/>
        </w:rPr>
        <w:t xml:space="preserve"> Данные учебники были распространены в 14 школах Чуйской и Иссык-Кульской областей</w:t>
      </w:r>
      <w:r w:rsidR="000E515E" w:rsidRPr="00EB4511">
        <w:rPr>
          <w:rStyle w:val="a8"/>
          <w:sz w:val="20"/>
          <w:vertAlign w:val="baseline"/>
        </w:rPr>
        <w:t>.</w:t>
      </w:r>
    </w:p>
    <w:p w14:paraId="682080EE" w14:textId="26C85A94" w:rsidR="009D5435" w:rsidRPr="00BE433D" w:rsidRDefault="009D5435" w:rsidP="009D5435">
      <w:pPr>
        <w:pStyle w:val="SingleTxtG"/>
        <w:tabs>
          <w:tab w:val="clear" w:pos="2268"/>
        </w:tabs>
        <w:rPr>
          <w:bCs/>
        </w:rPr>
      </w:pPr>
      <w:r w:rsidRPr="00BE433D">
        <w:rPr>
          <w:bCs/>
        </w:rPr>
        <w:t>487.</w:t>
      </w:r>
      <w:r w:rsidRPr="00BE433D">
        <w:rPr>
          <w:bCs/>
        </w:rPr>
        <w:tab/>
        <w:t>Со стороны государства широко применяются меры по созданию условий для сохранения и изучения каждым гражданином родного языка и сохранению многообразия в обществе</w:t>
      </w:r>
      <w:r w:rsidR="000E515E" w:rsidRPr="00EB4511">
        <w:rPr>
          <w:rStyle w:val="a8"/>
          <w:sz w:val="20"/>
          <w:vertAlign w:val="baseline"/>
        </w:rPr>
        <w:t>.</w:t>
      </w:r>
    </w:p>
    <w:p w14:paraId="41FF25B8" w14:textId="2B4C9C24" w:rsidR="009D5435" w:rsidRPr="00BE433D" w:rsidRDefault="009D5435" w:rsidP="009D5435">
      <w:pPr>
        <w:pStyle w:val="SingleTxtG"/>
        <w:tabs>
          <w:tab w:val="clear" w:pos="2268"/>
        </w:tabs>
        <w:rPr>
          <w:bCs/>
        </w:rPr>
      </w:pPr>
      <w:r w:rsidRPr="00BE433D">
        <w:rPr>
          <w:bCs/>
        </w:rPr>
        <w:t>488.</w:t>
      </w:r>
      <w:r w:rsidRPr="00BE433D">
        <w:rPr>
          <w:bCs/>
        </w:rPr>
        <w:tab/>
        <w:t>За годы независимости Кыргызская Республика остается лидером среди стран Центральной Азии по уровню свободы слова и свободы печати</w:t>
      </w:r>
      <w:r w:rsidR="000E515E" w:rsidRPr="00EB4511">
        <w:rPr>
          <w:rStyle w:val="a8"/>
          <w:sz w:val="20"/>
          <w:vertAlign w:val="baseline"/>
        </w:rPr>
        <w:t>.</w:t>
      </w:r>
    </w:p>
    <w:p w14:paraId="7456D5F6" w14:textId="2D87BB26" w:rsidR="009D5435" w:rsidRPr="00BE433D" w:rsidRDefault="009D5435" w:rsidP="009D5435">
      <w:pPr>
        <w:pStyle w:val="SingleTxtG"/>
        <w:tabs>
          <w:tab w:val="clear" w:pos="2268"/>
        </w:tabs>
        <w:rPr>
          <w:bCs/>
        </w:rPr>
      </w:pPr>
      <w:r w:rsidRPr="00BE433D">
        <w:rPr>
          <w:bCs/>
        </w:rPr>
        <w:t>489.</w:t>
      </w:r>
      <w:r w:rsidRPr="00BE433D">
        <w:rPr>
          <w:bCs/>
        </w:rPr>
        <w:tab/>
        <w:t>Свобода слова, свобода СМИ и свобода выражения мнения остаются ключевыми областями человеческого измерения</w:t>
      </w:r>
      <w:r w:rsidR="000E515E" w:rsidRPr="00EB4511">
        <w:rPr>
          <w:rStyle w:val="a8"/>
          <w:sz w:val="20"/>
          <w:vertAlign w:val="baseline"/>
        </w:rPr>
        <w:t>.</w:t>
      </w:r>
      <w:r w:rsidRPr="00BE433D">
        <w:rPr>
          <w:bCs/>
        </w:rPr>
        <w:t xml:space="preserve"> В </w:t>
      </w:r>
      <w:r w:rsidRPr="00BE433D">
        <w:t>Кыргызской Республике</w:t>
      </w:r>
      <w:r w:rsidRPr="00BE433D">
        <w:rPr>
          <w:bCs/>
        </w:rPr>
        <w:t xml:space="preserve"> </w:t>
      </w:r>
      <w:proofErr w:type="gramStart"/>
      <w:r w:rsidRPr="00BE433D">
        <w:rPr>
          <w:bCs/>
        </w:rPr>
        <w:t>наглядно демонстрируется</w:t>
      </w:r>
      <w:proofErr w:type="gramEnd"/>
      <w:r w:rsidRPr="00BE433D">
        <w:rPr>
          <w:bCs/>
        </w:rPr>
        <w:t xml:space="preserve"> развитие средств массовой информации и свободы выражения мнений на языках этнических групп</w:t>
      </w:r>
      <w:r w:rsidR="000E515E" w:rsidRPr="00EB4511">
        <w:rPr>
          <w:rStyle w:val="a8"/>
          <w:sz w:val="20"/>
          <w:vertAlign w:val="baseline"/>
        </w:rPr>
        <w:t>.</w:t>
      </w:r>
    </w:p>
    <w:p w14:paraId="425B4191" w14:textId="0E0A4321" w:rsidR="009D5435" w:rsidRPr="00BE433D" w:rsidRDefault="009D5435" w:rsidP="009D5435">
      <w:pPr>
        <w:pStyle w:val="SingleTxtG"/>
        <w:tabs>
          <w:tab w:val="clear" w:pos="2268"/>
        </w:tabs>
        <w:rPr>
          <w:bCs/>
        </w:rPr>
      </w:pPr>
      <w:r w:rsidRPr="00BE433D">
        <w:rPr>
          <w:bCs/>
        </w:rPr>
        <w:t>490.</w:t>
      </w:r>
      <w:r w:rsidRPr="00BE433D">
        <w:rPr>
          <w:bCs/>
        </w:rPr>
        <w:tab/>
      </w:r>
      <w:r w:rsidRPr="00BE433D">
        <w:rPr>
          <w:bCs/>
          <w:iCs/>
        </w:rPr>
        <w:t xml:space="preserve">Закон «О средствах массовой информации» не содержит ограничительных мер для развития </w:t>
      </w:r>
      <w:r w:rsidRPr="00BE433D">
        <w:t>средств массовой информации</w:t>
      </w:r>
      <w:r w:rsidRPr="00BE433D">
        <w:rPr>
          <w:bCs/>
          <w:iCs/>
        </w:rPr>
        <w:t xml:space="preserve"> на языках этнических сообществ</w:t>
      </w:r>
      <w:r w:rsidR="000E515E" w:rsidRPr="00EB4511">
        <w:rPr>
          <w:rStyle w:val="a8"/>
          <w:sz w:val="20"/>
          <w:vertAlign w:val="baseline"/>
        </w:rPr>
        <w:t>.</w:t>
      </w:r>
      <w:r w:rsidRPr="00BE433D">
        <w:rPr>
          <w:bCs/>
          <w:iCs/>
        </w:rPr>
        <w:t xml:space="preserve"> В Кыргызской Республике </w:t>
      </w:r>
      <w:r w:rsidRPr="00BE433D">
        <w:t>созданы достаточно либеральные условия для сохранения этнокультурного многообразия народов Кыргызской Республики</w:t>
      </w:r>
      <w:r w:rsidR="000E515E" w:rsidRPr="00EB4511">
        <w:rPr>
          <w:rStyle w:val="a8"/>
          <w:sz w:val="20"/>
          <w:vertAlign w:val="baseline"/>
        </w:rPr>
        <w:t>.</w:t>
      </w:r>
      <w:r w:rsidRPr="00BE433D">
        <w:t xml:space="preserve"> Кроме того, представители этнических групп Кыргызской Республики понимают русский и кыргызский языки в достаточной мере, чтобы полноценно пользоваться отечественными СМИ, быть информированными по основным событиям и процессам в стране, получать и делиться знаниями, а также общаться и поддерживать взаимосвязь с другими культурными общностями</w:t>
      </w:r>
      <w:r w:rsidR="000E515E" w:rsidRPr="00EB4511">
        <w:rPr>
          <w:rStyle w:val="a8"/>
          <w:sz w:val="20"/>
          <w:vertAlign w:val="baseline"/>
        </w:rPr>
        <w:t>.</w:t>
      </w:r>
    </w:p>
    <w:p w14:paraId="41EF339D" w14:textId="4C699297" w:rsidR="009D5435" w:rsidRPr="00BE433D" w:rsidRDefault="009D5435" w:rsidP="009D5435">
      <w:pPr>
        <w:pStyle w:val="SingleTxtG"/>
        <w:tabs>
          <w:tab w:val="clear" w:pos="2268"/>
        </w:tabs>
      </w:pPr>
      <w:r w:rsidRPr="00BE433D">
        <w:t>491.</w:t>
      </w:r>
      <w:r w:rsidRPr="00BE433D">
        <w:tab/>
        <w:t>На базе Общественной телерадиокомпании работает радио «</w:t>
      </w:r>
      <w:proofErr w:type="spellStart"/>
      <w:r w:rsidRPr="00BE433D">
        <w:t>Достук</w:t>
      </w:r>
      <w:proofErr w:type="spellEnd"/>
      <w:r w:rsidRPr="00BE433D">
        <w:t>»</w:t>
      </w:r>
      <w:r w:rsidR="000E515E" w:rsidRPr="00EB4511">
        <w:rPr>
          <w:rStyle w:val="a8"/>
          <w:sz w:val="20"/>
          <w:vertAlign w:val="baseline"/>
        </w:rPr>
        <w:t>.</w:t>
      </w:r>
      <w:r w:rsidRPr="00BE433D">
        <w:t xml:space="preserve"> Его основной целью является содействие укреплению единства народа и межэтнических отношений в Кыргызской Республике</w:t>
      </w:r>
      <w:r w:rsidR="000E515E" w:rsidRPr="00EB4511">
        <w:rPr>
          <w:rStyle w:val="a8"/>
          <w:sz w:val="20"/>
          <w:vertAlign w:val="baseline"/>
        </w:rPr>
        <w:t>.</w:t>
      </w:r>
    </w:p>
    <w:p w14:paraId="109BE302" w14:textId="18673741" w:rsidR="009D5435" w:rsidRPr="00BE433D" w:rsidRDefault="009D5435" w:rsidP="009D5435">
      <w:pPr>
        <w:pStyle w:val="SingleTxtG"/>
        <w:tabs>
          <w:tab w:val="clear" w:pos="2268"/>
        </w:tabs>
      </w:pPr>
      <w:r w:rsidRPr="00BE433D">
        <w:t>492.</w:t>
      </w:r>
      <w:r w:rsidRPr="00BE433D">
        <w:tab/>
        <w:t>Он был открыт на основании Концепции укрепления единства народа и межэтнических отношений в Кыргызской Республике, утвержденной Указом Президента от 10 апреля 2013 года</w:t>
      </w:r>
      <w:r w:rsidRPr="00BE433D">
        <w:rPr>
          <w:rStyle w:val="a8"/>
        </w:rPr>
        <w:t>.</w:t>
      </w:r>
      <w:r w:rsidRPr="00BE433D">
        <w:t xml:space="preserve"> Сетка данного радиовещания обхватывает тематики, связанные с вопросами культуры, истории, искусства и литературы</w:t>
      </w:r>
      <w:r w:rsidR="000E515E" w:rsidRPr="00EB4511">
        <w:rPr>
          <w:rStyle w:val="a8"/>
          <w:sz w:val="20"/>
          <w:vertAlign w:val="baseline"/>
        </w:rPr>
        <w:t>.</w:t>
      </w:r>
    </w:p>
    <w:p w14:paraId="47607674" w14:textId="7A0C9759" w:rsidR="009D5435" w:rsidRPr="00BE433D" w:rsidRDefault="009D5435" w:rsidP="009D5435">
      <w:pPr>
        <w:pStyle w:val="SingleTxtG"/>
        <w:tabs>
          <w:tab w:val="clear" w:pos="2268"/>
        </w:tabs>
      </w:pPr>
      <w:r w:rsidRPr="00BE433D">
        <w:t>493.</w:t>
      </w:r>
      <w:r w:rsidRPr="00BE433D">
        <w:tab/>
        <w:t>С открытием радио «</w:t>
      </w:r>
      <w:proofErr w:type="spellStart"/>
      <w:r w:rsidRPr="00BE433D">
        <w:t>Достук</w:t>
      </w:r>
      <w:proofErr w:type="spellEnd"/>
      <w:r w:rsidRPr="00BE433D">
        <w:t>» создана площадка для широкого обмена культурными ценностями между разными этносами, населяющими Кыргызскую Республику</w:t>
      </w:r>
      <w:r w:rsidR="000E515E" w:rsidRPr="00EB4511">
        <w:rPr>
          <w:rStyle w:val="a8"/>
          <w:sz w:val="20"/>
          <w:vertAlign w:val="baseline"/>
        </w:rPr>
        <w:t>.</w:t>
      </w:r>
      <w:r w:rsidRPr="00BE433D">
        <w:t xml:space="preserve"> Ныне при радио реализуется проект по обучению кыргызскому языку</w:t>
      </w:r>
      <w:r w:rsidR="000E515E" w:rsidRPr="00EB4511">
        <w:rPr>
          <w:rStyle w:val="a8"/>
          <w:sz w:val="20"/>
          <w:vertAlign w:val="baseline"/>
        </w:rPr>
        <w:t>.</w:t>
      </w:r>
    </w:p>
    <w:p w14:paraId="5AAD18DB" w14:textId="3C8A5C64" w:rsidR="009D5435" w:rsidRPr="00BE433D" w:rsidRDefault="009D5435" w:rsidP="009D5435">
      <w:pPr>
        <w:pStyle w:val="SingleTxtG"/>
        <w:tabs>
          <w:tab w:val="clear" w:pos="2268"/>
        </w:tabs>
      </w:pPr>
      <w:r w:rsidRPr="00BE433D">
        <w:t>494.</w:t>
      </w:r>
      <w:r w:rsidRPr="00BE433D">
        <w:tab/>
        <w:t xml:space="preserve">Вещание по радио осуществляется в режиме </w:t>
      </w:r>
      <w:proofErr w:type="spellStart"/>
      <w:r w:rsidRPr="00BE433D">
        <w:t>online</w:t>
      </w:r>
      <w:proofErr w:type="spellEnd"/>
      <w:r w:rsidRPr="00BE433D">
        <w:t xml:space="preserve"> по будним дням, а по выходным (суббота, воскресенье) — на волне «</w:t>
      </w:r>
      <w:proofErr w:type="spellStart"/>
      <w:r w:rsidRPr="00BE433D">
        <w:t>Биринчи</w:t>
      </w:r>
      <w:proofErr w:type="spellEnd"/>
      <w:r w:rsidRPr="00BE433D">
        <w:t xml:space="preserve"> радио»</w:t>
      </w:r>
      <w:r w:rsidR="000E515E" w:rsidRPr="00EB4511">
        <w:rPr>
          <w:rStyle w:val="a8"/>
          <w:sz w:val="20"/>
          <w:vertAlign w:val="baseline"/>
        </w:rPr>
        <w:t>.</w:t>
      </w:r>
      <w:r w:rsidRPr="00BE433D">
        <w:t xml:space="preserve"> Редакция радио тесно сотрудничает с этническими общественными объединениями, входящими в состав Ассамблеи народа Кыргызстана</w:t>
      </w:r>
      <w:r w:rsidR="000E515E" w:rsidRPr="00EB4511">
        <w:rPr>
          <w:rStyle w:val="a8"/>
          <w:sz w:val="20"/>
          <w:vertAlign w:val="baseline"/>
        </w:rPr>
        <w:t>.</w:t>
      </w:r>
    </w:p>
    <w:p w14:paraId="3D9F65CC" w14:textId="67A4E740" w:rsidR="009D5435" w:rsidRPr="00BE433D" w:rsidRDefault="009D5435" w:rsidP="009D5435">
      <w:pPr>
        <w:pStyle w:val="SingleTxtG"/>
        <w:tabs>
          <w:tab w:val="clear" w:pos="2268"/>
        </w:tabs>
      </w:pPr>
      <w:r w:rsidRPr="00BE433D">
        <w:t>495.</w:t>
      </w:r>
      <w:r w:rsidRPr="00BE433D">
        <w:tab/>
        <w:t>Радиопередача «Мост дружбы» выходит еженедельно в эфир на разных языках: кыргызском, русском, дунганском, украинском, польском, татарском, тюркском и уйгурском</w:t>
      </w:r>
      <w:r w:rsidR="000E515E" w:rsidRPr="00EB4511">
        <w:rPr>
          <w:rStyle w:val="a8"/>
          <w:sz w:val="20"/>
          <w:vertAlign w:val="baseline"/>
        </w:rPr>
        <w:t>.</w:t>
      </w:r>
    </w:p>
    <w:p w14:paraId="27110D97" w14:textId="3D23AB05" w:rsidR="009D5435" w:rsidRPr="00BE433D" w:rsidRDefault="009D5435" w:rsidP="009D5435">
      <w:pPr>
        <w:pStyle w:val="SingleTxtG"/>
        <w:tabs>
          <w:tab w:val="clear" w:pos="2268"/>
        </w:tabs>
      </w:pPr>
      <w:r w:rsidRPr="00BE433D">
        <w:t>496.</w:t>
      </w:r>
      <w:r w:rsidRPr="00BE433D">
        <w:tab/>
        <w:t>Кроме этого, региональными филиалами ТРК «</w:t>
      </w:r>
      <w:proofErr w:type="spellStart"/>
      <w:r w:rsidRPr="00BE433D">
        <w:t>Ынтымак</w:t>
      </w:r>
      <w:proofErr w:type="spellEnd"/>
      <w:r w:rsidRPr="00BE433D">
        <w:t>» радиовещание выходит в эфир на кыргызском, русском и узбекском языках</w:t>
      </w:r>
      <w:r w:rsidRPr="00BE433D">
        <w:rPr>
          <w:rStyle w:val="a8"/>
        </w:rPr>
        <w:t>.</w:t>
      </w:r>
      <w:r w:rsidRPr="00BE433D">
        <w:t xml:space="preserve"> Ежедневная продукция ТРК составляет: на кыргызском языке — 360 мин (6 часов), на русском — 68 мин </w:t>
      </w:r>
      <w:r w:rsidRPr="00BE433D">
        <w:br/>
        <w:t>(1,5 часа) и на узбекском — 180 мин (3 часа)</w:t>
      </w:r>
      <w:r w:rsidR="000E515E" w:rsidRPr="00EB4511">
        <w:rPr>
          <w:rStyle w:val="a8"/>
          <w:sz w:val="20"/>
          <w:vertAlign w:val="baseline"/>
        </w:rPr>
        <w:t>.</w:t>
      </w:r>
    </w:p>
    <w:p w14:paraId="54432276" w14:textId="5BBCDCDA" w:rsidR="009D5435" w:rsidRPr="00BE433D" w:rsidRDefault="009D5435" w:rsidP="009D5435">
      <w:pPr>
        <w:pStyle w:val="SingleTxtG"/>
        <w:tabs>
          <w:tab w:val="clear" w:pos="2268"/>
        </w:tabs>
        <w:rPr>
          <w:bCs/>
        </w:rPr>
      </w:pPr>
      <w:r w:rsidRPr="00BE433D">
        <w:rPr>
          <w:bCs/>
        </w:rPr>
        <w:t>497.</w:t>
      </w:r>
      <w:r w:rsidRPr="00BE433D">
        <w:rPr>
          <w:bCs/>
        </w:rPr>
        <w:tab/>
      </w:r>
      <w:r w:rsidRPr="00BE433D">
        <w:t>По Республике имеются газеты: 3 — на узбекском, 3 — на русском, 7 — на кыргызском и русском, а также 23 — на кыргызском языках, финансируемые государством</w:t>
      </w:r>
      <w:r w:rsidR="000E515E" w:rsidRPr="00EB4511">
        <w:rPr>
          <w:rStyle w:val="a8"/>
          <w:sz w:val="20"/>
          <w:vertAlign w:val="baseline"/>
        </w:rPr>
        <w:t>.</w:t>
      </w:r>
    </w:p>
    <w:p w14:paraId="2E8DE315" w14:textId="77777777" w:rsidR="009D5435" w:rsidRPr="00BE433D" w:rsidRDefault="009D5435" w:rsidP="009D5435">
      <w:pPr>
        <w:pStyle w:val="SingleTxtG"/>
        <w:tabs>
          <w:tab w:val="clear" w:pos="2268"/>
        </w:tabs>
        <w:rPr>
          <w:bCs/>
        </w:rPr>
      </w:pPr>
      <w:r w:rsidRPr="00BE433D">
        <w:rPr>
          <w:bCs/>
        </w:rPr>
        <w:t>498.</w:t>
      </w:r>
      <w:r w:rsidRPr="00BE433D">
        <w:rPr>
          <w:bCs/>
        </w:rPr>
        <w:tab/>
      </w:r>
      <w:r w:rsidRPr="00BE433D">
        <w:t>При государственной поддержке функционируют следующие СМИ на языках этнических групп:</w:t>
      </w:r>
    </w:p>
    <w:p w14:paraId="144D6AC8" w14:textId="77777777" w:rsidR="009D5435" w:rsidRPr="00BE433D" w:rsidRDefault="009D5435" w:rsidP="009D5435">
      <w:pPr>
        <w:pStyle w:val="SingleTxtG"/>
        <w:ind w:left="1701"/>
      </w:pPr>
      <w:r w:rsidRPr="00BE433D">
        <w:t>1)</w:t>
      </w:r>
      <w:r w:rsidRPr="00BE433D">
        <w:tab/>
        <w:t>республиканская общественная телерадиовещательная компания «</w:t>
      </w:r>
      <w:proofErr w:type="spellStart"/>
      <w:r w:rsidRPr="00BE433D">
        <w:t>Ынтымак</w:t>
      </w:r>
      <w:proofErr w:type="spellEnd"/>
      <w:r w:rsidRPr="00BE433D">
        <w:t xml:space="preserve"> — узбекский язык;</w:t>
      </w:r>
    </w:p>
    <w:p w14:paraId="79063F70" w14:textId="77777777" w:rsidR="009D5435" w:rsidRPr="00BE433D" w:rsidRDefault="009D5435" w:rsidP="009D5435">
      <w:pPr>
        <w:pStyle w:val="SingleTxtG"/>
        <w:ind w:left="1701"/>
      </w:pPr>
      <w:r w:rsidRPr="00BE433D">
        <w:t>2)</w:t>
      </w:r>
      <w:r w:rsidRPr="00BE433D">
        <w:tab/>
      </w:r>
      <w:proofErr w:type="spellStart"/>
      <w:r w:rsidRPr="00BE433D">
        <w:t>ОсОО</w:t>
      </w:r>
      <w:proofErr w:type="spellEnd"/>
      <w:r w:rsidRPr="00BE433D">
        <w:t xml:space="preserve"> Медиахолдинг «Пирамида» — русский язык;</w:t>
      </w:r>
    </w:p>
    <w:p w14:paraId="7FBCA225" w14:textId="77777777" w:rsidR="009D5435" w:rsidRPr="00BE433D" w:rsidRDefault="009D5435" w:rsidP="009D5435">
      <w:pPr>
        <w:pStyle w:val="SingleTxtG"/>
        <w:ind w:left="1701"/>
      </w:pPr>
      <w:r w:rsidRPr="00BE433D">
        <w:t>3)</w:t>
      </w:r>
      <w:r w:rsidRPr="00BE433D">
        <w:tab/>
        <w:t>газета «Слово Кыргызстана» — русский язык;</w:t>
      </w:r>
    </w:p>
    <w:p w14:paraId="02A56C64" w14:textId="77777777" w:rsidR="009D5435" w:rsidRPr="00BE433D" w:rsidRDefault="009D5435" w:rsidP="009D5435">
      <w:pPr>
        <w:pStyle w:val="SingleTxtG"/>
        <w:ind w:left="1701"/>
      </w:pPr>
      <w:r w:rsidRPr="00BE433D">
        <w:t>4)</w:t>
      </w:r>
      <w:r w:rsidRPr="00BE433D">
        <w:tab/>
        <w:t>газета «</w:t>
      </w:r>
      <w:proofErr w:type="spellStart"/>
      <w:r w:rsidRPr="00BE433D">
        <w:t>Уш</w:t>
      </w:r>
      <w:proofErr w:type="spellEnd"/>
      <w:r w:rsidRPr="00BE433D">
        <w:t xml:space="preserve"> </w:t>
      </w:r>
      <w:proofErr w:type="spellStart"/>
      <w:r w:rsidRPr="00BE433D">
        <w:t>Садоси</w:t>
      </w:r>
      <w:proofErr w:type="spellEnd"/>
      <w:r w:rsidRPr="00BE433D">
        <w:t>» — узбекский язык;</w:t>
      </w:r>
    </w:p>
    <w:p w14:paraId="1F3BF10D" w14:textId="77777777" w:rsidR="009D5435" w:rsidRPr="00BE433D" w:rsidRDefault="009D5435" w:rsidP="009D5435">
      <w:pPr>
        <w:pStyle w:val="SingleTxtG"/>
        <w:ind w:left="1701"/>
      </w:pPr>
      <w:r w:rsidRPr="00BE433D">
        <w:t>5)</w:t>
      </w:r>
      <w:r w:rsidRPr="00BE433D">
        <w:tab/>
        <w:t>радио «Дружба» Общественной телерадиовещательной корпорации — языки этнических групп;</w:t>
      </w:r>
    </w:p>
    <w:p w14:paraId="599B4675" w14:textId="77777777" w:rsidR="009D5435" w:rsidRPr="00BE433D" w:rsidRDefault="009D5435" w:rsidP="009D5435">
      <w:pPr>
        <w:pStyle w:val="SingleTxtG"/>
        <w:ind w:left="1701"/>
      </w:pPr>
      <w:r w:rsidRPr="00BE433D">
        <w:t>6)</w:t>
      </w:r>
      <w:r w:rsidRPr="00BE433D">
        <w:tab/>
        <w:t xml:space="preserve">газета «Джалал-Абад </w:t>
      </w:r>
      <w:proofErr w:type="gramStart"/>
      <w:r w:rsidRPr="00BE433D">
        <w:t>Тонги» ⸺ узбекский</w:t>
      </w:r>
      <w:proofErr w:type="gramEnd"/>
      <w:r w:rsidRPr="00BE433D">
        <w:t xml:space="preserve"> язык;</w:t>
      </w:r>
    </w:p>
    <w:p w14:paraId="34EAD2F7" w14:textId="59EFAB10" w:rsidR="009D5435" w:rsidRPr="00BE433D" w:rsidRDefault="009D5435" w:rsidP="009D5435">
      <w:pPr>
        <w:pStyle w:val="SingleTxtG"/>
        <w:ind w:left="1701"/>
      </w:pPr>
      <w:r w:rsidRPr="00BE433D">
        <w:t>7)</w:t>
      </w:r>
      <w:r w:rsidRPr="00BE433D">
        <w:tab/>
        <w:t xml:space="preserve">газета «Чуйские </w:t>
      </w:r>
      <w:proofErr w:type="gramStart"/>
      <w:r w:rsidRPr="00BE433D">
        <w:t>известия» ⸺ русский</w:t>
      </w:r>
      <w:proofErr w:type="gramEnd"/>
      <w:r w:rsidRPr="00BE433D">
        <w:t xml:space="preserve"> язык</w:t>
      </w:r>
      <w:r w:rsidR="000E515E" w:rsidRPr="00EB4511">
        <w:rPr>
          <w:rStyle w:val="a8"/>
          <w:sz w:val="20"/>
          <w:vertAlign w:val="baseline"/>
        </w:rPr>
        <w:t>.</w:t>
      </w:r>
    </w:p>
    <w:p w14:paraId="2FAC2D1E" w14:textId="77777777" w:rsidR="009D5435" w:rsidRPr="00BE433D" w:rsidRDefault="009D5435" w:rsidP="009D5435">
      <w:pPr>
        <w:pStyle w:val="H23G"/>
      </w:pPr>
      <w:r w:rsidRPr="00BE433D">
        <w:tab/>
      </w:r>
      <w:r w:rsidRPr="00BE433D">
        <w:tab/>
        <w:t xml:space="preserve">Другие рекомендации </w:t>
      </w:r>
    </w:p>
    <w:p w14:paraId="7B4B9423" w14:textId="14E6D704" w:rsidR="009D5435" w:rsidRPr="00BE433D" w:rsidRDefault="009D5435" w:rsidP="009D5435">
      <w:pPr>
        <w:pStyle w:val="SingleTxtG"/>
        <w:tabs>
          <w:tab w:val="clear" w:pos="2268"/>
        </w:tabs>
        <w:rPr>
          <w:i/>
        </w:rPr>
      </w:pPr>
      <w:r w:rsidRPr="00BE433D">
        <w:rPr>
          <w:i/>
        </w:rPr>
        <w:t>1</w:t>
      </w:r>
      <w:r w:rsidR="000E515E" w:rsidRPr="000E515E">
        <w:rPr>
          <w:rStyle w:val="a8"/>
          <w:i/>
          <w:iCs/>
          <w:sz w:val="20"/>
          <w:vertAlign w:val="baseline"/>
        </w:rPr>
        <w:t>.</w:t>
      </w:r>
      <w:r w:rsidRPr="00BE433D">
        <w:rPr>
          <w:i/>
        </w:rPr>
        <w:tab/>
        <w:t>Вопрос о ратификации Факультативного протокола к Международному пакту об экономических, социальных и культурных правах изучается</w:t>
      </w:r>
      <w:r w:rsidRPr="000E515E">
        <w:rPr>
          <w:rStyle w:val="a8"/>
          <w:i/>
          <w:iCs/>
          <w:sz w:val="20"/>
          <w:vertAlign w:val="baseline"/>
        </w:rPr>
        <w:t>.</w:t>
      </w:r>
    </w:p>
    <w:p w14:paraId="1D7F046B" w14:textId="0A2B3939" w:rsidR="009D5435" w:rsidRPr="00BE433D" w:rsidRDefault="009D5435" w:rsidP="009D5435">
      <w:pPr>
        <w:pStyle w:val="SingleTxtG"/>
        <w:tabs>
          <w:tab w:val="clear" w:pos="2268"/>
        </w:tabs>
        <w:rPr>
          <w:i/>
        </w:rPr>
      </w:pPr>
      <w:r w:rsidRPr="00BE433D">
        <w:rPr>
          <w:i/>
        </w:rPr>
        <w:t>2</w:t>
      </w:r>
      <w:r w:rsidR="000E515E" w:rsidRPr="000E515E">
        <w:rPr>
          <w:rStyle w:val="a8"/>
          <w:i/>
          <w:iCs/>
          <w:sz w:val="20"/>
          <w:vertAlign w:val="baseline"/>
        </w:rPr>
        <w:t>.</w:t>
      </w:r>
      <w:r w:rsidRPr="00BE433D">
        <w:rPr>
          <w:i/>
        </w:rPr>
        <w:tab/>
        <w:t>В целях содействия защите прав лиц с ограниченными возможностями здоровья и расширения их участия в гражданской, политической, экономической, социальной и культурной жизни общества Кыргызская Республика стала участницей Конвенции ООН о правах инвалидов, которая вступила в силу 15 июня 2019 года</w:t>
      </w:r>
      <w:r w:rsidR="000E515E" w:rsidRPr="000E515E">
        <w:rPr>
          <w:rStyle w:val="a8"/>
          <w:i/>
          <w:iCs/>
          <w:sz w:val="20"/>
          <w:vertAlign w:val="baseline"/>
        </w:rPr>
        <w:t>.</w:t>
      </w:r>
    </w:p>
    <w:p w14:paraId="2CD94088" w14:textId="33529E92" w:rsidR="009D5435" w:rsidRPr="00BE433D" w:rsidRDefault="009D5435" w:rsidP="009D5435">
      <w:pPr>
        <w:pStyle w:val="SingleTxtG"/>
        <w:tabs>
          <w:tab w:val="clear" w:pos="2268"/>
        </w:tabs>
      </w:pPr>
      <w:r w:rsidRPr="00BE433D">
        <w:t>499</w:t>
      </w:r>
      <w:r w:rsidRPr="000E515E">
        <w:rPr>
          <w:rStyle w:val="a8"/>
          <w:sz w:val="20"/>
          <w:vertAlign w:val="baseline"/>
        </w:rPr>
        <w:t>.</w:t>
      </w:r>
      <w:r w:rsidRPr="00BE433D">
        <w:tab/>
        <w:t>В целях реализации положений Конвенции ООН о правах инвалидов государством ведется работа по улучшению социального обеспечения лиц с ограниченными возможностями здоровья (далее — ЛОВЗ) и пожилых граждан через совершенствование законодательной базы, принимаются меры по повышению качества социального обслуживания ЛОВЗ и эффективному использованию имеющихся ресурсов для обеспечения доступа ЛОВЗ к социальным услугам</w:t>
      </w:r>
      <w:r w:rsidR="000E515E" w:rsidRPr="000E515E">
        <w:rPr>
          <w:rStyle w:val="a8"/>
          <w:sz w:val="20"/>
          <w:vertAlign w:val="baseline"/>
        </w:rPr>
        <w:t>.</w:t>
      </w:r>
    </w:p>
    <w:p w14:paraId="258D7C12" w14:textId="6DC428B6" w:rsidR="009D5435" w:rsidRPr="00BE433D" w:rsidRDefault="009D5435" w:rsidP="009D5435">
      <w:pPr>
        <w:pStyle w:val="SingleTxtG"/>
        <w:tabs>
          <w:tab w:val="clear" w:pos="2268"/>
        </w:tabs>
      </w:pPr>
      <w:r w:rsidRPr="00BE433D">
        <w:t>500</w:t>
      </w:r>
      <w:r w:rsidR="000E515E" w:rsidRPr="000E515E">
        <w:rPr>
          <w:rStyle w:val="a8"/>
          <w:sz w:val="20"/>
          <w:vertAlign w:val="baseline"/>
        </w:rPr>
        <w:t>.</w:t>
      </w:r>
      <w:r w:rsidRPr="00BE433D">
        <w:tab/>
        <w:t>Распоряжением правительства (2019 год) образована межведомственная рабочая группа по реализации положений Конвенции ООН о правах инвалидов</w:t>
      </w:r>
      <w:r w:rsidR="000E515E" w:rsidRPr="000E515E">
        <w:rPr>
          <w:rStyle w:val="a8"/>
          <w:sz w:val="20"/>
          <w:vertAlign w:val="baseline"/>
        </w:rPr>
        <w:t>.</w:t>
      </w:r>
    </w:p>
    <w:p w14:paraId="3FDD9023" w14:textId="29A2C715" w:rsidR="009D5435" w:rsidRPr="00BE433D" w:rsidRDefault="009D5435" w:rsidP="009D5435">
      <w:pPr>
        <w:pStyle w:val="SingleTxtG"/>
        <w:tabs>
          <w:tab w:val="clear" w:pos="2268"/>
        </w:tabs>
      </w:pPr>
      <w:r w:rsidRPr="00BE433D">
        <w:t>501</w:t>
      </w:r>
      <w:r w:rsidR="000E515E" w:rsidRPr="000E515E">
        <w:rPr>
          <w:rStyle w:val="a8"/>
          <w:sz w:val="20"/>
          <w:vertAlign w:val="baseline"/>
        </w:rPr>
        <w:t>.</w:t>
      </w:r>
      <w:r w:rsidRPr="00BE433D">
        <w:tab/>
        <w:t>Ведется работа по утверждению проекта Плана первоочередных мер по реализации Конвенции ООН о правах инвалидов на 2021–2023 годы</w:t>
      </w:r>
      <w:r w:rsidR="000E515E" w:rsidRPr="000E515E">
        <w:rPr>
          <w:rStyle w:val="a8"/>
          <w:sz w:val="20"/>
          <w:vertAlign w:val="baseline"/>
        </w:rPr>
        <w:t>.</w:t>
      </w:r>
      <w:r w:rsidRPr="00BE433D">
        <w:t xml:space="preserve"> Также ведется работа по утверждению Программы «Доступная страна», направленной на создание доступной среды жизнедеятельности для лиц с инвалидностью</w:t>
      </w:r>
      <w:r w:rsidRPr="00BE433D">
        <w:rPr>
          <w:rStyle w:val="a8"/>
        </w:rPr>
        <w:t>.</w:t>
      </w:r>
    </w:p>
    <w:p w14:paraId="31EF6123" w14:textId="21DE84AE" w:rsidR="009D5435" w:rsidRPr="00BE433D" w:rsidRDefault="009D5435" w:rsidP="009D5435">
      <w:pPr>
        <w:pStyle w:val="SingleTxtG"/>
        <w:tabs>
          <w:tab w:val="clear" w:pos="2268"/>
        </w:tabs>
      </w:pPr>
      <w:r w:rsidRPr="00BE433D">
        <w:t>502</w:t>
      </w:r>
      <w:r w:rsidR="000E515E" w:rsidRPr="000E515E">
        <w:rPr>
          <w:rStyle w:val="a8"/>
          <w:sz w:val="20"/>
          <w:vertAlign w:val="baseline"/>
        </w:rPr>
        <w:t>.</w:t>
      </w:r>
      <w:r w:rsidRPr="00BE433D">
        <w:tab/>
        <w:t>Во исполнение Конвенции ООН о правах инвалидов образован Совет по делам лиц с инвалидностью при правительстве, с целью обеспечения взаимодействия органов государственной власти, органов местного самоуправления, общественных объединений, научных и иных организаций при рассмотрении вопросов, связанных с социальной защитой инвалидов, обеспечением эффективной, профессиональной и социальной реабилитации инвалидов в Кыргызской Республике</w:t>
      </w:r>
      <w:r w:rsidR="000E515E" w:rsidRPr="000E515E">
        <w:rPr>
          <w:rStyle w:val="a8"/>
          <w:sz w:val="20"/>
          <w:vertAlign w:val="baseline"/>
        </w:rPr>
        <w:t>.</w:t>
      </w:r>
    </w:p>
    <w:p w14:paraId="476E4E10" w14:textId="77777777" w:rsidR="009D5435" w:rsidRPr="00BE433D" w:rsidRDefault="009D5435" w:rsidP="009D5435">
      <w:pPr>
        <w:pStyle w:val="SingleTxtG"/>
        <w:tabs>
          <w:tab w:val="clear" w:pos="2268"/>
        </w:tabs>
        <w:rPr>
          <w:i/>
        </w:rPr>
      </w:pPr>
      <w:r w:rsidRPr="00BE433D">
        <w:rPr>
          <w:i/>
        </w:rPr>
        <w:t>3.</w:t>
      </w:r>
      <w:r w:rsidRPr="00BE433D">
        <w:rPr>
          <w:i/>
        </w:rPr>
        <w:tab/>
        <w:t>Кыргызская Республика продолжает активно сотрудничать со специальными докладчиками ООН</w:t>
      </w:r>
      <w:r w:rsidRPr="000E515E">
        <w:rPr>
          <w:rStyle w:val="a8"/>
          <w:i/>
          <w:iCs/>
          <w:sz w:val="20"/>
          <w:vertAlign w:val="baseline"/>
        </w:rPr>
        <w:t>.</w:t>
      </w:r>
    </w:p>
    <w:p w14:paraId="6DB58730" w14:textId="7347D9B0" w:rsidR="009D5435" w:rsidRPr="00BE433D" w:rsidRDefault="009D5435" w:rsidP="009D5435">
      <w:pPr>
        <w:pStyle w:val="SingleTxtG"/>
      </w:pPr>
      <w:r w:rsidRPr="00BE433D">
        <w:t>503</w:t>
      </w:r>
      <w:r w:rsidR="000E515E" w:rsidRPr="000E515E">
        <w:rPr>
          <w:rStyle w:val="a8"/>
          <w:sz w:val="20"/>
          <w:vertAlign w:val="baseline"/>
        </w:rPr>
        <w:t>.</w:t>
      </w:r>
      <w:r w:rsidRPr="00BE433D">
        <w:tab/>
        <w:t>Координационным советом по правам человека при правительстве регулярно рассматриваются вопросы и принимаются решения о даче разрешения посетить Кыргызскую Республику Специальным докладчикам ООН на основании их запросов</w:t>
      </w:r>
      <w:r w:rsidR="000E515E" w:rsidRPr="000E515E">
        <w:rPr>
          <w:rStyle w:val="a8"/>
          <w:sz w:val="20"/>
          <w:vertAlign w:val="baseline"/>
        </w:rPr>
        <w:t>.</w:t>
      </w:r>
    </w:p>
    <w:p w14:paraId="6810324C" w14:textId="435F6DC6" w:rsidR="009D5435" w:rsidRPr="00BE433D" w:rsidRDefault="009D5435" w:rsidP="009D5435">
      <w:pPr>
        <w:pStyle w:val="SingleTxtG"/>
      </w:pPr>
      <w:r w:rsidRPr="00BE433D">
        <w:t>504</w:t>
      </w:r>
      <w:r w:rsidR="000E515E" w:rsidRPr="000E515E">
        <w:rPr>
          <w:rStyle w:val="a8"/>
          <w:sz w:val="20"/>
          <w:vertAlign w:val="baseline"/>
        </w:rPr>
        <w:t>.</w:t>
      </w:r>
      <w:r w:rsidRPr="00BE433D">
        <w:tab/>
        <w:t>В настоящее время нет запросов от специальных докладчиков на посещение нашей страны</w:t>
      </w:r>
      <w:r w:rsidR="000E515E" w:rsidRPr="000E515E">
        <w:rPr>
          <w:rStyle w:val="a8"/>
          <w:sz w:val="20"/>
          <w:vertAlign w:val="baseline"/>
        </w:rPr>
        <w:t>.</w:t>
      </w:r>
    </w:p>
    <w:p w14:paraId="5066832C" w14:textId="293C866D" w:rsidR="009D5435" w:rsidRPr="00BE433D" w:rsidRDefault="009D5435" w:rsidP="009D5435">
      <w:pPr>
        <w:pStyle w:val="SingleTxtG"/>
      </w:pPr>
      <w:r w:rsidRPr="00BE433D">
        <w:t>505</w:t>
      </w:r>
      <w:r w:rsidR="000E515E" w:rsidRPr="000E515E">
        <w:rPr>
          <w:rStyle w:val="a8"/>
          <w:sz w:val="20"/>
          <w:vertAlign w:val="baseline"/>
        </w:rPr>
        <w:t>.</w:t>
      </w:r>
      <w:r w:rsidRPr="00BE433D">
        <w:tab/>
        <w:t>Вместе с тем сообщаем, что МИД направлено поручение Постоянному представительству Кыргызской Республики при ООН в г</w:t>
      </w:r>
      <w:r w:rsidR="000E515E" w:rsidRPr="000E515E">
        <w:rPr>
          <w:rStyle w:val="a8"/>
          <w:sz w:val="20"/>
          <w:vertAlign w:val="baseline"/>
        </w:rPr>
        <w:t>.</w:t>
      </w:r>
      <w:r w:rsidRPr="00BE433D">
        <w:t xml:space="preserve"> Женева о направлении постоянного приглашения всем мандатариям специальных процедур Совета по правам человека ООН</w:t>
      </w:r>
      <w:r w:rsidR="000E515E" w:rsidRPr="000E515E">
        <w:rPr>
          <w:rStyle w:val="a8"/>
          <w:sz w:val="20"/>
          <w:vertAlign w:val="baseline"/>
        </w:rPr>
        <w:t>.</w:t>
      </w:r>
    </w:p>
    <w:p w14:paraId="07C3089A" w14:textId="549D3B96" w:rsidR="009D5435" w:rsidRPr="00BE433D" w:rsidRDefault="009D5435" w:rsidP="009D5435">
      <w:pPr>
        <w:pStyle w:val="SingleTxtG"/>
      </w:pPr>
      <w:r w:rsidRPr="00BE433D">
        <w:t>506</w:t>
      </w:r>
      <w:r w:rsidR="000E515E" w:rsidRPr="000E515E">
        <w:rPr>
          <w:rStyle w:val="a8"/>
          <w:sz w:val="20"/>
          <w:vertAlign w:val="baseline"/>
        </w:rPr>
        <w:t>.</w:t>
      </w:r>
      <w:r w:rsidRPr="00BE433D">
        <w:tab/>
        <w:t>Данный шаг положительно скажется на международном имидже страны как открытой страны, готовой эффективно сотрудничать со специальными процедурами Совета по правам человека ООН</w:t>
      </w:r>
      <w:r w:rsidR="000E515E" w:rsidRPr="000E515E">
        <w:rPr>
          <w:rStyle w:val="a8"/>
          <w:sz w:val="20"/>
          <w:vertAlign w:val="baseline"/>
        </w:rPr>
        <w:t>.</w:t>
      </w:r>
    </w:p>
    <w:p w14:paraId="602DB8B6" w14:textId="77777777" w:rsidR="009D5435" w:rsidRPr="00BE433D" w:rsidRDefault="009D5435" w:rsidP="009D5435">
      <w:pPr>
        <w:suppressAutoHyphens w:val="0"/>
        <w:spacing w:after="200" w:line="276" w:lineRule="auto"/>
        <w:ind w:left="1134"/>
        <w:rPr>
          <w:b/>
        </w:rPr>
      </w:pPr>
      <w:r w:rsidRPr="00BE433D">
        <w:rPr>
          <w:b/>
        </w:rPr>
        <w:br w:type="page"/>
      </w:r>
    </w:p>
    <w:p w14:paraId="551403DE" w14:textId="77777777" w:rsidR="009D5435" w:rsidRPr="00BE433D" w:rsidRDefault="009D5435" w:rsidP="009D5435">
      <w:pPr>
        <w:pStyle w:val="H1G"/>
      </w:pPr>
      <w:r w:rsidRPr="00BE433D">
        <w:tab/>
      </w:r>
      <w:r w:rsidRPr="00BE433D">
        <w:tab/>
        <w:t>Перечень используемых сокращений</w:t>
      </w:r>
    </w:p>
    <w:p w14:paraId="7BE54F1C" w14:textId="77777777" w:rsidR="009D5435" w:rsidRPr="00BE433D" w:rsidRDefault="009D5435" w:rsidP="009D5435">
      <w:pPr>
        <w:pStyle w:val="SingleTxtG"/>
        <w:tabs>
          <w:tab w:val="clear" w:pos="1701"/>
          <w:tab w:val="clear" w:pos="2268"/>
          <w:tab w:val="clear" w:pos="2835"/>
        </w:tabs>
        <w:ind w:left="3402" w:hanging="2268"/>
        <w:jc w:val="left"/>
      </w:pPr>
      <w:proofErr w:type="spellStart"/>
      <w:r w:rsidRPr="00BE433D">
        <w:t>ГАДМФКиС</w:t>
      </w:r>
      <w:proofErr w:type="spellEnd"/>
      <w:r w:rsidRPr="00BE433D">
        <w:tab/>
        <w:t>Государственное агентство по делам молодежи, физической культуры и спорта при правительстве</w:t>
      </w:r>
    </w:p>
    <w:p w14:paraId="2718E1DB" w14:textId="77777777" w:rsidR="009D5435" w:rsidRPr="00BE433D" w:rsidRDefault="009D5435" w:rsidP="009D5435">
      <w:pPr>
        <w:pStyle w:val="SingleTxtG"/>
        <w:tabs>
          <w:tab w:val="clear" w:pos="1701"/>
          <w:tab w:val="clear" w:pos="2268"/>
          <w:tab w:val="clear" w:pos="2835"/>
        </w:tabs>
        <w:ind w:left="3402" w:hanging="2268"/>
        <w:jc w:val="left"/>
      </w:pPr>
      <w:r w:rsidRPr="00BE433D">
        <w:t>ГАМСУМО</w:t>
      </w:r>
      <w:r w:rsidRPr="00BE433D">
        <w:tab/>
        <w:t>Государственное агентство по делам местного самоуправления и межэтнических отношений при правительстве</w:t>
      </w:r>
    </w:p>
    <w:p w14:paraId="009D4BA1" w14:textId="5BD6FC1E" w:rsidR="009D5435" w:rsidRPr="00BE433D" w:rsidRDefault="009D5435" w:rsidP="009D5435">
      <w:pPr>
        <w:pStyle w:val="SingleTxtG"/>
        <w:tabs>
          <w:tab w:val="clear" w:pos="1701"/>
          <w:tab w:val="clear" w:pos="2268"/>
          <w:tab w:val="clear" w:pos="2835"/>
        </w:tabs>
        <w:ind w:left="3402" w:hanging="2268"/>
        <w:jc w:val="left"/>
      </w:pPr>
      <w:r w:rsidRPr="00BE433D">
        <w:t>ГАООСЛХ</w:t>
      </w:r>
      <w:r w:rsidRPr="00BE433D">
        <w:tab/>
        <w:t>Государственное агентство охраны окружающей среды и</w:t>
      </w:r>
      <w:r w:rsidR="001D4901">
        <w:rPr>
          <w:lang w:val="en-US"/>
        </w:rPr>
        <w:t> </w:t>
      </w:r>
      <w:r w:rsidRPr="00BE433D">
        <w:t>лесного хозяйства при правительстве</w:t>
      </w:r>
    </w:p>
    <w:p w14:paraId="2D6B1464" w14:textId="36975244" w:rsidR="009D5435" w:rsidRPr="00BE433D" w:rsidRDefault="009D5435" w:rsidP="009D5435">
      <w:pPr>
        <w:pStyle w:val="SingleTxtG"/>
        <w:tabs>
          <w:tab w:val="clear" w:pos="1701"/>
          <w:tab w:val="clear" w:pos="2268"/>
          <w:tab w:val="clear" w:pos="2835"/>
        </w:tabs>
        <w:ind w:left="3402" w:hanging="2268"/>
        <w:jc w:val="left"/>
      </w:pPr>
      <w:r w:rsidRPr="00BE433D">
        <w:t>ГИЭТБ</w:t>
      </w:r>
      <w:r w:rsidRPr="00BE433D">
        <w:tab/>
        <w:t>Государственная инспекция по экологической и</w:t>
      </w:r>
      <w:r w:rsidR="001D4901">
        <w:rPr>
          <w:lang w:val="en-US"/>
        </w:rPr>
        <w:t> </w:t>
      </w:r>
      <w:r w:rsidRPr="00BE433D">
        <w:t>технической безопасности при правительстве</w:t>
      </w:r>
    </w:p>
    <w:p w14:paraId="7FF9FCF1" w14:textId="77777777" w:rsidR="009D5435" w:rsidRPr="00BE433D" w:rsidRDefault="009D5435" w:rsidP="009D5435">
      <w:pPr>
        <w:pStyle w:val="SingleTxtG"/>
        <w:tabs>
          <w:tab w:val="clear" w:pos="1701"/>
          <w:tab w:val="clear" w:pos="2268"/>
          <w:tab w:val="clear" w:pos="2835"/>
        </w:tabs>
        <w:ind w:left="3402" w:hanging="2268"/>
        <w:jc w:val="left"/>
      </w:pPr>
      <w:r w:rsidRPr="00BE433D">
        <w:t>ГКДР</w:t>
      </w:r>
      <w:r w:rsidRPr="00BE433D">
        <w:tab/>
      </w:r>
      <w:r w:rsidRPr="00BE433D">
        <w:tab/>
        <w:t>Государственная комиссия по делам религий</w:t>
      </w:r>
    </w:p>
    <w:p w14:paraId="3469B33C" w14:textId="77777777" w:rsidR="009D5435" w:rsidRPr="00BE433D" w:rsidRDefault="009D5435" w:rsidP="009D5435">
      <w:pPr>
        <w:pStyle w:val="SingleTxtG"/>
        <w:tabs>
          <w:tab w:val="clear" w:pos="1701"/>
          <w:tab w:val="clear" w:pos="2268"/>
          <w:tab w:val="clear" w:pos="2835"/>
        </w:tabs>
        <w:ind w:left="3402" w:hanging="2268"/>
        <w:jc w:val="left"/>
      </w:pPr>
      <w:r w:rsidRPr="00BE433D">
        <w:t>ГКНБ</w:t>
      </w:r>
      <w:r w:rsidRPr="00BE433D">
        <w:tab/>
        <w:t>Государственный комитет национальной безопасности</w:t>
      </w:r>
    </w:p>
    <w:p w14:paraId="560DC276" w14:textId="77777777" w:rsidR="009D5435" w:rsidRPr="00BE433D" w:rsidRDefault="009D5435" w:rsidP="009D5435">
      <w:pPr>
        <w:pStyle w:val="SingleTxtG"/>
        <w:tabs>
          <w:tab w:val="clear" w:pos="1701"/>
          <w:tab w:val="clear" w:pos="2268"/>
          <w:tab w:val="clear" w:pos="2835"/>
        </w:tabs>
        <w:ind w:left="3402" w:hanging="2268"/>
        <w:jc w:val="left"/>
      </w:pPr>
      <w:r w:rsidRPr="00BE433D">
        <w:t>ГРС</w:t>
      </w:r>
      <w:r w:rsidRPr="00BE433D">
        <w:tab/>
      </w:r>
      <w:r w:rsidRPr="00BE433D">
        <w:tab/>
        <w:t>Государственная регистрационная служба при правительстве</w:t>
      </w:r>
    </w:p>
    <w:p w14:paraId="68EA1583" w14:textId="77777777" w:rsidR="009D5435" w:rsidRPr="00BE433D" w:rsidRDefault="009D5435" w:rsidP="009D5435">
      <w:pPr>
        <w:pStyle w:val="SingleTxtG"/>
        <w:tabs>
          <w:tab w:val="clear" w:pos="1701"/>
          <w:tab w:val="clear" w:pos="2268"/>
          <w:tab w:val="clear" w:pos="2835"/>
        </w:tabs>
        <w:ind w:left="3402" w:hanging="2268"/>
        <w:jc w:val="left"/>
      </w:pPr>
      <w:r w:rsidRPr="00BE433D">
        <w:t>ГСИН</w:t>
      </w:r>
      <w:r w:rsidRPr="00BE433D">
        <w:tab/>
      </w:r>
      <w:r w:rsidRPr="00BE433D">
        <w:tab/>
        <w:t>Государственная служба исполнения наказаний при правительстве</w:t>
      </w:r>
    </w:p>
    <w:p w14:paraId="77482AF6" w14:textId="77777777" w:rsidR="009D5435" w:rsidRPr="00BE433D" w:rsidRDefault="009D5435" w:rsidP="009D5435">
      <w:pPr>
        <w:pStyle w:val="SingleTxtG"/>
        <w:tabs>
          <w:tab w:val="clear" w:pos="1701"/>
          <w:tab w:val="clear" w:pos="2268"/>
          <w:tab w:val="clear" w:pos="2835"/>
        </w:tabs>
        <w:ind w:left="3402" w:hanging="2268"/>
        <w:jc w:val="left"/>
      </w:pPr>
      <w:r w:rsidRPr="00BE433D">
        <w:t>ГУВД</w:t>
      </w:r>
      <w:r w:rsidRPr="00BE433D">
        <w:tab/>
      </w:r>
      <w:r w:rsidRPr="00BE433D">
        <w:tab/>
        <w:t>Главное управление внутренних дел</w:t>
      </w:r>
    </w:p>
    <w:p w14:paraId="26A5208C" w14:textId="77777777" w:rsidR="009D5435" w:rsidRPr="00BE433D" w:rsidRDefault="009D5435" w:rsidP="009D5435">
      <w:pPr>
        <w:pStyle w:val="SingleTxtG"/>
        <w:tabs>
          <w:tab w:val="clear" w:pos="1701"/>
          <w:tab w:val="clear" w:pos="2268"/>
          <w:tab w:val="clear" w:pos="2835"/>
        </w:tabs>
        <w:ind w:left="3402" w:hanging="2268"/>
        <w:jc w:val="left"/>
      </w:pPr>
      <w:r w:rsidRPr="00BE433D">
        <w:t>ДУИТ</w:t>
      </w:r>
      <w:r w:rsidRPr="00BE433D">
        <w:tab/>
      </w:r>
      <w:r w:rsidRPr="00BE433D">
        <w:tab/>
        <w:t>детское учреждение интернатного типа</w:t>
      </w:r>
    </w:p>
    <w:p w14:paraId="27DE5408" w14:textId="77777777" w:rsidR="009D5435" w:rsidRPr="00BE433D" w:rsidRDefault="009D5435" w:rsidP="009D5435">
      <w:pPr>
        <w:pStyle w:val="SingleTxtG"/>
        <w:tabs>
          <w:tab w:val="clear" w:pos="1701"/>
          <w:tab w:val="clear" w:pos="2268"/>
          <w:tab w:val="clear" w:pos="2835"/>
        </w:tabs>
        <w:ind w:left="3402" w:hanging="2268"/>
        <w:jc w:val="left"/>
      </w:pPr>
      <w:r w:rsidRPr="00BE433D">
        <w:t>ЕАЭС</w:t>
      </w:r>
      <w:r w:rsidRPr="00BE433D">
        <w:tab/>
      </w:r>
      <w:r w:rsidRPr="00BE433D">
        <w:tab/>
        <w:t>Евразийский экономический союз</w:t>
      </w:r>
    </w:p>
    <w:p w14:paraId="174A8117" w14:textId="77777777" w:rsidR="009D5435" w:rsidRPr="00BE433D" w:rsidRDefault="009D5435" w:rsidP="009D5435">
      <w:pPr>
        <w:pStyle w:val="SingleTxtG"/>
        <w:tabs>
          <w:tab w:val="clear" w:pos="1701"/>
          <w:tab w:val="clear" w:pos="2268"/>
          <w:tab w:val="clear" w:pos="2835"/>
        </w:tabs>
        <w:ind w:left="3402" w:hanging="2268"/>
        <w:jc w:val="left"/>
      </w:pPr>
      <w:r w:rsidRPr="00BE433D">
        <w:t>ЕРПП</w:t>
      </w:r>
      <w:r w:rsidRPr="00BE433D">
        <w:tab/>
      </w:r>
      <w:r w:rsidRPr="00BE433D">
        <w:tab/>
        <w:t>Единый реестр проступков и преступлений</w:t>
      </w:r>
    </w:p>
    <w:p w14:paraId="2046FC17" w14:textId="77777777" w:rsidR="009D5435" w:rsidRPr="00BE433D" w:rsidRDefault="009D5435" w:rsidP="009D5435">
      <w:pPr>
        <w:pStyle w:val="SingleTxtG"/>
        <w:tabs>
          <w:tab w:val="clear" w:pos="1701"/>
          <w:tab w:val="clear" w:pos="2268"/>
          <w:tab w:val="clear" w:pos="2835"/>
        </w:tabs>
        <w:ind w:left="3402" w:hanging="2268"/>
        <w:jc w:val="left"/>
      </w:pPr>
      <w:r w:rsidRPr="00BE433D">
        <w:t>ЕСП</w:t>
      </w:r>
      <w:r w:rsidRPr="00BE433D">
        <w:tab/>
      </w:r>
      <w:r w:rsidRPr="00BE433D">
        <w:tab/>
        <w:t>Ежемесячное социальное пособие</w:t>
      </w:r>
    </w:p>
    <w:p w14:paraId="5E41C2B0" w14:textId="77777777" w:rsidR="009D5435" w:rsidRPr="00BE433D" w:rsidRDefault="009D5435" w:rsidP="009D5435">
      <w:pPr>
        <w:pStyle w:val="SingleTxtG"/>
        <w:tabs>
          <w:tab w:val="clear" w:pos="1701"/>
          <w:tab w:val="clear" w:pos="2268"/>
          <w:tab w:val="clear" w:pos="2835"/>
        </w:tabs>
        <w:ind w:left="3402" w:hanging="2268"/>
        <w:jc w:val="left"/>
      </w:pPr>
      <w:r w:rsidRPr="00BE433D">
        <w:t>ЗАГС</w:t>
      </w:r>
      <w:r w:rsidRPr="00BE433D">
        <w:tab/>
      </w:r>
      <w:r w:rsidRPr="00BE433D">
        <w:tab/>
        <w:t>Записи актов гражданского состояния</w:t>
      </w:r>
    </w:p>
    <w:p w14:paraId="1BD6CCF4" w14:textId="77777777" w:rsidR="009D5435" w:rsidRPr="00BE433D" w:rsidRDefault="009D5435" w:rsidP="009D5435">
      <w:pPr>
        <w:pStyle w:val="SingleTxtG"/>
        <w:tabs>
          <w:tab w:val="clear" w:pos="1701"/>
          <w:tab w:val="clear" w:pos="2268"/>
          <w:tab w:val="clear" w:pos="2835"/>
        </w:tabs>
        <w:ind w:left="3402" w:hanging="2268"/>
        <w:jc w:val="left"/>
      </w:pPr>
      <w:r w:rsidRPr="00BE433D">
        <w:t>ИДН</w:t>
      </w:r>
      <w:r w:rsidRPr="00BE433D">
        <w:tab/>
      </w:r>
      <w:r w:rsidRPr="00BE433D">
        <w:tab/>
        <w:t>Инспекция по делам несовершеннолетних</w:t>
      </w:r>
    </w:p>
    <w:p w14:paraId="1A817F84" w14:textId="663BCA5A" w:rsidR="009D5435" w:rsidRPr="00BE433D" w:rsidRDefault="009D5435" w:rsidP="009D5435">
      <w:pPr>
        <w:pStyle w:val="SingleTxtG"/>
        <w:tabs>
          <w:tab w:val="clear" w:pos="1701"/>
          <w:tab w:val="clear" w:pos="2268"/>
          <w:tab w:val="clear" w:pos="2835"/>
        </w:tabs>
        <w:ind w:left="3402" w:hanging="2268"/>
        <w:jc w:val="left"/>
      </w:pPr>
      <w:r w:rsidRPr="00BE433D">
        <w:t>ИНН</w:t>
      </w:r>
      <w:r w:rsidRPr="00BE433D">
        <w:tab/>
      </w:r>
      <w:r w:rsidRPr="00BE433D">
        <w:tab/>
        <w:t>идентификационный номер налогоплательщика</w:t>
      </w:r>
    </w:p>
    <w:p w14:paraId="75059A61" w14:textId="056B5EBE" w:rsidR="009D5435" w:rsidRPr="00BE433D" w:rsidRDefault="009D5435" w:rsidP="009D5435">
      <w:pPr>
        <w:pStyle w:val="SingleTxtG"/>
        <w:tabs>
          <w:tab w:val="clear" w:pos="1701"/>
          <w:tab w:val="clear" w:pos="2268"/>
          <w:tab w:val="clear" w:pos="2835"/>
        </w:tabs>
        <w:ind w:left="3402" w:hanging="2268"/>
        <w:jc w:val="left"/>
      </w:pPr>
      <w:r w:rsidRPr="00BE433D">
        <w:t>КЛДЖ</w:t>
      </w:r>
      <w:r w:rsidRPr="00BE433D">
        <w:tab/>
        <w:t>Конвенция о ликвидации всех форм дискриминации в</w:t>
      </w:r>
      <w:r w:rsidR="001D4901">
        <w:rPr>
          <w:lang w:val="en-US"/>
        </w:rPr>
        <w:t> </w:t>
      </w:r>
      <w:r w:rsidRPr="00BE433D">
        <w:t xml:space="preserve">отношении женщин </w:t>
      </w:r>
    </w:p>
    <w:p w14:paraId="73007A9D" w14:textId="77777777" w:rsidR="009D5435" w:rsidRPr="00BE433D" w:rsidRDefault="009D5435" w:rsidP="009D5435">
      <w:pPr>
        <w:pStyle w:val="SingleTxtG"/>
        <w:tabs>
          <w:tab w:val="clear" w:pos="1701"/>
          <w:tab w:val="clear" w:pos="2268"/>
          <w:tab w:val="clear" w:pos="2835"/>
        </w:tabs>
        <w:ind w:left="3402" w:hanging="2268"/>
        <w:jc w:val="left"/>
      </w:pPr>
      <w:r w:rsidRPr="00BE433D">
        <w:t>КОП</w:t>
      </w:r>
      <w:r w:rsidRPr="00BE433D">
        <w:tab/>
        <w:t>Кодекс о проступках</w:t>
      </w:r>
    </w:p>
    <w:p w14:paraId="746CD124" w14:textId="77777777" w:rsidR="009D5435" w:rsidRPr="00BE433D" w:rsidRDefault="009D5435" w:rsidP="009D5435">
      <w:pPr>
        <w:pStyle w:val="SingleTxtG"/>
        <w:tabs>
          <w:tab w:val="clear" w:pos="1701"/>
          <w:tab w:val="clear" w:pos="2268"/>
          <w:tab w:val="clear" w:pos="2835"/>
        </w:tabs>
        <w:ind w:left="3402" w:hanging="2268"/>
        <w:jc w:val="left"/>
      </w:pPr>
      <w:r w:rsidRPr="00BE433D">
        <w:t>КР</w:t>
      </w:r>
      <w:r w:rsidRPr="00BE433D">
        <w:tab/>
        <w:t>Кыргызская Республика</w:t>
      </w:r>
    </w:p>
    <w:p w14:paraId="0DA058E1" w14:textId="118CA4D2" w:rsidR="009D5435" w:rsidRPr="00BE433D" w:rsidRDefault="009D5435" w:rsidP="009D5435">
      <w:pPr>
        <w:pStyle w:val="SingleTxtG"/>
        <w:tabs>
          <w:tab w:val="clear" w:pos="1701"/>
          <w:tab w:val="clear" w:pos="2268"/>
          <w:tab w:val="clear" w:pos="2835"/>
        </w:tabs>
        <w:ind w:left="3402" w:hanging="2268"/>
        <w:jc w:val="left"/>
      </w:pPr>
      <w:r w:rsidRPr="00BE433D">
        <w:t>ЛГБТИ</w:t>
      </w:r>
      <w:r w:rsidRPr="00BE433D">
        <w:tab/>
        <w:t>лесбиянки, геи, бисексуалы, транссексуалы и</w:t>
      </w:r>
      <w:r w:rsidR="001D4901">
        <w:rPr>
          <w:lang w:val="en-US"/>
        </w:rPr>
        <w:t> </w:t>
      </w:r>
      <w:r w:rsidRPr="00BE433D">
        <w:t>интерсексуалы</w:t>
      </w:r>
    </w:p>
    <w:p w14:paraId="5B7E5A85" w14:textId="77777777" w:rsidR="009D5435" w:rsidRPr="00BE433D" w:rsidRDefault="009D5435" w:rsidP="009D5435">
      <w:pPr>
        <w:pStyle w:val="SingleTxtG"/>
        <w:tabs>
          <w:tab w:val="clear" w:pos="1701"/>
          <w:tab w:val="clear" w:pos="2268"/>
          <w:tab w:val="clear" w:pos="2835"/>
        </w:tabs>
        <w:ind w:left="3402" w:hanging="2268"/>
        <w:jc w:val="left"/>
      </w:pPr>
      <w:r w:rsidRPr="00BE433D">
        <w:t>ЛОВЗ</w:t>
      </w:r>
      <w:r w:rsidRPr="00BE433D">
        <w:tab/>
        <w:t>лицо с ограниченными возможностями здоровья</w:t>
      </w:r>
    </w:p>
    <w:p w14:paraId="196395A8" w14:textId="77777777" w:rsidR="009D5435" w:rsidRPr="00BE433D" w:rsidRDefault="009D5435" w:rsidP="009D5435">
      <w:pPr>
        <w:pStyle w:val="SingleTxtG"/>
        <w:tabs>
          <w:tab w:val="clear" w:pos="1701"/>
          <w:tab w:val="clear" w:pos="2268"/>
          <w:tab w:val="clear" w:pos="2835"/>
        </w:tabs>
        <w:ind w:left="3402" w:hanging="2268"/>
        <w:jc w:val="left"/>
      </w:pPr>
      <w:r w:rsidRPr="00BE433D">
        <w:t>МВД</w:t>
      </w:r>
      <w:r w:rsidRPr="00BE433D">
        <w:tab/>
      </w:r>
      <w:r w:rsidRPr="00BE433D">
        <w:tab/>
        <w:t>Министерство внутренних дел</w:t>
      </w:r>
    </w:p>
    <w:p w14:paraId="1C7112BE" w14:textId="77777777" w:rsidR="009D5435" w:rsidRPr="00BE433D" w:rsidRDefault="009D5435" w:rsidP="009D5435">
      <w:pPr>
        <w:pStyle w:val="SingleTxtG"/>
        <w:tabs>
          <w:tab w:val="clear" w:pos="1701"/>
          <w:tab w:val="clear" w:pos="2268"/>
          <w:tab w:val="clear" w:pos="2835"/>
        </w:tabs>
        <w:ind w:left="3402" w:hanging="2268"/>
        <w:jc w:val="left"/>
      </w:pPr>
      <w:r w:rsidRPr="00BE433D">
        <w:t>МЗ</w:t>
      </w:r>
      <w:r w:rsidRPr="00BE433D">
        <w:tab/>
        <w:t>Министерство здравоохранения</w:t>
      </w:r>
    </w:p>
    <w:p w14:paraId="38E8CC27" w14:textId="77777777" w:rsidR="009D5435" w:rsidRPr="00BE433D" w:rsidRDefault="009D5435" w:rsidP="009D5435">
      <w:pPr>
        <w:pStyle w:val="SingleTxtG"/>
        <w:tabs>
          <w:tab w:val="clear" w:pos="1701"/>
          <w:tab w:val="clear" w:pos="2268"/>
          <w:tab w:val="clear" w:pos="2835"/>
        </w:tabs>
        <w:ind w:left="3402" w:hanging="2268"/>
        <w:jc w:val="left"/>
      </w:pPr>
      <w:proofErr w:type="gramStart"/>
      <w:r w:rsidRPr="00BE433D">
        <w:t>МИД</w:t>
      </w:r>
      <w:proofErr w:type="gramEnd"/>
      <w:r w:rsidRPr="00BE433D">
        <w:tab/>
        <w:t>Министерство иностранных дел</w:t>
      </w:r>
    </w:p>
    <w:p w14:paraId="55ECD8CC" w14:textId="77777777" w:rsidR="009D5435" w:rsidRPr="00BE433D" w:rsidRDefault="009D5435" w:rsidP="009D5435">
      <w:pPr>
        <w:pStyle w:val="SingleTxtG"/>
        <w:tabs>
          <w:tab w:val="clear" w:pos="1701"/>
          <w:tab w:val="clear" w:pos="2268"/>
          <w:tab w:val="clear" w:pos="2835"/>
        </w:tabs>
        <w:ind w:left="3402" w:hanging="2268"/>
        <w:jc w:val="left"/>
      </w:pPr>
      <w:r w:rsidRPr="00BE433D">
        <w:t>МКИТ</w:t>
      </w:r>
      <w:r w:rsidRPr="00BE433D">
        <w:tab/>
        <w:t>Министерство культуры, информации и туризма</w:t>
      </w:r>
    </w:p>
    <w:p w14:paraId="7A45E1C6" w14:textId="77777777" w:rsidR="009D5435" w:rsidRPr="00BE433D" w:rsidRDefault="009D5435" w:rsidP="009D5435">
      <w:pPr>
        <w:pStyle w:val="SingleTxtG"/>
        <w:tabs>
          <w:tab w:val="clear" w:pos="1701"/>
          <w:tab w:val="clear" w:pos="2268"/>
          <w:tab w:val="clear" w:pos="2835"/>
        </w:tabs>
        <w:ind w:left="3402" w:hanging="2268"/>
        <w:jc w:val="left"/>
      </w:pPr>
      <w:r w:rsidRPr="00BE433D">
        <w:t>МОМ</w:t>
      </w:r>
      <w:r w:rsidRPr="00BE433D">
        <w:tab/>
      </w:r>
      <w:r w:rsidRPr="00BE433D">
        <w:tab/>
        <w:t>Международная организация по миграции</w:t>
      </w:r>
    </w:p>
    <w:p w14:paraId="65F356B3" w14:textId="77777777" w:rsidR="009D5435" w:rsidRPr="00BE433D" w:rsidRDefault="009D5435" w:rsidP="009D5435">
      <w:pPr>
        <w:pStyle w:val="SingleTxtG"/>
        <w:tabs>
          <w:tab w:val="clear" w:pos="1701"/>
          <w:tab w:val="clear" w:pos="2268"/>
          <w:tab w:val="clear" w:pos="2835"/>
        </w:tabs>
        <w:ind w:left="3402" w:hanging="2268"/>
        <w:jc w:val="left"/>
      </w:pPr>
      <w:r w:rsidRPr="00BE433D">
        <w:t>МОН</w:t>
      </w:r>
      <w:r w:rsidRPr="00BE433D">
        <w:tab/>
      </w:r>
      <w:r w:rsidRPr="00BE433D">
        <w:tab/>
        <w:t>Министерство образования и науки</w:t>
      </w:r>
    </w:p>
    <w:p w14:paraId="4351EEEA" w14:textId="77777777" w:rsidR="009D5435" w:rsidRPr="00BE433D" w:rsidRDefault="009D5435" w:rsidP="009D5435">
      <w:pPr>
        <w:pStyle w:val="SingleTxtG"/>
        <w:tabs>
          <w:tab w:val="clear" w:pos="1701"/>
          <w:tab w:val="clear" w:pos="2268"/>
          <w:tab w:val="clear" w:pos="2835"/>
        </w:tabs>
        <w:ind w:left="3402" w:hanging="2268"/>
        <w:jc w:val="left"/>
      </w:pPr>
      <w:r w:rsidRPr="00BE433D">
        <w:t>МОТ</w:t>
      </w:r>
      <w:r w:rsidRPr="00BE433D">
        <w:tab/>
      </w:r>
      <w:r w:rsidRPr="00BE433D">
        <w:tab/>
        <w:t>Международная организация труда</w:t>
      </w:r>
    </w:p>
    <w:p w14:paraId="39475156" w14:textId="77777777" w:rsidR="009D5435" w:rsidRPr="00BE433D" w:rsidRDefault="009D5435" w:rsidP="009D5435">
      <w:pPr>
        <w:pStyle w:val="SingleTxtG"/>
        <w:tabs>
          <w:tab w:val="clear" w:pos="1701"/>
          <w:tab w:val="clear" w:pos="2268"/>
          <w:tab w:val="clear" w:pos="2835"/>
        </w:tabs>
        <w:ind w:left="3402" w:hanging="2268"/>
        <w:jc w:val="left"/>
      </w:pPr>
      <w:r w:rsidRPr="00BE433D">
        <w:t>МСХППМ</w:t>
      </w:r>
      <w:r w:rsidRPr="00BE433D">
        <w:tab/>
        <w:t>Министерство сельского хозяйства, пищевой промышленности и мелиорации</w:t>
      </w:r>
    </w:p>
    <w:p w14:paraId="00083147" w14:textId="77777777" w:rsidR="009D5435" w:rsidRPr="00BE433D" w:rsidRDefault="009D5435" w:rsidP="009D5435">
      <w:pPr>
        <w:pStyle w:val="SingleTxtG"/>
        <w:tabs>
          <w:tab w:val="clear" w:pos="1701"/>
          <w:tab w:val="clear" w:pos="2268"/>
          <w:tab w:val="clear" w:pos="2835"/>
        </w:tabs>
        <w:ind w:left="3402" w:hanging="2268"/>
        <w:jc w:val="left"/>
      </w:pPr>
      <w:r w:rsidRPr="00BE433D">
        <w:t>МТСР</w:t>
      </w:r>
      <w:r w:rsidRPr="00BE433D">
        <w:tab/>
      </w:r>
      <w:r w:rsidRPr="00BE433D">
        <w:tab/>
        <w:t>Министерство труда и социального развития</w:t>
      </w:r>
    </w:p>
    <w:p w14:paraId="55572CE2" w14:textId="77777777" w:rsidR="009D5435" w:rsidRPr="00BE433D" w:rsidRDefault="009D5435" w:rsidP="009D5435">
      <w:pPr>
        <w:pStyle w:val="SingleTxtG"/>
        <w:tabs>
          <w:tab w:val="clear" w:pos="1701"/>
          <w:tab w:val="clear" w:pos="2268"/>
          <w:tab w:val="clear" w:pos="2835"/>
        </w:tabs>
        <w:ind w:left="3402" w:hanging="2268"/>
        <w:jc w:val="left"/>
      </w:pPr>
      <w:r w:rsidRPr="00BE433D">
        <w:t>МЧС</w:t>
      </w:r>
      <w:r w:rsidRPr="00BE433D">
        <w:tab/>
      </w:r>
      <w:r w:rsidRPr="00BE433D">
        <w:tab/>
        <w:t>Министерство чрезвычайных ситуаций</w:t>
      </w:r>
    </w:p>
    <w:p w14:paraId="0C61CDDF" w14:textId="77777777" w:rsidR="009D5435" w:rsidRPr="00BE433D" w:rsidRDefault="009D5435" w:rsidP="009D5435">
      <w:pPr>
        <w:pStyle w:val="SingleTxtG"/>
        <w:tabs>
          <w:tab w:val="clear" w:pos="1701"/>
          <w:tab w:val="clear" w:pos="2268"/>
          <w:tab w:val="clear" w:pos="2835"/>
        </w:tabs>
        <w:ind w:left="3402" w:hanging="2268"/>
        <w:jc w:val="left"/>
      </w:pPr>
      <w:r w:rsidRPr="00BE433D">
        <w:t>МЭ</w:t>
      </w:r>
      <w:r w:rsidRPr="00BE433D">
        <w:tab/>
        <w:t>Министерство экономики</w:t>
      </w:r>
    </w:p>
    <w:p w14:paraId="1F23971D" w14:textId="77777777" w:rsidR="009D5435" w:rsidRPr="00BE433D" w:rsidRDefault="009D5435" w:rsidP="009D5435">
      <w:pPr>
        <w:pStyle w:val="SingleTxtG"/>
        <w:tabs>
          <w:tab w:val="clear" w:pos="1701"/>
          <w:tab w:val="clear" w:pos="2268"/>
          <w:tab w:val="clear" w:pos="2835"/>
        </w:tabs>
        <w:ind w:left="3402" w:hanging="2268"/>
        <w:jc w:val="left"/>
      </w:pPr>
      <w:proofErr w:type="spellStart"/>
      <w:r w:rsidRPr="00BE433D">
        <w:t>Нацстатком</w:t>
      </w:r>
      <w:proofErr w:type="spellEnd"/>
      <w:r w:rsidRPr="00BE433D">
        <w:tab/>
        <w:t>Национальный статистический комитет</w:t>
      </w:r>
    </w:p>
    <w:p w14:paraId="336908BB" w14:textId="77777777" w:rsidR="009D5435" w:rsidRPr="00BE433D" w:rsidRDefault="009D5435" w:rsidP="009D5435">
      <w:pPr>
        <w:pStyle w:val="SingleTxtG"/>
        <w:tabs>
          <w:tab w:val="clear" w:pos="1701"/>
          <w:tab w:val="clear" w:pos="2268"/>
          <w:tab w:val="clear" w:pos="2835"/>
        </w:tabs>
        <w:ind w:left="3402" w:hanging="2268"/>
        <w:jc w:val="left"/>
      </w:pPr>
      <w:r w:rsidRPr="00BE433D">
        <w:t>ОВД</w:t>
      </w:r>
      <w:r w:rsidRPr="00BE433D">
        <w:tab/>
        <w:t>отдел внутренних дел МВД</w:t>
      </w:r>
    </w:p>
    <w:p w14:paraId="5F80B590" w14:textId="77777777" w:rsidR="009D5435" w:rsidRPr="00BE433D" w:rsidRDefault="009D5435" w:rsidP="009D5435">
      <w:pPr>
        <w:pStyle w:val="SingleTxtG"/>
        <w:tabs>
          <w:tab w:val="clear" w:pos="1701"/>
          <w:tab w:val="clear" w:pos="2268"/>
          <w:tab w:val="clear" w:pos="2835"/>
        </w:tabs>
        <w:ind w:left="3402" w:hanging="2268"/>
        <w:jc w:val="left"/>
      </w:pPr>
      <w:r w:rsidRPr="00BE433D">
        <w:t>ОМСУ</w:t>
      </w:r>
      <w:r w:rsidRPr="00BE433D">
        <w:tab/>
      </w:r>
      <w:r w:rsidRPr="00BE433D">
        <w:tab/>
        <w:t>органы местного самоуправления</w:t>
      </w:r>
    </w:p>
    <w:p w14:paraId="67C24807" w14:textId="77777777" w:rsidR="009D5435" w:rsidRPr="00BE433D" w:rsidRDefault="009D5435" w:rsidP="009D5435">
      <w:pPr>
        <w:pStyle w:val="SingleTxtG"/>
        <w:tabs>
          <w:tab w:val="clear" w:pos="1701"/>
          <w:tab w:val="clear" w:pos="2268"/>
          <w:tab w:val="clear" w:pos="2835"/>
        </w:tabs>
        <w:ind w:left="3402" w:hanging="2268"/>
        <w:jc w:val="left"/>
      </w:pPr>
      <w:r w:rsidRPr="00BE433D">
        <w:t>ПРООН</w:t>
      </w:r>
      <w:r w:rsidRPr="00BE433D">
        <w:tab/>
        <w:t>Программа развития ООН;</w:t>
      </w:r>
    </w:p>
    <w:p w14:paraId="235211E8" w14:textId="77777777" w:rsidR="009D5435" w:rsidRPr="00BE433D" w:rsidRDefault="009D5435" w:rsidP="009D5435">
      <w:pPr>
        <w:pStyle w:val="SingleTxtG"/>
        <w:tabs>
          <w:tab w:val="clear" w:pos="1701"/>
          <w:tab w:val="clear" w:pos="2268"/>
          <w:tab w:val="clear" w:pos="2835"/>
        </w:tabs>
        <w:ind w:left="3402" w:hanging="2268"/>
        <w:jc w:val="left"/>
      </w:pPr>
      <w:r w:rsidRPr="00BE433D">
        <w:t>ПТМ</w:t>
      </w:r>
      <w:r w:rsidRPr="00BE433D">
        <w:tab/>
      </w:r>
      <w:r w:rsidRPr="00BE433D">
        <w:tab/>
        <w:t>поддерживающая терапия метадоном</w:t>
      </w:r>
    </w:p>
    <w:p w14:paraId="1E85B133" w14:textId="77777777" w:rsidR="009D5435" w:rsidRPr="00BE433D" w:rsidRDefault="009D5435" w:rsidP="009D5435">
      <w:pPr>
        <w:pStyle w:val="SingleTxtG"/>
        <w:tabs>
          <w:tab w:val="clear" w:pos="1701"/>
          <w:tab w:val="clear" w:pos="2268"/>
          <w:tab w:val="clear" w:pos="2835"/>
        </w:tabs>
        <w:ind w:left="3402" w:hanging="2268"/>
        <w:jc w:val="left"/>
      </w:pPr>
      <w:r w:rsidRPr="00BE433D">
        <w:t>СНГ</w:t>
      </w:r>
      <w:r w:rsidRPr="00BE433D">
        <w:tab/>
      </w:r>
      <w:r w:rsidRPr="00BE433D">
        <w:tab/>
        <w:t>Содружество Независимых Государств</w:t>
      </w:r>
    </w:p>
    <w:p w14:paraId="09EBA2AF" w14:textId="77777777" w:rsidR="009D5435" w:rsidRPr="00BE433D" w:rsidRDefault="009D5435" w:rsidP="009D5435">
      <w:pPr>
        <w:pStyle w:val="SingleTxtG"/>
        <w:tabs>
          <w:tab w:val="clear" w:pos="1701"/>
          <w:tab w:val="clear" w:pos="2268"/>
          <w:tab w:val="clear" w:pos="2835"/>
        </w:tabs>
        <w:ind w:left="3402" w:hanging="2268"/>
        <w:jc w:val="left"/>
      </w:pPr>
      <w:r w:rsidRPr="00BE433D">
        <w:t>СОБ</w:t>
      </w:r>
      <w:r w:rsidRPr="00BE433D">
        <w:tab/>
      </w:r>
      <w:r w:rsidRPr="00BE433D">
        <w:tab/>
        <w:t>Служба общественной безопасности МВД</w:t>
      </w:r>
    </w:p>
    <w:p w14:paraId="2FCCCD0C" w14:textId="77777777" w:rsidR="009D5435" w:rsidRPr="00BE433D" w:rsidRDefault="009D5435" w:rsidP="009D5435">
      <w:pPr>
        <w:pStyle w:val="SingleTxtG"/>
        <w:tabs>
          <w:tab w:val="clear" w:pos="1701"/>
          <w:tab w:val="clear" w:pos="2268"/>
          <w:tab w:val="clear" w:pos="2835"/>
        </w:tabs>
        <w:ind w:left="3402" w:hanging="2268"/>
        <w:jc w:val="left"/>
      </w:pPr>
      <w:r w:rsidRPr="00BE433D">
        <w:t>ССУ</w:t>
      </w:r>
      <w:r w:rsidRPr="00BE433D">
        <w:tab/>
      </w:r>
      <w:r w:rsidRPr="00BE433D">
        <w:tab/>
        <w:t>социальное стационарное учреждение</w:t>
      </w:r>
    </w:p>
    <w:p w14:paraId="5EE3050C" w14:textId="77777777" w:rsidR="009D5435" w:rsidRPr="00BE433D" w:rsidRDefault="009D5435" w:rsidP="009D5435">
      <w:pPr>
        <w:pStyle w:val="SingleTxtG"/>
        <w:tabs>
          <w:tab w:val="clear" w:pos="1701"/>
          <w:tab w:val="clear" w:pos="2268"/>
          <w:tab w:val="clear" w:pos="2835"/>
        </w:tabs>
        <w:ind w:left="3402" w:hanging="2268"/>
        <w:jc w:val="left"/>
      </w:pPr>
      <w:r w:rsidRPr="00BE433D">
        <w:t>СФ</w:t>
      </w:r>
      <w:r w:rsidRPr="00BE433D">
        <w:tab/>
      </w:r>
      <w:r w:rsidRPr="00BE433D">
        <w:tab/>
        <w:t>Социальный фонд</w:t>
      </w:r>
    </w:p>
    <w:p w14:paraId="46458655" w14:textId="77777777" w:rsidR="009D5435" w:rsidRPr="00BE433D" w:rsidRDefault="009D5435" w:rsidP="009D5435">
      <w:pPr>
        <w:pStyle w:val="SingleTxtG"/>
        <w:tabs>
          <w:tab w:val="clear" w:pos="1701"/>
          <w:tab w:val="clear" w:pos="2268"/>
          <w:tab w:val="clear" w:pos="2835"/>
        </w:tabs>
        <w:ind w:left="3402" w:hanging="2268"/>
        <w:jc w:val="left"/>
      </w:pPr>
      <w:r w:rsidRPr="00BE433D">
        <w:t>УИК</w:t>
      </w:r>
      <w:r w:rsidRPr="00BE433D">
        <w:tab/>
        <w:t>Уголовно-исполнительный кодекс</w:t>
      </w:r>
    </w:p>
    <w:p w14:paraId="743F5713" w14:textId="77777777" w:rsidR="009D5435" w:rsidRPr="00BE433D" w:rsidRDefault="009D5435" w:rsidP="009D5435">
      <w:pPr>
        <w:pStyle w:val="SingleTxtG"/>
        <w:tabs>
          <w:tab w:val="clear" w:pos="1701"/>
          <w:tab w:val="clear" w:pos="2268"/>
          <w:tab w:val="clear" w:pos="2835"/>
        </w:tabs>
        <w:ind w:left="3402" w:hanging="2268"/>
        <w:jc w:val="left"/>
      </w:pPr>
      <w:r w:rsidRPr="00BE433D">
        <w:t>УК</w:t>
      </w:r>
      <w:r w:rsidRPr="00BE433D">
        <w:tab/>
        <w:t>Уголовный кодекс</w:t>
      </w:r>
    </w:p>
    <w:p w14:paraId="3CFC58D5" w14:textId="77777777" w:rsidR="009D5435" w:rsidRPr="00BE433D" w:rsidRDefault="009D5435" w:rsidP="009D5435">
      <w:pPr>
        <w:pStyle w:val="SingleTxtG"/>
        <w:tabs>
          <w:tab w:val="clear" w:pos="1701"/>
          <w:tab w:val="clear" w:pos="2268"/>
          <w:tab w:val="clear" w:pos="2835"/>
        </w:tabs>
        <w:ind w:left="3402" w:hanging="2268"/>
        <w:jc w:val="left"/>
      </w:pPr>
      <w:r w:rsidRPr="00BE433D">
        <w:t>УОБДД</w:t>
      </w:r>
      <w:r w:rsidRPr="00BE433D">
        <w:tab/>
        <w:t>Управление по обеспечению безопасности дорожного движения МВД</w:t>
      </w:r>
    </w:p>
    <w:p w14:paraId="37E8B0A1" w14:textId="77777777" w:rsidR="009D5435" w:rsidRPr="00BE433D" w:rsidRDefault="009D5435" w:rsidP="009D5435">
      <w:pPr>
        <w:pStyle w:val="SingleTxtG"/>
        <w:tabs>
          <w:tab w:val="clear" w:pos="1701"/>
          <w:tab w:val="clear" w:pos="2268"/>
          <w:tab w:val="clear" w:pos="2835"/>
        </w:tabs>
        <w:ind w:left="3402" w:hanging="2268"/>
        <w:jc w:val="left"/>
      </w:pPr>
      <w:r w:rsidRPr="00BE433D">
        <w:t>УУМ</w:t>
      </w:r>
      <w:r w:rsidRPr="00BE433D">
        <w:tab/>
      </w:r>
      <w:r w:rsidRPr="00BE433D">
        <w:tab/>
        <w:t>участковый уполномоченный милиции</w:t>
      </w:r>
    </w:p>
    <w:p w14:paraId="74CCF4BD" w14:textId="77777777" w:rsidR="009D5435" w:rsidRPr="00BE433D" w:rsidRDefault="009D5435" w:rsidP="009D5435">
      <w:pPr>
        <w:pStyle w:val="SingleTxtG"/>
        <w:tabs>
          <w:tab w:val="clear" w:pos="1701"/>
          <w:tab w:val="clear" w:pos="2268"/>
          <w:tab w:val="clear" w:pos="2835"/>
        </w:tabs>
        <w:ind w:left="3402" w:hanging="2268"/>
        <w:jc w:val="left"/>
      </w:pPr>
      <w:r w:rsidRPr="00BE433D">
        <w:t>ФПК</w:t>
      </w:r>
      <w:r w:rsidRPr="00BE433D">
        <w:tab/>
        <w:t>Федерация профсоюзов Кыргызстана</w:t>
      </w:r>
    </w:p>
    <w:p w14:paraId="75D5F835" w14:textId="77777777" w:rsidR="009D5435" w:rsidRPr="00BE433D" w:rsidRDefault="009D5435" w:rsidP="009D5435">
      <w:pPr>
        <w:pStyle w:val="SingleTxtG"/>
        <w:tabs>
          <w:tab w:val="clear" w:pos="1701"/>
          <w:tab w:val="clear" w:pos="2268"/>
          <w:tab w:val="clear" w:pos="2835"/>
        </w:tabs>
        <w:ind w:left="3402" w:hanging="2268"/>
        <w:jc w:val="left"/>
      </w:pPr>
      <w:r w:rsidRPr="00BE433D">
        <w:t>ЦИДП</w:t>
      </w:r>
      <w:r w:rsidRPr="00BE433D">
        <w:tab/>
      </w:r>
      <w:r w:rsidRPr="00BE433D">
        <w:tab/>
        <w:t>Общественный фонд «Центр исследований демократических процессов»</w:t>
      </w:r>
    </w:p>
    <w:p w14:paraId="2CA00BB5" w14:textId="77777777" w:rsidR="009D5435" w:rsidRPr="00BE433D" w:rsidRDefault="009D5435" w:rsidP="009D5435">
      <w:pPr>
        <w:pStyle w:val="SingleTxtG"/>
        <w:tabs>
          <w:tab w:val="clear" w:pos="1701"/>
          <w:tab w:val="clear" w:pos="2268"/>
          <w:tab w:val="clear" w:pos="2835"/>
        </w:tabs>
        <w:ind w:left="3402" w:hanging="2268"/>
        <w:jc w:val="left"/>
      </w:pPr>
      <w:r w:rsidRPr="00BE433D">
        <w:t>ЦУР</w:t>
      </w:r>
      <w:r w:rsidRPr="00BE433D">
        <w:tab/>
      </w:r>
      <w:r w:rsidRPr="00BE433D">
        <w:tab/>
        <w:t>Цели в области устойчивого развития</w:t>
      </w:r>
    </w:p>
    <w:p w14:paraId="6654C46A" w14:textId="4BBED561" w:rsidR="00381C24" w:rsidRPr="009D5435" w:rsidRDefault="009D5435" w:rsidP="009D5435">
      <w:pPr>
        <w:pStyle w:val="SingleTxtG"/>
        <w:spacing w:before="240" w:after="0"/>
        <w:jc w:val="center"/>
        <w:rPr>
          <w:u w:val="single"/>
        </w:rPr>
      </w:pPr>
      <w:r>
        <w:rPr>
          <w:u w:val="single"/>
        </w:rPr>
        <w:tab/>
      </w:r>
      <w:r>
        <w:rPr>
          <w:u w:val="single"/>
        </w:rPr>
        <w:tab/>
      </w:r>
      <w:r>
        <w:rPr>
          <w:u w:val="single"/>
        </w:rPr>
        <w:tab/>
      </w:r>
    </w:p>
    <w:sectPr w:rsidR="00381C24" w:rsidRPr="009D5435" w:rsidSect="005B416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7BA1B" w14:textId="77777777" w:rsidR="00CB66A1" w:rsidRPr="00A312BC" w:rsidRDefault="00CB66A1" w:rsidP="00A312BC"/>
  </w:endnote>
  <w:endnote w:type="continuationSeparator" w:id="0">
    <w:p w14:paraId="450374F1" w14:textId="77777777" w:rsidR="00CB66A1" w:rsidRPr="00A312BC" w:rsidRDefault="00CB66A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AAF3B" w14:textId="1D423E56" w:rsidR="00CB66A1" w:rsidRPr="005B416E" w:rsidRDefault="00CB66A1">
    <w:pPr>
      <w:pStyle w:val="aa"/>
    </w:pPr>
    <w:r w:rsidRPr="005B416E">
      <w:rPr>
        <w:b/>
        <w:sz w:val="18"/>
      </w:rPr>
      <w:fldChar w:fldCharType="begin"/>
    </w:r>
    <w:r w:rsidRPr="005B416E">
      <w:rPr>
        <w:b/>
        <w:sz w:val="18"/>
      </w:rPr>
      <w:instrText xml:space="preserve"> PAGE  \* MERGEFORMAT </w:instrText>
    </w:r>
    <w:r w:rsidRPr="005B416E">
      <w:rPr>
        <w:b/>
        <w:sz w:val="18"/>
      </w:rPr>
      <w:fldChar w:fldCharType="separate"/>
    </w:r>
    <w:r w:rsidRPr="005B416E">
      <w:rPr>
        <w:b/>
        <w:noProof/>
        <w:sz w:val="18"/>
      </w:rPr>
      <w:t>2</w:t>
    </w:r>
    <w:r w:rsidRPr="005B416E">
      <w:rPr>
        <w:b/>
        <w:sz w:val="18"/>
      </w:rPr>
      <w:fldChar w:fldCharType="end"/>
    </w:r>
    <w:r>
      <w:rPr>
        <w:b/>
        <w:sz w:val="18"/>
      </w:rPr>
      <w:tab/>
    </w:r>
    <w:r>
      <w:t>GE.21-11826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28422" w14:textId="1A8AD0A2" w:rsidR="00CB66A1" w:rsidRPr="005B416E" w:rsidRDefault="00CB66A1" w:rsidP="005B416E">
    <w:pPr>
      <w:pStyle w:val="aa"/>
      <w:tabs>
        <w:tab w:val="clear" w:pos="9639"/>
        <w:tab w:val="right" w:pos="9638"/>
      </w:tabs>
      <w:rPr>
        <w:b/>
        <w:sz w:val="18"/>
      </w:rPr>
    </w:pPr>
    <w:r>
      <w:t>GE.21-11826</w:t>
    </w:r>
    <w:r>
      <w:tab/>
    </w:r>
    <w:r w:rsidRPr="005B416E">
      <w:rPr>
        <w:b/>
        <w:sz w:val="18"/>
      </w:rPr>
      <w:fldChar w:fldCharType="begin"/>
    </w:r>
    <w:r w:rsidRPr="005B416E">
      <w:rPr>
        <w:b/>
        <w:sz w:val="18"/>
      </w:rPr>
      <w:instrText xml:space="preserve"> PAGE  \* MERGEFORMAT </w:instrText>
    </w:r>
    <w:r w:rsidRPr="005B416E">
      <w:rPr>
        <w:b/>
        <w:sz w:val="18"/>
      </w:rPr>
      <w:fldChar w:fldCharType="separate"/>
    </w:r>
    <w:r w:rsidRPr="005B416E">
      <w:rPr>
        <w:b/>
        <w:noProof/>
        <w:sz w:val="18"/>
      </w:rPr>
      <w:t>3</w:t>
    </w:r>
    <w:r w:rsidRPr="005B416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DAB8B" w14:textId="472B92D8" w:rsidR="00CB66A1" w:rsidRPr="005B416E" w:rsidRDefault="00CB66A1" w:rsidP="005B416E">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498B7A27" wp14:editId="7DA025D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11826  (</w:t>
    </w:r>
    <w:proofErr w:type="gramEnd"/>
    <w:r>
      <w:t>R)</w:t>
    </w:r>
    <w:r>
      <w:rPr>
        <w:noProof/>
      </w:rPr>
      <w:drawing>
        <wp:anchor distT="0" distB="0" distL="114300" distR="114300" simplePos="0" relativeHeight="251659264" behindDoc="0" locked="0" layoutInCell="1" allowOverlap="1" wp14:anchorId="767F619E" wp14:editId="202480C2">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060921  060921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7DFE5" w14:textId="77777777" w:rsidR="00CB66A1" w:rsidRPr="001075E9" w:rsidRDefault="00CB66A1" w:rsidP="001075E9">
      <w:pPr>
        <w:tabs>
          <w:tab w:val="right" w:pos="2155"/>
        </w:tabs>
        <w:spacing w:after="80" w:line="240" w:lineRule="auto"/>
        <w:ind w:left="680"/>
        <w:rPr>
          <w:u w:val="single"/>
        </w:rPr>
      </w:pPr>
      <w:r>
        <w:rPr>
          <w:u w:val="single"/>
        </w:rPr>
        <w:tab/>
      </w:r>
    </w:p>
  </w:footnote>
  <w:footnote w:type="continuationSeparator" w:id="0">
    <w:p w14:paraId="461FC0D8" w14:textId="77777777" w:rsidR="00CB66A1" w:rsidRDefault="00CB66A1" w:rsidP="00407B78">
      <w:pPr>
        <w:tabs>
          <w:tab w:val="right" w:pos="2155"/>
        </w:tabs>
        <w:spacing w:after="80"/>
        <w:ind w:left="680"/>
        <w:rPr>
          <w:u w:val="single"/>
        </w:rPr>
      </w:pPr>
      <w:r>
        <w:rPr>
          <w:u w:val="single"/>
        </w:rPr>
        <w:tab/>
      </w:r>
    </w:p>
  </w:footnote>
  <w:footnote w:id="1">
    <w:p w14:paraId="518EC160" w14:textId="77777777" w:rsidR="00CB66A1" w:rsidRPr="00743674" w:rsidRDefault="00CB66A1" w:rsidP="005B416E">
      <w:pPr>
        <w:pStyle w:val="af"/>
      </w:pPr>
      <w:r w:rsidRPr="00743674">
        <w:rPr>
          <w:rStyle w:val="a8"/>
        </w:rPr>
        <w:tab/>
      </w:r>
      <w:r w:rsidRPr="005B416E">
        <w:rPr>
          <w:rStyle w:val="a8"/>
          <w:sz w:val="20"/>
          <w:vertAlign w:val="baseline"/>
        </w:rPr>
        <w:t>*</w:t>
      </w:r>
      <w:r w:rsidRPr="00743674">
        <w:rPr>
          <w:rStyle w:val="a8"/>
        </w:rPr>
        <w:tab/>
      </w:r>
      <w:r w:rsidRPr="00743674">
        <w:rPr>
          <w:color w:val="333333"/>
          <w:szCs w:val="18"/>
          <w:shd w:val="clear" w:color="auto" w:fill="FFFFFF"/>
        </w:rPr>
        <w:t>Настоящий документ выпускается без официального редактирования</w:t>
      </w:r>
      <w:r w:rsidRPr="00743674">
        <w:rPr>
          <w:szCs w:val="18"/>
        </w:rPr>
        <w:t>.</w:t>
      </w:r>
    </w:p>
    <w:p w14:paraId="6C9D5B83" w14:textId="77777777" w:rsidR="00CB66A1" w:rsidRPr="000B5AA0" w:rsidRDefault="00CB66A1" w:rsidP="005B416E">
      <w:pPr>
        <w:pStyle w:val="af"/>
      </w:pPr>
      <w:r w:rsidRPr="00743674">
        <w:tab/>
      </w:r>
      <w:r w:rsidRPr="005B416E">
        <w:rPr>
          <w:sz w:val="20"/>
        </w:rPr>
        <w:t>**</w:t>
      </w:r>
      <w:r w:rsidRPr="000B5AA0">
        <w:tab/>
      </w:r>
      <w:r w:rsidRPr="000B5AA0">
        <w:rPr>
          <w:color w:val="333333"/>
          <w:szCs w:val="18"/>
          <w:shd w:val="clear" w:color="auto" w:fill="FFFFFF"/>
        </w:rPr>
        <w:t>С приложениями к настоящему докладу можно ознакомиться на веб-сайте Комитета</w:t>
      </w:r>
      <w:r w:rsidRPr="000B5AA0">
        <w:t xml:space="preserve">. </w:t>
      </w:r>
    </w:p>
  </w:footnote>
  <w:footnote w:id="2">
    <w:p w14:paraId="12EDDB60" w14:textId="77777777" w:rsidR="00CB66A1" w:rsidRPr="00F47971" w:rsidRDefault="00CB66A1" w:rsidP="009D5435">
      <w:pPr>
        <w:pStyle w:val="af"/>
        <w:rPr>
          <w:color w:val="000000"/>
        </w:rPr>
      </w:pPr>
      <w:r w:rsidRPr="000B5AA0">
        <w:rPr>
          <w:color w:val="000000"/>
        </w:rPr>
        <w:tab/>
      </w:r>
      <w:r w:rsidRPr="00F47971">
        <w:rPr>
          <w:rStyle w:val="a8"/>
        </w:rPr>
        <w:footnoteRef/>
      </w:r>
      <w:r w:rsidRPr="00F47971">
        <w:rPr>
          <w:color w:val="000000"/>
        </w:rPr>
        <w:t xml:space="preserve"> </w:t>
      </w:r>
      <w:r w:rsidRPr="00F47971">
        <w:rPr>
          <w:color w:val="000000"/>
        </w:rPr>
        <w:tab/>
        <w:t>Инструкция о профилактике ВИЧ-инфекции в органах и учреждениях прокуратуры Кыргызской Республики при взаимодействии с уязвимыми группами, утвержденная Приказом Генерального прокурора КР от 30 октября 2017 г</w:t>
      </w:r>
      <w:r>
        <w:rPr>
          <w:color w:val="000000"/>
        </w:rPr>
        <w:t>ода</w:t>
      </w:r>
      <w:r w:rsidRPr="00F47971">
        <w:rPr>
          <w:color w:val="000000"/>
        </w:rPr>
        <w:t xml:space="preserve"> №</w:t>
      </w:r>
      <w:r>
        <w:rPr>
          <w:color w:val="000000"/>
        </w:rPr>
        <w:t> </w:t>
      </w:r>
      <w:r w:rsidRPr="00F47971">
        <w:rPr>
          <w:color w:val="000000"/>
        </w:rPr>
        <w:t>64-н.</w:t>
      </w:r>
    </w:p>
  </w:footnote>
  <w:footnote w:id="3">
    <w:p w14:paraId="4A05A354" w14:textId="77777777" w:rsidR="00CB66A1" w:rsidRPr="00F47971" w:rsidRDefault="00CB66A1" w:rsidP="009D5435">
      <w:pPr>
        <w:pStyle w:val="af"/>
      </w:pPr>
      <w:r w:rsidRPr="00F47971">
        <w:rPr>
          <w:color w:val="000000"/>
        </w:rPr>
        <w:tab/>
      </w:r>
      <w:r w:rsidRPr="00F47971">
        <w:rPr>
          <w:rStyle w:val="a8"/>
        </w:rPr>
        <w:footnoteRef/>
      </w:r>
      <w:r w:rsidRPr="00F47971">
        <w:rPr>
          <w:color w:val="000000"/>
        </w:rPr>
        <w:t xml:space="preserve"> </w:t>
      </w:r>
      <w:r w:rsidRPr="00F47971">
        <w:rPr>
          <w:color w:val="000000"/>
        </w:rPr>
        <w:tab/>
        <w:t>Распоряжение МВД КР № 946-р от 14 декабря 2017 года «О совершенствовании деятельности органов внутренних дел Кыргызской Республики при работе с представителями уязвимых групп населения».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0A1E9" w14:textId="3373D90D" w:rsidR="00CB66A1" w:rsidRPr="005B416E" w:rsidRDefault="00CB66A1">
    <w:pPr>
      <w:pStyle w:val="a5"/>
    </w:pPr>
    <w:fldSimple w:instr=" TITLE  \* MERGEFORMAT ">
      <w:r w:rsidR="00D47BF9">
        <w:t>E/C.12/KGZ/4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26056" w14:textId="731DA3B3" w:rsidR="00CB66A1" w:rsidRPr="005B416E" w:rsidRDefault="00CB66A1" w:rsidP="005B416E">
    <w:pPr>
      <w:pStyle w:val="a5"/>
      <w:jc w:val="right"/>
    </w:pPr>
    <w:fldSimple w:instr=" TITLE  \* MERGEFORMAT ">
      <w:r w:rsidR="00D47BF9">
        <w:t>E/C.12/KGZ/4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88D53" w14:textId="77777777" w:rsidR="00CB66A1" w:rsidRDefault="00CB66A1" w:rsidP="005B416E">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54887"/>
    <w:multiLevelType w:val="hybridMultilevel"/>
    <w:tmpl w:val="2B362816"/>
    <w:lvl w:ilvl="0" w:tplc="15C8DC40">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2E2E2698" w:tentative="1">
      <w:start w:val="1"/>
      <w:numFmt w:val="lowerLetter"/>
      <w:lvlText w:val="%2."/>
      <w:lvlJc w:val="left"/>
      <w:pPr>
        <w:tabs>
          <w:tab w:val="num" w:pos="1440"/>
        </w:tabs>
        <w:ind w:left="1440" w:hanging="360"/>
      </w:pPr>
    </w:lvl>
    <w:lvl w:ilvl="2" w:tplc="06C29136" w:tentative="1">
      <w:start w:val="1"/>
      <w:numFmt w:val="lowerRoman"/>
      <w:lvlText w:val="%3."/>
      <w:lvlJc w:val="right"/>
      <w:pPr>
        <w:tabs>
          <w:tab w:val="num" w:pos="2160"/>
        </w:tabs>
        <w:ind w:left="2160" w:hanging="180"/>
      </w:pPr>
    </w:lvl>
    <w:lvl w:ilvl="3" w:tplc="35822212" w:tentative="1">
      <w:start w:val="1"/>
      <w:numFmt w:val="decimal"/>
      <w:lvlText w:val="%4."/>
      <w:lvlJc w:val="left"/>
      <w:pPr>
        <w:tabs>
          <w:tab w:val="num" w:pos="2880"/>
        </w:tabs>
        <w:ind w:left="2880" w:hanging="360"/>
      </w:pPr>
    </w:lvl>
    <w:lvl w:ilvl="4" w:tplc="59962EF6" w:tentative="1">
      <w:start w:val="1"/>
      <w:numFmt w:val="lowerLetter"/>
      <w:lvlText w:val="%5."/>
      <w:lvlJc w:val="left"/>
      <w:pPr>
        <w:tabs>
          <w:tab w:val="num" w:pos="3600"/>
        </w:tabs>
        <w:ind w:left="3600" w:hanging="360"/>
      </w:pPr>
    </w:lvl>
    <w:lvl w:ilvl="5" w:tplc="1AB60C24" w:tentative="1">
      <w:start w:val="1"/>
      <w:numFmt w:val="lowerRoman"/>
      <w:lvlText w:val="%6."/>
      <w:lvlJc w:val="right"/>
      <w:pPr>
        <w:tabs>
          <w:tab w:val="num" w:pos="4320"/>
        </w:tabs>
        <w:ind w:left="4320" w:hanging="180"/>
      </w:pPr>
    </w:lvl>
    <w:lvl w:ilvl="6" w:tplc="2C120056" w:tentative="1">
      <w:start w:val="1"/>
      <w:numFmt w:val="decimal"/>
      <w:lvlText w:val="%7."/>
      <w:lvlJc w:val="left"/>
      <w:pPr>
        <w:tabs>
          <w:tab w:val="num" w:pos="5040"/>
        </w:tabs>
        <w:ind w:left="5040" w:hanging="360"/>
      </w:pPr>
    </w:lvl>
    <w:lvl w:ilvl="7" w:tplc="230C0580" w:tentative="1">
      <w:start w:val="1"/>
      <w:numFmt w:val="lowerLetter"/>
      <w:lvlText w:val="%8."/>
      <w:lvlJc w:val="left"/>
      <w:pPr>
        <w:tabs>
          <w:tab w:val="num" w:pos="5760"/>
        </w:tabs>
        <w:ind w:left="5760" w:hanging="360"/>
      </w:pPr>
    </w:lvl>
    <w:lvl w:ilvl="8" w:tplc="3C98E7F2" w:tentative="1">
      <w:start w:val="1"/>
      <w:numFmt w:val="lowerRoman"/>
      <w:lvlText w:val="%9."/>
      <w:lvlJc w:val="right"/>
      <w:pPr>
        <w:tabs>
          <w:tab w:val="num" w:pos="6480"/>
        </w:tabs>
        <w:ind w:left="6480" w:hanging="180"/>
      </w:pPr>
    </w:lvl>
  </w:abstractNum>
  <w:abstractNum w:abstractNumId="1"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7FEE3222"/>
    <w:lvl w:ilvl="0" w:tplc="117C42E6">
      <w:start w:val="1"/>
      <w:numFmt w:val="bullet"/>
      <w:lvlText w:val="•"/>
      <w:lvlJc w:val="left"/>
      <w:pPr>
        <w:tabs>
          <w:tab w:val="num" w:pos="1701"/>
        </w:tabs>
        <w:ind w:left="1701" w:hanging="170"/>
      </w:pPr>
      <w:rPr>
        <w:rFonts w:ascii="Times New Roman" w:hAnsi="Times New Roman" w:cs="Times New Roman" w:hint="default"/>
      </w:rPr>
    </w:lvl>
    <w:lvl w:ilvl="1" w:tplc="CC94DC9C" w:tentative="1">
      <w:start w:val="1"/>
      <w:numFmt w:val="bullet"/>
      <w:lvlText w:val="o"/>
      <w:lvlJc w:val="left"/>
      <w:pPr>
        <w:tabs>
          <w:tab w:val="num" w:pos="3141"/>
        </w:tabs>
        <w:ind w:left="3141" w:hanging="360"/>
      </w:pPr>
      <w:rPr>
        <w:rFonts w:ascii="Courier New" w:hAnsi="Courier New" w:hint="default"/>
      </w:rPr>
    </w:lvl>
    <w:lvl w:ilvl="2" w:tplc="1084FEAC" w:tentative="1">
      <w:start w:val="1"/>
      <w:numFmt w:val="bullet"/>
      <w:lvlText w:val=""/>
      <w:lvlJc w:val="left"/>
      <w:pPr>
        <w:tabs>
          <w:tab w:val="num" w:pos="3861"/>
        </w:tabs>
        <w:ind w:left="3861" w:hanging="360"/>
      </w:pPr>
      <w:rPr>
        <w:rFonts w:ascii="Wingdings" w:hAnsi="Wingdings" w:hint="default"/>
      </w:rPr>
    </w:lvl>
    <w:lvl w:ilvl="3" w:tplc="D53C03C2" w:tentative="1">
      <w:start w:val="1"/>
      <w:numFmt w:val="bullet"/>
      <w:lvlText w:val=""/>
      <w:lvlJc w:val="left"/>
      <w:pPr>
        <w:tabs>
          <w:tab w:val="num" w:pos="4581"/>
        </w:tabs>
        <w:ind w:left="4581" w:hanging="360"/>
      </w:pPr>
      <w:rPr>
        <w:rFonts w:ascii="Symbol" w:hAnsi="Symbol" w:hint="default"/>
      </w:rPr>
    </w:lvl>
    <w:lvl w:ilvl="4" w:tplc="6636AF56" w:tentative="1">
      <w:start w:val="1"/>
      <w:numFmt w:val="bullet"/>
      <w:lvlText w:val="o"/>
      <w:lvlJc w:val="left"/>
      <w:pPr>
        <w:tabs>
          <w:tab w:val="num" w:pos="5301"/>
        </w:tabs>
        <w:ind w:left="5301" w:hanging="360"/>
      </w:pPr>
      <w:rPr>
        <w:rFonts w:ascii="Courier New" w:hAnsi="Courier New" w:hint="default"/>
      </w:rPr>
    </w:lvl>
    <w:lvl w:ilvl="5" w:tplc="1E66B666" w:tentative="1">
      <w:start w:val="1"/>
      <w:numFmt w:val="bullet"/>
      <w:lvlText w:val=""/>
      <w:lvlJc w:val="left"/>
      <w:pPr>
        <w:tabs>
          <w:tab w:val="num" w:pos="6021"/>
        </w:tabs>
        <w:ind w:left="6021" w:hanging="360"/>
      </w:pPr>
      <w:rPr>
        <w:rFonts w:ascii="Wingdings" w:hAnsi="Wingdings" w:hint="default"/>
      </w:rPr>
    </w:lvl>
    <w:lvl w:ilvl="6" w:tplc="0EAAF0BE" w:tentative="1">
      <w:start w:val="1"/>
      <w:numFmt w:val="bullet"/>
      <w:lvlText w:val=""/>
      <w:lvlJc w:val="left"/>
      <w:pPr>
        <w:tabs>
          <w:tab w:val="num" w:pos="6741"/>
        </w:tabs>
        <w:ind w:left="6741" w:hanging="360"/>
      </w:pPr>
      <w:rPr>
        <w:rFonts w:ascii="Symbol" w:hAnsi="Symbol" w:hint="default"/>
      </w:rPr>
    </w:lvl>
    <w:lvl w:ilvl="7" w:tplc="71D0CAB2" w:tentative="1">
      <w:start w:val="1"/>
      <w:numFmt w:val="bullet"/>
      <w:lvlText w:val="o"/>
      <w:lvlJc w:val="left"/>
      <w:pPr>
        <w:tabs>
          <w:tab w:val="num" w:pos="7461"/>
        </w:tabs>
        <w:ind w:left="7461" w:hanging="360"/>
      </w:pPr>
      <w:rPr>
        <w:rFonts w:ascii="Courier New" w:hAnsi="Courier New" w:hint="default"/>
      </w:rPr>
    </w:lvl>
    <w:lvl w:ilvl="8" w:tplc="A50644B8"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2"/>
  </w:num>
  <w:num w:numId="4">
    <w:abstractNumId w:val="3"/>
  </w:num>
  <w:num w:numId="5">
    <w:abstractNumId w:val="6"/>
  </w:num>
  <w:num w:numId="6">
    <w:abstractNumId w:val="5"/>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F4C"/>
    <w:rsid w:val="00033EE1"/>
    <w:rsid w:val="00042B72"/>
    <w:rsid w:val="00043B08"/>
    <w:rsid w:val="000558BD"/>
    <w:rsid w:val="000857D2"/>
    <w:rsid w:val="000B57E7"/>
    <w:rsid w:val="000B6373"/>
    <w:rsid w:val="000D2758"/>
    <w:rsid w:val="000E515E"/>
    <w:rsid w:val="000F09DF"/>
    <w:rsid w:val="000F61B2"/>
    <w:rsid w:val="00103D42"/>
    <w:rsid w:val="001075E9"/>
    <w:rsid w:val="001253D8"/>
    <w:rsid w:val="0014152F"/>
    <w:rsid w:val="00142F5E"/>
    <w:rsid w:val="00180183"/>
    <w:rsid w:val="0018024D"/>
    <w:rsid w:val="00180A77"/>
    <w:rsid w:val="0018649F"/>
    <w:rsid w:val="00196389"/>
    <w:rsid w:val="001B3EF6"/>
    <w:rsid w:val="001C7A89"/>
    <w:rsid w:val="001D4901"/>
    <w:rsid w:val="001D5C5A"/>
    <w:rsid w:val="00203065"/>
    <w:rsid w:val="00253965"/>
    <w:rsid w:val="002979E2"/>
    <w:rsid w:val="002A2EFC"/>
    <w:rsid w:val="002B01FB"/>
    <w:rsid w:val="002B74B1"/>
    <w:rsid w:val="002C0E18"/>
    <w:rsid w:val="002D5AAC"/>
    <w:rsid w:val="002E5067"/>
    <w:rsid w:val="002F405F"/>
    <w:rsid w:val="002F7011"/>
    <w:rsid w:val="002F7BDB"/>
    <w:rsid w:val="002F7EEC"/>
    <w:rsid w:val="00301299"/>
    <w:rsid w:val="00305C08"/>
    <w:rsid w:val="00307FB6"/>
    <w:rsid w:val="00317339"/>
    <w:rsid w:val="00322004"/>
    <w:rsid w:val="003402C2"/>
    <w:rsid w:val="00381C24"/>
    <w:rsid w:val="003958D0"/>
    <w:rsid w:val="003A0D43"/>
    <w:rsid w:val="003B00E5"/>
    <w:rsid w:val="00407B78"/>
    <w:rsid w:val="00424203"/>
    <w:rsid w:val="0042551A"/>
    <w:rsid w:val="00452493"/>
    <w:rsid w:val="00453318"/>
    <w:rsid w:val="00454E07"/>
    <w:rsid w:val="00472C5C"/>
    <w:rsid w:val="00477F1D"/>
    <w:rsid w:val="0050108D"/>
    <w:rsid w:val="00506167"/>
    <w:rsid w:val="00513081"/>
    <w:rsid w:val="00517901"/>
    <w:rsid w:val="00526683"/>
    <w:rsid w:val="005668F2"/>
    <w:rsid w:val="005709E0"/>
    <w:rsid w:val="00572E19"/>
    <w:rsid w:val="005961C8"/>
    <w:rsid w:val="005966F1"/>
    <w:rsid w:val="005B2F86"/>
    <w:rsid w:val="005B416E"/>
    <w:rsid w:val="005D7914"/>
    <w:rsid w:val="005E2B41"/>
    <w:rsid w:val="005F0B42"/>
    <w:rsid w:val="005F0B4B"/>
    <w:rsid w:val="005F1707"/>
    <w:rsid w:val="005F21B5"/>
    <w:rsid w:val="00640F49"/>
    <w:rsid w:val="00681A10"/>
    <w:rsid w:val="006A16E3"/>
    <w:rsid w:val="006A1ED8"/>
    <w:rsid w:val="006C2031"/>
    <w:rsid w:val="006C46B1"/>
    <w:rsid w:val="006D461A"/>
    <w:rsid w:val="006F35EE"/>
    <w:rsid w:val="007021FF"/>
    <w:rsid w:val="00711165"/>
    <w:rsid w:val="00712895"/>
    <w:rsid w:val="00734ACB"/>
    <w:rsid w:val="00757357"/>
    <w:rsid w:val="00792497"/>
    <w:rsid w:val="00806737"/>
    <w:rsid w:val="00806D6A"/>
    <w:rsid w:val="00811570"/>
    <w:rsid w:val="00825F8D"/>
    <w:rsid w:val="00834B71"/>
    <w:rsid w:val="0086445C"/>
    <w:rsid w:val="0087167E"/>
    <w:rsid w:val="00881771"/>
    <w:rsid w:val="00894693"/>
    <w:rsid w:val="00896BA2"/>
    <w:rsid w:val="008A08D7"/>
    <w:rsid w:val="008B2400"/>
    <w:rsid w:val="008B6909"/>
    <w:rsid w:val="008C30BC"/>
    <w:rsid w:val="00906890"/>
    <w:rsid w:val="00911BE4"/>
    <w:rsid w:val="00951972"/>
    <w:rsid w:val="00951F4C"/>
    <w:rsid w:val="009608F3"/>
    <w:rsid w:val="009868BF"/>
    <w:rsid w:val="009A24AC"/>
    <w:rsid w:val="009C42D8"/>
    <w:rsid w:val="009D11CC"/>
    <w:rsid w:val="009D5435"/>
    <w:rsid w:val="00A14DA8"/>
    <w:rsid w:val="00A21F00"/>
    <w:rsid w:val="00A312BC"/>
    <w:rsid w:val="00A508E8"/>
    <w:rsid w:val="00A67129"/>
    <w:rsid w:val="00A84021"/>
    <w:rsid w:val="00A84D35"/>
    <w:rsid w:val="00A917B3"/>
    <w:rsid w:val="00A974DA"/>
    <w:rsid w:val="00AB2DBD"/>
    <w:rsid w:val="00AB4B51"/>
    <w:rsid w:val="00AC24BF"/>
    <w:rsid w:val="00AC3430"/>
    <w:rsid w:val="00AD72AD"/>
    <w:rsid w:val="00B10CC7"/>
    <w:rsid w:val="00B36DF7"/>
    <w:rsid w:val="00B520D9"/>
    <w:rsid w:val="00B539E7"/>
    <w:rsid w:val="00B62458"/>
    <w:rsid w:val="00B94BC2"/>
    <w:rsid w:val="00BC18B2"/>
    <w:rsid w:val="00BD33EE"/>
    <w:rsid w:val="00BF21E1"/>
    <w:rsid w:val="00C106D6"/>
    <w:rsid w:val="00C60F0C"/>
    <w:rsid w:val="00C668BE"/>
    <w:rsid w:val="00C805C9"/>
    <w:rsid w:val="00C92939"/>
    <w:rsid w:val="00CA1679"/>
    <w:rsid w:val="00CB151C"/>
    <w:rsid w:val="00CB36CC"/>
    <w:rsid w:val="00CB66A1"/>
    <w:rsid w:val="00CE5A1A"/>
    <w:rsid w:val="00CF55F6"/>
    <w:rsid w:val="00D1565E"/>
    <w:rsid w:val="00D22F13"/>
    <w:rsid w:val="00D33D63"/>
    <w:rsid w:val="00D34308"/>
    <w:rsid w:val="00D47BF9"/>
    <w:rsid w:val="00D5253A"/>
    <w:rsid w:val="00D62A45"/>
    <w:rsid w:val="00D90028"/>
    <w:rsid w:val="00D90138"/>
    <w:rsid w:val="00D91FBC"/>
    <w:rsid w:val="00DD44B1"/>
    <w:rsid w:val="00DD78D1"/>
    <w:rsid w:val="00DE2D04"/>
    <w:rsid w:val="00DE32CD"/>
    <w:rsid w:val="00DF71B9"/>
    <w:rsid w:val="00E414D3"/>
    <w:rsid w:val="00E73F76"/>
    <w:rsid w:val="00E90403"/>
    <w:rsid w:val="00EA2C9F"/>
    <w:rsid w:val="00EA420E"/>
    <w:rsid w:val="00EB35FE"/>
    <w:rsid w:val="00EB4511"/>
    <w:rsid w:val="00ED0BDA"/>
    <w:rsid w:val="00EE142A"/>
    <w:rsid w:val="00EF1360"/>
    <w:rsid w:val="00EF3220"/>
    <w:rsid w:val="00F037C9"/>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9C793B"/>
  <w15:docId w15:val="{A9B4C4C1-20A1-4771-97B8-2417EA32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qFormat/>
    <w:rsid w:val="00811570"/>
    <w:pPr>
      <w:keepNext/>
      <w:outlineLvl w:val="1"/>
    </w:pPr>
    <w:rPr>
      <w:rFonts w:cs="Arial"/>
      <w:bCs/>
      <w:iCs/>
      <w:szCs w:val="28"/>
    </w:rPr>
  </w:style>
  <w:style w:type="paragraph" w:styleId="3">
    <w:name w:val="heading 3"/>
    <w:basedOn w:val="a"/>
    <w:next w:val="a"/>
    <w:link w:val="30"/>
    <w:semiHidden/>
    <w:qFormat/>
    <w:rsid w:val="00811570"/>
    <w:pPr>
      <w:keepNext/>
      <w:spacing w:before="240" w:after="60"/>
      <w:outlineLvl w:val="2"/>
    </w:pPr>
    <w:rPr>
      <w:rFonts w:ascii="Arial" w:hAnsi="Arial" w:cs="Arial"/>
      <w:b/>
      <w:bCs/>
      <w:sz w:val="26"/>
      <w:szCs w:val="26"/>
    </w:rPr>
  </w:style>
  <w:style w:type="paragraph" w:styleId="4">
    <w:name w:val="heading 4"/>
    <w:basedOn w:val="a"/>
    <w:next w:val="a"/>
    <w:link w:val="40"/>
    <w:semiHidden/>
    <w:qFormat/>
    <w:rsid w:val="00811570"/>
    <w:pPr>
      <w:keepNext/>
      <w:spacing w:before="240" w:after="60"/>
      <w:outlineLvl w:val="3"/>
    </w:pPr>
    <w:rPr>
      <w:b/>
      <w:bCs/>
      <w:sz w:val="28"/>
      <w:szCs w:val="28"/>
    </w:rPr>
  </w:style>
  <w:style w:type="paragraph" w:styleId="5">
    <w:name w:val="heading 5"/>
    <w:basedOn w:val="a"/>
    <w:next w:val="a"/>
    <w:link w:val="50"/>
    <w:semiHidden/>
    <w:qFormat/>
    <w:rsid w:val="00811570"/>
    <w:pPr>
      <w:spacing w:before="240" w:after="60"/>
      <w:outlineLvl w:val="4"/>
    </w:pPr>
    <w:rPr>
      <w:b/>
      <w:bCs/>
      <w:i/>
      <w:iCs/>
      <w:sz w:val="26"/>
      <w:szCs w:val="26"/>
    </w:rPr>
  </w:style>
  <w:style w:type="paragraph" w:styleId="6">
    <w:name w:val="heading 6"/>
    <w:basedOn w:val="a"/>
    <w:next w:val="a"/>
    <w:link w:val="60"/>
    <w:semiHidden/>
    <w:qFormat/>
    <w:rsid w:val="00811570"/>
    <w:pPr>
      <w:spacing w:before="240" w:after="60"/>
      <w:outlineLvl w:val="5"/>
    </w:pPr>
    <w:rPr>
      <w:b/>
      <w:bCs/>
      <w:sz w:val="22"/>
    </w:rPr>
  </w:style>
  <w:style w:type="paragraph" w:styleId="7">
    <w:name w:val="heading 7"/>
    <w:basedOn w:val="a"/>
    <w:next w:val="a"/>
    <w:link w:val="70"/>
    <w:semiHidden/>
    <w:qFormat/>
    <w:rsid w:val="00811570"/>
    <w:pPr>
      <w:spacing w:before="240" w:after="60"/>
      <w:outlineLvl w:val="6"/>
    </w:pPr>
    <w:rPr>
      <w:sz w:val="24"/>
      <w:szCs w:val="24"/>
    </w:rPr>
  </w:style>
  <w:style w:type="paragraph" w:styleId="8">
    <w:name w:val="heading 8"/>
    <w:basedOn w:val="a"/>
    <w:next w:val="a"/>
    <w:link w:val="80"/>
    <w:semiHidden/>
    <w:qFormat/>
    <w:rsid w:val="00811570"/>
    <w:pPr>
      <w:spacing w:before="240" w:after="60"/>
      <w:outlineLvl w:val="7"/>
    </w:pPr>
    <w:rPr>
      <w:i/>
      <w:iCs/>
      <w:sz w:val="24"/>
      <w:szCs w:val="24"/>
    </w:rPr>
  </w:style>
  <w:style w:type="paragraph" w:styleId="9">
    <w:name w:val="heading 9"/>
    <w:basedOn w:val="a"/>
    <w:next w:val="a"/>
    <w:link w:val="90"/>
    <w:semiHidden/>
    <w:qFormat/>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1253D8"/>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1253D8"/>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8817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1"/>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uiPriority w:val="99"/>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uiPriority w:val="99"/>
    <w:rsid w:val="001253D8"/>
    <w:rPr>
      <w:b/>
      <w:sz w:val="18"/>
      <w:lang w:val="en-GB" w:eastAsia="ru-RU"/>
    </w:rPr>
  </w:style>
  <w:style w:type="character" w:styleId="a7">
    <w:name w:val="Hyperlink"/>
    <w:basedOn w:val="a0"/>
    <w:uiPriority w:val="99"/>
    <w:rsid w:val="001253D8"/>
    <w:rPr>
      <w:color w:val="0000FF" w:themeColor="hyperlink"/>
      <w:u w:val="none"/>
    </w:rPr>
  </w:style>
  <w:style w:type="character" w:styleId="a8">
    <w:name w:val="footnote reference"/>
    <w:aliases w:val="4_G"/>
    <w:basedOn w:val="a0"/>
    <w:uiPriority w:val="99"/>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uiPriority w:val="99"/>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uiPriority w:val="99"/>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uiPriority w:val="59"/>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
    <w:basedOn w:val="a"/>
    <w:link w:val="af0"/>
    <w:uiPriority w:val="99"/>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
    <w:basedOn w:val="a0"/>
    <w:link w:val="af"/>
    <w:uiPriority w:val="99"/>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 w:type="character" w:customStyle="1" w:styleId="SingleTxtGChar">
    <w:name w:val="_ Single Txt_G Char"/>
    <w:link w:val="SingleTxtG"/>
    <w:locked/>
    <w:rsid w:val="005B416E"/>
    <w:rPr>
      <w:lang w:val="ru-RU" w:eastAsia="en-US"/>
    </w:rPr>
  </w:style>
  <w:style w:type="paragraph" w:customStyle="1" w:styleId="ParNoG">
    <w:name w:val="_ParNo_G"/>
    <w:basedOn w:val="a"/>
    <w:qFormat/>
    <w:rsid w:val="009D5435"/>
    <w:pPr>
      <w:numPr>
        <w:numId w:val="7"/>
      </w:numPr>
      <w:tabs>
        <w:tab w:val="left" w:pos="1701"/>
        <w:tab w:val="left" w:pos="2268"/>
        <w:tab w:val="left" w:pos="2835"/>
      </w:tabs>
      <w:kinsoku w:val="0"/>
      <w:overflowPunct w:val="0"/>
      <w:autoSpaceDE w:val="0"/>
      <w:autoSpaceDN w:val="0"/>
      <w:adjustRightInd w:val="0"/>
      <w:snapToGrid w:val="0"/>
      <w:spacing w:after="120"/>
      <w:ind w:right="1134"/>
      <w:jc w:val="both"/>
    </w:pPr>
    <w:rPr>
      <w:rFonts w:cs="Times New Roman"/>
      <w:szCs w:val="20"/>
      <w:lang w:val="en-GB"/>
    </w:rPr>
  </w:style>
  <w:style w:type="character" w:customStyle="1" w:styleId="20">
    <w:name w:val="Заголовок 2 Знак"/>
    <w:basedOn w:val="a0"/>
    <w:link w:val="2"/>
    <w:semiHidden/>
    <w:rsid w:val="009D5435"/>
    <w:rPr>
      <w:rFonts w:eastAsiaTheme="minorHAnsi" w:cs="Arial"/>
      <w:bCs/>
      <w:iCs/>
      <w:szCs w:val="28"/>
      <w:lang w:val="ru-RU" w:eastAsia="en-US"/>
    </w:rPr>
  </w:style>
  <w:style w:type="character" w:customStyle="1" w:styleId="30">
    <w:name w:val="Заголовок 3 Знак"/>
    <w:basedOn w:val="a0"/>
    <w:link w:val="3"/>
    <w:semiHidden/>
    <w:rsid w:val="009D5435"/>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9D5435"/>
    <w:rPr>
      <w:rFonts w:eastAsiaTheme="minorHAnsi" w:cstheme="minorBidi"/>
      <w:b/>
      <w:bCs/>
      <w:sz w:val="28"/>
      <w:szCs w:val="28"/>
      <w:lang w:val="ru-RU" w:eastAsia="en-US"/>
    </w:rPr>
  </w:style>
  <w:style w:type="character" w:customStyle="1" w:styleId="50">
    <w:name w:val="Заголовок 5 Знак"/>
    <w:basedOn w:val="a0"/>
    <w:link w:val="5"/>
    <w:semiHidden/>
    <w:rsid w:val="009D5435"/>
    <w:rPr>
      <w:rFonts w:eastAsiaTheme="minorHAnsi" w:cstheme="minorBidi"/>
      <w:b/>
      <w:bCs/>
      <w:i/>
      <w:iCs/>
      <w:sz w:val="26"/>
      <w:szCs w:val="26"/>
      <w:lang w:val="ru-RU" w:eastAsia="en-US"/>
    </w:rPr>
  </w:style>
  <w:style w:type="character" w:customStyle="1" w:styleId="60">
    <w:name w:val="Заголовок 6 Знак"/>
    <w:basedOn w:val="a0"/>
    <w:link w:val="6"/>
    <w:semiHidden/>
    <w:rsid w:val="009D5435"/>
    <w:rPr>
      <w:rFonts w:eastAsiaTheme="minorHAnsi" w:cstheme="minorBidi"/>
      <w:b/>
      <w:bCs/>
      <w:sz w:val="22"/>
      <w:szCs w:val="22"/>
      <w:lang w:val="ru-RU" w:eastAsia="en-US"/>
    </w:rPr>
  </w:style>
  <w:style w:type="character" w:customStyle="1" w:styleId="70">
    <w:name w:val="Заголовок 7 Знак"/>
    <w:basedOn w:val="a0"/>
    <w:link w:val="7"/>
    <w:semiHidden/>
    <w:rsid w:val="009D5435"/>
    <w:rPr>
      <w:rFonts w:eastAsiaTheme="minorHAnsi" w:cstheme="minorBidi"/>
      <w:sz w:val="24"/>
      <w:szCs w:val="24"/>
      <w:lang w:val="ru-RU" w:eastAsia="en-US"/>
    </w:rPr>
  </w:style>
  <w:style w:type="character" w:customStyle="1" w:styleId="80">
    <w:name w:val="Заголовок 8 Знак"/>
    <w:basedOn w:val="a0"/>
    <w:link w:val="8"/>
    <w:semiHidden/>
    <w:rsid w:val="009D5435"/>
    <w:rPr>
      <w:rFonts w:eastAsiaTheme="minorHAnsi" w:cstheme="minorBidi"/>
      <w:i/>
      <w:iCs/>
      <w:sz w:val="24"/>
      <w:szCs w:val="24"/>
      <w:lang w:val="ru-RU" w:eastAsia="en-US"/>
    </w:rPr>
  </w:style>
  <w:style w:type="character" w:customStyle="1" w:styleId="90">
    <w:name w:val="Заголовок 9 Знак"/>
    <w:basedOn w:val="a0"/>
    <w:link w:val="9"/>
    <w:semiHidden/>
    <w:rsid w:val="009D5435"/>
    <w:rPr>
      <w:rFonts w:ascii="Arial" w:eastAsiaTheme="minorHAnsi" w:hAnsi="Arial" w:cs="Arial"/>
      <w:sz w:val="22"/>
      <w:szCs w:val="22"/>
      <w:lang w:val="ru-RU" w:eastAsia="en-US"/>
    </w:rPr>
  </w:style>
  <w:style w:type="numbering" w:styleId="111111">
    <w:name w:val="Outline List 2"/>
    <w:basedOn w:val="a2"/>
    <w:semiHidden/>
    <w:rsid w:val="009D5435"/>
    <w:pPr>
      <w:numPr>
        <w:numId w:val="4"/>
      </w:numPr>
    </w:pPr>
  </w:style>
  <w:style w:type="numbering" w:styleId="1ai">
    <w:name w:val="Outline List 1"/>
    <w:basedOn w:val="a2"/>
    <w:semiHidden/>
    <w:rsid w:val="009D5435"/>
    <w:pPr>
      <w:numPr>
        <w:numId w:val="5"/>
      </w:numPr>
    </w:pPr>
  </w:style>
  <w:style w:type="table" w:customStyle="1" w:styleId="TableGrid1">
    <w:name w:val="Table Grid1"/>
    <w:basedOn w:val="a1"/>
    <w:rsid w:val="009D5435"/>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3">
    <w:name w:val="List Paragraph"/>
    <w:basedOn w:val="a"/>
    <w:uiPriority w:val="34"/>
    <w:qFormat/>
    <w:rsid w:val="009D5435"/>
    <w:pPr>
      <w:suppressAutoHyphens w:val="0"/>
      <w:spacing w:after="160" w:line="259" w:lineRule="auto"/>
      <w:ind w:left="720"/>
      <w:contextualSpacing/>
    </w:pPr>
    <w:rPr>
      <w:rFonts w:ascii="Calibri" w:eastAsia="Calibri" w:hAnsi="Calibri" w:cs="Times New Roman"/>
      <w:sz w:val="22"/>
    </w:rPr>
  </w:style>
  <w:style w:type="paragraph" w:styleId="af4">
    <w:name w:val="No Spacing"/>
    <w:uiPriority w:val="1"/>
    <w:qFormat/>
    <w:rsid w:val="009D5435"/>
    <w:rPr>
      <w:rFonts w:ascii="Calibri" w:eastAsia="Calibri" w:hAnsi="Calibri"/>
      <w:sz w:val="22"/>
      <w:szCs w:val="22"/>
      <w:lang w:val="ru-RU" w:eastAsia="en-US"/>
    </w:rPr>
  </w:style>
  <w:style w:type="paragraph" w:styleId="af5">
    <w:name w:val="Normal (Web)"/>
    <w:basedOn w:val="a"/>
    <w:uiPriority w:val="99"/>
    <w:semiHidden/>
    <w:unhideWhenUsed/>
    <w:rsid w:val="009D5435"/>
    <w:pPr>
      <w:suppressAutoHyphens w:val="0"/>
      <w:spacing w:before="100" w:beforeAutospacing="1" w:after="100" w:afterAutospacing="1" w:line="240" w:lineRule="auto"/>
    </w:pPr>
    <w:rPr>
      <w:rFonts w:eastAsia="Times New Roman" w:cs="Times New Roman"/>
      <w:sz w:val="24"/>
      <w:szCs w:val="24"/>
      <w:lang w:eastAsia="ru-RU"/>
    </w:rPr>
  </w:style>
  <w:style w:type="character" w:customStyle="1" w:styleId="af6">
    <w:name w:val="Основной текст_"/>
    <w:link w:val="11"/>
    <w:rsid w:val="009D5435"/>
    <w:rPr>
      <w:sz w:val="26"/>
      <w:szCs w:val="26"/>
      <w:shd w:val="clear" w:color="auto" w:fill="FFFFFF"/>
    </w:rPr>
  </w:style>
  <w:style w:type="paragraph" w:customStyle="1" w:styleId="11">
    <w:name w:val="Основной текст1"/>
    <w:basedOn w:val="a"/>
    <w:link w:val="af6"/>
    <w:rsid w:val="009D5435"/>
    <w:pPr>
      <w:widowControl w:val="0"/>
      <w:shd w:val="clear" w:color="auto" w:fill="FFFFFF"/>
      <w:suppressAutoHyphens w:val="0"/>
      <w:spacing w:before="480" w:line="322" w:lineRule="exact"/>
      <w:ind w:firstLine="720"/>
      <w:jc w:val="both"/>
    </w:pPr>
    <w:rPr>
      <w:rFonts w:eastAsia="Times New Roman" w:cs="Times New Roman"/>
      <w:sz w:val="26"/>
      <w:szCs w:val="26"/>
      <w:lang w:val="es-ES" w:eastAsia="es-ES"/>
    </w:rPr>
  </w:style>
  <w:style w:type="paragraph" w:customStyle="1" w:styleId="21">
    <w:name w:val="Основной текст2"/>
    <w:basedOn w:val="a"/>
    <w:rsid w:val="009D5435"/>
    <w:pPr>
      <w:widowControl w:val="0"/>
      <w:shd w:val="clear" w:color="auto" w:fill="FFFFFF"/>
      <w:suppressAutoHyphens w:val="0"/>
      <w:spacing w:line="322" w:lineRule="exact"/>
      <w:jc w:val="both"/>
    </w:pPr>
    <w:rPr>
      <w:rFonts w:eastAsia="Times New Roman" w:cs="Times New Roman"/>
      <w:color w:val="000000"/>
      <w:sz w:val="26"/>
      <w:szCs w:val="26"/>
      <w:lang w:eastAsia="ru-RU"/>
    </w:rPr>
  </w:style>
  <w:style w:type="character" w:customStyle="1" w:styleId="af7">
    <w:name w:val="Сноска_"/>
    <w:link w:val="af8"/>
    <w:rsid w:val="009D5435"/>
    <w:rPr>
      <w:b/>
      <w:bCs/>
      <w:sz w:val="17"/>
      <w:szCs w:val="17"/>
      <w:shd w:val="clear" w:color="auto" w:fill="FFFFFF"/>
    </w:rPr>
  </w:style>
  <w:style w:type="paragraph" w:customStyle="1" w:styleId="af8">
    <w:name w:val="Сноска"/>
    <w:basedOn w:val="a"/>
    <w:link w:val="af7"/>
    <w:rsid w:val="009D5435"/>
    <w:pPr>
      <w:widowControl w:val="0"/>
      <w:shd w:val="clear" w:color="auto" w:fill="FFFFFF"/>
      <w:suppressAutoHyphens w:val="0"/>
      <w:spacing w:line="250" w:lineRule="exact"/>
    </w:pPr>
    <w:rPr>
      <w:rFonts w:eastAsia="Times New Roman" w:cs="Times New Roman"/>
      <w:b/>
      <w:bCs/>
      <w:sz w:val="17"/>
      <w:szCs w:val="17"/>
      <w:lang w:val="es-ES" w:eastAsia="es-ES"/>
    </w:rPr>
  </w:style>
  <w:style w:type="character" w:customStyle="1" w:styleId="UnresolvedMention1">
    <w:name w:val="Unresolved Mention1"/>
    <w:basedOn w:val="a0"/>
    <w:uiPriority w:val="99"/>
    <w:semiHidden/>
    <w:unhideWhenUsed/>
    <w:rsid w:val="009D5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anyatost.k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lsp.gov.kg"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53</Pages>
  <Words>21514</Words>
  <Characters>144577</Characters>
  <Application>Microsoft Office Word</Application>
  <DocSecurity>0</DocSecurity>
  <Lines>2780</Lines>
  <Paragraphs>971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E/C.12/KGZ/4</vt:lpstr>
      <vt:lpstr>A/</vt:lpstr>
      <vt:lpstr>A/</vt:lpstr>
    </vt:vector>
  </TitlesOfParts>
  <Company>DCM</Company>
  <LinksUpToDate>false</LinksUpToDate>
  <CharactersWithSpaces>165120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E/C.12/KGZ/4</dc:title>
  <dc:subject/>
  <dc:creator>Shuvalova NATALIA</dc:creator>
  <cp:keywords/>
  <cp:lastModifiedBy>Tatiana Chvets</cp:lastModifiedBy>
  <cp:revision>3</cp:revision>
  <cp:lastPrinted>2021-09-06T17:07:00Z</cp:lastPrinted>
  <dcterms:created xsi:type="dcterms:W3CDTF">2021-09-06T17:06:00Z</dcterms:created>
  <dcterms:modified xsi:type="dcterms:W3CDTF">2021-09-06T17:07:00Z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