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F152148" w14:textId="77777777" w:rsidTr="0002432E">
        <w:trPr>
          <w:trHeight w:hRule="exact" w:val="851"/>
        </w:trPr>
        <w:tc>
          <w:tcPr>
            <w:tcW w:w="1276" w:type="dxa"/>
            <w:tcBorders>
              <w:bottom w:val="single" w:sz="4" w:space="0" w:color="auto"/>
            </w:tcBorders>
          </w:tcPr>
          <w:p w14:paraId="166ED81A" w14:textId="77777777" w:rsidR="0080236C" w:rsidRPr="00DB58B5" w:rsidRDefault="0080236C" w:rsidP="0002432E"/>
        </w:tc>
        <w:tc>
          <w:tcPr>
            <w:tcW w:w="2268" w:type="dxa"/>
            <w:tcBorders>
              <w:bottom w:val="single" w:sz="4" w:space="0" w:color="auto"/>
            </w:tcBorders>
            <w:vAlign w:val="bottom"/>
          </w:tcPr>
          <w:p w14:paraId="356515A4"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FC1743" w14:textId="1F4E7C03" w:rsidR="0080236C" w:rsidRPr="00DB58B5" w:rsidRDefault="00BA6614" w:rsidP="00BA6614">
            <w:pPr>
              <w:jc w:val="right"/>
            </w:pPr>
            <w:r w:rsidRPr="00BA6614">
              <w:rPr>
                <w:sz w:val="40"/>
              </w:rPr>
              <w:t>E</w:t>
            </w:r>
            <w:r>
              <w:t>/C.12/KGZ/4</w:t>
            </w:r>
          </w:p>
        </w:tc>
      </w:tr>
      <w:tr w:rsidR="0080236C" w:rsidRPr="00DB58B5" w14:paraId="6399B574" w14:textId="77777777" w:rsidTr="0002432E">
        <w:trPr>
          <w:trHeight w:hRule="exact" w:val="2835"/>
        </w:trPr>
        <w:tc>
          <w:tcPr>
            <w:tcW w:w="1276" w:type="dxa"/>
            <w:tcBorders>
              <w:top w:val="single" w:sz="4" w:space="0" w:color="auto"/>
              <w:bottom w:val="single" w:sz="12" w:space="0" w:color="auto"/>
            </w:tcBorders>
          </w:tcPr>
          <w:p w14:paraId="28AAACFD" w14:textId="77777777" w:rsidR="0080236C" w:rsidRPr="00DB58B5" w:rsidRDefault="0080236C" w:rsidP="0002432E">
            <w:pPr>
              <w:spacing w:before="120"/>
              <w:jc w:val="center"/>
            </w:pPr>
            <w:r>
              <w:rPr>
                <w:noProof/>
                <w:lang w:eastAsia="fr-CH"/>
              </w:rPr>
              <w:drawing>
                <wp:inline distT="0" distB="0" distL="0" distR="0" wp14:anchorId="30AC5C64" wp14:editId="5F6146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BB2A9F"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AB4D6E" w14:textId="77777777" w:rsidR="0080236C" w:rsidRDefault="00BA6614" w:rsidP="0002432E">
            <w:pPr>
              <w:spacing w:before="240"/>
            </w:pPr>
            <w:proofErr w:type="spellStart"/>
            <w:r>
              <w:t>Distr</w:t>
            </w:r>
            <w:proofErr w:type="spellEnd"/>
            <w:r>
              <w:t>. générale</w:t>
            </w:r>
          </w:p>
          <w:p w14:paraId="1F121E7F" w14:textId="77777777" w:rsidR="00BA6614" w:rsidRDefault="00BA6614" w:rsidP="00BA6614">
            <w:pPr>
              <w:spacing w:line="240" w:lineRule="exact"/>
            </w:pPr>
            <w:r>
              <w:t>26 août 2021</w:t>
            </w:r>
          </w:p>
          <w:p w14:paraId="0F175577" w14:textId="77777777" w:rsidR="00BA6614" w:rsidRDefault="00BA6614" w:rsidP="00BA6614">
            <w:pPr>
              <w:spacing w:line="240" w:lineRule="exact"/>
            </w:pPr>
            <w:r>
              <w:t>Français</w:t>
            </w:r>
          </w:p>
          <w:p w14:paraId="508739FC" w14:textId="1BA309A1" w:rsidR="00BA6614" w:rsidRDefault="00BA6614" w:rsidP="00BA6614">
            <w:pPr>
              <w:spacing w:line="240" w:lineRule="exact"/>
            </w:pPr>
            <w:r>
              <w:t>Original</w:t>
            </w:r>
            <w:r w:rsidR="009C6834">
              <w:t> :</w:t>
            </w:r>
            <w:r>
              <w:t xml:space="preserve"> russe</w:t>
            </w:r>
          </w:p>
          <w:p w14:paraId="455EDEE4" w14:textId="7EBA7246" w:rsidR="00BA6614" w:rsidRPr="00DB58B5" w:rsidRDefault="00BA6614" w:rsidP="00BA6614">
            <w:pPr>
              <w:spacing w:line="240" w:lineRule="exact"/>
            </w:pPr>
            <w:r>
              <w:t>Anglais, espagnol, français et russe seulement</w:t>
            </w:r>
          </w:p>
        </w:tc>
      </w:tr>
    </w:tbl>
    <w:p w14:paraId="12805C67" w14:textId="77777777" w:rsidR="009C6834" w:rsidRPr="009C6834" w:rsidRDefault="009C6834" w:rsidP="009C6834">
      <w:pPr>
        <w:spacing w:before="120"/>
        <w:rPr>
          <w:b/>
          <w:sz w:val="24"/>
          <w:szCs w:val="24"/>
          <w:lang w:val="fr-FR"/>
        </w:rPr>
      </w:pPr>
      <w:r w:rsidRPr="009C6834">
        <w:rPr>
          <w:b/>
          <w:sz w:val="24"/>
          <w:szCs w:val="24"/>
          <w:lang w:val="fr-FR"/>
        </w:rPr>
        <w:t>Comité des droits économiques, sociaux et culturels</w:t>
      </w:r>
    </w:p>
    <w:p w14:paraId="1332B5D2" w14:textId="4C7091CB" w:rsidR="009C6834" w:rsidRDefault="009C6834" w:rsidP="009C6834">
      <w:pPr>
        <w:pStyle w:val="HMG"/>
        <w:rPr>
          <w:lang w:val="fr-FR" w:eastAsia="fr-FR"/>
        </w:rPr>
      </w:pPr>
      <w:r>
        <w:rPr>
          <w:lang w:val="fr-FR"/>
        </w:rPr>
        <w:tab/>
      </w:r>
      <w:r>
        <w:rPr>
          <w:lang w:val="fr-FR"/>
        </w:rPr>
        <w:tab/>
        <w:t xml:space="preserve">Quatrième rapport périodique soumis </w:t>
      </w:r>
      <w:r>
        <w:rPr>
          <w:lang w:val="fr-FR"/>
        </w:rPr>
        <w:br/>
        <w:t xml:space="preserve">par le Kirghizistan </w:t>
      </w:r>
      <w:r>
        <w:rPr>
          <w:rFonts w:eastAsia="Times New Roman"/>
          <w:lang w:val="fr-FR"/>
        </w:rPr>
        <w:t>en application</w:t>
      </w:r>
      <w:r>
        <w:rPr>
          <w:rFonts w:eastAsia="Times New Roman"/>
          <w:lang w:val="fr-FR"/>
        </w:rPr>
        <w:br/>
        <w:t>des articles </w:t>
      </w:r>
      <w:r w:rsidRPr="00466CE7">
        <w:rPr>
          <w:rFonts w:eastAsia="Times New Roman"/>
          <w:lang w:val="fr-FR"/>
        </w:rPr>
        <w:t xml:space="preserve">16 </w:t>
      </w:r>
      <w:r>
        <w:rPr>
          <w:rFonts w:eastAsia="Times New Roman"/>
          <w:lang w:val="fr-FR"/>
        </w:rPr>
        <w:t xml:space="preserve">et </w:t>
      </w:r>
      <w:r w:rsidRPr="00466CE7">
        <w:rPr>
          <w:rFonts w:eastAsia="Times New Roman"/>
          <w:lang w:val="fr-FR"/>
        </w:rPr>
        <w:t xml:space="preserve">17 </w:t>
      </w:r>
      <w:r>
        <w:rPr>
          <w:rFonts w:eastAsia="Times New Roman"/>
          <w:lang w:val="fr-FR"/>
        </w:rPr>
        <w:t xml:space="preserve">du Pacte, </w:t>
      </w:r>
      <w:r>
        <w:rPr>
          <w:rFonts w:eastAsia="Times New Roman"/>
          <w:lang w:val="fr-FR"/>
        </w:rPr>
        <w:br/>
        <w:t xml:space="preserve">attendu en </w:t>
      </w:r>
      <w:r w:rsidRPr="00466CE7">
        <w:rPr>
          <w:rFonts w:eastAsia="Times New Roman"/>
          <w:lang w:val="fr-FR"/>
        </w:rPr>
        <w:t>2020</w:t>
      </w:r>
      <w:r w:rsidRPr="009C6834">
        <w:rPr>
          <w:b w:val="0"/>
          <w:sz w:val="20"/>
          <w:lang w:val="fr-FR"/>
        </w:rPr>
        <w:footnoteReference w:customMarkFollows="1" w:id="2"/>
        <w:t>*</w:t>
      </w:r>
      <w:r w:rsidRPr="009C6834">
        <w:rPr>
          <w:b w:val="0"/>
          <w:sz w:val="20"/>
          <w:vertAlign w:val="superscript"/>
          <w:lang w:val="fr-FR"/>
        </w:rPr>
        <w:t xml:space="preserve">, </w:t>
      </w:r>
      <w:r w:rsidRPr="009C6834">
        <w:rPr>
          <w:b w:val="0"/>
          <w:sz w:val="20"/>
          <w:lang w:val="fr-FR"/>
        </w:rPr>
        <w:t>**</w:t>
      </w:r>
      <w:r>
        <w:rPr>
          <w:lang w:val="fr-FR" w:eastAsia="fr-FR"/>
        </w:rPr>
        <w:t xml:space="preserve"> </w:t>
      </w:r>
    </w:p>
    <w:p w14:paraId="1B75E80C" w14:textId="3A34A33E" w:rsidR="009C6834" w:rsidRPr="00466CE7" w:rsidRDefault="009C6834" w:rsidP="009C6834">
      <w:pPr>
        <w:pStyle w:val="SingleTxtG"/>
        <w:jc w:val="right"/>
        <w:rPr>
          <w:lang w:val="fr-FR"/>
        </w:rPr>
      </w:pPr>
      <w:r w:rsidRPr="00466CE7">
        <w:rPr>
          <w:lang w:val="fr-FR"/>
        </w:rPr>
        <w:t>[Date de réception</w:t>
      </w:r>
      <w:r>
        <w:rPr>
          <w:lang w:val="fr-FR"/>
        </w:rPr>
        <w:t> :</w:t>
      </w:r>
      <w:r w:rsidRPr="00466CE7">
        <w:rPr>
          <w:lang w:val="fr-FR"/>
        </w:rPr>
        <w:t xml:space="preserve"> 20 avril 2020]</w:t>
      </w:r>
    </w:p>
    <w:p w14:paraId="1553D507" w14:textId="77777777" w:rsidR="009C6834" w:rsidRPr="00466CE7" w:rsidRDefault="009C6834" w:rsidP="009C6834">
      <w:pPr>
        <w:rPr>
          <w:lang w:val="fr-FR"/>
        </w:rPr>
      </w:pPr>
      <w:r w:rsidRPr="00466CE7">
        <w:rPr>
          <w:lang w:val="fr-FR"/>
        </w:rPr>
        <w:br w:type="page"/>
      </w:r>
    </w:p>
    <w:p w14:paraId="4C2017A7" w14:textId="77777777" w:rsidR="009C6834" w:rsidRPr="00466CE7" w:rsidRDefault="009C6834" w:rsidP="009C6834">
      <w:pPr>
        <w:pStyle w:val="SingleTxtG"/>
        <w:rPr>
          <w:lang w:val="fr-FR"/>
        </w:rPr>
      </w:pPr>
      <w:r w:rsidRPr="00466CE7">
        <w:rPr>
          <w:lang w:val="fr-FR"/>
        </w:rPr>
        <w:lastRenderedPageBreak/>
        <w:t>1.</w:t>
      </w:r>
      <w:r w:rsidRPr="00466CE7">
        <w:rPr>
          <w:lang w:val="fr-FR"/>
        </w:rPr>
        <w:tab/>
        <w:t>Le présent rapport contient des informations sur l</w:t>
      </w:r>
      <w:r>
        <w:rPr>
          <w:lang w:val="fr-FR"/>
        </w:rPr>
        <w:t>’</w:t>
      </w:r>
      <w:r w:rsidRPr="00466CE7">
        <w:rPr>
          <w:lang w:val="fr-FR"/>
        </w:rPr>
        <w:t>application par la République kirghize des dispositions du Pacte international relatif aux droits économiques, sociaux et culturels.</w:t>
      </w:r>
    </w:p>
    <w:p w14:paraId="06383EA8" w14:textId="46B9C5BA" w:rsidR="009C6834" w:rsidRPr="00466CE7" w:rsidRDefault="009C6834" w:rsidP="009C6834">
      <w:pPr>
        <w:pStyle w:val="SingleTxtG"/>
        <w:rPr>
          <w:lang w:val="fr-FR"/>
        </w:rPr>
      </w:pPr>
      <w:r w:rsidRPr="00466CE7">
        <w:rPr>
          <w:lang w:val="fr-FR"/>
        </w:rPr>
        <w:t>2.</w:t>
      </w:r>
      <w:r w:rsidRPr="00466CE7">
        <w:rPr>
          <w:lang w:val="fr-FR"/>
        </w:rPr>
        <w:tab/>
        <w:t xml:space="preserve">Le rapport a été établi </w:t>
      </w:r>
      <w:r>
        <w:rPr>
          <w:lang w:val="fr-FR"/>
        </w:rPr>
        <w:t>en application des articles</w:t>
      </w:r>
      <w:r w:rsidR="00DD6D60">
        <w:rPr>
          <w:lang w:val="fr-FR"/>
        </w:rPr>
        <w:t> </w:t>
      </w:r>
      <w:r>
        <w:rPr>
          <w:lang w:val="fr-FR"/>
        </w:rPr>
        <w:t>16 et 17 du Pacte</w:t>
      </w:r>
      <w:r w:rsidRPr="00466CE7">
        <w:rPr>
          <w:lang w:val="fr-FR"/>
        </w:rPr>
        <w:t>, compte tenu des observations finales du Comité des droits économiques, sociaux et culturels en date du 7</w:t>
      </w:r>
      <w:r w:rsidR="00DD6D60">
        <w:rPr>
          <w:lang w:val="fr-FR"/>
        </w:rPr>
        <w:t> </w:t>
      </w:r>
      <w:r w:rsidRPr="00466CE7">
        <w:rPr>
          <w:lang w:val="fr-FR"/>
        </w:rPr>
        <w:t xml:space="preserve">juillet 2015 (E/C.12/KGZ/CO/2-3) et des directives générales concernant la forme et le contenu des rapports. </w:t>
      </w:r>
    </w:p>
    <w:p w14:paraId="36C87678" w14:textId="32A803E6" w:rsidR="009C6834" w:rsidRPr="00466CE7" w:rsidRDefault="009C6834" w:rsidP="009C6834">
      <w:pPr>
        <w:pStyle w:val="SingleTxtG"/>
        <w:rPr>
          <w:lang w:val="fr-FR"/>
        </w:rPr>
      </w:pPr>
      <w:r w:rsidRPr="00466CE7">
        <w:rPr>
          <w:lang w:val="fr-FR"/>
        </w:rPr>
        <w:t>3.</w:t>
      </w:r>
      <w:r w:rsidRPr="00466CE7">
        <w:rPr>
          <w:lang w:val="fr-FR"/>
        </w:rPr>
        <w:tab/>
        <w:t xml:space="preserve">Le rapport a été préparé par un groupe de travail </w:t>
      </w:r>
      <w:r>
        <w:rPr>
          <w:lang w:val="fr-FR"/>
        </w:rPr>
        <w:t>interministériel constitué par le v</w:t>
      </w:r>
      <w:r w:rsidRPr="00466CE7">
        <w:rPr>
          <w:lang w:val="fr-FR"/>
        </w:rPr>
        <w:t>ice</w:t>
      </w:r>
      <w:r w:rsidR="008D567E">
        <w:rPr>
          <w:lang w:val="fr-FR"/>
        </w:rPr>
        <w:noBreakHyphen/>
      </w:r>
      <w:r>
        <w:rPr>
          <w:lang w:val="fr-FR"/>
        </w:rPr>
        <w:t>P</w:t>
      </w:r>
      <w:r w:rsidRPr="00466CE7">
        <w:rPr>
          <w:lang w:val="fr-FR"/>
        </w:rPr>
        <w:t>remier ministre</w:t>
      </w:r>
      <w:r>
        <w:rPr>
          <w:lang w:val="fr-FR"/>
        </w:rPr>
        <w:t xml:space="preserve"> et dirigé par le s</w:t>
      </w:r>
      <w:r w:rsidRPr="00466CE7">
        <w:rPr>
          <w:lang w:val="fr-FR"/>
        </w:rPr>
        <w:t xml:space="preserve">ecrétariat du Conseil de coordination </w:t>
      </w:r>
      <w:r>
        <w:rPr>
          <w:lang w:val="fr-FR"/>
        </w:rPr>
        <w:t xml:space="preserve">pour les </w:t>
      </w:r>
      <w:r w:rsidRPr="00466CE7">
        <w:rPr>
          <w:lang w:val="fr-FR"/>
        </w:rPr>
        <w:t>droits de l</w:t>
      </w:r>
      <w:r>
        <w:rPr>
          <w:lang w:val="fr-FR"/>
        </w:rPr>
        <w:t xml:space="preserve">’homme près le </w:t>
      </w:r>
      <w:r w:rsidR="008D567E">
        <w:rPr>
          <w:lang w:val="fr-FR"/>
        </w:rPr>
        <w:t xml:space="preserve">Gouvernement </w:t>
      </w:r>
      <w:r>
        <w:rPr>
          <w:lang w:val="fr-FR"/>
        </w:rPr>
        <w:t>kirghize</w:t>
      </w:r>
      <w:r w:rsidRPr="00466CE7">
        <w:rPr>
          <w:lang w:val="fr-FR"/>
        </w:rPr>
        <w:t xml:space="preserve">. </w:t>
      </w:r>
    </w:p>
    <w:p w14:paraId="43759F5A" w14:textId="77777777" w:rsidR="009C6834" w:rsidRPr="00466CE7" w:rsidRDefault="009C6834" w:rsidP="009C6834">
      <w:pPr>
        <w:pStyle w:val="SingleTxtG"/>
        <w:rPr>
          <w:lang w:val="fr-FR"/>
        </w:rPr>
      </w:pPr>
      <w:r w:rsidRPr="00466CE7">
        <w:rPr>
          <w:lang w:val="fr-FR"/>
        </w:rPr>
        <w:t>4.</w:t>
      </w:r>
      <w:r w:rsidRPr="00466CE7">
        <w:rPr>
          <w:lang w:val="fr-FR"/>
        </w:rPr>
        <w:tab/>
        <w:t>Le rapport a également fait l</w:t>
      </w:r>
      <w:r>
        <w:rPr>
          <w:lang w:val="fr-FR"/>
        </w:rPr>
        <w:t>’</w:t>
      </w:r>
      <w:r w:rsidRPr="00466CE7">
        <w:rPr>
          <w:lang w:val="fr-FR"/>
        </w:rPr>
        <w:t>objet de consultations avec des organisations à but non lucratif.</w:t>
      </w:r>
    </w:p>
    <w:p w14:paraId="126F1DA9" w14:textId="77777777" w:rsidR="009C6834" w:rsidRPr="00466CE7" w:rsidRDefault="009C6834" w:rsidP="009C6834">
      <w:pPr>
        <w:pStyle w:val="SingleTxtG"/>
        <w:rPr>
          <w:lang w:val="fr-FR"/>
        </w:rPr>
      </w:pPr>
      <w:r w:rsidRPr="00466CE7">
        <w:rPr>
          <w:lang w:val="fr-FR"/>
        </w:rPr>
        <w:t>5.</w:t>
      </w:r>
      <w:r w:rsidRPr="00466CE7">
        <w:rPr>
          <w:lang w:val="fr-FR"/>
        </w:rPr>
        <w:tab/>
        <w:t>Le rapport contient une analyse du cadre juridique de la République kirghize</w:t>
      </w:r>
      <w:r>
        <w:rPr>
          <w:lang w:val="fr-FR"/>
        </w:rPr>
        <w:t xml:space="preserve"> ainsi que</w:t>
      </w:r>
      <w:r w:rsidRPr="00466CE7">
        <w:rPr>
          <w:lang w:val="fr-FR"/>
        </w:rPr>
        <w:t xml:space="preserve"> des données statistiques et d</w:t>
      </w:r>
      <w:r>
        <w:rPr>
          <w:lang w:val="fr-FR"/>
        </w:rPr>
        <w:t>’</w:t>
      </w:r>
      <w:r w:rsidRPr="00466CE7">
        <w:rPr>
          <w:lang w:val="fr-FR"/>
        </w:rPr>
        <w:t>autres informations relatives au respect par la République kirghize de ses obligations au titre du Pacte international relatif aux droits économiques, sociaux et culturels.</w:t>
      </w:r>
    </w:p>
    <w:p w14:paraId="4BD18754" w14:textId="3420CC04" w:rsidR="009C6834" w:rsidRPr="00466CE7" w:rsidRDefault="009C6834" w:rsidP="00CB4ECD">
      <w:pPr>
        <w:pStyle w:val="H1G"/>
        <w:rPr>
          <w:lang w:val="fr-FR"/>
        </w:rPr>
      </w:pPr>
      <w:r w:rsidRPr="00466CE7">
        <w:rPr>
          <w:lang w:val="fr-FR"/>
        </w:rPr>
        <w:tab/>
      </w:r>
      <w:r w:rsidRPr="00466CE7">
        <w:rPr>
          <w:lang w:val="fr-FR"/>
        </w:rPr>
        <w:tab/>
      </w:r>
      <w:r w:rsidR="00CB4ECD">
        <w:rPr>
          <w:lang w:val="fr-FR"/>
        </w:rPr>
        <w:t>Article </w:t>
      </w:r>
      <w:r w:rsidRPr="00466CE7">
        <w:rPr>
          <w:lang w:val="fr-FR"/>
        </w:rPr>
        <w:t>5</w:t>
      </w:r>
      <w:r w:rsidRPr="00466CE7">
        <w:rPr>
          <w:lang w:val="fr-FR"/>
        </w:rPr>
        <w:br/>
        <w:t>Non-discrimination</w:t>
      </w:r>
    </w:p>
    <w:p w14:paraId="40417E6D" w14:textId="77777777" w:rsidR="009C6834" w:rsidRPr="00466CE7" w:rsidRDefault="009C6834" w:rsidP="009C6834">
      <w:pPr>
        <w:pStyle w:val="SingleTxtG"/>
        <w:rPr>
          <w:lang w:val="fr-FR"/>
        </w:rPr>
      </w:pPr>
      <w:r w:rsidRPr="00466CE7">
        <w:rPr>
          <w:lang w:val="fr-FR"/>
        </w:rPr>
        <w:t>6.</w:t>
      </w:r>
      <w:r w:rsidRPr="00466CE7">
        <w:rPr>
          <w:lang w:val="fr-FR"/>
        </w:rPr>
        <w:tab/>
      </w:r>
      <w:r>
        <w:rPr>
          <w:lang w:val="fr-FR"/>
        </w:rPr>
        <w:t xml:space="preserve">La Constitution comporte des dispositions concernant la lutte contre la </w:t>
      </w:r>
      <w:r w:rsidRPr="00466CE7">
        <w:rPr>
          <w:lang w:val="fr-FR"/>
        </w:rPr>
        <w:t xml:space="preserve">discrimination </w:t>
      </w:r>
      <w:r>
        <w:rPr>
          <w:lang w:val="fr-FR"/>
        </w:rPr>
        <w:t xml:space="preserve">qui sont </w:t>
      </w:r>
      <w:r w:rsidRPr="00466CE7">
        <w:rPr>
          <w:lang w:val="fr-FR"/>
        </w:rPr>
        <w:t xml:space="preserve">précisées dans </w:t>
      </w:r>
      <w:r>
        <w:rPr>
          <w:lang w:val="fr-FR"/>
        </w:rPr>
        <w:t xml:space="preserve">plusieurs </w:t>
      </w:r>
      <w:r w:rsidRPr="00466CE7">
        <w:rPr>
          <w:lang w:val="fr-FR"/>
        </w:rPr>
        <w:t>lois.</w:t>
      </w:r>
    </w:p>
    <w:p w14:paraId="2B9BFE6E" w14:textId="77777777" w:rsidR="009C6834" w:rsidRPr="00466CE7" w:rsidRDefault="009C6834" w:rsidP="009C6834">
      <w:pPr>
        <w:pStyle w:val="SingleTxtG"/>
        <w:rPr>
          <w:lang w:val="fr-FR"/>
        </w:rPr>
      </w:pPr>
      <w:r w:rsidRPr="00466CE7">
        <w:rPr>
          <w:lang w:val="fr-FR"/>
        </w:rPr>
        <w:t>7.</w:t>
      </w:r>
      <w:r w:rsidRPr="00466CE7">
        <w:rPr>
          <w:lang w:val="fr-FR"/>
        </w:rPr>
        <w:tab/>
      </w:r>
      <w:r>
        <w:rPr>
          <w:lang w:val="fr-FR"/>
        </w:rPr>
        <w:t xml:space="preserve">Conformément à </w:t>
      </w:r>
      <w:r w:rsidRPr="00466CE7">
        <w:rPr>
          <w:lang w:val="fr-FR"/>
        </w:rPr>
        <w:t xml:space="preserve">la Constitution, les droits </w:t>
      </w:r>
      <w:r>
        <w:rPr>
          <w:lang w:val="fr-FR"/>
        </w:rPr>
        <w:t xml:space="preserve">et libertés </w:t>
      </w:r>
      <w:r w:rsidRPr="00466CE7">
        <w:rPr>
          <w:lang w:val="fr-FR"/>
        </w:rPr>
        <w:t>de l</w:t>
      </w:r>
      <w:r>
        <w:rPr>
          <w:lang w:val="fr-FR"/>
        </w:rPr>
        <w:t>’</w:t>
      </w:r>
      <w:r w:rsidRPr="00466CE7">
        <w:rPr>
          <w:lang w:val="fr-FR"/>
        </w:rPr>
        <w:t xml:space="preserve">homme sont inaliénables et </w:t>
      </w:r>
      <w:r>
        <w:rPr>
          <w:lang w:val="fr-FR"/>
        </w:rPr>
        <w:t xml:space="preserve">chacun en jouit </w:t>
      </w:r>
      <w:r w:rsidRPr="00466CE7">
        <w:rPr>
          <w:lang w:val="fr-FR"/>
        </w:rPr>
        <w:t xml:space="preserve">dès la naissance. </w:t>
      </w:r>
    </w:p>
    <w:p w14:paraId="1A7C8BD8" w14:textId="77777777" w:rsidR="009C6834" w:rsidRPr="00466CE7" w:rsidRDefault="009C6834" w:rsidP="009C6834">
      <w:pPr>
        <w:pStyle w:val="SingleTxtG"/>
        <w:rPr>
          <w:lang w:val="fr-FR"/>
        </w:rPr>
      </w:pPr>
      <w:r w:rsidRPr="00466CE7">
        <w:rPr>
          <w:lang w:val="fr-FR"/>
        </w:rPr>
        <w:t>8.</w:t>
      </w:r>
      <w:r w:rsidRPr="00466CE7">
        <w:rPr>
          <w:lang w:val="fr-FR"/>
        </w:rPr>
        <w:tab/>
        <w:t>Nul ne peut faire l</w:t>
      </w:r>
      <w:r>
        <w:rPr>
          <w:lang w:val="fr-FR"/>
        </w:rPr>
        <w:t>’</w:t>
      </w:r>
      <w:r w:rsidRPr="00466CE7">
        <w:rPr>
          <w:lang w:val="fr-FR"/>
        </w:rPr>
        <w:t xml:space="preserve">objet </w:t>
      </w:r>
      <w:r>
        <w:rPr>
          <w:lang w:val="fr-FR"/>
        </w:rPr>
        <w:t xml:space="preserve">de </w:t>
      </w:r>
      <w:r w:rsidRPr="00466CE7">
        <w:rPr>
          <w:lang w:val="fr-FR"/>
        </w:rPr>
        <w:t>discrimination fondée sur le sexe, la race, la langue, le handicap, l</w:t>
      </w:r>
      <w:r>
        <w:rPr>
          <w:lang w:val="fr-FR"/>
        </w:rPr>
        <w:t>’appartenance</w:t>
      </w:r>
      <w:r w:rsidRPr="00466CE7">
        <w:rPr>
          <w:lang w:val="fr-FR"/>
        </w:rPr>
        <w:t xml:space="preserve"> ethnique, la religion, l</w:t>
      </w:r>
      <w:r>
        <w:rPr>
          <w:lang w:val="fr-FR"/>
        </w:rPr>
        <w:t>’</w:t>
      </w:r>
      <w:r w:rsidRPr="00466CE7">
        <w:rPr>
          <w:lang w:val="fr-FR"/>
        </w:rPr>
        <w:t xml:space="preserve">âge, les </w:t>
      </w:r>
      <w:r>
        <w:rPr>
          <w:lang w:val="fr-FR"/>
        </w:rPr>
        <w:t xml:space="preserve">opinions </w:t>
      </w:r>
      <w:r w:rsidRPr="00466CE7">
        <w:rPr>
          <w:lang w:val="fr-FR"/>
        </w:rPr>
        <w:t>politiques ou autres</w:t>
      </w:r>
      <w:r>
        <w:rPr>
          <w:lang w:val="fr-FR"/>
        </w:rPr>
        <w:t xml:space="preserve"> convictions</w:t>
      </w:r>
      <w:r w:rsidRPr="00466CE7">
        <w:rPr>
          <w:lang w:val="fr-FR"/>
        </w:rPr>
        <w:t>, l</w:t>
      </w:r>
      <w:r>
        <w:rPr>
          <w:lang w:val="fr-FR"/>
        </w:rPr>
        <w:t>’</w:t>
      </w:r>
      <w:r w:rsidRPr="00466CE7">
        <w:rPr>
          <w:lang w:val="fr-FR"/>
        </w:rPr>
        <w:t>éducation, l</w:t>
      </w:r>
      <w:r>
        <w:rPr>
          <w:lang w:val="fr-FR"/>
        </w:rPr>
        <w:t>’</w:t>
      </w:r>
      <w:r w:rsidRPr="00466CE7">
        <w:rPr>
          <w:lang w:val="fr-FR"/>
        </w:rPr>
        <w:t xml:space="preserve">origine, </w:t>
      </w:r>
      <w:r>
        <w:rPr>
          <w:lang w:val="fr-FR"/>
        </w:rPr>
        <w:t>la fortune ou toute autre situation, ou sur d’autres circonstances</w:t>
      </w:r>
      <w:r w:rsidRPr="00466CE7">
        <w:rPr>
          <w:lang w:val="fr-FR"/>
        </w:rPr>
        <w:t>.</w:t>
      </w:r>
    </w:p>
    <w:p w14:paraId="370D94B1" w14:textId="22E33887" w:rsidR="009C6834" w:rsidRPr="00466CE7" w:rsidRDefault="009C6834" w:rsidP="009C6834">
      <w:pPr>
        <w:pStyle w:val="SingleTxtG"/>
        <w:rPr>
          <w:lang w:val="fr-FR"/>
        </w:rPr>
      </w:pPr>
      <w:r w:rsidRPr="00466CE7">
        <w:rPr>
          <w:lang w:val="fr-FR"/>
        </w:rPr>
        <w:t>9.</w:t>
      </w:r>
      <w:r w:rsidRPr="00466CE7">
        <w:rPr>
          <w:lang w:val="fr-FR"/>
        </w:rPr>
        <w:tab/>
        <w:t>Les mesures</w:t>
      </w:r>
      <w:r>
        <w:rPr>
          <w:lang w:val="fr-FR"/>
        </w:rPr>
        <w:t xml:space="preserve"> </w:t>
      </w:r>
      <w:r w:rsidRPr="00466CE7">
        <w:rPr>
          <w:lang w:val="fr-FR"/>
        </w:rPr>
        <w:t xml:space="preserve">spéciales </w:t>
      </w:r>
      <w:r>
        <w:rPr>
          <w:lang w:val="fr-FR"/>
        </w:rPr>
        <w:t xml:space="preserve">prévues par la loi et destinées à garantir </w:t>
      </w:r>
      <w:r w:rsidRPr="00466CE7">
        <w:rPr>
          <w:lang w:val="fr-FR"/>
        </w:rPr>
        <w:t>l</w:t>
      </w:r>
      <w:r>
        <w:rPr>
          <w:lang w:val="fr-FR"/>
        </w:rPr>
        <w:t>’</w:t>
      </w:r>
      <w:r w:rsidRPr="00466CE7">
        <w:rPr>
          <w:lang w:val="fr-FR"/>
        </w:rPr>
        <w:t xml:space="preserve">égalité des chances </w:t>
      </w:r>
      <w:r>
        <w:rPr>
          <w:lang w:val="fr-FR"/>
        </w:rPr>
        <w:t xml:space="preserve">pour les </w:t>
      </w:r>
      <w:r w:rsidRPr="00466CE7">
        <w:rPr>
          <w:lang w:val="fr-FR"/>
        </w:rPr>
        <w:t xml:space="preserve">différents groupes sociaux conformément aux obligations internationales ne constituent pas une discrimination. </w:t>
      </w:r>
    </w:p>
    <w:p w14:paraId="1F0E1F1F" w14:textId="1EA85D1E" w:rsidR="009C6834" w:rsidRPr="00466CE7" w:rsidRDefault="009C6834" w:rsidP="009C6834">
      <w:pPr>
        <w:pStyle w:val="SingleTxtG"/>
        <w:rPr>
          <w:lang w:val="fr-FR"/>
        </w:rPr>
      </w:pPr>
      <w:r w:rsidRPr="00466CE7">
        <w:rPr>
          <w:lang w:val="fr-FR"/>
        </w:rPr>
        <w:t>10.</w:t>
      </w:r>
      <w:r w:rsidRPr="00466CE7">
        <w:rPr>
          <w:lang w:val="fr-FR"/>
        </w:rPr>
        <w:tab/>
        <w:t xml:space="preserve">Le </w:t>
      </w:r>
      <w:r w:rsidR="000479B3">
        <w:rPr>
          <w:lang w:val="fr-FR"/>
        </w:rPr>
        <w:t>Kirghizistan</w:t>
      </w:r>
      <w:r w:rsidRPr="00466CE7">
        <w:rPr>
          <w:lang w:val="fr-FR"/>
        </w:rPr>
        <w:t xml:space="preserve"> prend </w:t>
      </w:r>
      <w:r>
        <w:rPr>
          <w:lang w:val="fr-FR"/>
        </w:rPr>
        <w:t xml:space="preserve">systématiquement </w:t>
      </w:r>
      <w:r w:rsidRPr="00466CE7">
        <w:rPr>
          <w:lang w:val="fr-FR"/>
        </w:rPr>
        <w:t xml:space="preserve">des mesures pour adapter </w:t>
      </w:r>
      <w:r>
        <w:rPr>
          <w:lang w:val="fr-FR"/>
        </w:rPr>
        <w:t>s</w:t>
      </w:r>
      <w:r w:rsidRPr="00466CE7">
        <w:rPr>
          <w:lang w:val="fr-FR"/>
        </w:rPr>
        <w:t xml:space="preserve">a législation aux normes internationales </w:t>
      </w:r>
      <w:r>
        <w:rPr>
          <w:lang w:val="fr-FR"/>
        </w:rPr>
        <w:t xml:space="preserve">énoncées dans </w:t>
      </w:r>
      <w:r w:rsidRPr="00466CE7">
        <w:rPr>
          <w:lang w:val="fr-FR"/>
        </w:rPr>
        <w:t>les conventions internationales auxquelles</w:t>
      </w:r>
      <w:r>
        <w:rPr>
          <w:lang w:val="fr-FR"/>
        </w:rPr>
        <w:t xml:space="preserve"> il</w:t>
      </w:r>
      <w:r w:rsidRPr="00466CE7">
        <w:rPr>
          <w:lang w:val="fr-FR"/>
        </w:rPr>
        <w:t xml:space="preserve"> est partie.</w:t>
      </w:r>
    </w:p>
    <w:p w14:paraId="7BCCB369" w14:textId="062FCD2E" w:rsidR="009C6834" w:rsidRPr="00466CE7" w:rsidRDefault="009C6834" w:rsidP="009C6834">
      <w:pPr>
        <w:pStyle w:val="SingleTxtG"/>
        <w:rPr>
          <w:lang w:val="fr-FR"/>
        </w:rPr>
      </w:pPr>
      <w:r w:rsidRPr="00466CE7">
        <w:rPr>
          <w:lang w:val="fr-FR"/>
        </w:rPr>
        <w:t>11.</w:t>
      </w:r>
      <w:r w:rsidRPr="00466CE7">
        <w:rPr>
          <w:lang w:val="fr-FR"/>
        </w:rPr>
        <w:tab/>
        <w:t xml:space="preserve">La République kirghize </w:t>
      </w:r>
      <w:r>
        <w:rPr>
          <w:lang w:val="fr-FR"/>
        </w:rPr>
        <w:t>a mis en place un appareil législatif exhaustif en matière de représentation ethnique</w:t>
      </w:r>
      <w:r w:rsidRPr="00466CE7">
        <w:rPr>
          <w:lang w:val="fr-FR"/>
        </w:rPr>
        <w:t xml:space="preserve">. </w:t>
      </w:r>
      <w:r>
        <w:rPr>
          <w:lang w:val="fr-FR"/>
        </w:rPr>
        <w:t>La</w:t>
      </w:r>
      <w:r w:rsidRPr="00466CE7">
        <w:rPr>
          <w:lang w:val="fr-FR"/>
        </w:rPr>
        <w:t xml:space="preserve"> loi constitutionnelle </w:t>
      </w:r>
      <w:r>
        <w:rPr>
          <w:lang w:val="fr-FR"/>
        </w:rPr>
        <w:t xml:space="preserve">relative à </w:t>
      </w:r>
      <w:r w:rsidRPr="00466CE7">
        <w:rPr>
          <w:lang w:val="fr-FR"/>
        </w:rPr>
        <w:t>l</w:t>
      </w:r>
      <w:r>
        <w:rPr>
          <w:lang w:val="fr-FR"/>
        </w:rPr>
        <w:t>’</w:t>
      </w:r>
      <w:r w:rsidRPr="00466CE7">
        <w:rPr>
          <w:lang w:val="fr-FR"/>
        </w:rPr>
        <w:t xml:space="preserve">élection du président de la République kirghize et des députés du </w:t>
      </w:r>
      <w:proofErr w:type="spellStart"/>
      <w:r w:rsidRPr="00466CE7">
        <w:rPr>
          <w:lang w:val="fr-FR"/>
        </w:rPr>
        <w:t>Jogork</w:t>
      </w:r>
      <w:r>
        <w:rPr>
          <w:lang w:val="fr-FR"/>
        </w:rPr>
        <w:t>ou</w:t>
      </w:r>
      <w:proofErr w:type="spellEnd"/>
      <w:r>
        <w:rPr>
          <w:lang w:val="fr-FR"/>
        </w:rPr>
        <w:t xml:space="preserve"> </w:t>
      </w:r>
      <w:proofErr w:type="spellStart"/>
      <w:r>
        <w:rPr>
          <w:lang w:val="fr-FR"/>
        </w:rPr>
        <w:t>Kenec</w:t>
      </w:r>
      <w:r w:rsidRPr="00466CE7">
        <w:rPr>
          <w:lang w:val="fr-FR"/>
        </w:rPr>
        <w:t>h</w:t>
      </w:r>
      <w:proofErr w:type="spellEnd"/>
      <w:r w:rsidRPr="00466CE7">
        <w:rPr>
          <w:lang w:val="fr-FR"/>
        </w:rPr>
        <w:t xml:space="preserve"> </w:t>
      </w:r>
      <w:r>
        <w:rPr>
          <w:lang w:val="fr-FR"/>
        </w:rPr>
        <w:t xml:space="preserve">fixe par exemple </w:t>
      </w:r>
      <w:r w:rsidRPr="00466CE7">
        <w:rPr>
          <w:lang w:val="fr-FR"/>
        </w:rPr>
        <w:t>des quotas obligatoires d</w:t>
      </w:r>
      <w:r>
        <w:rPr>
          <w:lang w:val="fr-FR"/>
        </w:rPr>
        <w:t>’</w:t>
      </w:r>
      <w:r w:rsidRPr="00466CE7">
        <w:rPr>
          <w:lang w:val="fr-FR"/>
        </w:rPr>
        <w:t>au moins 15</w:t>
      </w:r>
      <w:r w:rsidR="00CB4ECD">
        <w:rPr>
          <w:lang w:val="fr-FR"/>
        </w:rPr>
        <w:t> %</w:t>
      </w:r>
      <w:r w:rsidRPr="00466CE7">
        <w:rPr>
          <w:lang w:val="fr-FR"/>
        </w:rPr>
        <w:t xml:space="preserve"> </w:t>
      </w:r>
      <w:r>
        <w:rPr>
          <w:lang w:val="fr-FR"/>
        </w:rPr>
        <w:t>pour la représentation des différents groupes ethniques</w:t>
      </w:r>
      <w:r w:rsidRPr="00466CE7">
        <w:rPr>
          <w:lang w:val="fr-FR"/>
        </w:rPr>
        <w:t>.</w:t>
      </w:r>
    </w:p>
    <w:p w14:paraId="770BCA76" w14:textId="77777777" w:rsidR="009C6834" w:rsidRDefault="009C6834" w:rsidP="009C6834">
      <w:pPr>
        <w:pStyle w:val="SingleTxtG"/>
        <w:rPr>
          <w:lang w:val="fr-FR"/>
        </w:rPr>
      </w:pPr>
      <w:r w:rsidRPr="004119B3">
        <w:rPr>
          <w:lang w:val="fr-FR"/>
        </w:rPr>
        <w:t>12.</w:t>
      </w:r>
      <w:r w:rsidRPr="004119B3">
        <w:rPr>
          <w:lang w:val="fr-FR"/>
        </w:rPr>
        <w:tab/>
        <w:t>La législation électorale interdit toute incitation à la haine fondée sur l’appartenance nationale, ethnique, raciale, religieuse ou régionale et toute propagande sur la supériorité d’un sexe ou d’une classe sociale appelant à la discrimination.</w:t>
      </w:r>
    </w:p>
    <w:p w14:paraId="1A6312DF" w14:textId="14C24A66" w:rsidR="009C6834" w:rsidRPr="00466CE7" w:rsidRDefault="009C6834" w:rsidP="009C6834">
      <w:pPr>
        <w:pStyle w:val="SingleTxtG"/>
        <w:rPr>
          <w:lang w:val="fr-FR"/>
        </w:rPr>
      </w:pPr>
      <w:r w:rsidRPr="00466CE7">
        <w:rPr>
          <w:lang w:val="fr-FR"/>
        </w:rPr>
        <w:t>13.</w:t>
      </w:r>
      <w:r w:rsidRPr="00466CE7">
        <w:rPr>
          <w:lang w:val="fr-FR"/>
        </w:rPr>
        <w:tab/>
        <w:t xml:space="preserve">La législation pénale </w:t>
      </w:r>
      <w:r>
        <w:rPr>
          <w:lang w:val="fr-FR"/>
        </w:rPr>
        <w:t xml:space="preserve">en vigueur considère </w:t>
      </w:r>
      <w:r w:rsidRPr="00466CE7">
        <w:rPr>
          <w:lang w:val="fr-FR"/>
        </w:rPr>
        <w:t>comme</w:t>
      </w:r>
      <w:r>
        <w:rPr>
          <w:lang w:val="fr-FR"/>
        </w:rPr>
        <w:t xml:space="preserve"> une circonstance aggravante</w:t>
      </w:r>
      <w:r w:rsidRPr="00466CE7">
        <w:rPr>
          <w:lang w:val="fr-FR"/>
        </w:rPr>
        <w:t xml:space="preserve"> le fait de commettre un</w:t>
      </w:r>
      <w:r>
        <w:rPr>
          <w:lang w:val="fr-FR"/>
        </w:rPr>
        <w:t>e infraction</w:t>
      </w:r>
      <w:r w:rsidRPr="00466CE7">
        <w:rPr>
          <w:lang w:val="fr-FR"/>
        </w:rPr>
        <w:t xml:space="preserve"> </w:t>
      </w:r>
      <w:r>
        <w:rPr>
          <w:lang w:val="fr-FR"/>
        </w:rPr>
        <w:t>par haine</w:t>
      </w:r>
      <w:r w:rsidRPr="00466CE7">
        <w:rPr>
          <w:lang w:val="fr-FR"/>
        </w:rPr>
        <w:t xml:space="preserve"> </w:t>
      </w:r>
      <w:r>
        <w:rPr>
          <w:lang w:val="fr-FR"/>
        </w:rPr>
        <w:t>(hostilité) fondée sur l’appartenance</w:t>
      </w:r>
      <w:r w:rsidRPr="00466CE7">
        <w:rPr>
          <w:lang w:val="fr-FR"/>
        </w:rPr>
        <w:t xml:space="preserve"> raciale, ethnique, nationale, religieuse ou régionale.</w:t>
      </w:r>
      <w:r>
        <w:rPr>
          <w:lang w:val="fr-FR"/>
        </w:rPr>
        <w:t xml:space="preserve"> L</w:t>
      </w:r>
      <w:r w:rsidRPr="00466CE7">
        <w:rPr>
          <w:lang w:val="fr-FR"/>
        </w:rPr>
        <w:t xml:space="preserve">e </w:t>
      </w:r>
      <w:r w:rsidR="000479B3">
        <w:rPr>
          <w:lang w:val="fr-FR"/>
        </w:rPr>
        <w:t>Code pénal</w:t>
      </w:r>
      <w:r w:rsidRPr="00466CE7">
        <w:rPr>
          <w:lang w:val="fr-FR"/>
        </w:rPr>
        <w:t xml:space="preserve"> </w:t>
      </w:r>
      <w:r>
        <w:rPr>
          <w:lang w:val="fr-FR"/>
        </w:rPr>
        <w:t>réprime de telles infractions</w:t>
      </w:r>
      <w:r w:rsidRPr="00466CE7">
        <w:rPr>
          <w:lang w:val="fr-FR"/>
        </w:rPr>
        <w:t>.</w:t>
      </w:r>
    </w:p>
    <w:p w14:paraId="65D7AE2E" w14:textId="77777777" w:rsidR="009C6834" w:rsidRPr="00466CE7" w:rsidRDefault="009C6834" w:rsidP="009C6834">
      <w:pPr>
        <w:pStyle w:val="SingleTxtG"/>
        <w:rPr>
          <w:lang w:val="fr-FR"/>
        </w:rPr>
      </w:pPr>
      <w:r w:rsidRPr="00466CE7">
        <w:rPr>
          <w:lang w:val="fr-FR"/>
        </w:rPr>
        <w:t>14.</w:t>
      </w:r>
      <w:r w:rsidRPr="00466CE7">
        <w:rPr>
          <w:lang w:val="fr-FR"/>
        </w:rPr>
        <w:tab/>
        <w:t xml:space="preserve">La législation </w:t>
      </w:r>
      <w:r>
        <w:rPr>
          <w:lang w:val="fr-FR"/>
        </w:rPr>
        <w:t xml:space="preserve">en vigueur </w:t>
      </w:r>
      <w:r w:rsidRPr="00466CE7">
        <w:rPr>
          <w:lang w:val="fr-FR"/>
        </w:rPr>
        <w:t>témoigne d</w:t>
      </w:r>
      <w:r>
        <w:rPr>
          <w:lang w:val="fr-FR"/>
        </w:rPr>
        <w:t>’</w:t>
      </w:r>
      <w:r w:rsidRPr="00466CE7">
        <w:rPr>
          <w:lang w:val="fr-FR"/>
        </w:rPr>
        <w:t xml:space="preserve">une attitude non discriminatoire </w:t>
      </w:r>
      <w:r>
        <w:rPr>
          <w:lang w:val="fr-FR"/>
        </w:rPr>
        <w:t xml:space="preserve">à l’égard des </w:t>
      </w:r>
      <w:r w:rsidRPr="002577BA">
        <w:rPr>
          <w:lang w:val="fr-FR"/>
        </w:rPr>
        <w:t xml:space="preserve">lesbiennes, gays, bisexuels, transgenres et </w:t>
      </w:r>
      <w:proofErr w:type="spellStart"/>
      <w:r w:rsidRPr="002577BA">
        <w:rPr>
          <w:lang w:val="fr-FR"/>
        </w:rPr>
        <w:t>intersexes</w:t>
      </w:r>
      <w:proofErr w:type="spellEnd"/>
      <w:r w:rsidRPr="002577BA" w:rsidDel="002577BA">
        <w:rPr>
          <w:lang w:val="fr-FR"/>
        </w:rPr>
        <w:t xml:space="preserve"> </w:t>
      </w:r>
      <w:r>
        <w:rPr>
          <w:lang w:val="fr-FR"/>
        </w:rPr>
        <w:t>(</w:t>
      </w:r>
      <w:r w:rsidRPr="00466CE7">
        <w:rPr>
          <w:lang w:val="fr-FR"/>
        </w:rPr>
        <w:t>LGBTI</w:t>
      </w:r>
      <w:r>
        <w:rPr>
          <w:lang w:val="fr-FR"/>
        </w:rPr>
        <w:t xml:space="preserve">), qui peuvent exercer leurs </w:t>
      </w:r>
      <w:r w:rsidRPr="00466CE7">
        <w:rPr>
          <w:lang w:val="fr-FR"/>
        </w:rPr>
        <w:t xml:space="preserve">droits </w:t>
      </w:r>
      <w:r>
        <w:rPr>
          <w:lang w:val="fr-FR"/>
        </w:rPr>
        <w:t xml:space="preserve">en tant que </w:t>
      </w:r>
      <w:r w:rsidRPr="00466CE7">
        <w:rPr>
          <w:lang w:val="fr-FR"/>
        </w:rPr>
        <w:t>citoyens.</w:t>
      </w:r>
    </w:p>
    <w:p w14:paraId="1E420B41" w14:textId="77777777" w:rsidR="009C6834" w:rsidRPr="00466CE7" w:rsidRDefault="009C6834" w:rsidP="009C6834">
      <w:pPr>
        <w:pStyle w:val="SingleTxtG"/>
        <w:rPr>
          <w:lang w:val="fr-FR"/>
        </w:rPr>
      </w:pPr>
      <w:r w:rsidRPr="00466CE7">
        <w:rPr>
          <w:lang w:val="fr-FR"/>
        </w:rPr>
        <w:t>15.</w:t>
      </w:r>
      <w:r w:rsidRPr="00466CE7">
        <w:rPr>
          <w:lang w:val="fr-FR"/>
        </w:rPr>
        <w:tab/>
      </w:r>
      <w:r>
        <w:rPr>
          <w:lang w:val="fr-FR"/>
        </w:rPr>
        <w:t xml:space="preserve">Pour garantir la </w:t>
      </w:r>
      <w:r w:rsidRPr="00466CE7">
        <w:rPr>
          <w:lang w:val="fr-FR"/>
        </w:rPr>
        <w:t xml:space="preserve">mise en œuvre des recommandations des organes </w:t>
      </w:r>
      <w:r>
        <w:rPr>
          <w:lang w:val="fr-FR"/>
        </w:rPr>
        <w:t xml:space="preserve">conventionnels </w:t>
      </w:r>
      <w:r w:rsidRPr="00466CE7">
        <w:rPr>
          <w:lang w:val="fr-FR"/>
        </w:rPr>
        <w:t>de l</w:t>
      </w:r>
      <w:r>
        <w:rPr>
          <w:lang w:val="fr-FR"/>
        </w:rPr>
        <w:t>’</w:t>
      </w:r>
      <w:r w:rsidRPr="00466CE7">
        <w:rPr>
          <w:lang w:val="fr-FR"/>
        </w:rPr>
        <w:t>ONU</w:t>
      </w:r>
      <w:r>
        <w:rPr>
          <w:lang w:val="fr-FR"/>
        </w:rPr>
        <w:t xml:space="preserve"> relatifs aux </w:t>
      </w:r>
      <w:r w:rsidRPr="00466CE7">
        <w:rPr>
          <w:lang w:val="fr-FR"/>
        </w:rPr>
        <w:t>droits de l</w:t>
      </w:r>
      <w:r>
        <w:rPr>
          <w:lang w:val="fr-FR"/>
        </w:rPr>
        <w:t>’</w:t>
      </w:r>
      <w:r w:rsidRPr="00466CE7">
        <w:rPr>
          <w:lang w:val="fr-FR"/>
        </w:rPr>
        <w:t xml:space="preserve">homme, </w:t>
      </w:r>
      <w:r>
        <w:rPr>
          <w:lang w:val="fr-FR"/>
        </w:rPr>
        <w:t xml:space="preserve">un </w:t>
      </w:r>
      <w:r w:rsidRPr="00466CE7">
        <w:rPr>
          <w:lang w:val="fr-FR"/>
        </w:rPr>
        <w:t>plan d</w:t>
      </w:r>
      <w:r>
        <w:rPr>
          <w:lang w:val="fr-FR"/>
        </w:rPr>
        <w:t>’</w:t>
      </w:r>
      <w:r w:rsidRPr="00466CE7">
        <w:rPr>
          <w:lang w:val="fr-FR"/>
        </w:rPr>
        <w:t>action pour les droits de l</w:t>
      </w:r>
      <w:r>
        <w:rPr>
          <w:lang w:val="fr-FR"/>
        </w:rPr>
        <w:t>’</w:t>
      </w:r>
      <w:r w:rsidRPr="00466CE7">
        <w:rPr>
          <w:lang w:val="fr-FR"/>
        </w:rPr>
        <w:t>homme a été approuvé en 2019</w:t>
      </w:r>
      <w:r>
        <w:rPr>
          <w:lang w:val="fr-FR"/>
        </w:rPr>
        <w:t xml:space="preserve"> pour la période </w:t>
      </w:r>
      <w:r w:rsidRPr="00466CE7">
        <w:rPr>
          <w:lang w:val="fr-FR"/>
        </w:rPr>
        <w:t>2019-2021</w:t>
      </w:r>
      <w:r>
        <w:rPr>
          <w:lang w:val="fr-FR"/>
        </w:rPr>
        <w:t>,</w:t>
      </w:r>
      <w:r w:rsidRPr="00466CE7">
        <w:rPr>
          <w:lang w:val="fr-FR"/>
        </w:rPr>
        <w:t xml:space="preserve"> par un</w:t>
      </w:r>
      <w:r>
        <w:rPr>
          <w:lang w:val="fr-FR"/>
        </w:rPr>
        <w:t>e décision</w:t>
      </w:r>
      <w:r w:rsidRPr="00466CE7">
        <w:rPr>
          <w:lang w:val="fr-FR"/>
        </w:rPr>
        <w:t xml:space="preserve"> </w:t>
      </w:r>
      <w:r>
        <w:rPr>
          <w:lang w:val="fr-FR"/>
        </w:rPr>
        <w:t>du Gouvernement</w:t>
      </w:r>
      <w:r w:rsidRPr="00466CE7">
        <w:rPr>
          <w:lang w:val="fr-FR"/>
        </w:rPr>
        <w:t>.</w:t>
      </w:r>
    </w:p>
    <w:p w14:paraId="66B68FB5" w14:textId="12C46C56" w:rsidR="009C6834" w:rsidRPr="00466CE7" w:rsidRDefault="009C6834" w:rsidP="00CB4ECD">
      <w:pPr>
        <w:pStyle w:val="SingleTxtG"/>
        <w:keepLines/>
        <w:rPr>
          <w:lang w:val="fr-FR"/>
        </w:rPr>
      </w:pPr>
      <w:r w:rsidRPr="00466CE7">
        <w:rPr>
          <w:lang w:val="fr-FR"/>
        </w:rPr>
        <w:lastRenderedPageBreak/>
        <w:t>16.</w:t>
      </w:r>
      <w:r w:rsidRPr="00466CE7">
        <w:rPr>
          <w:lang w:val="fr-FR"/>
        </w:rPr>
        <w:tab/>
        <w:t>Une loi spéci</w:t>
      </w:r>
      <w:r>
        <w:rPr>
          <w:lang w:val="fr-FR"/>
        </w:rPr>
        <w:t>al</w:t>
      </w:r>
      <w:r w:rsidRPr="00466CE7">
        <w:rPr>
          <w:lang w:val="fr-FR"/>
        </w:rPr>
        <w:t xml:space="preserve">e a été promulguée pour garantir les droits des personnes vivant avec le VIH. Tout aussi important est le nouveau </w:t>
      </w:r>
      <w:r w:rsidR="000479B3">
        <w:rPr>
          <w:lang w:val="fr-FR"/>
        </w:rPr>
        <w:t>Code pénal</w:t>
      </w:r>
      <w:r w:rsidRPr="00466CE7">
        <w:rPr>
          <w:lang w:val="fr-FR"/>
        </w:rPr>
        <w:t xml:space="preserve"> (en vigueur depuis 2019) qui</w:t>
      </w:r>
      <w:r>
        <w:rPr>
          <w:lang w:val="fr-FR"/>
        </w:rPr>
        <w:t xml:space="preserve">, en matière de responsabilité, distingue </w:t>
      </w:r>
      <w:r w:rsidRPr="00466CE7">
        <w:rPr>
          <w:lang w:val="fr-FR"/>
        </w:rPr>
        <w:t xml:space="preserve">la </w:t>
      </w:r>
      <w:r>
        <w:rPr>
          <w:lang w:val="fr-FR"/>
        </w:rPr>
        <w:t xml:space="preserve">transmission non intentionnelle </w:t>
      </w:r>
      <w:r w:rsidRPr="00466CE7">
        <w:rPr>
          <w:lang w:val="fr-FR"/>
        </w:rPr>
        <w:t>du VIH</w:t>
      </w:r>
      <w:r>
        <w:rPr>
          <w:lang w:val="fr-FR"/>
        </w:rPr>
        <w:t xml:space="preserve"> de la transmission </w:t>
      </w:r>
      <w:r w:rsidRPr="00466CE7">
        <w:rPr>
          <w:lang w:val="fr-FR"/>
        </w:rPr>
        <w:t xml:space="preserve">intentionnelle </w:t>
      </w:r>
      <w:r>
        <w:rPr>
          <w:lang w:val="fr-FR"/>
        </w:rPr>
        <w:t>et qui a allégé la peine encourue</w:t>
      </w:r>
      <w:r w:rsidRPr="00466CE7">
        <w:rPr>
          <w:lang w:val="fr-FR"/>
        </w:rPr>
        <w:t xml:space="preserve">. </w:t>
      </w:r>
      <w:r>
        <w:rPr>
          <w:lang w:val="fr-FR"/>
        </w:rPr>
        <w:t xml:space="preserve">Les </w:t>
      </w:r>
      <w:r w:rsidRPr="00466CE7">
        <w:rPr>
          <w:lang w:val="fr-FR"/>
        </w:rPr>
        <w:t xml:space="preserve">relations </w:t>
      </w:r>
      <w:r>
        <w:rPr>
          <w:lang w:val="fr-FR"/>
        </w:rPr>
        <w:t>homosexuelles consenties ne sont pas réprimées par la loi</w:t>
      </w:r>
      <w:r w:rsidRPr="00466CE7">
        <w:rPr>
          <w:lang w:val="fr-FR"/>
        </w:rPr>
        <w:t>.</w:t>
      </w:r>
    </w:p>
    <w:p w14:paraId="04B3FD75" w14:textId="77777777" w:rsidR="009C6834" w:rsidRPr="00466CE7" w:rsidRDefault="009C6834" w:rsidP="009C6834">
      <w:pPr>
        <w:pStyle w:val="SingleTxtG"/>
        <w:rPr>
          <w:lang w:val="fr-FR"/>
        </w:rPr>
      </w:pPr>
      <w:r w:rsidRPr="00466CE7">
        <w:rPr>
          <w:lang w:val="fr-FR"/>
        </w:rPr>
        <w:t>17.</w:t>
      </w:r>
      <w:r w:rsidRPr="00466CE7">
        <w:rPr>
          <w:lang w:val="fr-FR"/>
        </w:rPr>
        <w:tab/>
        <w:t xml:space="preserve">Les services sexuels et les relations sexuelles entre adultes, y compris LGBT, </w:t>
      </w:r>
      <w:r>
        <w:rPr>
          <w:lang w:val="fr-FR"/>
        </w:rPr>
        <w:t xml:space="preserve">ont été </w:t>
      </w:r>
      <w:r w:rsidRPr="00466CE7">
        <w:rPr>
          <w:lang w:val="fr-FR"/>
        </w:rPr>
        <w:t xml:space="preserve">dépénalisés. Parmi les </w:t>
      </w:r>
      <w:r>
        <w:rPr>
          <w:lang w:val="fr-FR"/>
        </w:rPr>
        <w:t xml:space="preserve">nouveautés introduites, il convient de mentionner en premier lieu la nouvelle </w:t>
      </w:r>
      <w:r w:rsidRPr="00466CE7">
        <w:rPr>
          <w:lang w:val="fr-FR"/>
        </w:rPr>
        <w:t xml:space="preserve">procédure </w:t>
      </w:r>
      <w:r>
        <w:rPr>
          <w:lang w:val="fr-FR"/>
        </w:rPr>
        <w:t xml:space="preserve">de changement de sexe et de modification des données figurant dans le </w:t>
      </w:r>
      <w:r w:rsidRPr="00466CE7">
        <w:rPr>
          <w:lang w:val="fr-FR"/>
        </w:rPr>
        <w:t>passeport</w:t>
      </w:r>
      <w:r>
        <w:rPr>
          <w:lang w:val="fr-FR"/>
        </w:rPr>
        <w:t xml:space="preserve"> des personnes transgenres</w:t>
      </w:r>
      <w:r w:rsidRPr="00466CE7">
        <w:rPr>
          <w:lang w:val="fr-FR"/>
        </w:rPr>
        <w:t>.</w:t>
      </w:r>
    </w:p>
    <w:p w14:paraId="080F17CC" w14:textId="44888B08" w:rsidR="009C6834" w:rsidRPr="00466CE7" w:rsidRDefault="009C6834" w:rsidP="009C6834">
      <w:pPr>
        <w:pStyle w:val="SingleTxtG"/>
        <w:rPr>
          <w:lang w:val="fr-FR"/>
        </w:rPr>
      </w:pPr>
      <w:r w:rsidRPr="00466CE7">
        <w:rPr>
          <w:lang w:val="fr-FR"/>
        </w:rPr>
        <w:t>18.</w:t>
      </w:r>
      <w:r w:rsidRPr="00466CE7">
        <w:rPr>
          <w:lang w:val="fr-FR"/>
        </w:rPr>
        <w:tab/>
        <w:t xml:space="preserve">Au </w:t>
      </w:r>
      <w:r w:rsidR="000479B3">
        <w:rPr>
          <w:lang w:val="fr-FR"/>
        </w:rPr>
        <w:t>Kirghizistan</w:t>
      </w:r>
      <w:r w:rsidRPr="00466CE7">
        <w:rPr>
          <w:lang w:val="fr-FR"/>
        </w:rPr>
        <w:t xml:space="preserve">, </w:t>
      </w:r>
      <w:r>
        <w:rPr>
          <w:lang w:val="fr-FR"/>
        </w:rPr>
        <w:t>chacun</w:t>
      </w:r>
      <w:r w:rsidRPr="00466CE7">
        <w:rPr>
          <w:lang w:val="fr-FR"/>
        </w:rPr>
        <w:t xml:space="preserve"> a le droit de changer de sexe. Ce droit est </w:t>
      </w:r>
      <w:r>
        <w:rPr>
          <w:lang w:val="fr-FR"/>
        </w:rPr>
        <w:t xml:space="preserve">inscrit dans </w:t>
      </w:r>
      <w:r w:rsidRPr="00466CE7">
        <w:rPr>
          <w:lang w:val="fr-FR"/>
        </w:rPr>
        <w:t>la loi</w:t>
      </w:r>
      <w:r>
        <w:rPr>
          <w:lang w:val="fr-FR"/>
        </w:rPr>
        <w:t xml:space="preserve"> sur </w:t>
      </w:r>
      <w:r w:rsidRPr="00466CE7">
        <w:rPr>
          <w:lang w:val="fr-FR"/>
        </w:rPr>
        <w:t xml:space="preserve">la santé </w:t>
      </w:r>
      <w:r>
        <w:rPr>
          <w:lang w:val="fr-FR"/>
        </w:rPr>
        <w:t>publique</w:t>
      </w:r>
      <w:r w:rsidRPr="00466CE7">
        <w:rPr>
          <w:lang w:val="fr-FR"/>
        </w:rPr>
        <w:t>. L</w:t>
      </w:r>
      <w:r>
        <w:rPr>
          <w:lang w:val="fr-FR"/>
        </w:rPr>
        <w:t>’</w:t>
      </w:r>
      <w:r w:rsidRPr="00466CE7">
        <w:rPr>
          <w:lang w:val="fr-FR"/>
        </w:rPr>
        <w:t xml:space="preserve">une des mesures </w:t>
      </w:r>
      <w:r>
        <w:rPr>
          <w:lang w:val="fr-FR"/>
        </w:rPr>
        <w:t xml:space="preserve">adoptées pour </w:t>
      </w:r>
      <w:r w:rsidRPr="00466CE7">
        <w:rPr>
          <w:lang w:val="fr-FR"/>
        </w:rPr>
        <w:t>réduire la discrimination fondée sur l</w:t>
      </w:r>
      <w:r>
        <w:rPr>
          <w:lang w:val="fr-FR"/>
        </w:rPr>
        <w:t>’</w:t>
      </w:r>
      <w:r w:rsidRPr="00466CE7">
        <w:rPr>
          <w:lang w:val="fr-FR"/>
        </w:rPr>
        <w:t>orientation sexuelle et l</w:t>
      </w:r>
      <w:r>
        <w:rPr>
          <w:lang w:val="fr-FR"/>
        </w:rPr>
        <w:t>’</w:t>
      </w:r>
      <w:r w:rsidRPr="00466CE7">
        <w:rPr>
          <w:lang w:val="fr-FR"/>
        </w:rPr>
        <w:t xml:space="preserve">identité de genre </w:t>
      </w:r>
      <w:r>
        <w:rPr>
          <w:lang w:val="fr-FR"/>
        </w:rPr>
        <w:t xml:space="preserve">a été l’acceptation de </w:t>
      </w:r>
      <w:r w:rsidRPr="00466CE7">
        <w:rPr>
          <w:lang w:val="fr-FR"/>
        </w:rPr>
        <w:t>recommandations du Comité pour l</w:t>
      </w:r>
      <w:r>
        <w:rPr>
          <w:lang w:val="fr-FR"/>
        </w:rPr>
        <w:t>’</w:t>
      </w:r>
      <w:r w:rsidRPr="00466CE7">
        <w:rPr>
          <w:lang w:val="fr-FR"/>
        </w:rPr>
        <w:t>élimination de la discrimination raciale</w:t>
      </w:r>
      <w:r>
        <w:rPr>
          <w:lang w:val="fr-FR"/>
        </w:rPr>
        <w:t>,</w:t>
      </w:r>
      <w:r w:rsidRPr="00466CE7">
        <w:rPr>
          <w:lang w:val="fr-FR"/>
        </w:rPr>
        <w:t xml:space="preserve"> </w:t>
      </w:r>
      <w:r>
        <w:rPr>
          <w:lang w:val="fr-FR"/>
        </w:rPr>
        <w:t xml:space="preserve">suivie de </w:t>
      </w:r>
      <w:r w:rsidRPr="00466CE7">
        <w:rPr>
          <w:lang w:val="fr-FR"/>
        </w:rPr>
        <w:t>l</w:t>
      </w:r>
      <w:r>
        <w:rPr>
          <w:lang w:val="fr-FR"/>
        </w:rPr>
        <w:t>’</w:t>
      </w:r>
      <w:r w:rsidRPr="00466CE7">
        <w:rPr>
          <w:lang w:val="fr-FR"/>
        </w:rPr>
        <w:t>a</w:t>
      </w:r>
      <w:r>
        <w:rPr>
          <w:lang w:val="fr-FR"/>
        </w:rPr>
        <w:t>pprobation en 2019, par décision gouvernementale, d’un p</w:t>
      </w:r>
      <w:r w:rsidRPr="00466CE7">
        <w:rPr>
          <w:lang w:val="fr-FR"/>
        </w:rPr>
        <w:t>lan d</w:t>
      </w:r>
      <w:r>
        <w:rPr>
          <w:lang w:val="fr-FR"/>
        </w:rPr>
        <w:t>’</w:t>
      </w:r>
      <w:r w:rsidRPr="00466CE7">
        <w:rPr>
          <w:lang w:val="fr-FR"/>
        </w:rPr>
        <w:t>action inter</w:t>
      </w:r>
      <w:r>
        <w:rPr>
          <w:lang w:val="fr-FR"/>
        </w:rPr>
        <w:t xml:space="preserve">ministériel 2019-2022 pour la mise </w:t>
      </w:r>
      <w:r w:rsidRPr="00466CE7">
        <w:rPr>
          <w:lang w:val="fr-FR"/>
        </w:rPr>
        <w:t xml:space="preserve">en œuvre </w:t>
      </w:r>
      <w:r>
        <w:rPr>
          <w:lang w:val="fr-FR"/>
        </w:rPr>
        <w:t>de ces recommandations.</w:t>
      </w:r>
    </w:p>
    <w:p w14:paraId="4610999E" w14:textId="77777777" w:rsidR="009C6834" w:rsidRPr="00466CE7" w:rsidRDefault="009C6834" w:rsidP="009C6834">
      <w:pPr>
        <w:pStyle w:val="SingleTxtG"/>
        <w:rPr>
          <w:lang w:val="fr-FR"/>
        </w:rPr>
      </w:pPr>
      <w:r w:rsidRPr="00466CE7">
        <w:rPr>
          <w:lang w:val="fr-FR"/>
        </w:rPr>
        <w:t>19.</w:t>
      </w:r>
      <w:r w:rsidRPr="00466CE7">
        <w:rPr>
          <w:lang w:val="fr-FR"/>
        </w:rPr>
        <w:tab/>
      </w:r>
      <w:r>
        <w:rPr>
          <w:lang w:val="fr-FR"/>
        </w:rPr>
        <w:t>D’</w:t>
      </w:r>
      <w:r w:rsidRPr="00466CE7">
        <w:rPr>
          <w:lang w:val="fr-FR"/>
        </w:rPr>
        <w:t xml:space="preserve">importants protocoles </w:t>
      </w:r>
      <w:r>
        <w:rPr>
          <w:lang w:val="fr-FR"/>
        </w:rPr>
        <w:t xml:space="preserve">et directives </w:t>
      </w:r>
      <w:r w:rsidRPr="00466CE7">
        <w:rPr>
          <w:lang w:val="fr-FR"/>
        </w:rPr>
        <w:t xml:space="preserve">cliniques </w:t>
      </w:r>
      <w:r>
        <w:rPr>
          <w:lang w:val="fr-FR"/>
        </w:rPr>
        <w:t xml:space="preserve">sur </w:t>
      </w:r>
      <w:r w:rsidRPr="00466CE7">
        <w:rPr>
          <w:lang w:val="fr-FR"/>
        </w:rPr>
        <w:t>les soins de santé ont été approuvés</w:t>
      </w:r>
      <w:r>
        <w:rPr>
          <w:lang w:val="fr-FR"/>
        </w:rPr>
        <w:t xml:space="preserve"> en 2017</w:t>
      </w:r>
      <w:r w:rsidRPr="00466CE7">
        <w:rPr>
          <w:lang w:val="fr-FR"/>
        </w:rPr>
        <w:t xml:space="preserve">, </w:t>
      </w:r>
      <w:r>
        <w:rPr>
          <w:lang w:val="fr-FR"/>
        </w:rPr>
        <w:t xml:space="preserve">notamment une directive concernant </w:t>
      </w:r>
      <w:r w:rsidRPr="00466CE7">
        <w:rPr>
          <w:lang w:val="fr-FR"/>
        </w:rPr>
        <w:t>la prise en charge médic</w:t>
      </w:r>
      <w:r>
        <w:rPr>
          <w:lang w:val="fr-FR"/>
        </w:rPr>
        <w:t>o-sociale</w:t>
      </w:r>
      <w:r w:rsidRPr="00466CE7">
        <w:rPr>
          <w:lang w:val="fr-FR"/>
        </w:rPr>
        <w:t xml:space="preserve"> des personnes transgenres, transsexuelles et</w:t>
      </w:r>
      <w:r>
        <w:rPr>
          <w:lang w:val="fr-FR"/>
        </w:rPr>
        <w:t xml:space="preserve"> de genre</w:t>
      </w:r>
      <w:r w:rsidRPr="00466CE7">
        <w:rPr>
          <w:lang w:val="fr-FR"/>
        </w:rPr>
        <w:t xml:space="preserve"> non</w:t>
      </w:r>
      <w:r>
        <w:rPr>
          <w:lang w:val="fr-FR"/>
        </w:rPr>
        <w:t xml:space="preserve"> conforme</w:t>
      </w:r>
      <w:r w:rsidRPr="00466CE7">
        <w:rPr>
          <w:lang w:val="fr-FR"/>
        </w:rPr>
        <w:t xml:space="preserve"> </w:t>
      </w:r>
      <w:r>
        <w:rPr>
          <w:lang w:val="fr-FR"/>
        </w:rPr>
        <w:t xml:space="preserve">destinée aux </w:t>
      </w:r>
      <w:r w:rsidRPr="00466CE7">
        <w:rPr>
          <w:lang w:val="fr-FR"/>
        </w:rPr>
        <w:t>professionnels</w:t>
      </w:r>
      <w:r>
        <w:rPr>
          <w:lang w:val="fr-FR"/>
        </w:rPr>
        <w:t xml:space="preserve"> de santé travaillant</w:t>
      </w:r>
      <w:r w:rsidRPr="00466CE7">
        <w:rPr>
          <w:lang w:val="fr-FR"/>
        </w:rPr>
        <w:t xml:space="preserve"> à tous les </w:t>
      </w:r>
      <w:r>
        <w:rPr>
          <w:lang w:val="fr-FR"/>
        </w:rPr>
        <w:t xml:space="preserve">échelons du système </w:t>
      </w:r>
      <w:r w:rsidRPr="00466CE7">
        <w:rPr>
          <w:lang w:val="fr-FR"/>
        </w:rPr>
        <w:t xml:space="preserve">de santé et </w:t>
      </w:r>
      <w:r>
        <w:rPr>
          <w:lang w:val="fr-FR"/>
        </w:rPr>
        <w:t>dans d’autres institutions du pays</w:t>
      </w:r>
      <w:r w:rsidRPr="00466CE7">
        <w:rPr>
          <w:lang w:val="fr-FR"/>
        </w:rPr>
        <w:t>.</w:t>
      </w:r>
    </w:p>
    <w:p w14:paraId="05E21832" w14:textId="1486403B" w:rsidR="009C6834" w:rsidRPr="00466CE7" w:rsidRDefault="009C6834" w:rsidP="009C6834">
      <w:pPr>
        <w:pStyle w:val="SingleTxtG"/>
        <w:rPr>
          <w:lang w:val="fr-FR"/>
        </w:rPr>
      </w:pPr>
      <w:r w:rsidRPr="00466CE7">
        <w:rPr>
          <w:lang w:val="fr-FR"/>
        </w:rPr>
        <w:t>20.</w:t>
      </w:r>
      <w:r w:rsidRPr="00466CE7">
        <w:rPr>
          <w:lang w:val="fr-FR"/>
        </w:rPr>
        <w:tab/>
        <w:t>Ce</w:t>
      </w:r>
      <w:r>
        <w:rPr>
          <w:lang w:val="fr-FR"/>
        </w:rPr>
        <w:t>tte directive</w:t>
      </w:r>
      <w:r w:rsidRPr="00466CE7">
        <w:rPr>
          <w:lang w:val="fr-FR"/>
        </w:rPr>
        <w:t xml:space="preserve"> constitue la norme nationale en matière </w:t>
      </w:r>
      <w:r>
        <w:rPr>
          <w:lang w:val="fr-FR"/>
        </w:rPr>
        <w:t>de prise en charge médico</w:t>
      </w:r>
      <w:r w:rsidR="004119B3">
        <w:rPr>
          <w:lang w:val="fr-FR"/>
        </w:rPr>
        <w:noBreakHyphen/>
      </w:r>
      <w:r w:rsidRPr="00466CE7">
        <w:rPr>
          <w:lang w:val="fr-FR"/>
        </w:rPr>
        <w:t xml:space="preserve">sociale </w:t>
      </w:r>
      <w:r>
        <w:rPr>
          <w:lang w:val="fr-FR"/>
        </w:rPr>
        <w:t>des</w:t>
      </w:r>
      <w:r w:rsidRPr="00466CE7">
        <w:rPr>
          <w:lang w:val="fr-FR"/>
        </w:rPr>
        <w:t xml:space="preserve"> personnes transgenres, transsexuelles et</w:t>
      </w:r>
      <w:r>
        <w:rPr>
          <w:lang w:val="fr-FR"/>
        </w:rPr>
        <w:t xml:space="preserve"> de genre non conforme</w:t>
      </w:r>
      <w:r w:rsidRPr="00466CE7">
        <w:rPr>
          <w:lang w:val="fr-FR"/>
        </w:rPr>
        <w:t>.</w:t>
      </w:r>
    </w:p>
    <w:p w14:paraId="4DC6E8D1" w14:textId="1FB9B7B9" w:rsidR="009C6834" w:rsidRDefault="009C6834" w:rsidP="009C6834">
      <w:pPr>
        <w:pStyle w:val="SingleTxtG"/>
        <w:rPr>
          <w:lang w:val="fr-FR"/>
        </w:rPr>
      </w:pPr>
      <w:r>
        <w:rPr>
          <w:lang w:val="fr-FR"/>
        </w:rPr>
        <w:t>21.</w:t>
      </w:r>
      <w:r>
        <w:rPr>
          <w:lang w:val="fr-FR"/>
        </w:rPr>
        <w:tab/>
        <w:t xml:space="preserve">Le Ministère de la santé </w:t>
      </w:r>
      <w:r w:rsidRPr="00466CE7">
        <w:rPr>
          <w:lang w:val="fr-FR"/>
        </w:rPr>
        <w:t>a élaboré et approuvé le form</w:t>
      </w:r>
      <w:r>
        <w:rPr>
          <w:lang w:val="fr-FR"/>
        </w:rPr>
        <w:t xml:space="preserve">at du </w:t>
      </w:r>
      <w:r w:rsidRPr="00466CE7">
        <w:rPr>
          <w:lang w:val="fr-FR"/>
        </w:rPr>
        <w:t xml:space="preserve">document </w:t>
      </w:r>
      <w:r>
        <w:rPr>
          <w:lang w:val="fr-FR"/>
        </w:rPr>
        <w:t>unique</w:t>
      </w:r>
      <w:r w:rsidR="004119B3">
        <w:rPr>
          <w:lang w:val="fr-FR"/>
        </w:rPr>
        <w:t xml:space="preserve"> </w:t>
      </w:r>
      <w:r w:rsidRPr="00466CE7">
        <w:rPr>
          <w:lang w:val="fr-FR"/>
        </w:rPr>
        <w:t>à présenter aux autorités chargées de l</w:t>
      </w:r>
      <w:r>
        <w:rPr>
          <w:lang w:val="fr-FR"/>
        </w:rPr>
        <w:t>’</w:t>
      </w:r>
      <w:r w:rsidRPr="00466CE7">
        <w:rPr>
          <w:lang w:val="fr-FR"/>
        </w:rPr>
        <w:t>enregistrement des faits d</w:t>
      </w:r>
      <w:r>
        <w:rPr>
          <w:lang w:val="fr-FR"/>
        </w:rPr>
        <w:t>’</w:t>
      </w:r>
      <w:r w:rsidRPr="00466CE7">
        <w:rPr>
          <w:lang w:val="fr-FR"/>
        </w:rPr>
        <w:t xml:space="preserve">état civil aux fins de la reconnaissance légale du sexe. Cela permet </w:t>
      </w:r>
      <w:r>
        <w:rPr>
          <w:lang w:val="fr-FR"/>
        </w:rPr>
        <w:t>de mettre en œuvre l</w:t>
      </w:r>
      <w:r w:rsidRPr="00466CE7">
        <w:rPr>
          <w:lang w:val="fr-FR"/>
        </w:rPr>
        <w:t xml:space="preserve">es recommandations </w:t>
      </w:r>
      <w:r>
        <w:rPr>
          <w:lang w:val="fr-FR"/>
        </w:rPr>
        <w:t>de l’ONU</w:t>
      </w:r>
      <w:r w:rsidRPr="00466CE7">
        <w:rPr>
          <w:lang w:val="fr-FR"/>
        </w:rPr>
        <w:t xml:space="preserve"> et</w:t>
      </w:r>
      <w:r>
        <w:rPr>
          <w:lang w:val="fr-FR"/>
        </w:rPr>
        <w:t xml:space="preserve"> d’établir une procédure « </w:t>
      </w:r>
      <w:r w:rsidRPr="00466CE7">
        <w:rPr>
          <w:lang w:val="fr-FR"/>
        </w:rPr>
        <w:t>rap</w:t>
      </w:r>
      <w:r>
        <w:rPr>
          <w:lang w:val="fr-FR"/>
        </w:rPr>
        <w:t>ide, transparente et accessible »</w:t>
      </w:r>
      <w:r w:rsidRPr="00466CE7">
        <w:rPr>
          <w:lang w:val="fr-FR"/>
        </w:rPr>
        <w:t xml:space="preserve"> </w:t>
      </w:r>
      <w:r>
        <w:rPr>
          <w:lang w:val="fr-FR"/>
        </w:rPr>
        <w:t xml:space="preserve">pour que les </w:t>
      </w:r>
      <w:r w:rsidRPr="00466CE7">
        <w:rPr>
          <w:lang w:val="fr-FR"/>
        </w:rPr>
        <w:t xml:space="preserve">personnes transgenres, transsexuelles et </w:t>
      </w:r>
      <w:r>
        <w:rPr>
          <w:lang w:val="fr-FR"/>
        </w:rPr>
        <w:t xml:space="preserve">de genre </w:t>
      </w:r>
      <w:r w:rsidRPr="00466CE7">
        <w:rPr>
          <w:lang w:val="fr-FR"/>
        </w:rPr>
        <w:t>non</w:t>
      </w:r>
      <w:r>
        <w:rPr>
          <w:lang w:val="fr-FR"/>
        </w:rPr>
        <w:t xml:space="preserve"> conforme puissent faire modifier</w:t>
      </w:r>
      <w:r w:rsidRPr="00B422E5">
        <w:rPr>
          <w:lang w:val="fr-FR"/>
        </w:rPr>
        <w:t xml:space="preserve"> </w:t>
      </w:r>
      <w:r w:rsidRPr="00466CE7">
        <w:rPr>
          <w:lang w:val="fr-FR"/>
        </w:rPr>
        <w:t>d</w:t>
      </w:r>
      <w:r>
        <w:rPr>
          <w:lang w:val="fr-FR"/>
        </w:rPr>
        <w:t xml:space="preserve">ans leur </w:t>
      </w:r>
      <w:r w:rsidRPr="00466CE7">
        <w:rPr>
          <w:lang w:val="fr-FR"/>
        </w:rPr>
        <w:t>passeport</w:t>
      </w:r>
      <w:r>
        <w:rPr>
          <w:lang w:val="fr-FR"/>
        </w:rPr>
        <w:t xml:space="preserve"> la mention de </w:t>
      </w:r>
      <w:r w:rsidRPr="00466CE7">
        <w:rPr>
          <w:lang w:val="fr-FR"/>
        </w:rPr>
        <w:t>sexe (</w:t>
      </w:r>
      <w:r>
        <w:rPr>
          <w:lang w:val="fr-FR"/>
        </w:rPr>
        <w:t xml:space="preserve">indicateur </w:t>
      </w:r>
      <w:r w:rsidRPr="00466CE7">
        <w:rPr>
          <w:lang w:val="fr-FR"/>
        </w:rPr>
        <w:t>de genre).</w:t>
      </w:r>
    </w:p>
    <w:p w14:paraId="62DE6BAC" w14:textId="77777777" w:rsidR="009C6834" w:rsidRPr="00466CE7" w:rsidRDefault="009C6834" w:rsidP="009C6834">
      <w:pPr>
        <w:pStyle w:val="SingleTxtG"/>
        <w:rPr>
          <w:lang w:val="fr-FR"/>
        </w:rPr>
      </w:pPr>
      <w:r w:rsidRPr="00466CE7">
        <w:rPr>
          <w:lang w:val="fr-FR"/>
        </w:rPr>
        <w:t>22.</w:t>
      </w:r>
      <w:r w:rsidRPr="00466CE7">
        <w:rPr>
          <w:lang w:val="fr-FR"/>
        </w:rPr>
        <w:tab/>
      </w:r>
      <w:r>
        <w:rPr>
          <w:lang w:val="fr-FR"/>
        </w:rPr>
        <w:t>L</w:t>
      </w:r>
      <w:r w:rsidRPr="00466CE7">
        <w:rPr>
          <w:lang w:val="fr-FR"/>
        </w:rPr>
        <w:t xml:space="preserve">a </w:t>
      </w:r>
      <w:r>
        <w:rPr>
          <w:lang w:val="fr-FR"/>
        </w:rPr>
        <w:t>directive</w:t>
      </w:r>
      <w:r w:rsidRPr="00466CE7">
        <w:rPr>
          <w:lang w:val="fr-FR"/>
        </w:rPr>
        <w:t xml:space="preserve"> </w:t>
      </w:r>
      <w:r>
        <w:rPr>
          <w:lang w:val="fr-FR"/>
        </w:rPr>
        <w:t xml:space="preserve">en question est appliquée </w:t>
      </w:r>
      <w:r w:rsidRPr="00466CE7">
        <w:rPr>
          <w:lang w:val="fr-FR"/>
        </w:rPr>
        <w:t xml:space="preserve">dans la pratique des médecins et </w:t>
      </w:r>
      <w:r>
        <w:rPr>
          <w:lang w:val="fr-FR"/>
        </w:rPr>
        <w:t xml:space="preserve">enseignée dans </w:t>
      </w:r>
      <w:r w:rsidRPr="00466CE7">
        <w:rPr>
          <w:lang w:val="fr-FR"/>
        </w:rPr>
        <w:t>l</w:t>
      </w:r>
      <w:r>
        <w:rPr>
          <w:lang w:val="fr-FR"/>
        </w:rPr>
        <w:t>e cadre d</w:t>
      </w:r>
      <w:r w:rsidRPr="00466CE7">
        <w:rPr>
          <w:lang w:val="fr-FR"/>
        </w:rPr>
        <w:t xml:space="preserve">es programmes </w:t>
      </w:r>
      <w:r>
        <w:rPr>
          <w:lang w:val="fr-FR"/>
        </w:rPr>
        <w:t xml:space="preserve">de formation </w:t>
      </w:r>
      <w:r w:rsidRPr="00466CE7">
        <w:rPr>
          <w:lang w:val="fr-FR"/>
        </w:rPr>
        <w:t xml:space="preserve">des écoles de médecine </w:t>
      </w:r>
      <w:r>
        <w:rPr>
          <w:lang w:val="fr-FR"/>
        </w:rPr>
        <w:t>depuis 2018</w:t>
      </w:r>
      <w:r w:rsidRPr="00466CE7">
        <w:rPr>
          <w:lang w:val="fr-FR"/>
        </w:rPr>
        <w:t xml:space="preserve">. Les </w:t>
      </w:r>
      <w:r>
        <w:rPr>
          <w:lang w:val="fr-FR"/>
        </w:rPr>
        <w:t>professionnels de santé</w:t>
      </w:r>
      <w:r w:rsidRPr="00466CE7">
        <w:rPr>
          <w:lang w:val="fr-FR"/>
        </w:rPr>
        <w:t xml:space="preserve">, les cliniques et les </w:t>
      </w:r>
      <w:r>
        <w:rPr>
          <w:lang w:val="fr-FR"/>
        </w:rPr>
        <w:t xml:space="preserve">chaires d’enseignement </w:t>
      </w:r>
      <w:r w:rsidRPr="00466CE7">
        <w:rPr>
          <w:lang w:val="fr-FR"/>
        </w:rPr>
        <w:t xml:space="preserve">de la ville de </w:t>
      </w:r>
      <w:r>
        <w:rPr>
          <w:lang w:val="fr-FR"/>
        </w:rPr>
        <w:t>Bichkek et</w:t>
      </w:r>
      <w:r w:rsidRPr="00466CE7">
        <w:rPr>
          <w:lang w:val="fr-FR"/>
        </w:rPr>
        <w:t xml:space="preserve"> des régions d</w:t>
      </w:r>
      <w:r>
        <w:rPr>
          <w:lang w:val="fr-FR"/>
        </w:rPr>
        <w:t>’Och</w:t>
      </w:r>
      <w:r w:rsidRPr="00466CE7">
        <w:rPr>
          <w:lang w:val="fr-FR"/>
        </w:rPr>
        <w:t xml:space="preserve"> et de </w:t>
      </w:r>
      <w:proofErr w:type="spellStart"/>
      <w:r>
        <w:rPr>
          <w:lang w:val="fr-FR"/>
        </w:rPr>
        <w:t>Dj</w:t>
      </w:r>
      <w:r w:rsidRPr="00466CE7">
        <w:rPr>
          <w:lang w:val="fr-FR"/>
        </w:rPr>
        <w:t>alal-Abad</w:t>
      </w:r>
      <w:proofErr w:type="spellEnd"/>
      <w:r w:rsidRPr="00466CE7">
        <w:rPr>
          <w:lang w:val="fr-FR"/>
        </w:rPr>
        <w:t xml:space="preserve"> ont été </w:t>
      </w:r>
      <w:r>
        <w:rPr>
          <w:lang w:val="fr-FR"/>
        </w:rPr>
        <w:t>mis au courant de</w:t>
      </w:r>
      <w:r w:rsidRPr="00466CE7">
        <w:rPr>
          <w:lang w:val="fr-FR"/>
        </w:rPr>
        <w:t xml:space="preserve"> </w:t>
      </w:r>
      <w:r>
        <w:rPr>
          <w:lang w:val="fr-FR"/>
        </w:rPr>
        <w:t>cette directive</w:t>
      </w:r>
      <w:r w:rsidRPr="00466CE7">
        <w:rPr>
          <w:lang w:val="fr-FR"/>
        </w:rPr>
        <w:t xml:space="preserve">. </w:t>
      </w:r>
    </w:p>
    <w:p w14:paraId="09D585D9" w14:textId="77777777" w:rsidR="009C6834" w:rsidRPr="00466CE7" w:rsidRDefault="009C6834" w:rsidP="009C6834">
      <w:pPr>
        <w:pStyle w:val="SingleTxtG"/>
        <w:rPr>
          <w:lang w:val="fr-FR"/>
        </w:rPr>
      </w:pPr>
      <w:r w:rsidRPr="00466CE7">
        <w:rPr>
          <w:lang w:val="fr-FR"/>
        </w:rPr>
        <w:t>23.</w:t>
      </w:r>
      <w:r w:rsidRPr="00466CE7">
        <w:rPr>
          <w:lang w:val="fr-FR"/>
        </w:rPr>
        <w:tab/>
        <w:t xml:space="preserve">Dans </w:t>
      </w:r>
      <w:r>
        <w:rPr>
          <w:lang w:val="fr-FR"/>
        </w:rPr>
        <w:t xml:space="preserve">son </w:t>
      </w:r>
      <w:r w:rsidRPr="00466CE7">
        <w:rPr>
          <w:lang w:val="fr-FR"/>
        </w:rPr>
        <w:t>rapport</w:t>
      </w:r>
      <w:r>
        <w:rPr>
          <w:lang w:val="fr-FR"/>
        </w:rPr>
        <w:t xml:space="preserve"> intermédiaire </w:t>
      </w:r>
      <w:r w:rsidRPr="00466CE7">
        <w:rPr>
          <w:lang w:val="fr-FR"/>
        </w:rPr>
        <w:t xml:space="preserve">de 2018, la République kirghize a </w:t>
      </w:r>
      <w:r>
        <w:rPr>
          <w:lang w:val="fr-FR"/>
        </w:rPr>
        <w:t>rendu compte au Comité pour l’élimination de la discrimination à l’égard des femmes</w:t>
      </w:r>
      <w:r w:rsidRPr="00D345FA">
        <w:rPr>
          <w:lang w:val="fr-FR"/>
        </w:rPr>
        <w:t xml:space="preserve"> </w:t>
      </w:r>
      <w:r>
        <w:rPr>
          <w:lang w:val="fr-FR"/>
        </w:rPr>
        <w:t xml:space="preserve">de l’application </w:t>
      </w:r>
      <w:r w:rsidRPr="00466CE7">
        <w:rPr>
          <w:lang w:val="fr-FR"/>
        </w:rPr>
        <w:t>de</w:t>
      </w:r>
      <w:r>
        <w:rPr>
          <w:lang w:val="fr-FR"/>
        </w:rPr>
        <w:t>s</w:t>
      </w:r>
      <w:r w:rsidRPr="00466CE7">
        <w:rPr>
          <w:lang w:val="fr-FR"/>
        </w:rPr>
        <w:t xml:space="preserve"> recommandations</w:t>
      </w:r>
      <w:r>
        <w:rPr>
          <w:lang w:val="fr-FR"/>
        </w:rPr>
        <w:t xml:space="preserve"> du Comité</w:t>
      </w:r>
      <w:r w:rsidRPr="00466CE7">
        <w:rPr>
          <w:lang w:val="fr-FR"/>
        </w:rPr>
        <w:t xml:space="preserve">, notamment </w:t>
      </w:r>
      <w:r>
        <w:rPr>
          <w:lang w:val="fr-FR"/>
        </w:rPr>
        <w:t xml:space="preserve">de </w:t>
      </w:r>
      <w:r w:rsidRPr="00466CE7">
        <w:rPr>
          <w:lang w:val="fr-FR"/>
        </w:rPr>
        <w:t xml:space="preserve">la procédure de changement </w:t>
      </w:r>
      <w:r>
        <w:rPr>
          <w:lang w:val="fr-FR"/>
        </w:rPr>
        <w:t xml:space="preserve">de l’indicateur </w:t>
      </w:r>
      <w:r w:rsidRPr="00466CE7">
        <w:rPr>
          <w:lang w:val="fr-FR"/>
        </w:rPr>
        <w:t xml:space="preserve">de genre dans les documents personnels </w:t>
      </w:r>
      <w:r>
        <w:rPr>
          <w:lang w:val="fr-FR"/>
        </w:rPr>
        <w:t>d</w:t>
      </w:r>
      <w:r w:rsidRPr="00466CE7">
        <w:rPr>
          <w:lang w:val="fr-FR"/>
        </w:rPr>
        <w:t>es personnes trans</w:t>
      </w:r>
      <w:r>
        <w:rPr>
          <w:lang w:val="fr-FR"/>
        </w:rPr>
        <w:t>genres</w:t>
      </w:r>
      <w:r w:rsidRPr="00466CE7">
        <w:rPr>
          <w:lang w:val="fr-FR"/>
        </w:rPr>
        <w:t>.</w:t>
      </w:r>
    </w:p>
    <w:p w14:paraId="5F7C7992" w14:textId="58220D15" w:rsidR="009C6834" w:rsidRPr="00466CE7" w:rsidRDefault="009C6834" w:rsidP="009C6834">
      <w:pPr>
        <w:pStyle w:val="SingleTxtG"/>
        <w:rPr>
          <w:lang w:val="fr-FR"/>
        </w:rPr>
      </w:pPr>
      <w:r w:rsidRPr="00466CE7">
        <w:rPr>
          <w:lang w:val="fr-FR"/>
        </w:rPr>
        <w:t>24.</w:t>
      </w:r>
      <w:r w:rsidRPr="00466CE7">
        <w:rPr>
          <w:lang w:val="fr-FR"/>
        </w:rPr>
        <w:tab/>
        <w:t xml:space="preserve">Le </w:t>
      </w:r>
      <w:r w:rsidR="000479B3">
        <w:rPr>
          <w:lang w:val="fr-FR"/>
        </w:rPr>
        <w:t>Kirghizistan</w:t>
      </w:r>
      <w:r w:rsidRPr="00466CE7">
        <w:rPr>
          <w:lang w:val="fr-FR"/>
        </w:rPr>
        <w:t xml:space="preserve"> est le seul pays d</w:t>
      </w:r>
      <w:r>
        <w:rPr>
          <w:lang w:val="fr-FR"/>
        </w:rPr>
        <w:t>’</w:t>
      </w:r>
      <w:r w:rsidRPr="00466CE7">
        <w:rPr>
          <w:lang w:val="fr-FR"/>
        </w:rPr>
        <w:t xml:space="preserve">Asie centrale à avoir mis en place un cadre juridique et </w:t>
      </w:r>
      <w:r>
        <w:rPr>
          <w:lang w:val="fr-FR"/>
        </w:rPr>
        <w:t xml:space="preserve">réglementaire </w:t>
      </w:r>
      <w:r w:rsidRPr="00466CE7">
        <w:rPr>
          <w:lang w:val="fr-FR"/>
        </w:rPr>
        <w:t xml:space="preserve">pour </w:t>
      </w:r>
      <w:r>
        <w:rPr>
          <w:lang w:val="fr-FR"/>
        </w:rPr>
        <w:t>la prise en charge médico-sociale</w:t>
      </w:r>
      <w:r w:rsidRPr="00466CE7">
        <w:rPr>
          <w:lang w:val="fr-FR"/>
        </w:rPr>
        <w:t xml:space="preserve"> et </w:t>
      </w:r>
      <w:r>
        <w:rPr>
          <w:lang w:val="fr-FR"/>
        </w:rPr>
        <w:t xml:space="preserve">la correction des </w:t>
      </w:r>
      <w:r w:rsidRPr="00466CE7">
        <w:rPr>
          <w:lang w:val="fr-FR"/>
        </w:rPr>
        <w:t>documents des personnes transgenres.</w:t>
      </w:r>
    </w:p>
    <w:p w14:paraId="4550C888" w14:textId="77777777" w:rsidR="009C6834" w:rsidRPr="00466CE7" w:rsidRDefault="009C6834" w:rsidP="009C6834">
      <w:pPr>
        <w:pStyle w:val="SingleTxtG"/>
        <w:rPr>
          <w:lang w:val="fr-FR"/>
        </w:rPr>
      </w:pPr>
      <w:r w:rsidRPr="00466CE7">
        <w:rPr>
          <w:lang w:val="fr-FR"/>
        </w:rPr>
        <w:t>25.</w:t>
      </w:r>
      <w:r w:rsidRPr="00466CE7">
        <w:rPr>
          <w:lang w:val="fr-FR"/>
        </w:rPr>
        <w:tab/>
        <w:t xml:space="preserve">Il </w:t>
      </w:r>
      <w:r>
        <w:rPr>
          <w:lang w:val="fr-FR"/>
        </w:rPr>
        <w:t xml:space="preserve">faut savoir </w:t>
      </w:r>
      <w:r w:rsidRPr="00466CE7">
        <w:rPr>
          <w:lang w:val="fr-FR"/>
        </w:rPr>
        <w:t>que le pays se trouve</w:t>
      </w:r>
      <w:r>
        <w:rPr>
          <w:lang w:val="fr-FR"/>
        </w:rPr>
        <w:t xml:space="preserve"> dans une période de transition sur le plan de son développement démocratique et que la question du progrès de la </w:t>
      </w:r>
      <w:r w:rsidRPr="00466CE7">
        <w:rPr>
          <w:lang w:val="fr-FR"/>
        </w:rPr>
        <w:t xml:space="preserve">tolérance </w:t>
      </w:r>
      <w:r>
        <w:rPr>
          <w:lang w:val="fr-FR"/>
        </w:rPr>
        <w:t xml:space="preserve">se pose donc </w:t>
      </w:r>
      <w:r w:rsidRPr="00466CE7">
        <w:rPr>
          <w:lang w:val="fr-FR"/>
        </w:rPr>
        <w:t xml:space="preserve">avec acuité à tous les niveaux de </w:t>
      </w:r>
      <w:r>
        <w:rPr>
          <w:lang w:val="fr-FR"/>
        </w:rPr>
        <w:t>l’appareil d’</w:t>
      </w:r>
      <w:r w:rsidRPr="00466CE7">
        <w:rPr>
          <w:lang w:val="fr-FR"/>
        </w:rPr>
        <w:t>État</w:t>
      </w:r>
      <w:r>
        <w:rPr>
          <w:lang w:val="fr-FR"/>
        </w:rPr>
        <w:t>, au</w:t>
      </w:r>
      <w:r w:rsidRPr="00466CE7">
        <w:rPr>
          <w:lang w:val="fr-FR"/>
        </w:rPr>
        <w:t xml:space="preserve"> niveau des organisations de services publics, des </w:t>
      </w:r>
      <w:r>
        <w:rPr>
          <w:lang w:val="fr-FR"/>
        </w:rPr>
        <w:t xml:space="preserve">collectivités </w:t>
      </w:r>
      <w:r w:rsidRPr="00466CE7">
        <w:rPr>
          <w:lang w:val="fr-FR"/>
        </w:rPr>
        <w:t xml:space="preserve">locales, </w:t>
      </w:r>
      <w:r>
        <w:rPr>
          <w:lang w:val="fr-FR"/>
        </w:rPr>
        <w:t xml:space="preserve">de la famille </w:t>
      </w:r>
      <w:r w:rsidRPr="00466CE7">
        <w:rPr>
          <w:lang w:val="fr-FR"/>
        </w:rPr>
        <w:t xml:space="preserve">et </w:t>
      </w:r>
      <w:r>
        <w:rPr>
          <w:lang w:val="fr-FR"/>
        </w:rPr>
        <w:t>de l’individu</w:t>
      </w:r>
      <w:r w:rsidRPr="00466CE7">
        <w:rPr>
          <w:lang w:val="fr-FR"/>
        </w:rPr>
        <w:t>. C</w:t>
      </w:r>
      <w:r>
        <w:rPr>
          <w:lang w:val="fr-FR"/>
        </w:rPr>
        <w:t xml:space="preserve">’est une tâche à laquelle le Kirghizistan s’est attelé avec constance depuis son indépendance </w:t>
      </w:r>
      <w:r w:rsidRPr="00466CE7">
        <w:rPr>
          <w:lang w:val="fr-FR"/>
        </w:rPr>
        <w:t xml:space="preserve">mais </w:t>
      </w:r>
      <w:r>
        <w:rPr>
          <w:lang w:val="fr-FR"/>
        </w:rPr>
        <w:t xml:space="preserve">qui doit se poursuivre et </w:t>
      </w:r>
      <w:r w:rsidRPr="00466CE7">
        <w:rPr>
          <w:lang w:val="fr-FR"/>
        </w:rPr>
        <w:t xml:space="preserve">qui </w:t>
      </w:r>
      <w:r>
        <w:rPr>
          <w:lang w:val="fr-FR"/>
        </w:rPr>
        <w:t xml:space="preserve">implique un changement de perspective pour pouvoir parvenir à </w:t>
      </w:r>
      <w:r w:rsidRPr="00466CE7">
        <w:rPr>
          <w:lang w:val="fr-FR"/>
        </w:rPr>
        <w:t xml:space="preserve">une société démocratique et tolérante. </w:t>
      </w:r>
      <w:r>
        <w:rPr>
          <w:lang w:val="fr-FR"/>
        </w:rPr>
        <w:t xml:space="preserve">C’est ainsi qu’on observe encore </w:t>
      </w:r>
      <w:r w:rsidRPr="00466CE7">
        <w:rPr>
          <w:lang w:val="fr-FR"/>
        </w:rPr>
        <w:t>des pratiques discriminatoire</w:t>
      </w:r>
      <w:r>
        <w:rPr>
          <w:lang w:val="fr-FR"/>
        </w:rPr>
        <w:t xml:space="preserve">s dans l’application de la loi, dont </w:t>
      </w:r>
      <w:r w:rsidRPr="00466CE7">
        <w:rPr>
          <w:lang w:val="fr-FR"/>
        </w:rPr>
        <w:t xml:space="preserve">les </w:t>
      </w:r>
      <w:r>
        <w:rPr>
          <w:lang w:val="fr-FR"/>
        </w:rPr>
        <w:t xml:space="preserve">premiers à pâtir sont les </w:t>
      </w:r>
      <w:r w:rsidRPr="00466CE7">
        <w:rPr>
          <w:lang w:val="fr-FR"/>
        </w:rPr>
        <w:t>groupes les plus vulnérables</w:t>
      </w:r>
      <w:r>
        <w:rPr>
          <w:lang w:val="fr-FR"/>
        </w:rPr>
        <w:t xml:space="preserve">, à savoir </w:t>
      </w:r>
      <w:r w:rsidRPr="00466CE7">
        <w:rPr>
          <w:lang w:val="fr-FR"/>
        </w:rPr>
        <w:t xml:space="preserve">les femmes, les travailleurs du sexe, les LGBT, les personnes vivant avec le VIH </w:t>
      </w:r>
      <w:r>
        <w:rPr>
          <w:lang w:val="fr-FR"/>
        </w:rPr>
        <w:t xml:space="preserve">et les malades de </w:t>
      </w:r>
      <w:r w:rsidRPr="00466CE7">
        <w:rPr>
          <w:lang w:val="fr-FR"/>
        </w:rPr>
        <w:t xml:space="preserve">la tuberculose. </w:t>
      </w:r>
    </w:p>
    <w:p w14:paraId="4729D1DD" w14:textId="77777777" w:rsidR="009C6834" w:rsidRPr="00466CE7" w:rsidRDefault="009C6834" w:rsidP="009C6834">
      <w:pPr>
        <w:pStyle w:val="SingleTxtG"/>
        <w:rPr>
          <w:lang w:val="fr-FR"/>
        </w:rPr>
      </w:pPr>
      <w:r w:rsidRPr="00466CE7">
        <w:rPr>
          <w:lang w:val="fr-FR"/>
        </w:rPr>
        <w:t>26.</w:t>
      </w:r>
      <w:r w:rsidRPr="00466CE7">
        <w:rPr>
          <w:lang w:val="fr-FR"/>
        </w:rPr>
        <w:tab/>
        <w:t>Ces cas sont documentés et traités</w:t>
      </w:r>
      <w:r>
        <w:rPr>
          <w:lang w:val="fr-FR"/>
        </w:rPr>
        <w:t xml:space="preserve"> par les services </w:t>
      </w:r>
      <w:r w:rsidRPr="00466CE7">
        <w:rPr>
          <w:lang w:val="fr-FR"/>
        </w:rPr>
        <w:t xml:space="preserve">du Médiateur et </w:t>
      </w:r>
      <w:r>
        <w:rPr>
          <w:lang w:val="fr-FR"/>
        </w:rPr>
        <w:t>l’administration</w:t>
      </w:r>
      <w:r w:rsidRPr="00466CE7">
        <w:rPr>
          <w:lang w:val="fr-FR"/>
        </w:rPr>
        <w:t xml:space="preserve">. Parallèlement, les </w:t>
      </w:r>
      <w:r>
        <w:rPr>
          <w:lang w:val="fr-FR"/>
        </w:rPr>
        <w:t xml:space="preserve">aspects </w:t>
      </w:r>
      <w:r w:rsidRPr="00466CE7">
        <w:rPr>
          <w:lang w:val="fr-FR"/>
        </w:rPr>
        <w:t xml:space="preserve">juridiques </w:t>
      </w:r>
      <w:r>
        <w:rPr>
          <w:lang w:val="fr-FR"/>
        </w:rPr>
        <w:t xml:space="preserve">liés à la fourniture de </w:t>
      </w:r>
      <w:r w:rsidRPr="00466CE7">
        <w:rPr>
          <w:lang w:val="fr-FR"/>
        </w:rPr>
        <w:t xml:space="preserve">soins </w:t>
      </w:r>
      <w:r>
        <w:rPr>
          <w:lang w:val="fr-FR"/>
        </w:rPr>
        <w:t xml:space="preserve">de santé </w:t>
      </w:r>
      <w:r w:rsidRPr="00466CE7">
        <w:rPr>
          <w:lang w:val="fr-FR"/>
        </w:rPr>
        <w:t xml:space="preserve">et au </w:t>
      </w:r>
      <w:r>
        <w:rPr>
          <w:lang w:val="fr-FR"/>
        </w:rPr>
        <w:t xml:space="preserve">genre font partie du programme </w:t>
      </w:r>
      <w:r w:rsidRPr="00466CE7">
        <w:rPr>
          <w:lang w:val="fr-FR"/>
        </w:rPr>
        <w:t xml:space="preserve">de formation continue pré- et post-diplôme du </w:t>
      </w:r>
      <w:r>
        <w:rPr>
          <w:lang w:val="fr-FR"/>
        </w:rPr>
        <w:t>Ministère de la santé</w:t>
      </w:r>
      <w:r w:rsidRPr="00466CE7">
        <w:rPr>
          <w:lang w:val="fr-FR"/>
        </w:rPr>
        <w:t xml:space="preserve">, du </w:t>
      </w:r>
      <w:r>
        <w:rPr>
          <w:lang w:val="fr-FR"/>
        </w:rPr>
        <w:t>M</w:t>
      </w:r>
      <w:r w:rsidRPr="00466CE7">
        <w:rPr>
          <w:lang w:val="fr-FR"/>
        </w:rPr>
        <w:t>inistère de l</w:t>
      </w:r>
      <w:r>
        <w:rPr>
          <w:lang w:val="fr-FR"/>
        </w:rPr>
        <w:t>’</w:t>
      </w:r>
      <w:r w:rsidRPr="00466CE7">
        <w:rPr>
          <w:lang w:val="fr-FR"/>
        </w:rPr>
        <w:t>intérieur</w:t>
      </w:r>
      <w:r>
        <w:rPr>
          <w:lang w:val="fr-FR"/>
        </w:rPr>
        <w:t xml:space="preserve"> et</w:t>
      </w:r>
      <w:r w:rsidRPr="00466CE7">
        <w:rPr>
          <w:lang w:val="fr-FR"/>
        </w:rPr>
        <w:t xml:space="preserve"> du S</w:t>
      </w:r>
      <w:r>
        <w:rPr>
          <w:lang w:val="fr-FR"/>
        </w:rPr>
        <w:t>ervice national de l’administration pénitentiaire</w:t>
      </w:r>
      <w:r w:rsidRPr="00466CE7">
        <w:rPr>
          <w:lang w:val="fr-FR"/>
        </w:rPr>
        <w:t xml:space="preserve">, </w:t>
      </w:r>
      <w:r>
        <w:rPr>
          <w:lang w:val="fr-FR"/>
        </w:rPr>
        <w:t xml:space="preserve">et du programme </w:t>
      </w:r>
      <w:r w:rsidRPr="00466CE7">
        <w:rPr>
          <w:lang w:val="fr-FR"/>
        </w:rPr>
        <w:t>de formation des avocats, des procureurs et des juges.</w:t>
      </w:r>
    </w:p>
    <w:p w14:paraId="2A64D790" w14:textId="77777777" w:rsidR="009C6834" w:rsidRPr="00466CE7" w:rsidRDefault="009C6834" w:rsidP="009C6834">
      <w:pPr>
        <w:pStyle w:val="SingleTxtG"/>
        <w:rPr>
          <w:lang w:val="fr-FR"/>
        </w:rPr>
      </w:pPr>
      <w:r w:rsidRPr="00466CE7">
        <w:rPr>
          <w:lang w:val="fr-FR"/>
        </w:rPr>
        <w:lastRenderedPageBreak/>
        <w:t>27.</w:t>
      </w:r>
      <w:r w:rsidRPr="00466CE7">
        <w:rPr>
          <w:lang w:val="fr-FR"/>
        </w:rPr>
        <w:tab/>
      </w:r>
      <w:r>
        <w:rPr>
          <w:lang w:val="fr-FR"/>
        </w:rPr>
        <w:t>L</w:t>
      </w:r>
      <w:r w:rsidRPr="00466CE7">
        <w:rPr>
          <w:lang w:val="fr-FR"/>
        </w:rPr>
        <w:t>e Kirghizistan a rat</w:t>
      </w:r>
      <w:r>
        <w:rPr>
          <w:lang w:val="fr-FR"/>
        </w:rPr>
        <w:t xml:space="preserve">ifié en </w:t>
      </w:r>
      <w:r w:rsidRPr="00466CE7">
        <w:rPr>
          <w:lang w:val="fr-FR"/>
        </w:rPr>
        <w:t>mars 2019</w:t>
      </w:r>
      <w:r>
        <w:rPr>
          <w:lang w:val="fr-FR"/>
        </w:rPr>
        <w:t xml:space="preserve"> la Convention des Nations U</w:t>
      </w:r>
      <w:r w:rsidRPr="00466CE7">
        <w:rPr>
          <w:lang w:val="fr-FR"/>
        </w:rPr>
        <w:t xml:space="preserve">nies relative aux droits des personnes handicapées. </w:t>
      </w:r>
      <w:r>
        <w:rPr>
          <w:lang w:val="fr-FR"/>
        </w:rPr>
        <w:t>Il</w:t>
      </w:r>
      <w:r w:rsidRPr="00466CE7">
        <w:rPr>
          <w:lang w:val="fr-FR"/>
        </w:rPr>
        <w:t xml:space="preserve"> s</w:t>
      </w:r>
      <w:r>
        <w:rPr>
          <w:lang w:val="fr-FR"/>
        </w:rPr>
        <w:t>’</w:t>
      </w:r>
      <w:r w:rsidRPr="00466CE7">
        <w:rPr>
          <w:lang w:val="fr-FR"/>
        </w:rPr>
        <w:t>est engagé</w:t>
      </w:r>
      <w:r>
        <w:rPr>
          <w:lang w:val="fr-FR"/>
        </w:rPr>
        <w:t xml:space="preserve"> ce faisant</w:t>
      </w:r>
      <w:r w:rsidRPr="00466CE7">
        <w:rPr>
          <w:lang w:val="fr-FR"/>
        </w:rPr>
        <w:t xml:space="preserve"> à garantir et à promouvoir la pleine jouissance de tous les droits de l</w:t>
      </w:r>
      <w:r>
        <w:rPr>
          <w:lang w:val="fr-FR"/>
        </w:rPr>
        <w:t>’</w:t>
      </w:r>
      <w:r w:rsidRPr="00466CE7">
        <w:rPr>
          <w:lang w:val="fr-FR"/>
        </w:rPr>
        <w:t xml:space="preserve">homme et de toutes les libertés fondamentales </w:t>
      </w:r>
      <w:r>
        <w:rPr>
          <w:lang w:val="fr-FR"/>
        </w:rPr>
        <w:t xml:space="preserve">à </w:t>
      </w:r>
      <w:r w:rsidRPr="00466CE7">
        <w:rPr>
          <w:lang w:val="fr-FR"/>
        </w:rPr>
        <w:t xml:space="preserve">toutes les personnes handicapées, sans </w:t>
      </w:r>
      <w:r>
        <w:rPr>
          <w:lang w:val="fr-FR"/>
        </w:rPr>
        <w:t xml:space="preserve">aucune </w:t>
      </w:r>
      <w:r w:rsidRPr="00466CE7">
        <w:rPr>
          <w:lang w:val="fr-FR"/>
        </w:rPr>
        <w:t>discrimination fondée sur le handicap.</w:t>
      </w:r>
    </w:p>
    <w:p w14:paraId="79AE85B4" w14:textId="77777777" w:rsidR="009C6834" w:rsidRPr="00466CE7" w:rsidRDefault="009C6834" w:rsidP="009C6834">
      <w:pPr>
        <w:pStyle w:val="SingleTxtG"/>
        <w:rPr>
          <w:lang w:val="fr-FR"/>
        </w:rPr>
      </w:pPr>
      <w:r w:rsidRPr="00466CE7">
        <w:rPr>
          <w:lang w:val="fr-FR"/>
        </w:rPr>
        <w:t>28.</w:t>
      </w:r>
      <w:r w:rsidRPr="00466CE7">
        <w:rPr>
          <w:lang w:val="fr-FR"/>
        </w:rPr>
        <w:tab/>
        <w:t>Un projet de plan d</w:t>
      </w:r>
      <w:r>
        <w:rPr>
          <w:lang w:val="fr-FR"/>
        </w:rPr>
        <w:t>’</w:t>
      </w:r>
      <w:r w:rsidRPr="00466CE7">
        <w:rPr>
          <w:lang w:val="fr-FR"/>
        </w:rPr>
        <w:t>action prioritaire pour la mise en œuvre de la Convention relative aux droits des personnes handicapées a été élaboré</w:t>
      </w:r>
      <w:r w:rsidRPr="00090BFB">
        <w:rPr>
          <w:lang w:val="fr-FR"/>
        </w:rPr>
        <w:t xml:space="preserve"> </w:t>
      </w:r>
      <w:r w:rsidRPr="00466CE7">
        <w:rPr>
          <w:lang w:val="fr-FR"/>
        </w:rPr>
        <w:t xml:space="preserve">pour la période 2021-2023. Un programme </w:t>
      </w:r>
      <w:r>
        <w:rPr>
          <w:lang w:val="fr-FR"/>
        </w:rPr>
        <w:t xml:space="preserve">intitulé « Un pays accessible » a d’autre part </w:t>
      </w:r>
      <w:r w:rsidRPr="00466CE7">
        <w:rPr>
          <w:lang w:val="fr-FR"/>
        </w:rPr>
        <w:t>été</w:t>
      </w:r>
      <w:r>
        <w:rPr>
          <w:lang w:val="fr-FR"/>
        </w:rPr>
        <w:t xml:space="preserve"> mis au point</w:t>
      </w:r>
      <w:r w:rsidRPr="00466CE7">
        <w:rPr>
          <w:lang w:val="fr-FR"/>
        </w:rPr>
        <w:t xml:space="preserve"> </w:t>
      </w:r>
      <w:r>
        <w:rPr>
          <w:lang w:val="fr-FR"/>
        </w:rPr>
        <w:t xml:space="preserve">afin de </w:t>
      </w:r>
      <w:r w:rsidRPr="00466CE7">
        <w:rPr>
          <w:lang w:val="fr-FR"/>
        </w:rPr>
        <w:t xml:space="preserve">créer un environnement accessible </w:t>
      </w:r>
      <w:r>
        <w:rPr>
          <w:lang w:val="fr-FR"/>
        </w:rPr>
        <w:t xml:space="preserve">pour les </w:t>
      </w:r>
      <w:r w:rsidRPr="00466CE7">
        <w:rPr>
          <w:lang w:val="fr-FR"/>
        </w:rPr>
        <w:t xml:space="preserve">personnes handicapées. </w:t>
      </w:r>
    </w:p>
    <w:p w14:paraId="374C34CA" w14:textId="08340E47" w:rsidR="009C6834" w:rsidRPr="00466CE7" w:rsidRDefault="009C6834" w:rsidP="009C6834">
      <w:pPr>
        <w:pStyle w:val="SingleTxtG"/>
        <w:rPr>
          <w:lang w:val="fr-FR"/>
        </w:rPr>
      </w:pPr>
      <w:r w:rsidRPr="00466CE7">
        <w:rPr>
          <w:lang w:val="fr-FR"/>
        </w:rPr>
        <w:t>29.</w:t>
      </w:r>
      <w:r w:rsidRPr="00466CE7">
        <w:rPr>
          <w:lang w:val="fr-FR"/>
        </w:rPr>
        <w:tab/>
      </w:r>
      <w:r>
        <w:rPr>
          <w:lang w:val="fr-FR"/>
        </w:rPr>
        <w:t xml:space="preserve">La </w:t>
      </w:r>
      <w:r w:rsidRPr="00466CE7">
        <w:rPr>
          <w:lang w:val="fr-FR"/>
        </w:rPr>
        <w:t>Stratégie nationale de développement 2018-2040, approuvée par le décret présidentiel n</w:t>
      </w:r>
      <w:r w:rsidR="00CB4ECD" w:rsidRPr="00CB4ECD">
        <w:rPr>
          <w:vertAlign w:val="superscript"/>
          <w:lang w:val="fr-FR"/>
        </w:rPr>
        <w:t>o</w:t>
      </w:r>
      <w:r w:rsidR="00CB4ECD">
        <w:rPr>
          <w:lang w:val="fr-FR"/>
        </w:rPr>
        <w:t> </w:t>
      </w:r>
      <w:r w:rsidRPr="00466CE7">
        <w:rPr>
          <w:lang w:val="fr-FR"/>
        </w:rPr>
        <w:t>221 du 31</w:t>
      </w:r>
      <w:r w:rsidR="00CB4ECD">
        <w:rPr>
          <w:lang w:val="fr-FR"/>
        </w:rPr>
        <w:t> </w:t>
      </w:r>
      <w:r w:rsidRPr="00466CE7">
        <w:rPr>
          <w:lang w:val="fr-FR"/>
        </w:rPr>
        <w:t xml:space="preserve">octobre 2018, </w:t>
      </w:r>
      <w:r>
        <w:rPr>
          <w:lang w:val="fr-FR"/>
        </w:rPr>
        <w:t xml:space="preserve">prévoit la création de </w:t>
      </w:r>
      <w:r w:rsidRPr="00466CE7">
        <w:rPr>
          <w:lang w:val="fr-FR"/>
        </w:rPr>
        <w:t xml:space="preserve">conditions </w:t>
      </w:r>
      <w:r>
        <w:rPr>
          <w:lang w:val="fr-FR"/>
        </w:rPr>
        <w:t xml:space="preserve">devant permettre d’édifier une </w:t>
      </w:r>
      <w:r w:rsidRPr="00466CE7">
        <w:rPr>
          <w:lang w:val="fr-FR"/>
        </w:rPr>
        <w:t xml:space="preserve">société </w:t>
      </w:r>
      <w:r>
        <w:rPr>
          <w:lang w:val="fr-FR"/>
        </w:rPr>
        <w:t xml:space="preserve">dans laquelle </w:t>
      </w:r>
      <w:r w:rsidRPr="00466CE7">
        <w:rPr>
          <w:lang w:val="fr-FR"/>
        </w:rPr>
        <w:t>l</w:t>
      </w:r>
      <w:r>
        <w:rPr>
          <w:lang w:val="fr-FR"/>
        </w:rPr>
        <w:t>’appartenance ethnique</w:t>
      </w:r>
      <w:r w:rsidRPr="00466CE7">
        <w:rPr>
          <w:lang w:val="fr-FR"/>
        </w:rPr>
        <w:t>, régionale et tribale</w:t>
      </w:r>
      <w:r>
        <w:rPr>
          <w:lang w:val="fr-FR"/>
        </w:rPr>
        <w:t>,</w:t>
      </w:r>
      <w:r w:rsidRPr="00931D07">
        <w:rPr>
          <w:lang w:val="fr-FR"/>
        </w:rPr>
        <w:t xml:space="preserve"> </w:t>
      </w:r>
      <w:r w:rsidRPr="00466CE7">
        <w:rPr>
          <w:lang w:val="fr-FR"/>
        </w:rPr>
        <w:t>l</w:t>
      </w:r>
      <w:r>
        <w:rPr>
          <w:lang w:val="fr-FR"/>
        </w:rPr>
        <w:t>’</w:t>
      </w:r>
      <w:r w:rsidRPr="00466CE7">
        <w:rPr>
          <w:lang w:val="fr-FR"/>
        </w:rPr>
        <w:t>att</w:t>
      </w:r>
      <w:r>
        <w:rPr>
          <w:lang w:val="fr-FR"/>
        </w:rPr>
        <w:t>itude à l’égard de la religion</w:t>
      </w:r>
      <w:r w:rsidRPr="00466CE7">
        <w:rPr>
          <w:lang w:val="fr-FR"/>
        </w:rPr>
        <w:t xml:space="preserve"> et les autres différences culturelles des citoyens ne </w:t>
      </w:r>
      <w:r>
        <w:rPr>
          <w:lang w:val="fr-FR"/>
        </w:rPr>
        <w:t xml:space="preserve">constituent </w:t>
      </w:r>
      <w:r w:rsidRPr="00466CE7">
        <w:rPr>
          <w:lang w:val="fr-FR"/>
        </w:rPr>
        <w:t>pas des motifs de discrimination et n</w:t>
      </w:r>
      <w:r>
        <w:rPr>
          <w:lang w:val="fr-FR"/>
        </w:rPr>
        <w:t>’</w:t>
      </w:r>
      <w:r w:rsidRPr="00466CE7">
        <w:rPr>
          <w:lang w:val="fr-FR"/>
        </w:rPr>
        <w:t>influencent pas les processus politiques.</w:t>
      </w:r>
    </w:p>
    <w:p w14:paraId="01920087" w14:textId="77777777" w:rsidR="009C6834" w:rsidRPr="00466CE7" w:rsidRDefault="009C6834" w:rsidP="009C6834">
      <w:pPr>
        <w:pStyle w:val="SingleTxtG"/>
        <w:rPr>
          <w:lang w:val="fr-FR"/>
        </w:rPr>
      </w:pPr>
      <w:r w:rsidRPr="00466CE7">
        <w:rPr>
          <w:lang w:val="fr-FR"/>
        </w:rPr>
        <w:t>30.</w:t>
      </w:r>
      <w:r w:rsidRPr="00466CE7">
        <w:rPr>
          <w:lang w:val="fr-FR"/>
        </w:rPr>
        <w:tab/>
        <w:t xml:space="preserve">Afin de prévenir les pratiques inappropriées </w:t>
      </w:r>
      <w:r>
        <w:rPr>
          <w:lang w:val="fr-FR"/>
        </w:rPr>
        <w:t xml:space="preserve">au sein </w:t>
      </w:r>
      <w:r w:rsidRPr="00466CE7">
        <w:rPr>
          <w:lang w:val="fr-FR"/>
        </w:rPr>
        <w:t xml:space="preserve">des ministères et </w:t>
      </w:r>
      <w:r>
        <w:rPr>
          <w:lang w:val="fr-FR"/>
        </w:rPr>
        <w:t>administrations</w:t>
      </w:r>
      <w:r w:rsidRPr="00466CE7">
        <w:rPr>
          <w:lang w:val="fr-FR"/>
        </w:rPr>
        <w:t xml:space="preserve">, des caméras de </w:t>
      </w:r>
      <w:proofErr w:type="spellStart"/>
      <w:r w:rsidRPr="00466CE7">
        <w:rPr>
          <w:lang w:val="fr-FR"/>
        </w:rPr>
        <w:t>vidéosurveillance</w:t>
      </w:r>
      <w:proofErr w:type="spellEnd"/>
      <w:r w:rsidRPr="00466CE7">
        <w:rPr>
          <w:lang w:val="fr-FR"/>
        </w:rPr>
        <w:t xml:space="preserve"> ont été installées dans la plupart des organisations pour veiller </w:t>
      </w:r>
      <w:r>
        <w:rPr>
          <w:lang w:val="fr-FR"/>
        </w:rPr>
        <w:t xml:space="preserve">au respect des </w:t>
      </w:r>
      <w:r w:rsidRPr="00466CE7">
        <w:rPr>
          <w:lang w:val="fr-FR"/>
        </w:rPr>
        <w:t xml:space="preserve">droits des citoyens, améliorer la qualité des services publics et </w:t>
      </w:r>
      <w:r>
        <w:rPr>
          <w:lang w:val="fr-FR"/>
        </w:rPr>
        <w:t xml:space="preserve">lutter contre </w:t>
      </w:r>
      <w:r w:rsidRPr="00466CE7">
        <w:rPr>
          <w:lang w:val="fr-FR"/>
        </w:rPr>
        <w:t>la discrimination.</w:t>
      </w:r>
    </w:p>
    <w:p w14:paraId="592AF809" w14:textId="77777777" w:rsidR="009C6834" w:rsidRPr="00466CE7" w:rsidRDefault="009C6834" w:rsidP="009C6834">
      <w:pPr>
        <w:pStyle w:val="SingleTxtG"/>
        <w:rPr>
          <w:lang w:val="fr-FR"/>
        </w:rPr>
      </w:pPr>
      <w:r w:rsidRPr="00466CE7">
        <w:rPr>
          <w:lang w:val="fr-FR"/>
        </w:rPr>
        <w:t>31.</w:t>
      </w:r>
      <w:r w:rsidRPr="00466CE7">
        <w:rPr>
          <w:lang w:val="fr-FR"/>
        </w:rPr>
        <w:tab/>
        <w:t xml:space="preserve">Le </w:t>
      </w:r>
      <w:r>
        <w:rPr>
          <w:lang w:val="fr-FR"/>
        </w:rPr>
        <w:t>B</w:t>
      </w:r>
      <w:r w:rsidRPr="00466CE7">
        <w:rPr>
          <w:lang w:val="fr-FR"/>
        </w:rPr>
        <w:t xml:space="preserve">ureau du procureur a approuvé une instruction </w:t>
      </w:r>
      <w:r>
        <w:rPr>
          <w:lang w:val="fr-FR"/>
        </w:rPr>
        <w:t xml:space="preserve">relative à l’action des organes du parquet auprès des </w:t>
      </w:r>
      <w:r w:rsidRPr="00466CE7">
        <w:rPr>
          <w:lang w:val="fr-FR"/>
        </w:rPr>
        <w:t xml:space="preserve">groupes vulnérables dans le cadre de la prévention du VIH, qui </w:t>
      </w:r>
      <w:r>
        <w:rPr>
          <w:lang w:val="fr-FR"/>
        </w:rPr>
        <w:t xml:space="preserve">prévoit un ensemble de mesures antidiscriminatoires pour les groupes vulnérables </w:t>
      </w:r>
      <w:r w:rsidRPr="00466CE7">
        <w:rPr>
          <w:lang w:val="fr-FR"/>
        </w:rPr>
        <w:t>ainsi qu</w:t>
      </w:r>
      <w:r>
        <w:rPr>
          <w:lang w:val="fr-FR"/>
        </w:rPr>
        <w:t>’</w:t>
      </w:r>
      <w:r w:rsidRPr="00466CE7">
        <w:rPr>
          <w:lang w:val="fr-FR"/>
        </w:rPr>
        <w:t xml:space="preserve">un module de formation </w:t>
      </w:r>
      <w:r>
        <w:rPr>
          <w:lang w:val="fr-FR"/>
        </w:rPr>
        <w:t xml:space="preserve">mettant en avant la spécificité du contrôle par le </w:t>
      </w:r>
      <w:r w:rsidRPr="00466CE7">
        <w:rPr>
          <w:lang w:val="fr-FR"/>
        </w:rPr>
        <w:t xml:space="preserve">ministère public </w:t>
      </w:r>
      <w:r>
        <w:rPr>
          <w:lang w:val="fr-FR"/>
        </w:rPr>
        <w:t xml:space="preserve">de </w:t>
      </w:r>
      <w:r w:rsidRPr="00466CE7">
        <w:rPr>
          <w:lang w:val="fr-FR"/>
        </w:rPr>
        <w:t>l</w:t>
      </w:r>
      <w:r>
        <w:rPr>
          <w:lang w:val="fr-FR"/>
        </w:rPr>
        <w:t>’</w:t>
      </w:r>
      <w:r w:rsidRPr="00466CE7">
        <w:rPr>
          <w:lang w:val="fr-FR"/>
        </w:rPr>
        <w:t xml:space="preserve">application de la législation sur les </w:t>
      </w:r>
      <w:r>
        <w:rPr>
          <w:lang w:val="fr-FR"/>
        </w:rPr>
        <w:t xml:space="preserve">garanties et les </w:t>
      </w:r>
      <w:r w:rsidRPr="00466CE7">
        <w:rPr>
          <w:lang w:val="fr-FR"/>
        </w:rPr>
        <w:t xml:space="preserve">droits </w:t>
      </w:r>
      <w:r>
        <w:rPr>
          <w:lang w:val="fr-FR"/>
        </w:rPr>
        <w:t xml:space="preserve">des </w:t>
      </w:r>
      <w:r w:rsidRPr="00466CE7">
        <w:rPr>
          <w:lang w:val="fr-FR"/>
        </w:rPr>
        <w:t xml:space="preserve">personnes handicapées, </w:t>
      </w:r>
      <w:r>
        <w:rPr>
          <w:lang w:val="fr-FR"/>
        </w:rPr>
        <w:t xml:space="preserve">notamment en ce qui concerne les </w:t>
      </w:r>
      <w:r w:rsidRPr="00466CE7">
        <w:rPr>
          <w:lang w:val="fr-FR"/>
        </w:rPr>
        <w:t>femmes handicapées</w:t>
      </w:r>
      <w:r w:rsidRPr="009C14B5">
        <w:rPr>
          <w:rStyle w:val="Appelnotedebasdep"/>
        </w:rPr>
        <w:footnoteReference w:id="3"/>
      </w:r>
      <w:r w:rsidRPr="00466CE7">
        <w:rPr>
          <w:lang w:val="fr-FR"/>
        </w:rPr>
        <w:t>.</w:t>
      </w:r>
    </w:p>
    <w:p w14:paraId="607A4590" w14:textId="77777777" w:rsidR="009C6834" w:rsidRPr="00466CE7" w:rsidRDefault="009C6834" w:rsidP="009C6834">
      <w:pPr>
        <w:pStyle w:val="SingleTxtG"/>
        <w:rPr>
          <w:lang w:val="fr-FR"/>
        </w:rPr>
      </w:pPr>
      <w:r w:rsidRPr="00466CE7">
        <w:rPr>
          <w:lang w:val="fr-FR"/>
        </w:rPr>
        <w:t>32.</w:t>
      </w:r>
      <w:r w:rsidRPr="00466CE7">
        <w:rPr>
          <w:lang w:val="fr-FR"/>
        </w:rPr>
        <w:tab/>
        <w:t>La nature spécifique</w:t>
      </w:r>
      <w:r>
        <w:rPr>
          <w:lang w:val="fr-FR"/>
        </w:rPr>
        <w:t xml:space="preserve"> de l’action menée auprès des </w:t>
      </w:r>
      <w:r w:rsidRPr="00466CE7">
        <w:rPr>
          <w:lang w:val="fr-FR"/>
        </w:rPr>
        <w:t xml:space="preserve">groupes vulnérables, </w:t>
      </w:r>
      <w:r>
        <w:rPr>
          <w:lang w:val="fr-FR"/>
        </w:rPr>
        <w:t xml:space="preserve">notamment des </w:t>
      </w:r>
      <w:r w:rsidRPr="00466CE7">
        <w:rPr>
          <w:lang w:val="fr-FR"/>
        </w:rPr>
        <w:t>femmes</w:t>
      </w:r>
      <w:r>
        <w:rPr>
          <w:lang w:val="fr-FR"/>
        </w:rPr>
        <w:t>,</w:t>
      </w:r>
      <w:r w:rsidRPr="00466CE7">
        <w:rPr>
          <w:lang w:val="fr-FR"/>
        </w:rPr>
        <w:t xml:space="preserve"> et </w:t>
      </w:r>
      <w:r>
        <w:rPr>
          <w:lang w:val="fr-FR"/>
        </w:rPr>
        <w:t xml:space="preserve">contre </w:t>
      </w:r>
      <w:r w:rsidRPr="00466CE7">
        <w:rPr>
          <w:lang w:val="fr-FR"/>
        </w:rPr>
        <w:t xml:space="preserve">les formes de violence croisées, est </w:t>
      </w:r>
      <w:r>
        <w:rPr>
          <w:lang w:val="fr-FR"/>
        </w:rPr>
        <w:t xml:space="preserve">prise en compte </w:t>
      </w:r>
      <w:r w:rsidRPr="00466CE7">
        <w:rPr>
          <w:lang w:val="fr-FR"/>
        </w:rPr>
        <w:t xml:space="preserve">dans les </w:t>
      </w:r>
      <w:r>
        <w:rPr>
          <w:lang w:val="fr-FR"/>
        </w:rPr>
        <w:t>textes</w:t>
      </w:r>
      <w:r w:rsidRPr="00466CE7">
        <w:rPr>
          <w:lang w:val="fr-FR"/>
        </w:rPr>
        <w:t xml:space="preserve"> </w:t>
      </w:r>
      <w:r>
        <w:rPr>
          <w:lang w:val="fr-FR"/>
        </w:rPr>
        <w:t xml:space="preserve">réglementant l’activité </w:t>
      </w:r>
      <w:r w:rsidRPr="00466CE7">
        <w:rPr>
          <w:lang w:val="fr-FR"/>
        </w:rPr>
        <w:t xml:space="preserve">des </w:t>
      </w:r>
      <w:r>
        <w:rPr>
          <w:lang w:val="fr-FR"/>
        </w:rPr>
        <w:t>services du Ministère de l’intérieur</w:t>
      </w:r>
      <w:r w:rsidRPr="009C14B5">
        <w:rPr>
          <w:rStyle w:val="Appelnotedebasdep"/>
        </w:rPr>
        <w:footnoteReference w:id="4"/>
      </w:r>
      <w:r w:rsidRPr="00466CE7">
        <w:rPr>
          <w:lang w:val="fr-FR"/>
        </w:rPr>
        <w:t xml:space="preserve">. </w:t>
      </w:r>
      <w:r>
        <w:rPr>
          <w:lang w:val="fr-FR"/>
        </w:rPr>
        <w:t>L</w:t>
      </w:r>
      <w:r w:rsidRPr="00466CE7">
        <w:rPr>
          <w:lang w:val="fr-FR"/>
        </w:rPr>
        <w:t>e</w:t>
      </w:r>
      <w:r>
        <w:rPr>
          <w:lang w:val="fr-FR"/>
        </w:rPr>
        <w:t xml:space="preserve">s agents de ces services sont </w:t>
      </w:r>
      <w:r w:rsidRPr="00466CE7">
        <w:rPr>
          <w:lang w:val="fr-FR"/>
        </w:rPr>
        <w:t>tenu</w:t>
      </w:r>
      <w:r>
        <w:rPr>
          <w:lang w:val="fr-FR"/>
        </w:rPr>
        <w:t>s</w:t>
      </w:r>
      <w:r w:rsidRPr="00466CE7">
        <w:rPr>
          <w:lang w:val="fr-FR"/>
        </w:rPr>
        <w:t xml:space="preserve"> </w:t>
      </w:r>
      <w:r>
        <w:rPr>
          <w:lang w:val="fr-FR"/>
        </w:rPr>
        <w:t xml:space="preserve">en particulier </w:t>
      </w:r>
      <w:r w:rsidRPr="00466CE7">
        <w:rPr>
          <w:lang w:val="fr-FR"/>
        </w:rPr>
        <w:t xml:space="preserve">de veiller à </w:t>
      </w:r>
      <w:r>
        <w:rPr>
          <w:lang w:val="fr-FR"/>
        </w:rPr>
        <w:t xml:space="preserve">garantir </w:t>
      </w:r>
      <w:r w:rsidRPr="00466CE7">
        <w:rPr>
          <w:lang w:val="fr-FR"/>
        </w:rPr>
        <w:t>l</w:t>
      </w:r>
      <w:r>
        <w:rPr>
          <w:lang w:val="fr-FR"/>
        </w:rPr>
        <w:t>’</w:t>
      </w:r>
      <w:r w:rsidRPr="00466CE7">
        <w:rPr>
          <w:lang w:val="fr-FR"/>
        </w:rPr>
        <w:t>égalité d</w:t>
      </w:r>
      <w:r>
        <w:rPr>
          <w:lang w:val="fr-FR"/>
        </w:rPr>
        <w:t>’</w:t>
      </w:r>
      <w:r w:rsidRPr="00466CE7">
        <w:rPr>
          <w:lang w:val="fr-FR"/>
        </w:rPr>
        <w:t xml:space="preserve">accès à la justice </w:t>
      </w:r>
      <w:r>
        <w:rPr>
          <w:lang w:val="fr-FR"/>
        </w:rPr>
        <w:t xml:space="preserve">aux </w:t>
      </w:r>
      <w:r w:rsidRPr="00466CE7">
        <w:rPr>
          <w:lang w:val="fr-FR"/>
        </w:rPr>
        <w:t xml:space="preserve">femmes appartenant à des groupes vulnérables, notamment </w:t>
      </w:r>
      <w:r>
        <w:rPr>
          <w:lang w:val="fr-FR"/>
        </w:rPr>
        <w:t>aux femmes handicapées</w:t>
      </w:r>
      <w:r w:rsidRPr="00466CE7">
        <w:rPr>
          <w:lang w:val="fr-FR"/>
        </w:rPr>
        <w:t>, sortant de prison, alcooliques, t</w:t>
      </w:r>
      <w:r>
        <w:rPr>
          <w:lang w:val="fr-FR"/>
        </w:rPr>
        <w:t>oxicomanes, LGBT, travailleu</w:t>
      </w:r>
      <w:r w:rsidRPr="00466CE7">
        <w:rPr>
          <w:lang w:val="fr-FR"/>
        </w:rPr>
        <w:t>s</w:t>
      </w:r>
      <w:r>
        <w:rPr>
          <w:lang w:val="fr-FR"/>
        </w:rPr>
        <w:t>es</w:t>
      </w:r>
      <w:r w:rsidRPr="00466CE7">
        <w:rPr>
          <w:lang w:val="fr-FR"/>
        </w:rPr>
        <w:t xml:space="preserve"> du sexe, etc. </w:t>
      </w:r>
    </w:p>
    <w:p w14:paraId="4DCB97E1" w14:textId="70ACD03A" w:rsidR="009C6834" w:rsidRDefault="009C6834" w:rsidP="00CB4ECD">
      <w:pPr>
        <w:pStyle w:val="H1G"/>
        <w:rPr>
          <w:lang w:val="fr-FR"/>
        </w:rPr>
      </w:pPr>
      <w:r w:rsidRPr="00466CE7">
        <w:rPr>
          <w:lang w:val="fr-FR"/>
        </w:rPr>
        <w:tab/>
      </w:r>
      <w:r w:rsidRPr="00466CE7">
        <w:rPr>
          <w:lang w:val="fr-FR"/>
        </w:rPr>
        <w:tab/>
      </w:r>
      <w:r w:rsidR="00CB4ECD">
        <w:rPr>
          <w:lang w:val="fr-FR"/>
        </w:rPr>
        <w:t>Article </w:t>
      </w:r>
      <w:r>
        <w:rPr>
          <w:lang w:val="fr-FR"/>
        </w:rPr>
        <w:t>6</w:t>
      </w:r>
      <w:r>
        <w:rPr>
          <w:lang w:val="fr-FR"/>
        </w:rPr>
        <w:br/>
        <w:t>Conditions favorables à l’activité de la société civile</w:t>
      </w:r>
    </w:p>
    <w:p w14:paraId="168E622A" w14:textId="77777777" w:rsidR="009C6834" w:rsidRPr="00466CE7" w:rsidRDefault="009C6834" w:rsidP="009C6834">
      <w:pPr>
        <w:pStyle w:val="SingleTxtG"/>
        <w:rPr>
          <w:lang w:val="fr-FR"/>
        </w:rPr>
      </w:pPr>
      <w:r w:rsidRPr="00466CE7">
        <w:rPr>
          <w:lang w:val="fr-FR"/>
        </w:rPr>
        <w:t>33.</w:t>
      </w:r>
      <w:r w:rsidRPr="00466CE7">
        <w:rPr>
          <w:lang w:val="fr-FR"/>
        </w:rPr>
        <w:tab/>
        <w:t>En 2014, un projet de loi a</w:t>
      </w:r>
      <w:r>
        <w:rPr>
          <w:lang w:val="fr-FR"/>
        </w:rPr>
        <w:t>vait</w:t>
      </w:r>
      <w:r w:rsidRPr="00466CE7">
        <w:rPr>
          <w:lang w:val="fr-FR"/>
        </w:rPr>
        <w:t xml:space="preserve"> été </w:t>
      </w:r>
      <w:r>
        <w:rPr>
          <w:lang w:val="fr-FR"/>
        </w:rPr>
        <w:t xml:space="preserve">élaboré en vue de </w:t>
      </w:r>
      <w:r w:rsidRPr="00466CE7">
        <w:rPr>
          <w:lang w:val="fr-FR"/>
        </w:rPr>
        <w:t xml:space="preserve">modifier la loi </w:t>
      </w:r>
      <w:r>
        <w:rPr>
          <w:lang w:val="fr-FR"/>
        </w:rPr>
        <w:t xml:space="preserve">relative aux </w:t>
      </w:r>
      <w:r w:rsidRPr="00466CE7">
        <w:rPr>
          <w:lang w:val="fr-FR"/>
        </w:rPr>
        <w:t>organisations à but non lucratif</w:t>
      </w:r>
      <w:r>
        <w:rPr>
          <w:lang w:val="fr-FR"/>
        </w:rPr>
        <w:t xml:space="preserve"> pour interdire les organisations qui n’étaient pas enregistrées</w:t>
      </w:r>
      <w:r w:rsidRPr="00466CE7">
        <w:rPr>
          <w:lang w:val="fr-FR"/>
        </w:rPr>
        <w:t>.</w:t>
      </w:r>
    </w:p>
    <w:p w14:paraId="6F58AD69" w14:textId="77777777" w:rsidR="009C6834" w:rsidRPr="00466CE7" w:rsidRDefault="009C6834" w:rsidP="009C6834">
      <w:pPr>
        <w:pStyle w:val="SingleTxtG"/>
        <w:rPr>
          <w:lang w:val="fr-FR"/>
        </w:rPr>
      </w:pPr>
      <w:r w:rsidRPr="00466CE7">
        <w:rPr>
          <w:lang w:val="fr-FR"/>
        </w:rPr>
        <w:t>34.</w:t>
      </w:r>
      <w:r w:rsidRPr="00466CE7">
        <w:rPr>
          <w:lang w:val="fr-FR"/>
        </w:rPr>
        <w:tab/>
      </w:r>
      <w:r>
        <w:rPr>
          <w:lang w:val="fr-FR"/>
        </w:rPr>
        <w:t xml:space="preserve">Il s’agissait de </w:t>
      </w:r>
      <w:r w:rsidRPr="00466CE7">
        <w:rPr>
          <w:lang w:val="fr-FR"/>
        </w:rPr>
        <w:t xml:space="preserve">restreindre </w:t>
      </w:r>
      <w:r>
        <w:rPr>
          <w:lang w:val="fr-FR"/>
        </w:rPr>
        <w:t xml:space="preserve">l’activité de certaines organisations à but non lucratif </w:t>
      </w:r>
      <w:r w:rsidRPr="00466CE7">
        <w:rPr>
          <w:lang w:val="fr-FR"/>
        </w:rPr>
        <w:t>locales et internationales</w:t>
      </w:r>
      <w:r>
        <w:rPr>
          <w:lang w:val="fr-FR"/>
        </w:rPr>
        <w:t xml:space="preserve"> </w:t>
      </w:r>
      <w:r w:rsidRPr="00466CE7">
        <w:rPr>
          <w:lang w:val="fr-FR"/>
        </w:rPr>
        <w:t xml:space="preserve">en </w:t>
      </w:r>
      <w:r>
        <w:rPr>
          <w:lang w:val="fr-FR"/>
        </w:rPr>
        <w:t>les qualifiant d’« </w:t>
      </w:r>
      <w:r w:rsidRPr="00466CE7">
        <w:rPr>
          <w:lang w:val="fr-FR"/>
        </w:rPr>
        <w:t xml:space="preserve">agents </w:t>
      </w:r>
      <w:r>
        <w:rPr>
          <w:lang w:val="fr-FR"/>
        </w:rPr>
        <w:t>de l’étranger »</w:t>
      </w:r>
      <w:r w:rsidRPr="00466CE7">
        <w:rPr>
          <w:lang w:val="fr-FR"/>
        </w:rPr>
        <w:t xml:space="preserve"> et en </w:t>
      </w:r>
      <w:r>
        <w:rPr>
          <w:lang w:val="fr-FR"/>
        </w:rPr>
        <w:t xml:space="preserve">contrôlant </w:t>
      </w:r>
      <w:r w:rsidRPr="00466CE7">
        <w:rPr>
          <w:lang w:val="fr-FR"/>
        </w:rPr>
        <w:t>leurs activités, l</w:t>
      </w:r>
      <w:r>
        <w:rPr>
          <w:lang w:val="fr-FR"/>
        </w:rPr>
        <w:t>’</w:t>
      </w:r>
      <w:r w:rsidRPr="00466CE7">
        <w:rPr>
          <w:lang w:val="fr-FR"/>
        </w:rPr>
        <w:t>organ</w:t>
      </w:r>
      <w:r>
        <w:rPr>
          <w:lang w:val="fr-FR"/>
        </w:rPr>
        <w:t xml:space="preserve">e public chargé de leur </w:t>
      </w:r>
      <w:r w:rsidRPr="00466CE7">
        <w:rPr>
          <w:lang w:val="fr-FR"/>
        </w:rPr>
        <w:t xml:space="preserve">enregistrement </w:t>
      </w:r>
      <w:r>
        <w:rPr>
          <w:lang w:val="fr-FR"/>
        </w:rPr>
        <w:t xml:space="preserve">devant pouvoir leur </w:t>
      </w:r>
      <w:r w:rsidRPr="00466CE7">
        <w:rPr>
          <w:lang w:val="fr-FR"/>
        </w:rPr>
        <w:t xml:space="preserve">demander des informations sur </w:t>
      </w:r>
      <w:r>
        <w:rPr>
          <w:lang w:val="fr-FR"/>
        </w:rPr>
        <w:t xml:space="preserve">leurs </w:t>
      </w:r>
      <w:r w:rsidRPr="00466CE7">
        <w:rPr>
          <w:lang w:val="fr-FR"/>
        </w:rPr>
        <w:t xml:space="preserve">activités, </w:t>
      </w:r>
      <w:r>
        <w:rPr>
          <w:lang w:val="fr-FR"/>
        </w:rPr>
        <w:t xml:space="preserve">procéder à des contrôles </w:t>
      </w:r>
      <w:r w:rsidRPr="00466CE7">
        <w:rPr>
          <w:lang w:val="fr-FR"/>
        </w:rPr>
        <w:t xml:space="preserve">et </w:t>
      </w:r>
      <w:r>
        <w:rPr>
          <w:lang w:val="fr-FR"/>
        </w:rPr>
        <w:t xml:space="preserve">les </w:t>
      </w:r>
      <w:r w:rsidRPr="00466CE7">
        <w:rPr>
          <w:lang w:val="fr-FR"/>
        </w:rPr>
        <w:t xml:space="preserve">suspendre pendant six mois. </w:t>
      </w:r>
    </w:p>
    <w:p w14:paraId="38019247" w14:textId="2A8525D1" w:rsidR="009C6834" w:rsidRPr="00466CE7" w:rsidRDefault="009C6834" w:rsidP="009C6834">
      <w:pPr>
        <w:pStyle w:val="SingleTxtG"/>
        <w:rPr>
          <w:lang w:val="fr-FR"/>
        </w:rPr>
      </w:pPr>
      <w:r w:rsidRPr="00466CE7">
        <w:rPr>
          <w:lang w:val="fr-FR"/>
        </w:rPr>
        <w:t>35.</w:t>
      </w:r>
      <w:r w:rsidRPr="00466CE7">
        <w:rPr>
          <w:lang w:val="fr-FR"/>
        </w:rPr>
        <w:tab/>
      </w:r>
      <w:r>
        <w:rPr>
          <w:lang w:val="fr-FR"/>
        </w:rPr>
        <w:t xml:space="preserve">Ce </w:t>
      </w:r>
      <w:r w:rsidRPr="00466CE7">
        <w:rPr>
          <w:lang w:val="fr-FR"/>
        </w:rPr>
        <w:t>pro</w:t>
      </w:r>
      <w:r>
        <w:rPr>
          <w:lang w:val="fr-FR"/>
        </w:rPr>
        <w:t>jet de loi a été rejeté par le P</w:t>
      </w:r>
      <w:r w:rsidRPr="00466CE7">
        <w:rPr>
          <w:lang w:val="fr-FR"/>
        </w:rPr>
        <w:t>arlement le 12</w:t>
      </w:r>
      <w:r w:rsidR="00CB4ECD">
        <w:rPr>
          <w:lang w:val="fr-FR"/>
        </w:rPr>
        <w:t> </w:t>
      </w:r>
      <w:r w:rsidRPr="00466CE7">
        <w:rPr>
          <w:lang w:val="fr-FR"/>
        </w:rPr>
        <w:t xml:space="preserve">mai 2016. </w:t>
      </w:r>
    </w:p>
    <w:p w14:paraId="2F556E75" w14:textId="304E63B3" w:rsidR="009C6834" w:rsidRPr="00466CE7" w:rsidRDefault="009C6834" w:rsidP="009C6834">
      <w:pPr>
        <w:pStyle w:val="SingleTxtG"/>
        <w:rPr>
          <w:lang w:val="fr-FR"/>
        </w:rPr>
      </w:pPr>
      <w:r w:rsidRPr="00466CE7">
        <w:rPr>
          <w:lang w:val="fr-FR"/>
        </w:rPr>
        <w:t>36.</w:t>
      </w:r>
      <w:r w:rsidRPr="00466CE7">
        <w:rPr>
          <w:lang w:val="fr-FR"/>
        </w:rPr>
        <w:tab/>
      </w:r>
      <w:r>
        <w:rPr>
          <w:lang w:val="fr-FR"/>
        </w:rPr>
        <w:t>A la date du 28</w:t>
      </w:r>
      <w:r w:rsidR="00CB4ECD">
        <w:rPr>
          <w:lang w:val="fr-FR"/>
        </w:rPr>
        <w:t> </w:t>
      </w:r>
      <w:r>
        <w:rPr>
          <w:lang w:val="fr-FR"/>
        </w:rPr>
        <w:t xml:space="preserve">octobre 2020, on comptait dans </w:t>
      </w:r>
      <w:r w:rsidRPr="00466CE7">
        <w:rPr>
          <w:lang w:val="fr-FR"/>
        </w:rPr>
        <w:t>le pays</w:t>
      </w:r>
      <w:r>
        <w:rPr>
          <w:lang w:val="fr-FR"/>
        </w:rPr>
        <w:t xml:space="preserve"> </w:t>
      </w:r>
      <w:r w:rsidRPr="00466CE7">
        <w:rPr>
          <w:lang w:val="fr-FR"/>
        </w:rPr>
        <w:t>29</w:t>
      </w:r>
      <w:r w:rsidR="00CB4ECD">
        <w:rPr>
          <w:lang w:val="fr-FR"/>
        </w:rPr>
        <w:t> </w:t>
      </w:r>
      <w:r w:rsidRPr="00466CE7">
        <w:rPr>
          <w:lang w:val="fr-FR"/>
        </w:rPr>
        <w:t>439</w:t>
      </w:r>
      <w:r w:rsidR="00CB4ECD">
        <w:rPr>
          <w:lang w:val="fr-FR"/>
        </w:rPr>
        <w:t> </w:t>
      </w:r>
      <w:r>
        <w:rPr>
          <w:lang w:val="fr-FR"/>
        </w:rPr>
        <w:t>organisations à but non lucratif</w:t>
      </w:r>
      <w:r w:rsidRPr="00466CE7">
        <w:rPr>
          <w:lang w:val="fr-FR"/>
        </w:rPr>
        <w:t xml:space="preserve">. </w:t>
      </w:r>
      <w:r>
        <w:rPr>
          <w:lang w:val="fr-FR"/>
        </w:rPr>
        <w:t xml:space="preserve">Ces organisations </w:t>
      </w:r>
      <w:r w:rsidRPr="00466CE7">
        <w:rPr>
          <w:lang w:val="fr-FR"/>
        </w:rPr>
        <w:t>participent activement au dialogue national sur les problèmes d</w:t>
      </w:r>
      <w:r>
        <w:rPr>
          <w:lang w:val="fr-FR"/>
        </w:rPr>
        <w:t>e</w:t>
      </w:r>
      <w:r w:rsidRPr="00466CE7">
        <w:rPr>
          <w:lang w:val="fr-FR"/>
        </w:rPr>
        <w:t xml:space="preserve"> développement du pays</w:t>
      </w:r>
      <w:r w:rsidRPr="00173C5A">
        <w:rPr>
          <w:lang w:val="fr-FR"/>
        </w:rPr>
        <w:t xml:space="preserve"> </w:t>
      </w:r>
      <w:r w:rsidRPr="00466CE7">
        <w:rPr>
          <w:lang w:val="fr-FR"/>
        </w:rPr>
        <w:t xml:space="preserve">les plus </w:t>
      </w:r>
      <w:r>
        <w:rPr>
          <w:lang w:val="fr-FR"/>
        </w:rPr>
        <w:t>pressants</w:t>
      </w:r>
      <w:r w:rsidRPr="00466CE7">
        <w:rPr>
          <w:lang w:val="fr-FR"/>
        </w:rPr>
        <w:t xml:space="preserve">, </w:t>
      </w:r>
      <w:r>
        <w:rPr>
          <w:lang w:val="fr-FR"/>
        </w:rPr>
        <w:t xml:space="preserve">prennent part à des auditions </w:t>
      </w:r>
      <w:r w:rsidRPr="00466CE7">
        <w:rPr>
          <w:lang w:val="fr-FR"/>
        </w:rPr>
        <w:t xml:space="preserve">parlementaires et autres </w:t>
      </w:r>
      <w:r>
        <w:rPr>
          <w:lang w:val="fr-FR"/>
        </w:rPr>
        <w:t>auditions publiques</w:t>
      </w:r>
      <w:r w:rsidRPr="00466CE7">
        <w:rPr>
          <w:lang w:val="fr-FR"/>
        </w:rPr>
        <w:t xml:space="preserve"> et </w:t>
      </w:r>
      <w:r>
        <w:rPr>
          <w:lang w:val="fr-FR"/>
        </w:rPr>
        <w:t xml:space="preserve">font valoir </w:t>
      </w:r>
      <w:r w:rsidRPr="00466CE7">
        <w:rPr>
          <w:lang w:val="fr-FR"/>
        </w:rPr>
        <w:t xml:space="preserve">leur position sur </w:t>
      </w:r>
      <w:r>
        <w:rPr>
          <w:lang w:val="fr-FR"/>
        </w:rPr>
        <w:t>d</w:t>
      </w:r>
      <w:r w:rsidRPr="00466CE7">
        <w:rPr>
          <w:lang w:val="fr-FR"/>
        </w:rPr>
        <w:t xml:space="preserve">es </w:t>
      </w:r>
      <w:r>
        <w:rPr>
          <w:lang w:val="fr-FR"/>
        </w:rPr>
        <w:t>problèmes d’actualité</w:t>
      </w:r>
      <w:r w:rsidRPr="00466CE7">
        <w:rPr>
          <w:lang w:val="fr-FR"/>
        </w:rPr>
        <w:t xml:space="preserve">. </w:t>
      </w:r>
    </w:p>
    <w:p w14:paraId="7B7B4EF9" w14:textId="77777777" w:rsidR="009C6834" w:rsidRPr="00466CE7" w:rsidRDefault="009C6834" w:rsidP="009C6834">
      <w:pPr>
        <w:pStyle w:val="SingleTxtG"/>
        <w:rPr>
          <w:lang w:val="fr-FR"/>
        </w:rPr>
      </w:pPr>
      <w:r w:rsidRPr="00466CE7">
        <w:rPr>
          <w:lang w:val="fr-FR"/>
        </w:rPr>
        <w:lastRenderedPageBreak/>
        <w:t>37.</w:t>
      </w:r>
      <w:r>
        <w:rPr>
          <w:lang w:val="fr-FR"/>
        </w:rPr>
        <w:tab/>
        <w:t xml:space="preserve">On compte des représentants de la société civile dans les </w:t>
      </w:r>
      <w:r w:rsidRPr="00466CE7">
        <w:rPr>
          <w:lang w:val="fr-FR"/>
        </w:rPr>
        <w:t>consei</w:t>
      </w:r>
      <w:r>
        <w:rPr>
          <w:lang w:val="fr-FR"/>
        </w:rPr>
        <w:t>ls de surveillance publique relevant de</w:t>
      </w:r>
      <w:r w:rsidRPr="00466CE7">
        <w:rPr>
          <w:lang w:val="fr-FR"/>
        </w:rPr>
        <w:t xml:space="preserve"> ministères et </w:t>
      </w:r>
      <w:r>
        <w:rPr>
          <w:lang w:val="fr-FR"/>
        </w:rPr>
        <w:t>d’administrations</w:t>
      </w:r>
      <w:r w:rsidRPr="00466CE7">
        <w:rPr>
          <w:lang w:val="fr-FR"/>
        </w:rPr>
        <w:t xml:space="preserve">, </w:t>
      </w:r>
      <w:r>
        <w:rPr>
          <w:lang w:val="fr-FR"/>
        </w:rPr>
        <w:t>dans l</w:t>
      </w:r>
      <w:r w:rsidRPr="00466CE7">
        <w:rPr>
          <w:lang w:val="fr-FR"/>
        </w:rPr>
        <w:t>es conseils d</w:t>
      </w:r>
      <w:r>
        <w:rPr>
          <w:lang w:val="fr-FR"/>
        </w:rPr>
        <w:t>’</w:t>
      </w:r>
      <w:r w:rsidRPr="00466CE7">
        <w:rPr>
          <w:lang w:val="fr-FR"/>
        </w:rPr>
        <w:t xml:space="preserve">administration </w:t>
      </w:r>
      <w:r>
        <w:rPr>
          <w:lang w:val="fr-FR"/>
        </w:rPr>
        <w:t>d’</w:t>
      </w:r>
      <w:r w:rsidRPr="00466CE7">
        <w:rPr>
          <w:lang w:val="fr-FR"/>
        </w:rPr>
        <w:t>organisations publiques</w:t>
      </w:r>
      <w:r>
        <w:rPr>
          <w:lang w:val="fr-FR"/>
        </w:rPr>
        <w:t>,</w:t>
      </w:r>
      <w:r w:rsidRPr="00466CE7">
        <w:rPr>
          <w:lang w:val="fr-FR"/>
        </w:rPr>
        <w:t xml:space="preserve"> </w:t>
      </w:r>
      <w:r>
        <w:rPr>
          <w:lang w:val="fr-FR"/>
        </w:rPr>
        <w:t>dans d</w:t>
      </w:r>
      <w:r w:rsidRPr="00466CE7">
        <w:rPr>
          <w:lang w:val="fr-FR"/>
        </w:rPr>
        <w:t>es commissions gouvernementales, etc.</w:t>
      </w:r>
    </w:p>
    <w:p w14:paraId="4491A9CE" w14:textId="563F7782" w:rsidR="009C6834" w:rsidRPr="00466CE7" w:rsidRDefault="009C6834" w:rsidP="009C6834">
      <w:pPr>
        <w:pStyle w:val="SingleTxtG"/>
        <w:rPr>
          <w:lang w:val="fr-FR"/>
        </w:rPr>
      </w:pPr>
      <w:r w:rsidRPr="00466CE7">
        <w:rPr>
          <w:lang w:val="fr-FR"/>
        </w:rPr>
        <w:t>38.</w:t>
      </w:r>
      <w:r w:rsidRPr="00466CE7">
        <w:rPr>
          <w:lang w:val="fr-FR"/>
        </w:rPr>
        <w:tab/>
      </w:r>
      <w:r>
        <w:rPr>
          <w:lang w:val="fr-FR"/>
        </w:rPr>
        <w:t xml:space="preserve">C’est ainsi par </w:t>
      </w:r>
      <w:r w:rsidRPr="00466CE7">
        <w:rPr>
          <w:lang w:val="fr-FR"/>
        </w:rPr>
        <w:t>exemple</w:t>
      </w:r>
      <w:r>
        <w:rPr>
          <w:lang w:val="fr-FR"/>
        </w:rPr>
        <w:t xml:space="preserve"> que le comité </w:t>
      </w:r>
      <w:r w:rsidRPr="00466CE7">
        <w:rPr>
          <w:lang w:val="fr-FR"/>
        </w:rPr>
        <w:t xml:space="preserve">sur le VIH et la tuberculose </w:t>
      </w:r>
      <w:r>
        <w:rPr>
          <w:lang w:val="fr-FR"/>
        </w:rPr>
        <w:t xml:space="preserve">relevant </w:t>
      </w:r>
      <w:r w:rsidRPr="00466CE7">
        <w:rPr>
          <w:lang w:val="fr-FR"/>
        </w:rPr>
        <w:t xml:space="preserve">du Comité de santé publique </w:t>
      </w:r>
      <w:r>
        <w:rPr>
          <w:lang w:val="fr-FR"/>
        </w:rPr>
        <w:t xml:space="preserve">établi </w:t>
      </w:r>
      <w:r w:rsidRPr="00466CE7">
        <w:rPr>
          <w:lang w:val="fr-FR"/>
        </w:rPr>
        <w:t>sous l</w:t>
      </w:r>
      <w:r>
        <w:rPr>
          <w:lang w:val="fr-FR"/>
        </w:rPr>
        <w:t>’</w:t>
      </w:r>
      <w:r w:rsidRPr="00466CE7">
        <w:rPr>
          <w:lang w:val="fr-FR"/>
        </w:rPr>
        <w:t xml:space="preserve">égide du </w:t>
      </w:r>
      <w:r w:rsidR="004119B3" w:rsidRPr="00466CE7">
        <w:rPr>
          <w:lang w:val="fr-FR"/>
        </w:rPr>
        <w:t xml:space="preserve">Gouvernement </w:t>
      </w:r>
      <w:r>
        <w:rPr>
          <w:lang w:val="fr-FR"/>
        </w:rPr>
        <w:t>compte parmi ses membres 40</w:t>
      </w:r>
      <w:r w:rsidR="00CB4ECD">
        <w:rPr>
          <w:lang w:val="fr-FR"/>
        </w:rPr>
        <w:t> %</w:t>
      </w:r>
      <w:r>
        <w:rPr>
          <w:lang w:val="fr-FR"/>
        </w:rPr>
        <w:t xml:space="preserve"> de </w:t>
      </w:r>
      <w:r w:rsidRPr="00466CE7">
        <w:rPr>
          <w:lang w:val="fr-FR"/>
        </w:rPr>
        <w:t>représentants de la société civile</w:t>
      </w:r>
      <w:r>
        <w:rPr>
          <w:lang w:val="fr-FR"/>
        </w:rPr>
        <w:t xml:space="preserve">, qui ont la même </w:t>
      </w:r>
      <w:r w:rsidRPr="00466CE7">
        <w:rPr>
          <w:lang w:val="fr-FR"/>
        </w:rPr>
        <w:t xml:space="preserve">voix </w:t>
      </w:r>
      <w:r>
        <w:rPr>
          <w:lang w:val="fr-FR"/>
        </w:rPr>
        <w:t xml:space="preserve">que celle des autres membres </w:t>
      </w:r>
      <w:r w:rsidRPr="00466CE7">
        <w:rPr>
          <w:lang w:val="fr-FR"/>
        </w:rPr>
        <w:t xml:space="preserve">dans les décisions. </w:t>
      </w:r>
      <w:r>
        <w:rPr>
          <w:lang w:val="fr-FR"/>
        </w:rPr>
        <w:t xml:space="preserve">On trouve aussi des </w:t>
      </w:r>
      <w:r w:rsidRPr="00466CE7">
        <w:rPr>
          <w:lang w:val="fr-FR"/>
        </w:rPr>
        <w:t xml:space="preserve">représentants </w:t>
      </w:r>
      <w:r>
        <w:rPr>
          <w:lang w:val="fr-FR"/>
        </w:rPr>
        <w:t>d’organisations à but non lucratif et de</w:t>
      </w:r>
      <w:r w:rsidRPr="00466CE7">
        <w:rPr>
          <w:lang w:val="fr-FR"/>
        </w:rPr>
        <w:t xml:space="preserve"> </w:t>
      </w:r>
      <w:r>
        <w:rPr>
          <w:lang w:val="fr-FR"/>
        </w:rPr>
        <w:t>communautés</w:t>
      </w:r>
      <w:r w:rsidRPr="00D10E59">
        <w:rPr>
          <w:lang w:val="fr-FR"/>
        </w:rPr>
        <w:t xml:space="preserve"> </w:t>
      </w:r>
      <w:r>
        <w:rPr>
          <w:lang w:val="fr-FR"/>
        </w:rPr>
        <w:t>à la vice-présidence du c</w:t>
      </w:r>
      <w:r w:rsidRPr="00466CE7">
        <w:rPr>
          <w:lang w:val="fr-FR"/>
        </w:rPr>
        <w:t>omité</w:t>
      </w:r>
      <w:r>
        <w:rPr>
          <w:lang w:val="fr-FR"/>
        </w:rPr>
        <w:t xml:space="preserve"> et à la présidence de certains sous-comités</w:t>
      </w:r>
      <w:r w:rsidRPr="00466CE7">
        <w:rPr>
          <w:lang w:val="fr-FR"/>
        </w:rPr>
        <w:t xml:space="preserve">. </w:t>
      </w:r>
    </w:p>
    <w:p w14:paraId="232C2DB6" w14:textId="383CE53F" w:rsidR="009C6834" w:rsidRPr="00466CE7" w:rsidRDefault="009C6834" w:rsidP="009C6834">
      <w:pPr>
        <w:pStyle w:val="SingleTxtG"/>
        <w:rPr>
          <w:lang w:val="fr-FR"/>
        </w:rPr>
      </w:pPr>
      <w:r w:rsidRPr="00466CE7">
        <w:rPr>
          <w:lang w:val="fr-FR"/>
        </w:rPr>
        <w:t>39.</w:t>
      </w:r>
      <w:r w:rsidRPr="00466CE7">
        <w:rPr>
          <w:lang w:val="fr-FR"/>
        </w:rPr>
        <w:tab/>
        <w:t xml:space="preserve">Le système de </w:t>
      </w:r>
      <w:r>
        <w:rPr>
          <w:lang w:val="fr-FR"/>
        </w:rPr>
        <w:t>commande publique continue</w:t>
      </w:r>
      <w:r w:rsidR="00CB4ECD">
        <w:rPr>
          <w:lang w:val="fr-FR"/>
        </w:rPr>
        <w:t xml:space="preserve"> </w:t>
      </w:r>
      <w:r>
        <w:rPr>
          <w:lang w:val="fr-FR"/>
        </w:rPr>
        <w:t xml:space="preserve">de </w:t>
      </w:r>
      <w:r w:rsidRPr="00466CE7">
        <w:rPr>
          <w:lang w:val="fr-FR"/>
        </w:rPr>
        <w:t>se développe</w:t>
      </w:r>
      <w:r>
        <w:rPr>
          <w:lang w:val="fr-FR"/>
        </w:rPr>
        <w:t>r</w:t>
      </w:r>
      <w:r w:rsidRPr="00466CE7">
        <w:rPr>
          <w:lang w:val="fr-FR"/>
        </w:rPr>
        <w:t xml:space="preserve"> dans le pays.</w:t>
      </w:r>
      <w:r>
        <w:rPr>
          <w:lang w:val="fr-FR"/>
        </w:rPr>
        <w:t xml:space="preserve"> L</w:t>
      </w:r>
      <w:r w:rsidRPr="00466CE7">
        <w:rPr>
          <w:lang w:val="fr-FR"/>
        </w:rPr>
        <w:t xml:space="preserve">e </w:t>
      </w:r>
      <w:r>
        <w:rPr>
          <w:lang w:val="fr-FR"/>
        </w:rPr>
        <w:t>M</w:t>
      </w:r>
      <w:r w:rsidRPr="00466CE7">
        <w:rPr>
          <w:lang w:val="fr-FR"/>
        </w:rPr>
        <w:t xml:space="preserve">inistère de la </w:t>
      </w:r>
      <w:r>
        <w:rPr>
          <w:lang w:val="fr-FR"/>
        </w:rPr>
        <w:t>s</w:t>
      </w:r>
      <w:r w:rsidRPr="00466CE7">
        <w:rPr>
          <w:lang w:val="fr-FR"/>
        </w:rPr>
        <w:t xml:space="preserve">anté a approuvé </w:t>
      </w:r>
      <w:r>
        <w:rPr>
          <w:lang w:val="fr-FR"/>
        </w:rPr>
        <w:t>e</w:t>
      </w:r>
      <w:r w:rsidRPr="00466CE7">
        <w:rPr>
          <w:lang w:val="fr-FR"/>
        </w:rPr>
        <w:t>n 2018</w:t>
      </w:r>
      <w:r>
        <w:rPr>
          <w:lang w:val="fr-FR"/>
        </w:rPr>
        <w:t xml:space="preserve"> </w:t>
      </w:r>
      <w:r w:rsidRPr="00466CE7">
        <w:rPr>
          <w:lang w:val="fr-FR"/>
        </w:rPr>
        <w:t>le programme et plan d</w:t>
      </w:r>
      <w:r>
        <w:rPr>
          <w:lang w:val="fr-FR"/>
        </w:rPr>
        <w:t>’</w:t>
      </w:r>
      <w:r w:rsidRPr="00466CE7">
        <w:rPr>
          <w:lang w:val="fr-FR"/>
        </w:rPr>
        <w:t xml:space="preserve">action </w:t>
      </w:r>
      <w:r>
        <w:rPr>
          <w:lang w:val="fr-FR"/>
        </w:rPr>
        <w:t>pour la commande publique</w:t>
      </w:r>
      <w:r w:rsidRPr="00466CE7">
        <w:rPr>
          <w:lang w:val="fr-FR"/>
        </w:rPr>
        <w:t xml:space="preserve"> pour </w:t>
      </w:r>
      <w:r>
        <w:rPr>
          <w:lang w:val="fr-FR"/>
        </w:rPr>
        <w:t xml:space="preserve">la période </w:t>
      </w:r>
      <w:r w:rsidRPr="00466CE7">
        <w:rPr>
          <w:lang w:val="fr-FR"/>
        </w:rPr>
        <w:t>2018-2020</w:t>
      </w:r>
      <w:r>
        <w:rPr>
          <w:lang w:val="fr-FR"/>
        </w:rPr>
        <w:t xml:space="preserve">, qui établit les modalités de subvention </w:t>
      </w:r>
      <w:r w:rsidRPr="00466CE7">
        <w:rPr>
          <w:lang w:val="fr-FR"/>
        </w:rPr>
        <w:t xml:space="preserve">et </w:t>
      </w:r>
      <w:r>
        <w:rPr>
          <w:lang w:val="fr-FR"/>
        </w:rPr>
        <w:t xml:space="preserve">de </w:t>
      </w:r>
      <w:r w:rsidRPr="00466CE7">
        <w:rPr>
          <w:lang w:val="fr-FR"/>
        </w:rPr>
        <w:t xml:space="preserve">financement </w:t>
      </w:r>
      <w:r>
        <w:rPr>
          <w:lang w:val="fr-FR"/>
        </w:rPr>
        <w:t xml:space="preserve">des </w:t>
      </w:r>
      <w:r w:rsidRPr="00466CE7">
        <w:rPr>
          <w:lang w:val="fr-FR"/>
        </w:rPr>
        <w:t xml:space="preserve">organisations de la société civile </w:t>
      </w:r>
      <w:r>
        <w:rPr>
          <w:lang w:val="fr-FR"/>
        </w:rPr>
        <w:t xml:space="preserve">participant à la mise en </w:t>
      </w:r>
      <w:r w:rsidRPr="00466CE7">
        <w:rPr>
          <w:lang w:val="fr-FR"/>
        </w:rPr>
        <w:t>œuvre des programmes</w:t>
      </w:r>
      <w:r>
        <w:rPr>
          <w:lang w:val="fr-FR"/>
        </w:rPr>
        <w:t xml:space="preserve"> sur le </w:t>
      </w:r>
      <w:r w:rsidRPr="00466CE7">
        <w:rPr>
          <w:lang w:val="fr-FR"/>
        </w:rPr>
        <w:t xml:space="preserve">VIH, la tuberculose, </w:t>
      </w:r>
      <w:r>
        <w:rPr>
          <w:lang w:val="fr-FR"/>
        </w:rPr>
        <w:t xml:space="preserve">le </w:t>
      </w:r>
      <w:r w:rsidRPr="00466CE7">
        <w:rPr>
          <w:lang w:val="fr-FR"/>
        </w:rPr>
        <w:t>cancer et la santé mentale.</w:t>
      </w:r>
    </w:p>
    <w:p w14:paraId="70E26BD7" w14:textId="662353CB" w:rsidR="009C6834" w:rsidRPr="00466CE7" w:rsidRDefault="00CB4ECD" w:rsidP="00CB4ECD">
      <w:pPr>
        <w:pStyle w:val="H1G"/>
        <w:rPr>
          <w:lang w:val="fr-FR"/>
        </w:rPr>
      </w:pPr>
      <w:r>
        <w:rPr>
          <w:lang w:val="fr-FR"/>
        </w:rPr>
        <w:tab/>
      </w:r>
      <w:r>
        <w:rPr>
          <w:lang w:val="fr-FR"/>
        </w:rPr>
        <w:tab/>
        <w:t>Article 7</w:t>
      </w:r>
      <w:r>
        <w:rPr>
          <w:lang w:val="fr-FR"/>
        </w:rPr>
        <w:br/>
      </w:r>
      <w:r w:rsidR="009C6834">
        <w:rPr>
          <w:lang w:val="fr-FR"/>
        </w:rPr>
        <w:t>Corruption</w:t>
      </w:r>
    </w:p>
    <w:p w14:paraId="3950174F" w14:textId="77777777" w:rsidR="009C6834" w:rsidRPr="00466CE7" w:rsidRDefault="009C6834" w:rsidP="009C6834">
      <w:pPr>
        <w:pStyle w:val="SingleTxtG"/>
        <w:rPr>
          <w:lang w:val="fr-FR"/>
        </w:rPr>
      </w:pPr>
      <w:r w:rsidRPr="00466CE7">
        <w:rPr>
          <w:lang w:val="fr-FR"/>
        </w:rPr>
        <w:t>40.</w:t>
      </w:r>
      <w:r w:rsidRPr="00466CE7">
        <w:rPr>
          <w:lang w:val="fr-FR"/>
        </w:rPr>
        <w:tab/>
        <w:t>Afin d</w:t>
      </w:r>
      <w:r>
        <w:rPr>
          <w:lang w:val="fr-FR"/>
        </w:rPr>
        <w:t>’</w:t>
      </w:r>
      <w:r w:rsidRPr="00466CE7">
        <w:rPr>
          <w:lang w:val="fr-FR"/>
        </w:rPr>
        <w:t xml:space="preserve">intensifier la lutte contre la corruption, </w:t>
      </w:r>
      <w:r>
        <w:rPr>
          <w:lang w:val="fr-FR"/>
        </w:rPr>
        <w:t>un s</w:t>
      </w:r>
      <w:r w:rsidRPr="00466CE7">
        <w:rPr>
          <w:lang w:val="fr-FR"/>
        </w:rPr>
        <w:t xml:space="preserve">ervice anti-corruption </w:t>
      </w:r>
      <w:r>
        <w:rPr>
          <w:lang w:val="fr-FR"/>
        </w:rPr>
        <w:t xml:space="preserve">a été établi </w:t>
      </w:r>
      <w:r w:rsidRPr="00466CE7">
        <w:rPr>
          <w:lang w:val="fr-FR"/>
        </w:rPr>
        <w:t>en 2011</w:t>
      </w:r>
      <w:r>
        <w:rPr>
          <w:lang w:val="fr-FR"/>
        </w:rPr>
        <w:t xml:space="preserve"> au sein </w:t>
      </w:r>
      <w:r w:rsidRPr="00466CE7">
        <w:rPr>
          <w:lang w:val="fr-FR"/>
        </w:rPr>
        <w:t>du</w:t>
      </w:r>
      <w:r>
        <w:rPr>
          <w:lang w:val="fr-FR"/>
        </w:rPr>
        <w:t xml:space="preserve"> Comité d’État pour la sécurité nationale et une s</w:t>
      </w:r>
      <w:r w:rsidRPr="00466CE7">
        <w:rPr>
          <w:lang w:val="fr-FR"/>
        </w:rPr>
        <w:t xml:space="preserve">tratégie </w:t>
      </w:r>
      <w:r>
        <w:rPr>
          <w:lang w:val="fr-FR"/>
        </w:rPr>
        <w:t xml:space="preserve">nationale </w:t>
      </w:r>
      <w:r w:rsidRPr="00466CE7">
        <w:rPr>
          <w:lang w:val="fr-FR"/>
        </w:rPr>
        <w:t xml:space="preserve">de lutte contre la corruption a été </w:t>
      </w:r>
      <w:r>
        <w:rPr>
          <w:lang w:val="fr-FR"/>
        </w:rPr>
        <w:t>adoptée. D</w:t>
      </w:r>
      <w:r w:rsidRPr="00466CE7">
        <w:rPr>
          <w:lang w:val="fr-FR"/>
        </w:rPr>
        <w:t xml:space="preserve">es mesures ont été prises pour éliminer les causes de la corruption politique et systémique au sein des </w:t>
      </w:r>
      <w:r>
        <w:rPr>
          <w:lang w:val="fr-FR"/>
        </w:rPr>
        <w:t>pouvoirs publics</w:t>
      </w:r>
      <w:r w:rsidRPr="00466CE7">
        <w:rPr>
          <w:lang w:val="fr-FR"/>
        </w:rPr>
        <w:t xml:space="preserve">. </w:t>
      </w:r>
    </w:p>
    <w:p w14:paraId="509B0372" w14:textId="61A6833C" w:rsidR="009C6834" w:rsidRPr="00466CE7" w:rsidRDefault="009C6834" w:rsidP="009C6834">
      <w:pPr>
        <w:pStyle w:val="SingleTxtG"/>
        <w:rPr>
          <w:lang w:val="fr-FR"/>
        </w:rPr>
      </w:pPr>
      <w:r w:rsidRPr="00466CE7">
        <w:rPr>
          <w:lang w:val="fr-FR"/>
        </w:rPr>
        <w:t>41.</w:t>
      </w:r>
      <w:r w:rsidRPr="00466CE7">
        <w:rPr>
          <w:lang w:val="fr-FR"/>
        </w:rPr>
        <w:tab/>
      </w:r>
      <w:r>
        <w:rPr>
          <w:lang w:val="fr-FR"/>
        </w:rPr>
        <w:t>L</w:t>
      </w:r>
      <w:r w:rsidRPr="00466CE7">
        <w:rPr>
          <w:lang w:val="fr-FR"/>
        </w:rPr>
        <w:t xml:space="preserve">es mesures </w:t>
      </w:r>
      <w:r>
        <w:rPr>
          <w:lang w:val="fr-FR"/>
        </w:rPr>
        <w:t xml:space="preserve">énergiques mises en œuvre pour combattre </w:t>
      </w:r>
      <w:r w:rsidRPr="00466CE7">
        <w:rPr>
          <w:lang w:val="fr-FR"/>
        </w:rPr>
        <w:t>la corruption ont permis au pays de gagner 28</w:t>
      </w:r>
      <w:r w:rsidR="00CB4ECD">
        <w:rPr>
          <w:lang w:val="fr-FR"/>
        </w:rPr>
        <w:t> </w:t>
      </w:r>
      <w:r w:rsidRPr="00466CE7">
        <w:rPr>
          <w:lang w:val="fr-FR"/>
        </w:rPr>
        <w:t xml:space="preserve">places dans </w:t>
      </w:r>
      <w:r>
        <w:rPr>
          <w:lang w:val="fr-FR"/>
        </w:rPr>
        <w:t xml:space="preserve">le classement établi selon </w:t>
      </w:r>
      <w:r w:rsidRPr="00466CE7">
        <w:rPr>
          <w:lang w:val="fr-FR"/>
        </w:rPr>
        <w:t>l</w:t>
      </w:r>
      <w:r>
        <w:rPr>
          <w:lang w:val="fr-FR"/>
        </w:rPr>
        <w:t>’</w:t>
      </w:r>
      <w:r w:rsidRPr="00466CE7">
        <w:rPr>
          <w:lang w:val="fr-FR"/>
        </w:rPr>
        <w:t>indice de perception de la corruptio</w:t>
      </w:r>
      <w:r>
        <w:rPr>
          <w:lang w:val="fr-FR"/>
        </w:rPr>
        <w:t xml:space="preserve">n de </w:t>
      </w:r>
      <w:proofErr w:type="spellStart"/>
      <w:r>
        <w:rPr>
          <w:lang w:val="fr-FR"/>
        </w:rPr>
        <w:t>Transparency</w:t>
      </w:r>
      <w:proofErr w:type="spellEnd"/>
      <w:r>
        <w:rPr>
          <w:lang w:val="fr-FR"/>
        </w:rPr>
        <w:t xml:space="preserve"> International : classé</w:t>
      </w:r>
      <w:r w:rsidRPr="00466CE7">
        <w:rPr>
          <w:lang w:val="fr-FR"/>
        </w:rPr>
        <w:t xml:space="preserve"> 154</w:t>
      </w:r>
      <w:r w:rsidRPr="00CE48B9">
        <w:rPr>
          <w:vertAlign w:val="superscript"/>
          <w:lang w:val="fr-FR"/>
        </w:rPr>
        <w:t>e</w:t>
      </w:r>
      <w:r w:rsidRPr="00466CE7">
        <w:rPr>
          <w:lang w:val="fr-FR"/>
        </w:rPr>
        <w:t xml:space="preserve"> en 2012</w:t>
      </w:r>
      <w:r>
        <w:rPr>
          <w:lang w:val="fr-FR"/>
        </w:rPr>
        <w:t xml:space="preserve">, le Kirghizistan se situait au </w:t>
      </w:r>
      <w:r w:rsidRPr="00466CE7">
        <w:rPr>
          <w:lang w:val="fr-FR"/>
        </w:rPr>
        <w:t>126</w:t>
      </w:r>
      <w:r w:rsidRPr="00CE48B9">
        <w:rPr>
          <w:vertAlign w:val="superscript"/>
          <w:lang w:val="fr-FR"/>
        </w:rPr>
        <w:t>e</w:t>
      </w:r>
      <w:r w:rsidR="00CB4ECD">
        <w:rPr>
          <w:lang w:val="fr-FR"/>
        </w:rPr>
        <w:t> </w:t>
      </w:r>
      <w:r>
        <w:rPr>
          <w:lang w:val="fr-FR"/>
        </w:rPr>
        <w:t>rang e</w:t>
      </w:r>
      <w:r w:rsidRPr="00466CE7">
        <w:rPr>
          <w:lang w:val="fr-FR"/>
        </w:rPr>
        <w:t xml:space="preserve">n 2019. </w:t>
      </w:r>
    </w:p>
    <w:p w14:paraId="65E00CC5" w14:textId="77777777" w:rsidR="009C6834" w:rsidRPr="00466CE7" w:rsidRDefault="009C6834" w:rsidP="009C6834">
      <w:pPr>
        <w:pStyle w:val="SingleTxtG"/>
        <w:rPr>
          <w:lang w:val="fr-FR"/>
        </w:rPr>
      </w:pPr>
      <w:r w:rsidRPr="00466CE7">
        <w:rPr>
          <w:lang w:val="fr-FR"/>
        </w:rPr>
        <w:t>42.</w:t>
      </w:r>
      <w:r w:rsidRPr="00466CE7">
        <w:rPr>
          <w:lang w:val="fr-FR"/>
        </w:rPr>
        <w:tab/>
        <w:t xml:space="preserve">Le système de lutte contre la corruption </w:t>
      </w:r>
      <w:r>
        <w:rPr>
          <w:lang w:val="fr-FR"/>
        </w:rPr>
        <w:t xml:space="preserve">mis en place comporte </w:t>
      </w:r>
      <w:r w:rsidRPr="00466CE7">
        <w:rPr>
          <w:lang w:val="fr-FR"/>
        </w:rPr>
        <w:t xml:space="preserve">plusieurs facettes, </w:t>
      </w:r>
      <w:r>
        <w:rPr>
          <w:lang w:val="fr-FR"/>
        </w:rPr>
        <w:t xml:space="preserve">avec </w:t>
      </w:r>
      <w:r w:rsidRPr="00466CE7">
        <w:rPr>
          <w:lang w:val="fr-FR"/>
        </w:rPr>
        <w:t xml:space="preserve">des mesures </w:t>
      </w:r>
      <w:r>
        <w:rPr>
          <w:lang w:val="fr-FR"/>
        </w:rPr>
        <w:t>d’ordre législatif, préventif et punitif</w:t>
      </w:r>
      <w:r w:rsidRPr="00466CE7">
        <w:rPr>
          <w:lang w:val="fr-FR"/>
        </w:rPr>
        <w:t>.</w:t>
      </w:r>
    </w:p>
    <w:p w14:paraId="5F56D208" w14:textId="0CB9381B" w:rsidR="009C6834" w:rsidRPr="00466CE7" w:rsidRDefault="009C6834" w:rsidP="00CB4ECD">
      <w:pPr>
        <w:pStyle w:val="SingleTxtG"/>
        <w:keepNext/>
        <w:rPr>
          <w:lang w:val="fr-FR"/>
        </w:rPr>
      </w:pPr>
      <w:r w:rsidRPr="00466CE7">
        <w:rPr>
          <w:lang w:val="fr-FR"/>
        </w:rPr>
        <w:t>43.</w:t>
      </w:r>
      <w:r w:rsidRPr="00466CE7">
        <w:rPr>
          <w:lang w:val="fr-FR"/>
        </w:rPr>
        <w:tab/>
        <w:t>Tout d</w:t>
      </w:r>
      <w:r>
        <w:rPr>
          <w:lang w:val="fr-FR"/>
        </w:rPr>
        <w:t>’</w:t>
      </w:r>
      <w:r w:rsidRPr="00466CE7">
        <w:rPr>
          <w:lang w:val="fr-FR"/>
        </w:rPr>
        <w:t xml:space="preserve">abord, </w:t>
      </w:r>
      <w:r>
        <w:rPr>
          <w:lang w:val="fr-FR"/>
        </w:rPr>
        <w:t xml:space="preserve">plusieurs textes juridiques normatifs </w:t>
      </w:r>
      <w:r w:rsidRPr="00466CE7">
        <w:rPr>
          <w:lang w:val="fr-FR"/>
        </w:rPr>
        <w:t xml:space="preserve">et autres </w:t>
      </w:r>
      <w:r>
        <w:rPr>
          <w:lang w:val="fr-FR"/>
        </w:rPr>
        <w:t xml:space="preserve">instruments essentiels </w:t>
      </w:r>
      <w:r w:rsidRPr="00466CE7">
        <w:rPr>
          <w:lang w:val="fr-FR"/>
        </w:rPr>
        <w:t>ont été adoptés</w:t>
      </w:r>
      <w:r w:rsidR="00CB4ECD">
        <w:rPr>
          <w:lang w:val="fr-FR"/>
        </w:rPr>
        <w:t> </w:t>
      </w:r>
      <w:r>
        <w:rPr>
          <w:lang w:val="fr-FR"/>
        </w:rPr>
        <w:t>:</w:t>
      </w:r>
      <w:r w:rsidRPr="00466CE7">
        <w:rPr>
          <w:lang w:val="fr-FR"/>
        </w:rPr>
        <w:t xml:space="preserve"> </w:t>
      </w:r>
    </w:p>
    <w:p w14:paraId="20C46F66" w14:textId="732BFC15" w:rsidR="009C6834" w:rsidRPr="00431F65" w:rsidRDefault="009C6834" w:rsidP="00CB4ECD">
      <w:pPr>
        <w:pStyle w:val="Bullet1G"/>
        <w:rPr>
          <w:lang w:val="fr-FR"/>
        </w:rPr>
      </w:pPr>
      <w:r w:rsidRPr="00431F65">
        <w:rPr>
          <w:lang w:val="fr-FR"/>
        </w:rPr>
        <w:t>L</w:t>
      </w:r>
      <w:r>
        <w:rPr>
          <w:lang w:val="fr-FR"/>
        </w:rPr>
        <w:t>a l</w:t>
      </w:r>
      <w:r w:rsidRPr="00431F65">
        <w:rPr>
          <w:lang w:val="fr-FR"/>
        </w:rPr>
        <w:t>oi relative à la lutte contre la corruption (2012)</w:t>
      </w:r>
      <w:r w:rsidR="00CB4ECD">
        <w:rPr>
          <w:lang w:val="fr-FR"/>
        </w:rPr>
        <w:t> ;</w:t>
      </w:r>
    </w:p>
    <w:p w14:paraId="2AF26483" w14:textId="3D2BEC02" w:rsidR="009C6834" w:rsidRPr="00431F65" w:rsidRDefault="009C6834" w:rsidP="00CB4ECD">
      <w:pPr>
        <w:pStyle w:val="Bullet1G"/>
        <w:rPr>
          <w:lang w:val="fr-FR"/>
        </w:rPr>
      </w:pPr>
      <w:r w:rsidRPr="00431F65">
        <w:rPr>
          <w:lang w:val="fr-FR"/>
        </w:rPr>
        <w:t>L</w:t>
      </w:r>
      <w:r>
        <w:rPr>
          <w:lang w:val="fr-FR"/>
        </w:rPr>
        <w:t>a l</w:t>
      </w:r>
      <w:r w:rsidRPr="00431F65">
        <w:rPr>
          <w:lang w:val="fr-FR"/>
        </w:rPr>
        <w:t xml:space="preserve">oi relative à la déclaration des revenus, dépenses, obligations et biens des personnes qui occupent </w:t>
      </w:r>
      <w:r>
        <w:rPr>
          <w:lang w:val="fr-FR"/>
        </w:rPr>
        <w:t>des fonctions de direction ou de suppléance dans l’administration centrale ou municipale</w:t>
      </w:r>
      <w:r w:rsidRPr="00431F65">
        <w:rPr>
          <w:lang w:val="fr-FR"/>
        </w:rPr>
        <w:t xml:space="preserve"> (2017)</w:t>
      </w:r>
      <w:r w:rsidR="00CB4ECD">
        <w:rPr>
          <w:lang w:val="fr-FR"/>
        </w:rPr>
        <w:t> ;</w:t>
      </w:r>
    </w:p>
    <w:p w14:paraId="3006C1DE" w14:textId="6D175165" w:rsidR="009C6834" w:rsidRPr="00431F65" w:rsidRDefault="009C6834" w:rsidP="00CB4ECD">
      <w:pPr>
        <w:pStyle w:val="Bullet1G"/>
        <w:rPr>
          <w:lang w:val="fr-FR"/>
        </w:rPr>
      </w:pPr>
      <w:r w:rsidRPr="00431F65">
        <w:rPr>
          <w:lang w:val="fr-FR"/>
        </w:rPr>
        <w:t>L</w:t>
      </w:r>
      <w:r>
        <w:rPr>
          <w:lang w:val="fr-FR"/>
        </w:rPr>
        <w:t>a l</w:t>
      </w:r>
      <w:r w:rsidRPr="00431F65">
        <w:rPr>
          <w:lang w:val="fr-FR"/>
        </w:rPr>
        <w:t>oi relative aux conflits d</w:t>
      </w:r>
      <w:r>
        <w:rPr>
          <w:lang w:val="fr-FR"/>
        </w:rPr>
        <w:t>’</w:t>
      </w:r>
      <w:r w:rsidRPr="00431F65">
        <w:rPr>
          <w:lang w:val="fr-FR"/>
        </w:rPr>
        <w:t>intérêts (2017)</w:t>
      </w:r>
      <w:r w:rsidR="00CB4ECD">
        <w:rPr>
          <w:lang w:val="fr-FR"/>
        </w:rPr>
        <w:t> ;</w:t>
      </w:r>
    </w:p>
    <w:p w14:paraId="0E48380B" w14:textId="6C2DB15A" w:rsidR="009C6834" w:rsidRPr="00431F65" w:rsidRDefault="009C6834" w:rsidP="00CB4ECD">
      <w:pPr>
        <w:pStyle w:val="Bullet1G"/>
        <w:rPr>
          <w:lang w:val="fr-FR"/>
        </w:rPr>
      </w:pPr>
      <w:r>
        <w:rPr>
          <w:lang w:val="fr-FR"/>
        </w:rPr>
        <w:t>La s</w:t>
      </w:r>
      <w:r w:rsidRPr="00431F65">
        <w:rPr>
          <w:lang w:val="fr-FR"/>
        </w:rPr>
        <w:t xml:space="preserve">tratégie </w:t>
      </w:r>
      <w:r>
        <w:rPr>
          <w:lang w:val="fr-FR"/>
        </w:rPr>
        <w:t>nationale de lutte contre la c</w:t>
      </w:r>
      <w:r w:rsidRPr="00431F65">
        <w:rPr>
          <w:lang w:val="fr-FR"/>
        </w:rPr>
        <w:t>orruption (2012)</w:t>
      </w:r>
      <w:r w:rsidR="00CB4ECD">
        <w:rPr>
          <w:lang w:val="fr-FR"/>
        </w:rPr>
        <w:t> ;</w:t>
      </w:r>
    </w:p>
    <w:p w14:paraId="039AC209" w14:textId="1C6FF221" w:rsidR="009C6834" w:rsidRPr="00431F65" w:rsidRDefault="009C6834" w:rsidP="00CB4ECD">
      <w:pPr>
        <w:pStyle w:val="Bullet1G"/>
        <w:rPr>
          <w:lang w:val="fr-FR"/>
        </w:rPr>
      </w:pPr>
      <w:r>
        <w:rPr>
          <w:lang w:val="fr-FR"/>
        </w:rPr>
        <w:t>La s</w:t>
      </w:r>
      <w:r w:rsidRPr="00431F65">
        <w:rPr>
          <w:lang w:val="fr-FR"/>
        </w:rPr>
        <w:t xml:space="preserve">tratégie nationale de développement durable pour la période 2013-2017, </w:t>
      </w:r>
      <w:r>
        <w:rPr>
          <w:lang w:val="fr-FR"/>
        </w:rPr>
        <w:t>dont un chapitre</w:t>
      </w:r>
      <w:r w:rsidRPr="00431F65">
        <w:rPr>
          <w:lang w:val="fr-FR"/>
        </w:rPr>
        <w:t xml:space="preserve"> </w:t>
      </w:r>
      <w:r>
        <w:rPr>
          <w:lang w:val="fr-FR"/>
        </w:rPr>
        <w:t xml:space="preserve">est consacré à </w:t>
      </w:r>
      <w:r w:rsidRPr="00431F65">
        <w:rPr>
          <w:lang w:val="fr-FR"/>
        </w:rPr>
        <w:t>la lutte contre la corruption</w:t>
      </w:r>
      <w:r>
        <w:rPr>
          <w:lang w:val="fr-FR"/>
        </w:rPr>
        <w:t xml:space="preserve"> </w:t>
      </w:r>
      <w:r w:rsidRPr="00431F65">
        <w:rPr>
          <w:lang w:val="fr-FR"/>
        </w:rPr>
        <w:t>(2013)</w:t>
      </w:r>
      <w:r w:rsidR="00CB4ECD">
        <w:rPr>
          <w:lang w:val="fr-FR"/>
        </w:rPr>
        <w:t> ;</w:t>
      </w:r>
    </w:p>
    <w:p w14:paraId="6312840C" w14:textId="1D1EA0D0" w:rsidR="009C6834" w:rsidRPr="00431F65" w:rsidRDefault="009C6834" w:rsidP="00CB4ECD">
      <w:pPr>
        <w:pStyle w:val="Bullet1G"/>
        <w:rPr>
          <w:lang w:val="fr-FR"/>
        </w:rPr>
      </w:pPr>
      <w:r>
        <w:rPr>
          <w:lang w:val="fr-FR"/>
        </w:rPr>
        <w:t>Le p</w:t>
      </w:r>
      <w:r w:rsidRPr="00431F65">
        <w:rPr>
          <w:lang w:val="fr-FR"/>
        </w:rPr>
        <w:t>lan d</w:t>
      </w:r>
      <w:r>
        <w:rPr>
          <w:lang w:val="fr-FR"/>
        </w:rPr>
        <w:t>’</w:t>
      </w:r>
      <w:r w:rsidRPr="00431F65">
        <w:rPr>
          <w:lang w:val="fr-FR"/>
        </w:rPr>
        <w:t>action gouvernemental de lutte contre la corruption</w:t>
      </w:r>
      <w:r w:rsidRPr="006B5493">
        <w:rPr>
          <w:lang w:val="fr-FR"/>
        </w:rPr>
        <w:t xml:space="preserve"> </w:t>
      </w:r>
      <w:r>
        <w:rPr>
          <w:lang w:val="fr-FR"/>
        </w:rPr>
        <w:t>pour la période</w:t>
      </w:r>
      <w:r w:rsidRPr="00431F65">
        <w:rPr>
          <w:lang w:val="fr-FR"/>
        </w:rPr>
        <w:t xml:space="preserve"> 2012</w:t>
      </w:r>
      <w:r w:rsidR="00CB4ECD">
        <w:rPr>
          <w:lang w:val="fr-FR"/>
        </w:rPr>
        <w:noBreakHyphen/>
      </w:r>
      <w:r w:rsidRPr="00431F65">
        <w:rPr>
          <w:lang w:val="fr-FR"/>
        </w:rPr>
        <w:t>2014 (2012)</w:t>
      </w:r>
      <w:r w:rsidR="00CB4ECD">
        <w:rPr>
          <w:lang w:val="fr-FR"/>
        </w:rPr>
        <w:t> ;</w:t>
      </w:r>
    </w:p>
    <w:p w14:paraId="5860A3B7" w14:textId="31E0E163" w:rsidR="009C6834" w:rsidRPr="00431F65" w:rsidRDefault="009C6834" w:rsidP="00CB4ECD">
      <w:pPr>
        <w:pStyle w:val="Bullet1G"/>
        <w:rPr>
          <w:lang w:val="fr-FR"/>
        </w:rPr>
      </w:pPr>
      <w:r>
        <w:rPr>
          <w:lang w:val="fr-FR"/>
        </w:rPr>
        <w:t>Le p</w:t>
      </w:r>
      <w:r w:rsidRPr="00431F65">
        <w:rPr>
          <w:lang w:val="fr-FR"/>
        </w:rPr>
        <w:t>lan d</w:t>
      </w:r>
      <w:r>
        <w:rPr>
          <w:lang w:val="fr-FR"/>
        </w:rPr>
        <w:t>’</w:t>
      </w:r>
      <w:r w:rsidRPr="00431F65">
        <w:rPr>
          <w:lang w:val="fr-FR"/>
        </w:rPr>
        <w:t xml:space="preserve">action pour la mise en œuvre de la stratégie </w:t>
      </w:r>
      <w:r>
        <w:rPr>
          <w:lang w:val="fr-FR"/>
        </w:rPr>
        <w:t xml:space="preserve">nationale de lutte contre la corruption pour la période </w:t>
      </w:r>
      <w:r w:rsidRPr="00431F65">
        <w:rPr>
          <w:lang w:val="fr-FR"/>
        </w:rPr>
        <w:t>2015-2017 (2015)</w:t>
      </w:r>
      <w:r w:rsidR="00CB4ECD">
        <w:rPr>
          <w:lang w:val="fr-FR"/>
        </w:rPr>
        <w:t> ;</w:t>
      </w:r>
    </w:p>
    <w:p w14:paraId="0E7577C7" w14:textId="77777777" w:rsidR="009C6834" w:rsidRPr="00431F65" w:rsidRDefault="009C6834" w:rsidP="00CB4ECD">
      <w:pPr>
        <w:pStyle w:val="Bullet1G"/>
        <w:rPr>
          <w:lang w:val="fr-FR"/>
        </w:rPr>
      </w:pPr>
      <w:r>
        <w:rPr>
          <w:lang w:val="fr-FR"/>
        </w:rPr>
        <w:t>Le p</w:t>
      </w:r>
      <w:r w:rsidRPr="00431F65">
        <w:rPr>
          <w:lang w:val="fr-FR"/>
        </w:rPr>
        <w:t>lan d</w:t>
      </w:r>
      <w:r>
        <w:rPr>
          <w:lang w:val="fr-FR"/>
        </w:rPr>
        <w:t>’</w:t>
      </w:r>
      <w:r w:rsidRPr="00431F65">
        <w:rPr>
          <w:lang w:val="fr-FR"/>
        </w:rPr>
        <w:t>action des organes</w:t>
      </w:r>
      <w:r>
        <w:rPr>
          <w:lang w:val="fr-FR"/>
        </w:rPr>
        <w:t xml:space="preserve"> de l’État</w:t>
      </w:r>
      <w:r w:rsidRPr="00431F65">
        <w:rPr>
          <w:lang w:val="fr-FR"/>
        </w:rPr>
        <w:t xml:space="preserve"> </w:t>
      </w:r>
      <w:r>
        <w:rPr>
          <w:lang w:val="fr-FR"/>
        </w:rPr>
        <w:t xml:space="preserve">contre la </w:t>
      </w:r>
      <w:r w:rsidRPr="00431F65">
        <w:rPr>
          <w:lang w:val="fr-FR"/>
        </w:rPr>
        <w:t xml:space="preserve">corruption </w:t>
      </w:r>
      <w:r>
        <w:rPr>
          <w:lang w:val="fr-FR"/>
        </w:rPr>
        <w:t xml:space="preserve">pour la période </w:t>
      </w:r>
      <w:r w:rsidRPr="00431F65">
        <w:rPr>
          <w:lang w:val="fr-FR"/>
        </w:rPr>
        <w:t>2019-2021 (2019).</w:t>
      </w:r>
    </w:p>
    <w:p w14:paraId="4B80CE08" w14:textId="77777777" w:rsidR="009C6834" w:rsidRPr="00466CE7" w:rsidRDefault="009C6834" w:rsidP="009C6834">
      <w:pPr>
        <w:pStyle w:val="SingleTxtG"/>
        <w:rPr>
          <w:lang w:val="fr-FR"/>
        </w:rPr>
      </w:pPr>
      <w:r w:rsidRPr="00466CE7">
        <w:rPr>
          <w:lang w:val="fr-FR"/>
        </w:rPr>
        <w:t>44.</w:t>
      </w:r>
      <w:r w:rsidRPr="00466CE7">
        <w:rPr>
          <w:lang w:val="fr-FR"/>
        </w:rPr>
        <w:tab/>
      </w:r>
      <w:r>
        <w:rPr>
          <w:lang w:val="fr-FR"/>
        </w:rPr>
        <w:t xml:space="preserve">Une </w:t>
      </w:r>
      <w:r w:rsidRPr="00466CE7">
        <w:rPr>
          <w:lang w:val="fr-FR"/>
        </w:rPr>
        <w:t xml:space="preserve">loi sur la protection des </w:t>
      </w:r>
      <w:r>
        <w:rPr>
          <w:lang w:val="fr-FR"/>
        </w:rPr>
        <w:t xml:space="preserve">personnes dénonçant des </w:t>
      </w:r>
      <w:r w:rsidRPr="00466CE7">
        <w:rPr>
          <w:lang w:val="fr-FR"/>
        </w:rPr>
        <w:t>infractions de corruption a été adoptée</w:t>
      </w:r>
      <w:r>
        <w:rPr>
          <w:lang w:val="fr-FR"/>
        </w:rPr>
        <w:t xml:space="preserve"> en 2019. Elle prévoit </w:t>
      </w:r>
      <w:r w:rsidRPr="00466CE7">
        <w:rPr>
          <w:lang w:val="fr-FR"/>
        </w:rPr>
        <w:t xml:space="preserve">le versement à la personne qui </w:t>
      </w:r>
      <w:r>
        <w:rPr>
          <w:lang w:val="fr-FR"/>
        </w:rPr>
        <w:t xml:space="preserve">signale un fait de corruption d’une rémunération imputée sur le </w:t>
      </w:r>
      <w:r w:rsidRPr="00466CE7">
        <w:rPr>
          <w:lang w:val="fr-FR"/>
        </w:rPr>
        <w:t>montant recouvré de l</w:t>
      </w:r>
      <w:r>
        <w:rPr>
          <w:lang w:val="fr-FR"/>
        </w:rPr>
        <w:t>’</w:t>
      </w:r>
      <w:r w:rsidRPr="00466CE7">
        <w:rPr>
          <w:lang w:val="fr-FR"/>
        </w:rPr>
        <w:t xml:space="preserve">infraction. </w:t>
      </w:r>
    </w:p>
    <w:p w14:paraId="276CE059" w14:textId="77777777" w:rsidR="009C6834" w:rsidRPr="00466CE7" w:rsidRDefault="009C6834" w:rsidP="009C6834">
      <w:pPr>
        <w:pStyle w:val="SingleTxtG"/>
        <w:rPr>
          <w:lang w:val="fr-FR"/>
        </w:rPr>
      </w:pPr>
      <w:r w:rsidRPr="00466CE7">
        <w:rPr>
          <w:lang w:val="fr-FR"/>
        </w:rPr>
        <w:t>45.</w:t>
      </w:r>
      <w:r w:rsidRPr="00466CE7">
        <w:rPr>
          <w:lang w:val="fr-FR"/>
        </w:rPr>
        <w:tab/>
        <w:t xml:space="preserve">Pour organiser et coordonner </w:t>
      </w:r>
      <w:r>
        <w:rPr>
          <w:lang w:val="fr-FR"/>
        </w:rPr>
        <w:t xml:space="preserve">l’activité de </w:t>
      </w:r>
      <w:r w:rsidRPr="00466CE7">
        <w:rPr>
          <w:lang w:val="fr-FR"/>
        </w:rPr>
        <w:t>prévention de la corruption</w:t>
      </w:r>
      <w:r>
        <w:rPr>
          <w:lang w:val="fr-FR"/>
        </w:rPr>
        <w:t xml:space="preserve"> et, en particulier, éliminer les facteurs de corruption, </w:t>
      </w:r>
      <w:r w:rsidRPr="00466CE7">
        <w:rPr>
          <w:lang w:val="fr-FR"/>
        </w:rPr>
        <w:t>un groupe de travail a été créé sous l</w:t>
      </w:r>
      <w:r>
        <w:rPr>
          <w:lang w:val="fr-FR"/>
        </w:rPr>
        <w:t>’</w:t>
      </w:r>
      <w:r w:rsidRPr="00466CE7">
        <w:rPr>
          <w:lang w:val="fr-FR"/>
        </w:rPr>
        <w:t>égide du Conseil de sécurité</w:t>
      </w:r>
      <w:r>
        <w:rPr>
          <w:lang w:val="fr-FR"/>
        </w:rPr>
        <w:t xml:space="preserve">. Il est constitué de </w:t>
      </w:r>
      <w:r w:rsidRPr="00466CE7">
        <w:rPr>
          <w:lang w:val="fr-FR"/>
        </w:rPr>
        <w:t>groupes d</w:t>
      </w:r>
      <w:r>
        <w:rPr>
          <w:lang w:val="fr-FR"/>
        </w:rPr>
        <w:t>’</w:t>
      </w:r>
      <w:r w:rsidRPr="00466CE7">
        <w:rPr>
          <w:lang w:val="fr-FR"/>
        </w:rPr>
        <w:t xml:space="preserve">experts </w:t>
      </w:r>
      <w:r>
        <w:rPr>
          <w:lang w:val="fr-FR"/>
        </w:rPr>
        <w:t>eux-mêmes composés d’</w:t>
      </w:r>
      <w:r w:rsidRPr="00466CE7">
        <w:rPr>
          <w:lang w:val="fr-FR"/>
        </w:rPr>
        <w:t xml:space="preserve">experts </w:t>
      </w:r>
      <w:r>
        <w:rPr>
          <w:lang w:val="fr-FR"/>
        </w:rPr>
        <w:t>indépendants et d’agents des services de répression spécialisés dans ce domaine</w:t>
      </w:r>
      <w:r w:rsidRPr="00466CE7">
        <w:rPr>
          <w:lang w:val="fr-FR"/>
        </w:rPr>
        <w:t>.</w:t>
      </w:r>
    </w:p>
    <w:p w14:paraId="16E78F33" w14:textId="77777777" w:rsidR="009C6834" w:rsidRPr="00466CE7" w:rsidRDefault="009C6834" w:rsidP="009C6834">
      <w:pPr>
        <w:pStyle w:val="SingleTxtG"/>
        <w:rPr>
          <w:lang w:val="fr-FR"/>
        </w:rPr>
      </w:pPr>
      <w:r w:rsidRPr="00466CE7">
        <w:rPr>
          <w:lang w:val="fr-FR"/>
        </w:rPr>
        <w:lastRenderedPageBreak/>
        <w:t>46.</w:t>
      </w:r>
      <w:r w:rsidRPr="00466CE7">
        <w:rPr>
          <w:lang w:val="fr-FR"/>
        </w:rPr>
        <w:tab/>
        <w:t>Les groupes d</w:t>
      </w:r>
      <w:r>
        <w:rPr>
          <w:lang w:val="fr-FR"/>
        </w:rPr>
        <w:t>’</w:t>
      </w:r>
      <w:r w:rsidRPr="00466CE7">
        <w:rPr>
          <w:lang w:val="fr-FR"/>
        </w:rPr>
        <w:t xml:space="preserve">experts </w:t>
      </w:r>
      <w:r>
        <w:rPr>
          <w:lang w:val="fr-FR"/>
        </w:rPr>
        <w:t xml:space="preserve">étudient et </w:t>
      </w:r>
      <w:r w:rsidRPr="00466CE7">
        <w:rPr>
          <w:lang w:val="fr-FR"/>
        </w:rPr>
        <w:t>analyse</w:t>
      </w:r>
      <w:r>
        <w:rPr>
          <w:lang w:val="fr-FR"/>
        </w:rPr>
        <w:t>nt chaque secteur d’activité de chacun des organes de l’État</w:t>
      </w:r>
      <w:r w:rsidRPr="00466CE7">
        <w:rPr>
          <w:lang w:val="fr-FR"/>
        </w:rPr>
        <w:t xml:space="preserve">. </w:t>
      </w:r>
      <w:r>
        <w:rPr>
          <w:lang w:val="fr-FR"/>
        </w:rPr>
        <w:t>D</w:t>
      </w:r>
      <w:r w:rsidRPr="00466CE7">
        <w:rPr>
          <w:lang w:val="fr-FR"/>
        </w:rPr>
        <w:t>es recommandations et des plans d</w:t>
      </w:r>
      <w:r>
        <w:rPr>
          <w:lang w:val="fr-FR"/>
        </w:rPr>
        <w:t>’</w:t>
      </w:r>
      <w:r w:rsidRPr="00466CE7">
        <w:rPr>
          <w:lang w:val="fr-FR"/>
        </w:rPr>
        <w:t xml:space="preserve">action détaillés sont </w:t>
      </w:r>
      <w:r>
        <w:rPr>
          <w:lang w:val="fr-FR"/>
        </w:rPr>
        <w:t>établis à partir des résultats de ces travaux</w:t>
      </w:r>
      <w:r w:rsidRPr="00466CE7">
        <w:rPr>
          <w:lang w:val="fr-FR"/>
        </w:rPr>
        <w:t xml:space="preserve">. </w:t>
      </w:r>
      <w:r>
        <w:rPr>
          <w:lang w:val="fr-FR"/>
        </w:rPr>
        <w:t xml:space="preserve">Aujourd’hui, il existe un plan d’action pour </w:t>
      </w:r>
      <w:r w:rsidRPr="00466CE7">
        <w:rPr>
          <w:lang w:val="fr-FR"/>
        </w:rPr>
        <w:t xml:space="preserve">pratiquement </w:t>
      </w:r>
      <w:r>
        <w:rPr>
          <w:lang w:val="fr-FR"/>
        </w:rPr>
        <w:t>chaque organe de l’État</w:t>
      </w:r>
      <w:r w:rsidRPr="00466CE7">
        <w:rPr>
          <w:lang w:val="fr-FR"/>
        </w:rPr>
        <w:t>.</w:t>
      </w:r>
    </w:p>
    <w:p w14:paraId="4C6D5B56" w14:textId="21350A28" w:rsidR="009C6834" w:rsidRPr="00466CE7" w:rsidRDefault="009C6834" w:rsidP="009C6834">
      <w:pPr>
        <w:pStyle w:val="SingleTxtG"/>
        <w:rPr>
          <w:lang w:val="fr-FR"/>
        </w:rPr>
      </w:pPr>
      <w:r w:rsidRPr="00466CE7">
        <w:rPr>
          <w:lang w:val="fr-FR"/>
        </w:rPr>
        <w:t>47.</w:t>
      </w:r>
      <w:r w:rsidRPr="00466CE7">
        <w:rPr>
          <w:lang w:val="fr-FR"/>
        </w:rPr>
        <w:tab/>
      </w:r>
      <w:r>
        <w:rPr>
          <w:lang w:val="fr-FR"/>
        </w:rPr>
        <w:t>Il existe au sein du</w:t>
      </w:r>
      <w:r w:rsidRPr="00466CE7">
        <w:rPr>
          <w:lang w:val="fr-FR"/>
        </w:rPr>
        <w:t xml:space="preserve"> </w:t>
      </w:r>
      <w:r w:rsidR="004119B3" w:rsidRPr="00466CE7">
        <w:rPr>
          <w:lang w:val="fr-FR"/>
        </w:rPr>
        <w:t xml:space="preserve">Gouvernement </w:t>
      </w:r>
      <w:r>
        <w:rPr>
          <w:lang w:val="fr-FR"/>
        </w:rPr>
        <w:t>un C</w:t>
      </w:r>
      <w:r w:rsidRPr="00466CE7">
        <w:rPr>
          <w:lang w:val="fr-FR"/>
        </w:rPr>
        <w:t xml:space="preserve">onseil </w:t>
      </w:r>
      <w:r>
        <w:rPr>
          <w:lang w:val="fr-FR"/>
        </w:rPr>
        <w:t>anti</w:t>
      </w:r>
      <w:r w:rsidRPr="00466CE7">
        <w:rPr>
          <w:lang w:val="fr-FR"/>
        </w:rPr>
        <w:t>corruption principal</w:t>
      </w:r>
      <w:r>
        <w:rPr>
          <w:lang w:val="fr-FR"/>
        </w:rPr>
        <w:t xml:space="preserve">ement chargé d’organiser des échanges avec la population sur la question </w:t>
      </w:r>
      <w:r w:rsidRPr="00466CE7">
        <w:rPr>
          <w:lang w:val="fr-FR"/>
        </w:rPr>
        <w:t xml:space="preserve">de la lutte contre la corruption. </w:t>
      </w:r>
    </w:p>
    <w:p w14:paraId="1A55DAD8" w14:textId="6A3ECBE5" w:rsidR="009C6834" w:rsidRPr="00466CE7" w:rsidRDefault="009C6834" w:rsidP="009C6834">
      <w:pPr>
        <w:pStyle w:val="SingleTxtG"/>
        <w:rPr>
          <w:lang w:val="fr-FR"/>
        </w:rPr>
      </w:pPr>
      <w:r w:rsidRPr="00466CE7">
        <w:rPr>
          <w:lang w:val="fr-FR"/>
        </w:rPr>
        <w:t>48.</w:t>
      </w:r>
      <w:r w:rsidRPr="00466CE7">
        <w:rPr>
          <w:lang w:val="fr-FR"/>
        </w:rPr>
        <w:tab/>
        <w:t>Afin d</w:t>
      </w:r>
      <w:r>
        <w:rPr>
          <w:lang w:val="fr-FR"/>
        </w:rPr>
        <w:t xml:space="preserve">’édifier </w:t>
      </w:r>
      <w:r w:rsidRPr="00466CE7">
        <w:rPr>
          <w:lang w:val="fr-FR"/>
        </w:rPr>
        <w:t>un État ouvert et transparent, d</w:t>
      </w:r>
      <w:r>
        <w:rPr>
          <w:lang w:val="fr-FR"/>
        </w:rPr>
        <w:t>’</w:t>
      </w:r>
      <w:r w:rsidRPr="00466CE7">
        <w:rPr>
          <w:lang w:val="fr-FR"/>
        </w:rPr>
        <w:t xml:space="preserve">améliorer la qualité de </w:t>
      </w:r>
      <w:r>
        <w:rPr>
          <w:lang w:val="fr-FR"/>
        </w:rPr>
        <w:t xml:space="preserve">la </w:t>
      </w:r>
      <w:r w:rsidRPr="00466CE7">
        <w:rPr>
          <w:lang w:val="fr-FR"/>
        </w:rPr>
        <w:t xml:space="preserve">vie des citoyens et </w:t>
      </w:r>
      <w:r>
        <w:rPr>
          <w:lang w:val="fr-FR"/>
        </w:rPr>
        <w:t xml:space="preserve">de promouvoir des </w:t>
      </w:r>
      <w:r w:rsidRPr="00466CE7">
        <w:rPr>
          <w:lang w:val="fr-FR"/>
        </w:rPr>
        <w:t xml:space="preserve">conditions </w:t>
      </w:r>
      <w:r>
        <w:rPr>
          <w:lang w:val="fr-FR"/>
        </w:rPr>
        <w:t>propices à l’activité commerciale</w:t>
      </w:r>
      <w:r w:rsidRPr="00466CE7">
        <w:rPr>
          <w:lang w:val="fr-FR"/>
        </w:rPr>
        <w:t xml:space="preserve">, le </w:t>
      </w:r>
      <w:r w:rsidR="004119B3" w:rsidRPr="00466CE7">
        <w:rPr>
          <w:lang w:val="fr-FR"/>
        </w:rPr>
        <w:t xml:space="preserve">Gouvernement </w:t>
      </w:r>
      <w:r w:rsidRPr="00466CE7">
        <w:rPr>
          <w:lang w:val="fr-FR"/>
        </w:rPr>
        <w:t xml:space="preserve">a </w:t>
      </w:r>
      <w:r>
        <w:rPr>
          <w:lang w:val="fr-FR"/>
        </w:rPr>
        <w:t xml:space="preserve">lancé </w:t>
      </w:r>
      <w:r w:rsidRPr="00466CE7">
        <w:rPr>
          <w:lang w:val="fr-FR"/>
        </w:rPr>
        <w:t xml:space="preserve">un programme national de transformation numérique qui </w:t>
      </w:r>
      <w:r>
        <w:rPr>
          <w:lang w:val="fr-FR"/>
        </w:rPr>
        <w:t xml:space="preserve">aura pour résultat la mise en place </w:t>
      </w:r>
      <w:r w:rsidRPr="00466CE7">
        <w:rPr>
          <w:lang w:val="fr-FR"/>
        </w:rPr>
        <w:t>d</w:t>
      </w:r>
      <w:r>
        <w:rPr>
          <w:lang w:val="fr-FR"/>
        </w:rPr>
        <w:t>’</w:t>
      </w:r>
      <w:r w:rsidRPr="00466CE7">
        <w:rPr>
          <w:lang w:val="fr-FR"/>
        </w:rPr>
        <w:t>une société de l</w:t>
      </w:r>
      <w:r>
        <w:rPr>
          <w:lang w:val="fr-FR"/>
        </w:rPr>
        <w:t>’</w:t>
      </w:r>
      <w:r w:rsidRPr="00466CE7">
        <w:rPr>
          <w:lang w:val="fr-FR"/>
        </w:rPr>
        <w:t>information développée</w:t>
      </w:r>
      <w:r>
        <w:rPr>
          <w:lang w:val="fr-FR"/>
        </w:rPr>
        <w:t>, fondée</w:t>
      </w:r>
      <w:r w:rsidRPr="00466CE7">
        <w:rPr>
          <w:lang w:val="fr-FR"/>
        </w:rPr>
        <w:t xml:space="preserve"> sur la connaissance, </w:t>
      </w:r>
      <w:r>
        <w:rPr>
          <w:lang w:val="fr-FR"/>
        </w:rPr>
        <w:t xml:space="preserve">sur </w:t>
      </w:r>
      <w:r w:rsidRPr="00466CE7">
        <w:rPr>
          <w:lang w:val="fr-FR"/>
        </w:rPr>
        <w:t xml:space="preserve">une administration publique efficace et transparente, </w:t>
      </w:r>
      <w:r>
        <w:rPr>
          <w:lang w:val="fr-FR"/>
        </w:rPr>
        <w:t>sur l’</w:t>
      </w:r>
      <w:r w:rsidRPr="00466CE7">
        <w:rPr>
          <w:lang w:val="fr-FR"/>
        </w:rPr>
        <w:t xml:space="preserve">accès universel </w:t>
      </w:r>
      <w:r>
        <w:rPr>
          <w:lang w:val="fr-FR"/>
        </w:rPr>
        <w:t xml:space="preserve">des citoyens </w:t>
      </w:r>
      <w:r w:rsidRPr="00466CE7">
        <w:rPr>
          <w:lang w:val="fr-FR"/>
        </w:rPr>
        <w:t>à l</w:t>
      </w:r>
      <w:r>
        <w:rPr>
          <w:lang w:val="fr-FR"/>
        </w:rPr>
        <w:t>’</w:t>
      </w:r>
      <w:r w:rsidRPr="00466CE7">
        <w:rPr>
          <w:lang w:val="fr-FR"/>
        </w:rPr>
        <w:t xml:space="preserve">information </w:t>
      </w:r>
      <w:r>
        <w:rPr>
          <w:lang w:val="fr-FR"/>
        </w:rPr>
        <w:t xml:space="preserve">et sur </w:t>
      </w:r>
      <w:r w:rsidRPr="00466CE7">
        <w:rPr>
          <w:lang w:val="fr-FR"/>
        </w:rPr>
        <w:t>une économie numérique développée</w:t>
      </w:r>
      <w:r>
        <w:rPr>
          <w:lang w:val="fr-FR"/>
        </w:rPr>
        <w:t>,</w:t>
      </w:r>
      <w:r w:rsidRPr="00466CE7">
        <w:rPr>
          <w:lang w:val="fr-FR"/>
        </w:rPr>
        <w:t xml:space="preserve"> et </w:t>
      </w:r>
      <w:r>
        <w:rPr>
          <w:lang w:val="fr-FR"/>
        </w:rPr>
        <w:t xml:space="preserve">qui sera quasiment exempte de </w:t>
      </w:r>
      <w:r w:rsidRPr="00466CE7">
        <w:rPr>
          <w:lang w:val="fr-FR"/>
        </w:rPr>
        <w:t>corruption.</w:t>
      </w:r>
    </w:p>
    <w:p w14:paraId="6AB959D2" w14:textId="77777777" w:rsidR="009C6834" w:rsidRPr="00466CE7" w:rsidRDefault="009C6834" w:rsidP="009C6834">
      <w:pPr>
        <w:pStyle w:val="SingleTxtG"/>
        <w:rPr>
          <w:lang w:val="fr-FR"/>
        </w:rPr>
      </w:pPr>
      <w:r w:rsidRPr="00466CE7">
        <w:rPr>
          <w:lang w:val="fr-FR"/>
        </w:rPr>
        <w:t>49.</w:t>
      </w:r>
      <w:r w:rsidRPr="00466CE7">
        <w:rPr>
          <w:lang w:val="fr-FR"/>
        </w:rPr>
        <w:tab/>
        <w:t xml:space="preserve">Conformément au programme gouvernemental </w:t>
      </w:r>
      <w:r>
        <w:rPr>
          <w:lang w:val="fr-FR"/>
        </w:rPr>
        <w:t>intitulé « Confiance</w:t>
      </w:r>
      <w:r w:rsidRPr="00466CE7">
        <w:rPr>
          <w:lang w:val="fr-FR"/>
        </w:rPr>
        <w:t xml:space="preserve">. </w:t>
      </w:r>
      <w:r>
        <w:rPr>
          <w:lang w:val="fr-FR"/>
        </w:rPr>
        <w:t>Unité</w:t>
      </w:r>
      <w:r w:rsidRPr="00466CE7">
        <w:rPr>
          <w:lang w:val="fr-FR"/>
        </w:rPr>
        <w:t>. Création</w:t>
      </w:r>
      <w:r>
        <w:rPr>
          <w:lang w:val="fr-FR"/>
        </w:rPr>
        <w:t> »</w:t>
      </w:r>
      <w:r w:rsidRPr="00466CE7">
        <w:rPr>
          <w:lang w:val="fr-FR"/>
        </w:rPr>
        <w:t xml:space="preserve"> pour</w:t>
      </w:r>
      <w:r>
        <w:rPr>
          <w:lang w:val="fr-FR"/>
        </w:rPr>
        <w:t xml:space="preserve"> la période</w:t>
      </w:r>
      <w:r w:rsidRPr="00466CE7">
        <w:rPr>
          <w:lang w:val="fr-FR"/>
        </w:rPr>
        <w:t xml:space="preserve"> 2018-2022, </w:t>
      </w:r>
      <w:r>
        <w:rPr>
          <w:lang w:val="fr-FR"/>
        </w:rPr>
        <w:t xml:space="preserve">il est prévu de mettre en place une </w:t>
      </w:r>
      <w:proofErr w:type="spellStart"/>
      <w:r w:rsidRPr="00466CE7">
        <w:rPr>
          <w:lang w:val="fr-FR"/>
        </w:rPr>
        <w:t>plateforme</w:t>
      </w:r>
      <w:proofErr w:type="spellEnd"/>
      <w:r w:rsidRPr="00466CE7">
        <w:rPr>
          <w:lang w:val="fr-FR"/>
        </w:rPr>
        <w:t xml:space="preserve"> </w:t>
      </w:r>
      <w:r>
        <w:rPr>
          <w:lang w:val="fr-FR"/>
        </w:rPr>
        <w:t>numérique centralisée</w:t>
      </w:r>
      <w:r w:rsidRPr="00466CE7">
        <w:rPr>
          <w:lang w:val="fr-FR"/>
        </w:rPr>
        <w:t xml:space="preserve"> </w:t>
      </w:r>
      <w:r>
        <w:rPr>
          <w:lang w:val="fr-FR"/>
        </w:rPr>
        <w:t xml:space="preserve">de </w:t>
      </w:r>
      <w:r w:rsidRPr="00466CE7">
        <w:rPr>
          <w:lang w:val="fr-FR"/>
        </w:rPr>
        <w:t xml:space="preserve">services publics </w:t>
      </w:r>
      <w:r>
        <w:rPr>
          <w:lang w:val="fr-FR"/>
        </w:rPr>
        <w:t>destinée à rendre tous les services publics accessibles en ligne</w:t>
      </w:r>
      <w:r w:rsidRPr="00466CE7">
        <w:rPr>
          <w:lang w:val="fr-FR"/>
        </w:rPr>
        <w:t xml:space="preserve">. </w:t>
      </w:r>
    </w:p>
    <w:p w14:paraId="63B7C6D2" w14:textId="658FAC93" w:rsidR="009C6834" w:rsidRPr="00466CE7" w:rsidRDefault="009C6834" w:rsidP="00CB4ECD">
      <w:pPr>
        <w:pStyle w:val="SingleTxtG"/>
        <w:keepNext/>
        <w:rPr>
          <w:lang w:val="fr-FR"/>
        </w:rPr>
      </w:pPr>
      <w:r>
        <w:rPr>
          <w:lang w:val="fr-FR"/>
        </w:rPr>
        <w:t>50.</w:t>
      </w:r>
      <w:r>
        <w:rPr>
          <w:lang w:val="fr-FR"/>
        </w:rPr>
        <w:tab/>
        <w:t>Soucieux de renforcer</w:t>
      </w:r>
      <w:r w:rsidRPr="00466CE7">
        <w:rPr>
          <w:lang w:val="fr-FR"/>
        </w:rPr>
        <w:t xml:space="preserve"> la </w:t>
      </w:r>
      <w:r>
        <w:rPr>
          <w:lang w:val="fr-FR"/>
        </w:rPr>
        <w:t xml:space="preserve">confiance des citoyens à l’égard des services de l’État, le </w:t>
      </w:r>
      <w:r w:rsidR="004119B3">
        <w:rPr>
          <w:lang w:val="fr-FR"/>
        </w:rPr>
        <w:t xml:space="preserve">Gouvernement </w:t>
      </w:r>
      <w:r>
        <w:rPr>
          <w:lang w:val="fr-FR"/>
        </w:rPr>
        <w:t>exécute différents projets à vocation sociale :</w:t>
      </w:r>
    </w:p>
    <w:p w14:paraId="1C5357F5" w14:textId="0360DD72" w:rsidR="009C6834" w:rsidRPr="00B8797F" w:rsidRDefault="00CB4ECD" w:rsidP="00CB4ECD">
      <w:pPr>
        <w:pStyle w:val="Bullet1G"/>
        <w:rPr>
          <w:lang w:val="fr-FR"/>
        </w:rPr>
      </w:pPr>
      <w:r>
        <w:rPr>
          <w:lang w:val="fr-FR"/>
        </w:rPr>
        <w:t>D</w:t>
      </w:r>
      <w:r w:rsidRPr="00B8797F">
        <w:rPr>
          <w:lang w:val="fr-FR"/>
        </w:rPr>
        <w:t xml:space="preserve">es </w:t>
      </w:r>
      <w:r w:rsidR="009C6834">
        <w:rPr>
          <w:lang w:val="fr-FR"/>
        </w:rPr>
        <w:t>guichets</w:t>
      </w:r>
      <w:r w:rsidR="009C6834" w:rsidRPr="00B8797F">
        <w:rPr>
          <w:lang w:val="fr-FR"/>
        </w:rPr>
        <w:t xml:space="preserve"> d</w:t>
      </w:r>
      <w:r w:rsidR="009C6834">
        <w:rPr>
          <w:lang w:val="fr-FR"/>
        </w:rPr>
        <w:t>’</w:t>
      </w:r>
      <w:r w:rsidR="009C6834" w:rsidRPr="00B8797F">
        <w:rPr>
          <w:lang w:val="fr-FR"/>
        </w:rPr>
        <w:t xml:space="preserve">information et des </w:t>
      </w:r>
      <w:r w:rsidR="009C6834">
        <w:rPr>
          <w:lang w:val="fr-FR"/>
        </w:rPr>
        <w:t xml:space="preserve">unités mobiles </w:t>
      </w:r>
      <w:r w:rsidR="009C6834" w:rsidRPr="00B8797F">
        <w:rPr>
          <w:lang w:val="fr-FR"/>
        </w:rPr>
        <w:t xml:space="preserve">de services </w:t>
      </w:r>
      <w:r w:rsidR="009C6834">
        <w:rPr>
          <w:lang w:val="fr-FR"/>
        </w:rPr>
        <w:t xml:space="preserve">à la population, qui permettent de fournir des services aux personnes vivant dans les </w:t>
      </w:r>
      <w:r w:rsidR="009C6834" w:rsidRPr="00B8797F">
        <w:rPr>
          <w:lang w:val="fr-FR"/>
        </w:rPr>
        <w:t>zones reculées du pays ;</w:t>
      </w:r>
    </w:p>
    <w:p w14:paraId="44621A89" w14:textId="739A8242" w:rsidR="009C6834" w:rsidRPr="00B8797F" w:rsidRDefault="00CB4ECD" w:rsidP="00CB4ECD">
      <w:pPr>
        <w:pStyle w:val="Bullet1G"/>
        <w:rPr>
          <w:lang w:val="fr-FR"/>
        </w:rPr>
      </w:pPr>
      <w:r w:rsidRPr="00B8797F">
        <w:rPr>
          <w:lang w:val="fr-FR"/>
        </w:rPr>
        <w:t xml:space="preserve">Un </w:t>
      </w:r>
      <w:r w:rsidR="009C6834" w:rsidRPr="00B8797F">
        <w:rPr>
          <w:lang w:val="fr-FR"/>
        </w:rPr>
        <w:t xml:space="preserve">portail </w:t>
      </w:r>
      <w:r w:rsidR="009C6834">
        <w:rPr>
          <w:lang w:val="fr-FR"/>
        </w:rPr>
        <w:t xml:space="preserve">national </w:t>
      </w:r>
      <w:r w:rsidR="009C6834" w:rsidRPr="00B8797F">
        <w:rPr>
          <w:lang w:val="fr-FR"/>
        </w:rPr>
        <w:t xml:space="preserve">de services </w:t>
      </w:r>
      <w:r w:rsidR="009C6834">
        <w:rPr>
          <w:lang w:val="fr-FR"/>
        </w:rPr>
        <w:t xml:space="preserve">en ligne permettant de fournir à la population des </w:t>
      </w:r>
      <w:r w:rsidR="009C6834" w:rsidRPr="00B8797F">
        <w:rPr>
          <w:lang w:val="fr-FR"/>
        </w:rPr>
        <w:t>services</w:t>
      </w:r>
      <w:r w:rsidR="009C6834">
        <w:rPr>
          <w:lang w:val="fr-FR"/>
        </w:rPr>
        <w:t xml:space="preserve"> publics</w:t>
      </w:r>
      <w:r w:rsidR="009C6834" w:rsidRPr="00B8797F">
        <w:rPr>
          <w:lang w:val="fr-FR"/>
        </w:rPr>
        <w:t xml:space="preserve"> </w:t>
      </w:r>
      <w:r w:rsidR="009C6834">
        <w:rPr>
          <w:lang w:val="fr-FR"/>
        </w:rPr>
        <w:t>à distance, qui propose déjà</w:t>
      </w:r>
      <w:r w:rsidR="009C6834" w:rsidRPr="00B8797F">
        <w:rPr>
          <w:lang w:val="fr-FR"/>
        </w:rPr>
        <w:t xml:space="preserve"> environ 200</w:t>
      </w:r>
      <w:r>
        <w:rPr>
          <w:lang w:val="fr-FR"/>
        </w:rPr>
        <w:t> </w:t>
      </w:r>
      <w:r w:rsidR="009C6834" w:rsidRPr="00B8797F">
        <w:rPr>
          <w:lang w:val="fr-FR"/>
        </w:rPr>
        <w:t>types de services</w:t>
      </w:r>
      <w:r w:rsidR="009C6834">
        <w:rPr>
          <w:lang w:val="fr-FR"/>
        </w:rPr>
        <w:t> ;</w:t>
      </w:r>
      <w:r w:rsidR="009C6834" w:rsidRPr="00B8797F">
        <w:rPr>
          <w:lang w:val="fr-FR"/>
        </w:rPr>
        <w:t xml:space="preserve"> </w:t>
      </w:r>
    </w:p>
    <w:p w14:paraId="02A0CD05" w14:textId="399B6C3F" w:rsidR="009C6834" w:rsidRPr="00B8797F" w:rsidRDefault="00CB4ECD" w:rsidP="00CB4ECD">
      <w:pPr>
        <w:pStyle w:val="Bullet1G"/>
        <w:rPr>
          <w:lang w:val="fr-FR"/>
        </w:rPr>
      </w:pPr>
      <w:r>
        <w:rPr>
          <w:lang w:val="fr-FR"/>
        </w:rPr>
        <w:t xml:space="preserve">Des </w:t>
      </w:r>
      <w:r w:rsidR="009C6834" w:rsidRPr="00B8797F">
        <w:rPr>
          <w:lang w:val="fr-FR"/>
        </w:rPr>
        <w:t>port</w:t>
      </w:r>
      <w:r w:rsidR="009C6834">
        <w:rPr>
          <w:lang w:val="fr-FR"/>
        </w:rPr>
        <w:t>iqu</w:t>
      </w:r>
      <w:r w:rsidR="009C6834" w:rsidRPr="00B8797F">
        <w:rPr>
          <w:lang w:val="fr-FR"/>
        </w:rPr>
        <w:t xml:space="preserve">es électroniques </w:t>
      </w:r>
      <w:r w:rsidR="009C6834">
        <w:rPr>
          <w:lang w:val="fr-FR"/>
        </w:rPr>
        <w:t>dans</w:t>
      </w:r>
      <w:r w:rsidR="009C6834" w:rsidRPr="00B8797F">
        <w:rPr>
          <w:lang w:val="fr-FR"/>
        </w:rPr>
        <w:t xml:space="preserve"> les aéroports </w:t>
      </w:r>
      <w:r w:rsidR="009C6834">
        <w:rPr>
          <w:lang w:val="fr-FR"/>
        </w:rPr>
        <w:t>du pays, qui permettent d’automatiser le</w:t>
      </w:r>
      <w:r w:rsidR="009C6834" w:rsidRPr="00B8797F">
        <w:rPr>
          <w:lang w:val="fr-FR"/>
        </w:rPr>
        <w:t xml:space="preserve"> c</w:t>
      </w:r>
      <w:r w:rsidR="009C6834">
        <w:rPr>
          <w:lang w:val="fr-FR"/>
        </w:rPr>
        <w:t xml:space="preserve">ontrôle </w:t>
      </w:r>
      <w:r w:rsidR="009C6834" w:rsidRPr="00B8797F">
        <w:rPr>
          <w:lang w:val="fr-FR"/>
        </w:rPr>
        <w:t>aux frontières ;</w:t>
      </w:r>
    </w:p>
    <w:p w14:paraId="6DE5E4B9" w14:textId="4B470A2E" w:rsidR="009C6834" w:rsidRDefault="00CB4ECD" w:rsidP="00CB4ECD">
      <w:pPr>
        <w:pStyle w:val="Bullet1G"/>
        <w:rPr>
          <w:lang w:val="fr-FR"/>
        </w:rPr>
      </w:pPr>
      <w:r>
        <w:rPr>
          <w:lang w:val="fr-FR"/>
        </w:rPr>
        <w:t xml:space="preserve">La </w:t>
      </w:r>
      <w:r w:rsidR="009C6834">
        <w:rPr>
          <w:lang w:val="fr-FR"/>
        </w:rPr>
        <w:t xml:space="preserve">mise en place d’un </w:t>
      </w:r>
      <w:r w:rsidR="009C6834" w:rsidRPr="00B8797F">
        <w:rPr>
          <w:lang w:val="fr-FR"/>
        </w:rPr>
        <w:t xml:space="preserve">système </w:t>
      </w:r>
      <w:r w:rsidR="009C6834">
        <w:rPr>
          <w:lang w:val="fr-FR"/>
        </w:rPr>
        <w:t xml:space="preserve">informatisé de </w:t>
      </w:r>
      <w:r w:rsidR="009C6834" w:rsidRPr="00B8797F">
        <w:rPr>
          <w:lang w:val="fr-FR"/>
        </w:rPr>
        <w:t xml:space="preserve">procédures fiscales, </w:t>
      </w:r>
      <w:r w:rsidR="009C6834">
        <w:rPr>
          <w:lang w:val="fr-FR"/>
        </w:rPr>
        <w:t xml:space="preserve">qui permettra d’accroître sensiblement les </w:t>
      </w:r>
      <w:r w:rsidR="009C6834" w:rsidRPr="00B8797F">
        <w:rPr>
          <w:lang w:val="fr-FR"/>
        </w:rPr>
        <w:t>recettes de l</w:t>
      </w:r>
      <w:r w:rsidR="009C6834">
        <w:rPr>
          <w:lang w:val="fr-FR"/>
        </w:rPr>
        <w:t>’</w:t>
      </w:r>
      <w:r w:rsidR="009C6834" w:rsidRPr="00B8797F">
        <w:rPr>
          <w:lang w:val="fr-FR"/>
        </w:rPr>
        <w:t xml:space="preserve">État et </w:t>
      </w:r>
      <w:r w:rsidR="009C6834">
        <w:rPr>
          <w:lang w:val="fr-FR"/>
        </w:rPr>
        <w:t>de faire reculer l’économie parallèle ;</w:t>
      </w:r>
      <w:r w:rsidR="009C6834" w:rsidRPr="00B8797F">
        <w:rPr>
          <w:lang w:val="fr-FR"/>
        </w:rPr>
        <w:t xml:space="preserve"> </w:t>
      </w:r>
    </w:p>
    <w:p w14:paraId="278477FC" w14:textId="60AB29EA" w:rsidR="009C6834" w:rsidRPr="00B8797F" w:rsidRDefault="00CB4ECD" w:rsidP="00CB4ECD">
      <w:pPr>
        <w:pStyle w:val="Bullet1G"/>
        <w:rPr>
          <w:lang w:val="fr-FR"/>
        </w:rPr>
      </w:pPr>
      <w:r>
        <w:rPr>
          <w:lang w:val="fr-FR"/>
        </w:rPr>
        <w:t xml:space="preserve">La </w:t>
      </w:r>
      <w:r w:rsidR="009C6834">
        <w:rPr>
          <w:lang w:val="fr-FR"/>
        </w:rPr>
        <w:t xml:space="preserve">mise en œuvre d’un </w:t>
      </w:r>
      <w:r w:rsidR="009C6834" w:rsidRPr="00B8797F">
        <w:rPr>
          <w:lang w:val="fr-FR"/>
        </w:rPr>
        <w:t xml:space="preserve">système </w:t>
      </w:r>
      <w:r w:rsidR="009C6834">
        <w:rPr>
          <w:lang w:val="fr-FR"/>
        </w:rPr>
        <w:t>d’échanges entre organismes publics (</w:t>
      </w:r>
      <w:proofErr w:type="spellStart"/>
      <w:r w:rsidR="009C6834" w:rsidRPr="00130DC1">
        <w:rPr>
          <w:lang w:val="fr-FR"/>
        </w:rPr>
        <w:t>Toundouk</w:t>
      </w:r>
      <w:proofErr w:type="spellEnd"/>
      <w:r w:rsidR="009C6834">
        <w:rPr>
          <w:lang w:val="fr-FR"/>
        </w:rPr>
        <w:t>) grâce auquel il ne sera plus nécessaire de fournir les documents sur un support</w:t>
      </w:r>
      <w:r w:rsidR="009C6834" w:rsidRPr="00B8797F">
        <w:rPr>
          <w:lang w:val="fr-FR"/>
        </w:rPr>
        <w:t xml:space="preserve"> papier</w:t>
      </w:r>
      <w:r w:rsidR="009C6834">
        <w:rPr>
          <w:lang w:val="fr-FR"/>
        </w:rPr>
        <w:t xml:space="preserve">, ce qui entraînera, pour </w:t>
      </w:r>
      <w:r w:rsidR="009C6834" w:rsidRPr="00B8797F">
        <w:rPr>
          <w:lang w:val="fr-FR"/>
        </w:rPr>
        <w:t xml:space="preserve">les entreprises </w:t>
      </w:r>
      <w:r w:rsidR="009C6834">
        <w:rPr>
          <w:lang w:val="fr-FR"/>
        </w:rPr>
        <w:t xml:space="preserve">comme pour les particuliers, une réduction </w:t>
      </w:r>
      <w:r w:rsidR="009C6834" w:rsidRPr="00B8797F">
        <w:rPr>
          <w:lang w:val="fr-FR"/>
        </w:rPr>
        <w:t xml:space="preserve">des délais </w:t>
      </w:r>
      <w:r w:rsidR="009C6834">
        <w:rPr>
          <w:lang w:val="fr-FR"/>
        </w:rPr>
        <w:t xml:space="preserve">et une amélioration de la </w:t>
      </w:r>
      <w:r w:rsidR="009C6834" w:rsidRPr="00B8797F">
        <w:rPr>
          <w:lang w:val="fr-FR"/>
        </w:rPr>
        <w:t>qualité des services publics.</w:t>
      </w:r>
    </w:p>
    <w:p w14:paraId="1FFBC2CF" w14:textId="77777777" w:rsidR="009C6834" w:rsidRPr="00466CE7" w:rsidRDefault="009C6834" w:rsidP="009C6834">
      <w:pPr>
        <w:pStyle w:val="SingleTxtG"/>
        <w:rPr>
          <w:lang w:val="fr-FR"/>
        </w:rPr>
      </w:pPr>
      <w:r w:rsidRPr="00466CE7">
        <w:rPr>
          <w:lang w:val="fr-FR"/>
        </w:rPr>
        <w:t>51.</w:t>
      </w:r>
      <w:r w:rsidRPr="00466CE7">
        <w:rPr>
          <w:lang w:val="fr-FR"/>
        </w:rPr>
        <w:tab/>
      </w:r>
      <w:r>
        <w:rPr>
          <w:lang w:val="fr-FR"/>
        </w:rPr>
        <w:t>En 2017, l</w:t>
      </w:r>
      <w:r w:rsidRPr="00466CE7">
        <w:rPr>
          <w:lang w:val="fr-FR"/>
        </w:rPr>
        <w:t xml:space="preserve">e Kirghizistan </w:t>
      </w:r>
      <w:r>
        <w:rPr>
          <w:lang w:val="fr-FR"/>
        </w:rPr>
        <w:t xml:space="preserve">a été </w:t>
      </w:r>
      <w:r w:rsidRPr="00466CE7">
        <w:rPr>
          <w:lang w:val="fr-FR"/>
        </w:rPr>
        <w:t>le premier pays d</w:t>
      </w:r>
      <w:r>
        <w:rPr>
          <w:lang w:val="fr-FR"/>
        </w:rPr>
        <w:t>’</w:t>
      </w:r>
      <w:r w:rsidRPr="00466CE7">
        <w:rPr>
          <w:lang w:val="fr-FR"/>
        </w:rPr>
        <w:t xml:space="preserve">Asie centrale à </w:t>
      </w:r>
      <w:r>
        <w:rPr>
          <w:lang w:val="fr-FR"/>
        </w:rPr>
        <w:t xml:space="preserve">adhérer officiellement au </w:t>
      </w:r>
      <w:r w:rsidRPr="00466CE7">
        <w:rPr>
          <w:lang w:val="fr-FR"/>
        </w:rPr>
        <w:t>Partenariat pour un gouvernement ouvert.</w:t>
      </w:r>
    </w:p>
    <w:p w14:paraId="186D44E3" w14:textId="1185B90E" w:rsidR="009C6834" w:rsidRDefault="009C6834" w:rsidP="009C6834">
      <w:pPr>
        <w:pStyle w:val="SingleTxtG"/>
        <w:rPr>
          <w:lang w:val="fr-FR"/>
        </w:rPr>
      </w:pPr>
      <w:r w:rsidRPr="00466CE7">
        <w:rPr>
          <w:lang w:val="fr-FR"/>
        </w:rPr>
        <w:t>52.</w:t>
      </w:r>
      <w:r w:rsidRPr="00466CE7">
        <w:rPr>
          <w:lang w:val="fr-FR"/>
        </w:rPr>
        <w:tab/>
      </w:r>
      <w:r>
        <w:rPr>
          <w:lang w:val="fr-FR"/>
        </w:rPr>
        <w:t>L</w:t>
      </w:r>
      <w:r w:rsidRPr="00466CE7">
        <w:rPr>
          <w:lang w:val="fr-FR"/>
        </w:rPr>
        <w:t>a fonction de</w:t>
      </w:r>
      <w:r>
        <w:rPr>
          <w:lang w:val="fr-FR"/>
        </w:rPr>
        <w:t xml:space="preserve"> commissaire à la protection des </w:t>
      </w:r>
      <w:r w:rsidRPr="00466CE7">
        <w:rPr>
          <w:lang w:val="fr-FR"/>
        </w:rPr>
        <w:t xml:space="preserve">droits, </w:t>
      </w:r>
      <w:r>
        <w:rPr>
          <w:lang w:val="fr-FR"/>
        </w:rPr>
        <w:t xml:space="preserve">des </w:t>
      </w:r>
      <w:r w:rsidRPr="00466CE7">
        <w:rPr>
          <w:lang w:val="fr-FR"/>
        </w:rPr>
        <w:t xml:space="preserve">libertés et </w:t>
      </w:r>
      <w:r>
        <w:rPr>
          <w:lang w:val="fr-FR"/>
        </w:rPr>
        <w:t xml:space="preserve">des </w:t>
      </w:r>
      <w:r w:rsidRPr="00466CE7">
        <w:rPr>
          <w:lang w:val="fr-FR"/>
        </w:rPr>
        <w:t xml:space="preserve">intérêts légitimes des </w:t>
      </w:r>
      <w:r>
        <w:rPr>
          <w:lang w:val="fr-FR"/>
        </w:rPr>
        <w:t xml:space="preserve">entreprises </w:t>
      </w:r>
      <w:r w:rsidRPr="00466CE7">
        <w:rPr>
          <w:lang w:val="fr-FR"/>
        </w:rPr>
        <w:t xml:space="preserve">(médiateur des entreprises) </w:t>
      </w:r>
      <w:r>
        <w:rPr>
          <w:lang w:val="fr-FR"/>
        </w:rPr>
        <w:t xml:space="preserve">a été instituée </w:t>
      </w:r>
      <w:r w:rsidRPr="00466CE7">
        <w:rPr>
          <w:lang w:val="fr-FR"/>
        </w:rPr>
        <w:t>et le règlement correspondant</w:t>
      </w:r>
      <w:r>
        <w:rPr>
          <w:lang w:val="fr-FR"/>
        </w:rPr>
        <w:t xml:space="preserve"> </w:t>
      </w:r>
      <w:r w:rsidRPr="00466CE7">
        <w:rPr>
          <w:lang w:val="fr-FR"/>
        </w:rPr>
        <w:t>approuvé</w:t>
      </w:r>
      <w:r>
        <w:rPr>
          <w:lang w:val="fr-FR"/>
        </w:rPr>
        <w:t xml:space="preserve"> en 2018 en vertu d’une décision </w:t>
      </w:r>
      <w:r w:rsidRPr="00466CE7">
        <w:rPr>
          <w:lang w:val="fr-FR"/>
        </w:rPr>
        <w:t>gouvernemental</w:t>
      </w:r>
      <w:r>
        <w:rPr>
          <w:lang w:val="fr-FR"/>
        </w:rPr>
        <w:t xml:space="preserve">e. Il s’agit de garantir </w:t>
      </w:r>
      <w:r w:rsidRPr="00466CE7">
        <w:rPr>
          <w:lang w:val="fr-FR"/>
        </w:rPr>
        <w:t xml:space="preserve">la transparence des activités des </w:t>
      </w:r>
      <w:r>
        <w:rPr>
          <w:lang w:val="fr-FR"/>
        </w:rPr>
        <w:t>organes de l’État, de faire reculer</w:t>
      </w:r>
      <w:r w:rsidRPr="00466CE7">
        <w:rPr>
          <w:lang w:val="fr-FR"/>
        </w:rPr>
        <w:t xml:space="preserve"> la corruption et </w:t>
      </w:r>
      <w:r>
        <w:rPr>
          <w:lang w:val="fr-FR"/>
        </w:rPr>
        <w:t xml:space="preserve">de </w:t>
      </w:r>
      <w:r w:rsidRPr="00466CE7">
        <w:rPr>
          <w:lang w:val="fr-FR"/>
        </w:rPr>
        <w:t xml:space="preserve">créer </w:t>
      </w:r>
      <w:r>
        <w:rPr>
          <w:lang w:val="fr-FR"/>
        </w:rPr>
        <w:t xml:space="preserve">la base </w:t>
      </w:r>
      <w:r w:rsidRPr="00466CE7">
        <w:rPr>
          <w:lang w:val="fr-FR"/>
        </w:rPr>
        <w:t>juridique et institutionnel</w:t>
      </w:r>
      <w:r>
        <w:rPr>
          <w:lang w:val="fr-FR"/>
        </w:rPr>
        <w:t xml:space="preserve">le de la protection des </w:t>
      </w:r>
      <w:r w:rsidRPr="00466CE7">
        <w:rPr>
          <w:lang w:val="fr-FR"/>
        </w:rPr>
        <w:t xml:space="preserve">droits, </w:t>
      </w:r>
      <w:r>
        <w:rPr>
          <w:lang w:val="fr-FR"/>
        </w:rPr>
        <w:t>d</w:t>
      </w:r>
      <w:r w:rsidRPr="00466CE7">
        <w:rPr>
          <w:lang w:val="fr-FR"/>
        </w:rPr>
        <w:t xml:space="preserve">es libertés et </w:t>
      </w:r>
      <w:r>
        <w:rPr>
          <w:lang w:val="fr-FR"/>
        </w:rPr>
        <w:t>d</w:t>
      </w:r>
      <w:r w:rsidRPr="00466CE7">
        <w:rPr>
          <w:lang w:val="fr-FR"/>
        </w:rPr>
        <w:t xml:space="preserve">es intérêts légitimes des </w:t>
      </w:r>
      <w:r>
        <w:rPr>
          <w:lang w:val="fr-FR"/>
        </w:rPr>
        <w:t>entreprises</w:t>
      </w:r>
      <w:r w:rsidR="00AA6029">
        <w:rPr>
          <w:lang w:val="fr-FR"/>
        </w:rPr>
        <w:t>.</w:t>
      </w:r>
    </w:p>
    <w:p w14:paraId="32F86918" w14:textId="77777777" w:rsidR="009C6834" w:rsidRPr="00466CE7" w:rsidRDefault="009C6834" w:rsidP="009C6834">
      <w:pPr>
        <w:pStyle w:val="SingleTxtG"/>
        <w:rPr>
          <w:lang w:val="fr-FR"/>
        </w:rPr>
      </w:pPr>
      <w:r w:rsidRPr="00466CE7">
        <w:rPr>
          <w:lang w:val="fr-FR"/>
        </w:rPr>
        <w:t>53.</w:t>
      </w:r>
      <w:r w:rsidRPr="00466CE7">
        <w:rPr>
          <w:lang w:val="fr-FR"/>
        </w:rPr>
        <w:tab/>
        <w:t>En outre, afin de créer des conditions favorables au développement des entreprises, d</w:t>
      </w:r>
      <w:r>
        <w:rPr>
          <w:lang w:val="fr-FR"/>
        </w:rPr>
        <w:t>’</w:t>
      </w:r>
      <w:r w:rsidRPr="00466CE7">
        <w:rPr>
          <w:lang w:val="fr-FR"/>
        </w:rPr>
        <w:t>améliorer le climat d</w:t>
      </w:r>
      <w:r>
        <w:rPr>
          <w:lang w:val="fr-FR"/>
        </w:rPr>
        <w:t>’</w:t>
      </w:r>
      <w:r w:rsidRPr="00466CE7">
        <w:rPr>
          <w:lang w:val="fr-FR"/>
        </w:rPr>
        <w:t>investissement, de soutenir l</w:t>
      </w:r>
      <w:r>
        <w:rPr>
          <w:lang w:val="fr-FR"/>
        </w:rPr>
        <w:t>’activité économique</w:t>
      </w:r>
      <w:r w:rsidRPr="00466CE7">
        <w:rPr>
          <w:lang w:val="fr-FR"/>
        </w:rPr>
        <w:t xml:space="preserve"> des entreprises</w:t>
      </w:r>
      <w:r>
        <w:rPr>
          <w:lang w:val="fr-FR"/>
        </w:rPr>
        <w:t xml:space="preserve"> et</w:t>
      </w:r>
      <w:r w:rsidRPr="00466CE7">
        <w:rPr>
          <w:lang w:val="fr-FR"/>
        </w:rPr>
        <w:t xml:space="preserve"> d</w:t>
      </w:r>
      <w:r>
        <w:rPr>
          <w:lang w:val="fr-FR"/>
        </w:rPr>
        <w:t>’</w:t>
      </w:r>
      <w:r w:rsidRPr="00466CE7">
        <w:rPr>
          <w:lang w:val="fr-FR"/>
        </w:rPr>
        <w:t>assurer leur protection juridique, d</w:t>
      </w:r>
      <w:r>
        <w:rPr>
          <w:lang w:val="fr-FR"/>
        </w:rPr>
        <w:t>’</w:t>
      </w:r>
      <w:r w:rsidRPr="00466CE7">
        <w:rPr>
          <w:lang w:val="fr-FR"/>
        </w:rPr>
        <w:t xml:space="preserve">éliminer les </w:t>
      </w:r>
      <w:r>
        <w:rPr>
          <w:lang w:val="fr-FR"/>
        </w:rPr>
        <w:t xml:space="preserve">ingérences abusives </w:t>
      </w:r>
      <w:r w:rsidRPr="00466CE7">
        <w:rPr>
          <w:lang w:val="fr-FR"/>
        </w:rPr>
        <w:t xml:space="preserve">et excessives des organes autorisés dans les activités des entreprises, </w:t>
      </w:r>
      <w:r>
        <w:rPr>
          <w:lang w:val="fr-FR"/>
        </w:rPr>
        <w:t xml:space="preserve">une interdiction temporaire </w:t>
      </w:r>
      <w:r w:rsidRPr="00466CE7">
        <w:rPr>
          <w:lang w:val="fr-FR"/>
        </w:rPr>
        <w:t xml:space="preserve">(moratoire) </w:t>
      </w:r>
      <w:r>
        <w:rPr>
          <w:lang w:val="fr-FR"/>
        </w:rPr>
        <w:t xml:space="preserve">des </w:t>
      </w:r>
      <w:r w:rsidRPr="00466CE7">
        <w:rPr>
          <w:lang w:val="fr-FR"/>
        </w:rPr>
        <w:t xml:space="preserve">inspections des entreprises </w:t>
      </w:r>
      <w:r>
        <w:rPr>
          <w:lang w:val="fr-FR"/>
        </w:rPr>
        <w:t xml:space="preserve">par les </w:t>
      </w:r>
      <w:r w:rsidRPr="00466CE7">
        <w:rPr>
          <w:lang w:val="fr-FR"/>
        </w:rPr>
        <w:t xml:space="preserve">organes </w:t>
      </w:r>
      <w:r>
        <w:rPr>
          <w:lang w:val="fr-FR"/>
        </w:rPr>
        <w:t>de l’État habilités à mener de telles inspections a été instaurée par décision gouvernementale</w:t>
      </w:r>
      <w:r w:rsidRPr="00466CE7">
        <w:rPr>
          <w:lang w:val="fr-FR"/>
        </w:rPr>
        <w:t>.</w:t>
      </w:r>
    </w:p>
    <w:p w14:paraId="21ED8241" w14:textId="145E1848" w:rsidR="009C6834" w:rsidRPr="00F376A2" w:rsidRDefault="009C6834" w:rsidP="00CB4ECD">
      <w:pPr>
        <w:pStyle w:val="H1G"/>
        <w:rPr>
          <w:lang w:val="fr-FR"/>
        </w:rPr>
      </w:pPr>
      <w:r w:rsidRPr="00466CE7">
        <w:rPr>
          <w:lang w:val="fr-FR"/>
        </w:rPr>
        <w:tab/>
      </w:r>
      <w:r w:rsidRPr="00466CE7">
        <w:rPr>
          <w:lang w:val="fr-FR"/>
        </w:rPr>
        <w:tab/>
      </w:r>
      <w:r w:rsidR="00CB4ECD">
        <w:rPr>
          <w:lang w:val="fr-FR"/>
        </w:rPr>
        <w:t>Article </w:t>
      </w:r>
      <w:r w:rsidRPr="00466CE7">
        <w:rPr>
          <w:lang w:val="fr-FR"/>
        </w:rPr>
        <w:t>8</w:t>
      </w:r>
      <w:r w:rsidR="00CB4ECD">
        <w:rPr>
          <w:lang w:val="fr-FR"/>
        </w:rPr>
        <w:br/>
      </w:r>
      <w:r>
        <w:rPr>
          <w:lang w:val="fr-FR"/>
        </w:rPr>
        <w:t>Égalité</w:t>
      </w:r>
      <w:r w:rsidRPr="00F376A2">
        <w:rPr>
          <w:lang w:val="fr-FR"/>
        </w:rPr>
        <w:t xml:space="preserve"> entre les hommes et les femmes</w:t>
      </w:r>
    </w:p>
    <w:p w14:paraId="2FAAB7AE" w14:textId="6F50492A" w:rsidR="009C6834" w:rsidRPr="00466CE7" w:rsidRDefault="009C6834" w:rsidP="009C6834">
      <w:pPr>
        <w:pStyle w:val="SingleTxtG"/>
        <w:rPr>
          <w:rFonts w:eastAsia="Times New Roman"/>
          <w:lang w:val="fr-FR"/>
        </w:rPr>
      </w:pPr>
      <w:r w:rsidRPr="00466CE7">
        <w:rPr>
          <w:lang w:val="fr-FR"/>
        </w:rPr>
        <w:t>54</w:t>
      </w:r>
      <w:r w:rsidRPr="00466CE7">
        <w:rPr>
          <w:rFonts w:eastAsia="Times New Roman"/>
          <w:lang w:val="fr-FR"/>
        </w:rPr>
        <w:t>.</w:t>
      </w:r>
      <w:r w:rsidRPr="00466CE7">
        <w:rPr>
          <w:rFonts w:eastAsia="Times New Roman"/>
          <w:lang w:val="fr-FR"/>
        </w:rPr>
        <w:tab/>
      </w:r>
      <w:r>
        <w:rPr>
          <w:rFonts w:eastAsia="Times New Roman"/>
          <w:lang w:val="fr-FR"/>
        </w:rPr>
        <w:t xml:space="preserve">Conformément à </w:t>
      </w:r>
      <w:r w:rsidRPr="00466CE7">
        <w:rPr>
          <w:rFonts w:eastAsia="Times New Roman"/>
          <w:lang w:val="fr-FR"/>
        </w:rPr>
        <w:t>l</w:t>
      </w:r>
      <w:r>
        <w:rPr>
          <w:rFonts w:eastAsia="Times New Roman"/>
          <w:lang w:val="fr-FR"/>
        </w:rPr>
        <w:t>’</w:t>
      </w:r>
      <w:r w:rsidR="00CB4ECD">
        <w:rPr>
          <w:rFonts w:eastAsia="Times New Roman"/>
          <w:lang w:val="fr-FR"/>
        </w:rPr>
        <w:t>article </w:t>
      </w:r>
      <w:r>
        <w:rPr>
          <w:rFonts w:eastAsia="Times New Roman"/>
          <w:lang w:val="fr-FR"/>
        </w:rPr>
        <w:t xml:space="preserve">42 de la Constitution, chacun </w:t>
      </w:r>
      <w:r w:rsidRPr="00466CE7">
        <w:rPr>
          <w:rFonts w:eastAsia="Times New Roman"/>
          <w:lang w:val="fr-FR"/>
        </w:rPr>
        <w:t xml:space="preserve">a droit à la liberté </w:t>
      </w:r>
      <w:r>
        <w:rPr>
          <w:rFonts w:eastAsia="Times New Roman"/>
          <w:lang w:val="fr-FR"/>
        </w:rPr>
        <w:t>de travail</w:t>
      </w:r>
      <w:r w:rsidRPr="00466CE7">
        <w:rPr>
          <w:rFonts w:eastAsia="Times New Roman"/>
          <w:lang w:val="fr-FR"/>
        </w:rPr>
        <w:t xml:space="preserve">, </w:t>
      </w:r>
      <w:r>
        <w:rPr>
          <w:rFonts w:eastAsia="Times New Roman"/>
          <w:lang w:val="fr-FR"/>
        </w:rPr>
        <w:t xml:space="preserve">le droit de faire usage à son gré de ses compétences professionnelles, de choisir librement son métier et son activité, de jouir d’une </w:t>
      </w:r>
      <w:r w:rsidRPr="00466CE7">
        <w:rPr>
          <w:rFonts w:eastAsia="Times New Roman"/>
          <w:lang w:val="fr-FR"/>
        </w:rPr>
        <w:t xml:space="preserve">protection et </w:t>
      </w:r>
      <w:r>
        <w:rPr>
          <w:rFonts w:eastAsia="Times New Roman"/>
          <w:lang w:val="fr-FR"/>
        </w:rPr>
        <w:t xml:space="preserve">de </w:t>
      </w:r>
      <w:r w:rsidRPr="00466CE7">
        <w:rPr>
          <w:rFonts w:eastAsia="Times New Roman"/>
          <w:lang w:val="fr-FR"/>
        </w:rPr>
        <w:t xml:space="preserve">conditions de travail répondant aux </w:t>
      </w:r>
      <w:r>
        <w:rPr>
          <w:rFonts w:eastAsia="Times New Roman"/>
          <w:lang w:val="fr-FR"/>
        </w:rPr>
        <w:lastRenderedPageBreak/>
        <w:t xml:space="preserve">normes </w:t>
      </w:r>
      <w:r w:rsidRPr="00466CE7">
        <w:rPr>
          <w:rFonts w:eastAsia="Times New Roman"/>
          <w:lang w:val="fr-FR"/>
        </w:rPr>
        <w:t>de sécurité et d</w:t>
      </w:r>
      <w:r>
        <w:rPr>
          <w:rFonts w:eastAsia="Times New Roman"/>
          <w:lang w:val="fr-FR"/>
        </w:rPr>
        <w:t>’</w:t>
      </w:r>
      <w:r w:rsidRPr="00466CE7">
        <w:rPr>
          <w:rFonts w:eastAsia="Times New Roman"/>
          <w:lang w:val="fr-FR"/>
        </w:rPr>
        <w:t xml:space="preserve">hygiène, </w:t>
      </w:r>
      <w:r>
        <w:rPr>
          <w:rFonts w:eastAsia="Times New Roman"/>
          <w:lang w:val="fr-FR"/>
        </w:rPr>
        <w:t xml:space="preserve">et de recevoir </w:t>
      </w:r>
      <w:r w:rsidRPr="00466CE7">
        <w:rPr>
          <w:rFonts w:eastAsia="Times New Roman"/>
          <w:lang w:val="fr-FR"/>
        </w:rPr>
        <w:t>un</w:t>
      </w:r>
      <w:r>
        <w:rPr>
          <w:rFonts w:eastAsia="Times New Roman"/>
          <w:lang w:val="fr-FR"/>
        </w:rPr>
        <w:t xml:space="preserve">e rémunération </w:t>
      </w:r>
      <w:r w:rsidRPr="00466CE7">
        <w:rPr>
          <w:rFonts w:eastAsia="Times New Roman"/>
          <w:lang w:val="fr-FR"/>
        </w:rPr>
        <w:t>qui ne soit pas inférieur</w:t>
      </w:r>
      <w:r>
        <w:rPr>
          <w:rFonts w:eastAsia="Times New Roman"/>
          <w:lang w:val="fr-FR"/>
        </w:rPr>
        <w:t>e</w:t>
      </w:r>
      <w:r w:rsidRPr="00466CE7">
        <w:rPr>
          <w:rFonts w:eastAsia="Times New Roman"/>
          <w:lang w:val="fr-FR"/>
        </w:rPr>
        <w:t xml:space="preserve"> au minimum vital fixé par la loi.</w:t>
      </w:r>
    </w:p>
    <w:p w14:paraId="43554D4D" w14:textId="275B6F9D" w:rsidR="009C6834" w:rsidRPr="00466CE7" w:rsidRDefault="009C6834" w:rsidP="009C6834">
      <w:pPr>
        <w:pStyle w:val="SingleTxtG"/>
        <w:rPr>
          <w:rFonts w:eastAsia="Times New Roman"/>
          <w:lang w:val="fr-FR"/>
        </w:rPr>
      </w:pPr>
      <w:r w:rsidRPr="00466CE7">
        <w:rPr>
          <w:rFonts w:eastAsia="Times New Roman"/>
          <w:lang w:val="fr-FR"/>
        </w:rPr>
        <w:t>55.</w:t>
      </w:r>
      <w:r w:rsidRPr="00466CE7">
        <w:rPr>
          <w:rFonts w:eastAsia="Times New Roman"/>
          <w:lang w:val="fr-FR"/>
        </w:rPr>
        <w:tab/>
      </w:r>
      <w:r>
        <w:rPr>
          <w:rFonts w:eastAsia="Times New Roman"/>
          <w:lang w:val="fr-FR"/>
        </w:rPr>
        <w:t xml:space="preserve">Conformément à </w:t>
      </w:r>
      <w:r w:rsidRPr="00466CE7">
        <w:rPr>
          <w:rFonts w:eastAsia="Times New Roman"/>
          <w:lang w:val="fr-FR"/>
        </w:rPr>
        <w:t>l</w:t>
      </w:r>
      <w:r>
        <w:rPr>
          <w:rFonts w:eastAsia="Times New Roman"/>
          <w:lang w:val="fr-FR"/>
        </w:rPr>
        <w:t>’</w:t>
      </w:r>
      <w:r w:rsidR="00CB4ECD">
        <w:rPr>
          <w:rFonts w:eastAsia="Times New Roman"/>
          <w:lang w:val="fr-FR"/>
        </w:rPr>
        <w:t>article </w:t>
      </w:r>
      <w:r w:rsidRPr="00466CE7">
        <w:rPr>
          <w:rFonts w:eastAsia="Times New Roman"/>
          <w:lang w:val="fr-FR"/>
        </w:rPr>
        <w:t xml:space="preserve">9 du </w:t>
      </w:r>
      <w:r w:rsidR="009603CF">
        <w:rPr>
          <w:rFonts w:eastAsia="Times New Roman"/>
          <w:lang w:val="fr-FR"/>
        </w:rPr>
        <w:t>Code du travail</w:t>
      </w:r>
      <w:r w:rsidRPr="00466CE7">
        <w:rPr>
          <w:rFonts w:eastAsia="Times New Roman"/>
          <w:lang w:val="fr-FR"/>
        </w:rPr>
        <w:t>, toute personne a des chances égales d</w:t>
      </w:r>
      <w:r>
        <w:rPr>
          <w:rFonts w:eastAsia="Times New Roman"/>
          <w:lang w:val="fr-FR"/>
        </w:rPr>
        <w:t>’</w:t>
      </w:r>
      <w:r w:rsidRPr="00466CE7">
        <w:rPr>
          <w:rFonts w:eastAsia="Times New Roman"/>
          <w:lang w:val="fr-FR"/>
        </w:rPr>
        <w:t>exercer ses droits et libertés en matière de travail. Nul ne peut être limi</w:t>
      </w:r>
      <w:r>
        <w:rPr>
          <w:rFonts w:eastAsia="Times New Roman"/>
          <w:lang w:val="fr-FR"/>
        </w:rPr>
        <w:t xml:space="preserve">té dans ses droits et libertés en matière de </w:t>
      </w:r>
      <w:r w:rsidRPr="00466CE7">
        <w:rPr>
          <w:rFonts w:eastAsia="Times New Roman"/>
          <w:lang w:val="fr-FR"/>
        </w:rPr>
        <w:t>travail ni bénéficier d</w:t>
      </w:r>
      <w:r>
        <w:rPr>
          <w:rFonts w:eastAsia="Times New Roman"/>
          <w:lang w:val="fr-FR"/>
        </w:rPr>
        <w:t xml:space="preserve">e quelconques </w:t>
      </w:r>
      <w:r w:rsidRPr="00466CE7">
        <w:rPr>
          <w:rFonts w:eastAsia="Times New Roman"/>
          <w:lang w:val="fr-FR"/>
        </w:rPr>
        <w:t xml:space="preserve">avantages dans leur exercice en </w:t>
      </w:r>
      <w:r>
        <w:rPr>
          <w:rFonts w:eastAsia="Times New Roman"/>
          <w:lang w:val="fr-FR"/>
        </w:rPr>
        <w:t xml:space="preserve">fonction de son </w:t>
      </w:r>
      <w:r w:rsidRPr="00466CE7">
        <w:rPr>
          <w:rFonts w:eastAsia="Times New Roman"/>
          <w:lang w:val="fr-FR"/>
        </w:rPr>
        <w:t xml:space="preserve">sexe, de </w:t>
      </w:r>
      <w:r>
        <w:rPr>
          <w:rFonts w:eastAsia="Times New Roman"/>
          <w:lang w:val="fr-FR"/>
        </w:rPr>
        <w:t>s</w:t>
      </w:r>
      <w:r w:rsidRPr="00466CE7">
        <w:rPr>
          <w:rFonts w:eastAsia="Times New Roman"/>
          <w:lang w:val="fr-FR"/>
        </w:rPr>
        <w:t xml:space="preserve">a race, de </w:t>
      </w:r>
      <w:r>
        <w:rPr>
          <w:rFonts w:eastAsia="Times New Roman"/>
          <w:lang w:val="fr-FR"/>
        </w:rPr>
        <w:t>s</w:t>
      </w:r>
      <w:r w:rsidRPr="00466CE7">
        <w:rPr>
          <w:rFonts w:eastAsia="Times New Roman"/>
          <w:lang w:val="fr-FR"/>
        </w:rPr>
        <w:t xml:space="preserve">a nationalité, de </w:t>
      </w:r>
      <w:r>
        <w:rPr>
          <w:rFonts w:eastAsia="Times New Roman"/>
          <w:lang w:val="fr-FR"/>
        </w:rPr>
        <w:t>s</w:t>
      </w:r>
      <w:r w:rsidRPr="00466CE7">
        <w:rPr>
          <w:rFonts w:eastAsia="Times New Roman"/>
          <w:lang w:val="fr-FR"/>
        </w:rPr>
        <w:t xml:space="preserve">a langue, de </w:t>
      </w:r>
      <w:r>
        <w:rPr>
          <w:rFonts w:eastAsia="Times New Roman"/>
          <w:lang w:val="fr-FR"/>
        </w:rPr>
        <w:t xml:space="preserve">son </w:t>
      </w:r>
      <w:r w:rsidRPr="00466CE7">
        <w:rPr>
          <w:rFonts w:eastAsia="Times New Roman"/>
          <w:lang w:val="fr-FR"/>
        </w:rPr>
        <w:t xml:space="preserve">origine, de </w:t>
      </w:r>
      <w:r>
        <w:rPr>
          <w:rFonts w:eastAsia="Times New Roman"/>
          <w:lang w:val="fr-FR"/>
        </w:rPr>
        <w:t>s</w:t>
      </w:r>
      <w:r w:rsidRPr="00466CE7">
        <w:rPr>
          <w:rFonts w:eastAsia="Times New Roman"/>
          <w:lang w:val="fr-FR"/>
        </w:rPr>
        <w:t xml:space="preserve">a fortune ou </w:t>
      </w:r>
      <w:r>
        <w:rPr>
          <w:rFonts w:eastAsia="Times New Roman"/>
          <w:lang w:val="fr-FR"/>
        </w:rPr>
        <w:t>de son statut officiel</w:t>
      </w:r>
      <w:r w:rsidRPr="00466CE7">
        <w:rPr>
          <w:rFonts w:eastAsia="Times New Roman"/>
          <w:lang w:val="fr-FR"/>
        </w:rPr>
        <w:t xml:space="preserve">, de </w:t>
      </w:r>
      <w:r>
        <w:rPr>
          <w:rFonts w:eastAsia="Times New Roman"/>
          <w:lang w:val="fr-FR"/>
        </w:rPr>
        <w:t xml:space="preserve">son </w:t>
      </w:r>
      <w:r w:rsidRPr="00466CE7">
        <w:rPr>
          <w:rFonts w:eastAsia="Times New Roman"/>
          <w:lang w:val="fr-FR"/>
        </w:rPr>
        <w:t xml:space="preserve">âge, </w:t>
      </w:r>
      <w:r>
        <w:rPr>
          <w:rFonts w:eastAsia="Times New Roman"/>
          <w:lang w:val="fr-FR"/>
        </w:rPr>
        <w:t xml:space="preserve">de son </w:t>
      </w:r>
      <w:r w:rsidRPr="00466CE7">
        <w:rPr>
          <w:rFonts w:eastAsia="Times New Roman"/>
          <w:lang w:val="fr-FR"/>
        </w:rPr>
        <w:t xml:space="preserve">lieu de résidence, de </w:t>
      </w:r>
      <w:r>
        <w:rPr>
          <w:rFonts w:eastAsia="Times New Roman"/>
          <w:lang w:val="fr-FR"/>
        </w:rPr>
        <w:t xml:space="preserve">son </w:t>
      </w:r>
      <w:r w:rsidRPr="00466CE7">
        <w:rPr>
          <w:rFonts w:eastAsia="Times New Roman"/>
          <w:lang w:val="fr-FR"/>
        </w:rPr>
        <w:t>attitude à l</w:t>
      </w:r>
      <w:r>
        <w:rPr>
          <w:rFonts w:eastAsia="Times New Roman"/>
          <w:lang w:val="fr-FR"/>
        </w:rPr>
        <w:t>’</w:t>
      </w:r>
      <w:r w:rsidRPr="00466CE7">
        <w:rPr>
          <w:rFonts w:eastAsia="Times New Roman"/>
          <w:lang w:val="fr-FR"/>
        </w:rPr>
        <w:t xml:space="preserve">égard de la religion, </w:t>
      </w:r>
      <w:r>
        <w:rPr>
          <w:rFonts w:eastAsia="Times New Roman"/>
          <w:lang w:val="fr-FR"/>
        </w:rPr>
        <w:t xml:space="preserve">de ses opinions </w:t>
      </w:r>
      <w:r w:rsidRPr="00466CE7">
        <w:rPr>
          <w:rFonts w:eastAsia="Times New Roman"/>
          <w:lang w:val="fr-FR"/>
        </w:rPr>
        <w:t xml:space="preserve">politiques, de </w:t>
      </w:r>
      <w:r>
        <w:rPr>
          <w:rFonts w:eastAsia="Times New Roman"/>
          <w:lang w:val="fr-FR"/>
        </w:rPr>
        <w:t xml:space="preserve">son </w:t>
      </w:r>
      <w:r w:rsidRPr="00466CE7">
        <w:rPr>
          <w:rFonts w:eastAsia="Times New Roman"/>
          <w:lang w:val="fr-FR"/>
        </w:rPr>
        <w:t>appartenance ou non-</w:t>
      </w:r>
      <w:r>
        <w:rPr>
          <w:rFonts w:eastAsia="Times New Roman"/>
          <w:lang w:val="fr-FR"/>
        </w:rPr>
        <w:t xml:space="preserve">appartenance à des associations, </w:t>
      </w:r>
      <w:r w:rsidRPr="00466CE7">
        <w:rPr>
          <w:rFonts w:eastAsia="Times New Roman"/>
          <w:lang w:val="fr-FR"/>
        </w:rPr>
        <w:t>ou d</w:t>
      </w:r>
      <w:r>
        <w:rPr>
          <w:rFonts w:eastAsia="Times New Roman"/>
          <w:lang w:val="fr-FR"/>
        </w:rPr>
        <w:t>’</w:t>
      </w:r>
      <w:r w:rsidRPr="00466CE7">
        <w:rPr>
          <w:rFonts w:eastAsia="Times New Roman"/>
          <w:lang w:val="fr-FR"/>
        </w:rPr>
        <w:t xml:space="preserve">autres circonstances </w:t>
      </w:r>
      <w:r>
        <w:rPr>
          <w:rFonts w:eastAsia="Times New Roman"/>
          <w:lang w:val="fr-FR"/>
        </w:rPr>
        <w:t xml:space="preserve">sans rapport avec ses </w:t>
      </w:r>
      <w:r w:rsidRPr="00466CE7">
        <w:rPr>
          <w:rFonts w:eastAsia="Times New Roman"/>
          <w:lang w:val="fr-FR"/>
        </w:rPr>
        <w:t xml:space="preserve">qualités professionnelles ou </w:t>
      </w:r>
      <w:r>
        <w:rPr>
          <w:rFonts w:eastAsia="Times New Roman"/>
          <w:lang w:val="fr-FR"/>
        </w:rPr>
        <w:t xml:space="preserve">les </w:t>
      </w:r>
      <w:r w:rsidRPr="00466CE7">
        <w:rPr>
          <w:rFonts w:eastAsia="Times New Roman"/>
          <w:lang w:val="fr-FR"/>
        </w:rPr>
        <w:t>résultats de son travail.</w:t>
      </w:r>
      <w:r>
        <w:rPr>
          <w:rFonts w:eastAsia="Times New Roman"/>
          <w:lang w:val="fr-FR"/>
        </w:rPr>
        <w:t xml:space="preserve"> Il est interdit d’offrir une </w:t>
      </w:r>
      <w:r w:rsidRPr="00466CE7">
        <w:rPr>
          <w:rFonts w:eastAsia="Times New Roman"/>
          <w:lang w:val="fr-FR"/>
        </w:rPr>
        <w:t xml:space="preserve">rémunération </w:t>
      </w:r>
      <w:r>
        <w:rPr>
          <w:rFonts w:eastAsia="Times New Roman"/>
          <w:lang w:val="fr-FR"/>
        </w:rPr>
        <w:t xml:space="preserve">différente </w:t>
      </w:r>
      <w:r w:rsidRPr="00466CE7">
        <w:rPr>
          <w:rFonts w:eastAsia="Times New Roman"/>
          <w:lang w:val="fr-FR"/>
        </w:rPr>
        <w:t xml:space="preserve">pour un </w:t>
      </w:r>
      <w:r>
        <w:rPr>
          <w:rFonts w:eastAsia="Times New Roman"/>
          <w:lang w:val="fr-FR"/>
        </w:rPr>
        <w:t xml:space="preserve">même </w:t>
      </w:r>
      <w:r w:rsidRPr="00466CE7">
        <w:rPr>
          <w:rFonts w:eastAsia="Times New Roman"/>
          <w:lang w:val="fr-FR"/>
        </w:rPr>
        <w:t>travail. Les personnes qui estiment avoir fait l</w:t>
      </w:r>
      <w:r>
        <w:rPr>
          <w:rFonts w:eastAsia="Times New Roman"/>
          <w:lang w:val="fr-FR"/>
        </w:rPr>
        <w:t>’</w:t>
      </w:r>
      <w:r w:rsidRPr="00466CE7">
        <w:rPr>
          <w:rFonts w:eastAsia="Times New Roman"/>
          <w:lang w:val="fr-FR"/>
        </w:rPr>
        <w:t>objet d</w:t>
      </w:r>
      <w:r>
        <w:rPr>
          <w:rFonts w:eastAsia="Times New Roman"/>
          <w:lang w:val="fr-FR"/>
        </w:rPr>
        <w:t>’</w:t>
      </w:r>
      <w:r w:rsidRPr="00466CE7">
        <w:rPr>
          <w:rFonts w:eastAsia="Times New Roman"/>
          <w:lang w:val="fr-FR"/>
        </w:rPr>
        <w:t xml:space="preserve">une discrimination au travail ont le droit de </w:t>
      </w:r>
      <w:r>
        <w:rPr>
          <w:rFonts w:eastAsia="Times New Roman"/>
          <w:lang w:val="fr-FR"/>
        </w:rPr>
        <w:t xml:space="preserve">saisir la </w:t>
      </w:r>
      <w:r w:rsidRPr="00466CE7">
        <w:rPr>
          <w:rFonts w:eastAsia="Times New Roman"/>
          <w:lang w:val="fr-FR"/>
        </w:rPr>
        <w:t xml:space="preserve">justice </w:t>
      </w:r>
      <w:r>
        <w:rPr>
          <w:rFonts w:eastAsia="Times New Roman"/>
          <w:lang w:val="fr-FR"/>
        </w:rPr>
        <w:t xml:space="preserve">pour obtenir </w:t>
      </w:r>
      <w:r w:rsidRPr="00466CE7">
        <w:rPr>
          <w:rFonts w:eastAsia="Times New Roman"/>
          <w:lang w:val="fr-FR"/>
        </w:rPr>
        <w:t xml:space="preserve">le rétablissement des droits violés et la réparation </w:t>
      </w:r>
      <w:r>
        <w:rPr>
          <w:rFonts w:eastAsia="Times New Roman"/>
          <w:lang w:val="fr-FR"/>
        </w:rPr>
        <w:t>du préjudice matériel et moral subi</w:t>
      </w:r>
      <w:r w:rsidRPr="00466CE7">
        <w:rPr>
          <w:rFonts w:eastAsia="Times New Roman"/>
          <w:lang w:val="fr-FR"/>
        </w:rPr>
        <w:t>.</w:t>
      </w:r>
    </w:p>
    <w:p w14:paraId="3A835A91" w14:textId="5C1762FE" w:rsidR="009C6834" w:rsidRPr="00466CE7" w:rsidRDefault="009C6834" w:rsidP="009C6834">
      <w:pPr>
        <w:pStyle w:val="SingleTxtG"/>
        <w:rPr>
          <w:rFonts w:eastAsia="Times New Roman"/>
          <w:lang w:val="fr-FR"/>
        </w:rPr>
      </w:pPr>
      <w:r w:rsidRPr="00466CE7">
        <w:rPr>
          <w:rFonts w:eastAsia="Times New Roman"/>
          <w:lang w:val="fr-FR"/>
        </w:rPr>
        <w:t>56.</w:t>
      </w:r>
      <w:r w:rsidRPr="00466CE7">
        <w:rPr>
          <w:rFonts w:eastAsia="Times New Roman"/>
          <w:lang w:val="fr-FR"/>
        </w:rPr>
        <w:tab/>
        <w:t xml:space="preserve">Au </w:t>
      </w:r>
      <w:r w:rsidR="000479B3">
        <w:rPr>
          <w:rFonts w:eastAsia="Times New Roman"/>
          <w:lang w:val="fr-FR"/>
        </w:rPr>
        <w:t>Kirghizistan</w:t>
      </w:r>
      <w:r>
        <w:rPr>
          <w:rFonts w:eastAsia="Times New Roman"/>
          <w:lang w:val="fr-FR"/>
        </w:rPr>
        <w:t xml:space="preserve">, les hommes et les femmes jouissent des mêmes </w:t>
      </w:r>
      <w:r w:rsidRPr="00466CE7">
        <w:rPr>
          <w:rFonts w:eastAsia="Times New Roman"/>
          <w:lang w:val="fr-FR"/>
        </w:rPr>
        <w:t xml:space="preserve">droits et libertés et </w:t>
      </w:r>
      <w:r>
        <w:rPr>
          <w:rFonts w:eastAsia="Times New Roman"/>
          <w:lang w:val="fr-FR"/>
        </w:rPr>
        <w:t xml:space="preserve">ont les mêmes chances </w:t>
      </w:r>
      <w:r w:rsidRPr="00466CE7">
        <w:rPr>
          <w:rFonts w:eastAsia="Times New Roman"/>
          <w:lang w:val="fr-FR"/>
        </w:rPr>
        <w:t xml:space="preserve">pour leur réalisation. Cette </w:t>
      </w:r>
      <w:r>
        <w:rPr>
          <w:rFonts w:eastAsia="Times New Roman"/>
          <w:lang w:val="fr-FR"/>
        </w:rPr>
        <w:t xml:space="preserve">disposition </w:t>
      </w:r>
      <w:r w:rsidRPr="00466CE7">
        <w:rPr>
          <w:rFonts w:eastAsia="Times New Roman"/>
          <w:lang w:val="fr-FR"/>
        </w:rPr>
        <w:t xml:space="preserve">constitutionnelle est mise en œuvre par la loi sur les garanties </w:t>
      </w:r>
      <w:r>
        <w:rPr>
          <w:rFonts w:eastAsia="Times New Roman"/>
          <w:lang w:val="fr-FR"/>
        </w:rPr>
        <w:t xml:space="preserve">de l’État pour </w:t>
      </w:r>
      <w:r w:rsidRPr="00466CE7">
        <w:rPr>
          <w:rFonts w:eastAsia="Times New Roman"/>
          <w:lang w:val="fr-FR"/>
        </w:rPr>
        <w:t>l</w:t>
      </w:r>
      <w:r>
        <w:rPr>
          <w:rFonts w:eastAsia="Times New Roman"/>
          <w:lang w:val="fr-FR"/>
        </w:rPr>
        <w:t>’</w:t>
      </w:r>
      <w:r w:rsidRPr="00466CE7">
        <w:rPr>
          <w:rFonts w:eastAsia="Times New Roman"/>
          <w:lang w:val="fr-FR"/>
        </w:rPr>
        <w:t xml:space="preserve">égalité des droits et des chances entre les hommes et les femmes. La discrimination </w:t>
      </w:r>
      <w:r>
        <w:rPr>
          <w:rFonts w:eastAsia="Times New Roman"/>
          <w:lang w:val="fr-FR"/>
        </w:rPr>
        <w:t xml:space="preserve">fondée sur le sexe </w:t>
      </w:r>
      <w:r w:rsidRPr="00466CE7">
        <w:rPr>
          <w:rFonts w:eastAsia="Times New Roman"/>
          <w:lang w:val="fr-FR"/>
        </w:rPr>
        <w:t>est interdite dans tous les domaines d</w:t>
      </w:r>
      <w:r>
        <w:rPr>
          <w:rFonts w:eastAsia="Times New Roman"/>
          <w:lang w:val="fr-FR"/>
        </w:rPr>
        <w:t>’</w:t>
      </w:r>
      <w:r w:rsidRPr="00466CE7">
        <w:rPr>
          <w:rFonts w:eastAsia="Times New Roman"/>
          <w:lang w:val="fr-FR"/>
        </w:rPr>
        <w:t>activité.</w:t>
      </w:r>
    </w:p>
    <w:p w14:paraId="5C362D1D" w14:textId="3254E40F" w:rsidR="009C6834" w:rsidRDefault="009C6834" w:rsidP="009C6834">
      <w:pPr>
        <w:pStyle w:val="SingleTxtG"/>
        <w:rPr>
          <w:rFonts w:eastAsia="Times New Roman"/>
          <w:lang w:val="fr-FR"/>
        </w:rPr>
      </w:pPr>
      <w:r w:rsidRPr="00466CE7">
        <w:rPr>
          <w:rFonts w:eastAsia="Times New Roman"/>
          <w:lang w:val="fr-FR"/>
        </w:rPr>
        <w:t>57.</w:t>
      </w:r>
      <w:r w:rsidRPr="00466CE7">
        <w:rPr>
          <w:rFonts w:eastAsia="Times New Roman"/>
          <w:lang w:val="fr-FR"/>
        </w:rPr>
        <w:tab/>
      </w:r>
      <w:r>
        <w:rPr>
          <w:rFonts w:eastAsia="Times New Roman"/>
          <w:lang w:val="fr-FR"/>
        </w:rPr>
        <w:t>Au cours de la période 2013-</w:t>
      </w:r>
      <w:r w:rsidRPr="00466CE7">
        <w:rPr>
          <w:rFonts w:eastAsia="Times New Roman"/>
          <w:lang w:val="fr-FR"/>
        </w:rPr>
        <w:t xml:space="preserve">2018, les </w:t>
      </w:r>
      <w:r>
        <w:rPr>
          <w:rFonts w:eastAsia="Times New Roman"/>
          <w:lang w:val="fr-FR"/>
        </w:rPr>
        <w:t xml:space="preserve">services </w:t>
      </w:r>
      <w:r w:rsidRPr="00466CE7">
        <w:rPr>
          <w:rFonts w:eastAsia="Times New Roman"/>
          <w:lang w:val="fr-FR"/>
        </w:rPr>
        <w:t xml:space="preserve">du </w:t>
      </w:r>
      <w:r>
        <w:rPr>
          <w:rFonts w:eastAsia="Times New Roman"/>
          <w:lang w:val="fr-FR"/>
        </w:rPr>
        <w:t xml:space="preserve">procureur </w:t>
      </w:r>
      <w:r w:rsidRPr="00466CE7">
        <w:rPr>
          <w:rFonts w:eastAsia="Times New Roman"/>
          <w:lang w:val="fr-FR"/>
        </w:rPr>
        <w:t xml:space="preserve">ont </w:t>
      </w:r>
      <w:r>
        <w:rPr>
          <w:rFonts w:eastAsia="Times New Roman"/>
          <w:lang w:val="fr-FR"/>
        </w:rPr>
        <w:t xml:space="preserve">procédé à </w:t>
      </w:r>
      <w:r w:rsidRPr="00466CE7">
        <w:rPr>
          <w:rFonts w:eastAsia="Times New Roman"/>
          <w:lang w:val="fr-FR"/>
        </w:rPr>
        <w:t>895</w:t>
      </w:r>
      <w:r w:rsidR="00CB4ECD">
        <w:rPr>
          <w:rFonts w:eastAsia="Times New Roman"/>
          <w:lang w:val="fr-FR"/>
        </w:rPr>
        <w:t> </w:t>
      </w:r>
      <w:r w:rsidRPr="00466CE7">
        <w:rPr>
          <w:rFonts w:eastAsia="Times New Roman"/>
          <w:lang w:val="fr-FR"/>
        </w:rPr>
        <w:t xml:space="preserve">inspections pour </w:t>
      </w:r>
      <w:r>
        <w:rPr>
          <w:rFonts w:eastAsia="Times New Roman"/>
          <w:lang w:val="fr-FR"/>
        </w:rPr>
        <w:t>contrôler l’application de la loi</w:t>
      </w:r>
      <w:r w:rsidRPr="00466CE7">
        <w:rPr>
          <w:rFonts w:eastAsia="Times New Roman"/>
          <w:lang w:val="fr-FR"/>
        </w:rPr>
        <w:t xml:space="preserve"> </w:t>
      </w:r>
      <w:r>
        <w:rPr>
          <w:rFonts w:eastAsia="Times New Roman"/>
          <w:lang w:val="fr-FR"/>
        </w:rPr>
        <w:t>susmentionnée</w:t>
      </w:r>
      <w:r w:rsidRPr="00466CE7">
        <w:rPr>
          <w:rFonts w:eastAsia="Times New Roman"/>
          <w:lang w:val="fr-FR"/>
        </w:rPr>
        <w:t xml:space="preserve">, </w:t>
      </w:r>
      <w:r>
        <w:rPr>
          <w:rFonts w:eastAsia="Times New Roman"/>
          <w:lang w:val="fr-FR"/>
        </w:rPr>
        <w:t xml:space="preserve">à la suite de quoi </w:t>
      </w:r>
      <w:r w:rsidRPr="00466CE7">
        <w:rPr>
          <w:rFonts w:eastAsia="Times New Roman"/>
          <w:lang w:val="fr-FR"/>
        </w:rPr>
        <w:t>576</w:t>
      </w:r>
      <w:r w:rsidR="00CB4ECD">
        <w:rPr>
          <w:rFonts w:eastAsia="Times New Roman"/>
          <w:lang w:val="fr-FR"/>
        </w:rPr>
        <w:t> </w:t>
      </w:r>
      <w:r>
        <w:rPr>
          <w:rFonts w:eastAsia="Times New Roman"/>
          <w:lang w:val="fr-FR"/>
        </w:rPr>
        <w:t xml:space="preserve">ordonnances ont été émises pour faire cesser des activités illicites, </w:t>
      </w:r>
      <w:r w:rsidRPr="00466CE7">
        <w:rPr>
          <w:rFonts w:eastAsia="Times New Roman"/>
          <w:lang w:val="fr-FR"/>
        </w:rPr>
        <w:t>422</w:t>
      </w:r>
      <w:r w:rsidR="00CB4ECD">
        <w:rPr>
          <w:rFonts w:eastAsia="Times New Roman"/>
          <w:lang w:val="fr-FR"/>
        </w:rPr>
        <w:t> </w:t>
      </w:r>
      <w:r>
        <w:rPr>
          <w:rFonts w:eastAsia="Times New Roman"/>
          <w:lang w:val="fr-FR"/>
        </w:rPr>
        <w:t>injonctions ont été adressées</w:t>
      </w:r>
      <w:r w:rsidRPr="00466CE7">
        <w:rPr>
          <w:rFonts w:eastAsia="Times New Roman"/>
          <w:lang w:val="fr-FR"/>
        </w:rPr>
        <w:t>, 189</w:t>
      </w:r>
      <w:r w:rsidR="00CB4ECD">
        <w:rPr>
          <w:rFonts w:eastAsia="Times New Roman"/>
          <w:lang w:val="fr-FR"/>
        </w:rPr>
        <w:t> </w:t>
      </w:r>
      <w:r>
        <w:rPr>
          <w:rFonts w:eastAsia="Times New Roman"/>
          <w:lang w:val="fr-FR"/>
        </w:rPr>
        <w:t>personnes ont reçu des avertissements</w:t>
      </w:r>
      <w:r w:rsidRPr="00466CE7">
        <w:rPr>
          <w:rFonts w:eastAsia="Times New Roman"/>
          <w:lang w:val="fr-FR"/>
        </w:rPr>
        <w:t>, 361</w:t>
      </w:r>
      <w:r w:rsidR="00CB4ECD">
        <w:rPr>
          <w:rFonts w:eastAsia="Times New Roman"/>
          <w:lang w:val="fr-FR"/>
        </w:rPr>
        <w:t> </w:t>
      </w:r>
      <w:r>
        <w:rPr>
          <w:rFonts w:eastAsia="Times New Roman"/>
          <w:lang w:val="fr-FR"/>
        </w:rPr>
        <w:t>fonctionnaires ont fait l’objet de mesures disciplinaires pour infraction à la loi, et deux personnes ont fait l’objet de procédures administratives</w:t>
      </w:r>
      <w:r w:rsidRPr="00466CE7">
        <w:rPr>
          <w:rFonts w:eastAsia="Times New Roman"/>
          <w:lang w:val="fr-FR"/>
        </w:rPr>
        <w:t xml:space="preserve">. </w:t>
      </w:r>
    </w:p>
    <w:p w14:paraId="256D9378" w14:textId="49680E02" w:rsidR="009C6834" w:rsidRPr="00466CE7" w:rsidRDefault="009C6834" w:rsidP="009C6834">
      <w:pPr>
        <w:pStyle w:val="SingleTxtG"/>
        <w:rPr>
          <w:rFonts w:eastAsia="Times New Roman"/>
          <w:lang w:val="fr-FR"/>
        </w:rPr>
      </w:pPr>
      <w:r w:rsidRPr="00466CE7">
        <w:rPr>
          <w:rFonts w:eastAsia="Times New Roman"/>
          <w:lang w:val="fr-FR"/>
        </w:rPr>
        <w:t>58.</w:t>
      </w:r>
      <w:r w:rsidRPr="00466CE7">
        <w:rPr>
          <w:rFonts w:eastAsia="Times New Roman"/>
          <w:lang w:val="fr-FR"/>
        </w:rPr>
        <w:tab/>
      </w:r>
      <w:r>
        <w:rPr>
          <w:rFonts w:eastAsia="Times New Roman"/>
          <w:lang w:val="fr-FR"/>
        </w:rPr>
        <w:t>L</w:t>
      </w:r>
      <w:r w:rsidRPr="00466CE7">
        <w:rPr>
          <w:rFonts w:eastAsia="Times New Roman"/>
          <w:lang w:val="fr-FR"/>
        </w:rPr>
        <w:t xml:space="preserve">a </w:t>
      </w:r>
      <w:r>
        <w:rPr>
          <w:rFonts w:eastAsia="Times New Roman"/>
          <w:lang w:val="fr-FR"/>
        </w:rPr>
        <w:t>S</w:t>
      </w:r>
      <w:r w:rsidRPr="00466CE7">
        <w:rPr>
          <w:rFonts w:eastAsia="Times New Roman"/>
          <w:lang w:val="fr-FR"/>
        </w:rPr>
        <w:t xml:space="preserve">tratégie nationale </w:t>
      </w:r>
      <w:r>
        <w:rPr>
          <w:rFonts w:eastAsia="Times New Roman"/>
          <w:lang w:val="fr-FR"/>
        </w:rPr>
        <w:t xml:space="preserve">de promotion de </w:t>
      </w:r>
      <w:r w:rsidRPr="00466CE7">
        <w:rPr>
          <w:rFonts w:eastAsia="Times New Roman"/>
          <w:lang w:val="fr-FR"/>
        </w:rPr>
        <w:t>l</w:t>
      </w:r>
      <w:r>
        <w:rPr>
          <w:rFonts w:eastAsia="Times New Roman"/>
          <w:lang w:val="fr-FR"/>
        </w:rPr>
        <w:t>’</w:t>
      </w:r>
      <w:r w:rsidRPr="00466CE7">
        <w:rPr>
          <w:rFonts w:eastAsia="Times New Roman"/>
          <w:lang w:val="fr-FR"/>
        </w:rPr>
        <w:t xml:space="preserve">égalité </w:t>
      </w:r>
      <w:r>
        <w:rPr>
          <w:rFonts w:eastAsia="Times New Roman"/>
          <w:lang w:val="fr-FR"/>
        </w:rPr>
        <w:t xml:space="preserve">des </w:t>
      </w:r>
      <w:r w:rsidRPr="00466CE7">
        <w:rPr>
          <w:rFonts w:eastAsia="Times New Roman"/>
          <w:lang w:val="fr-FR"/>
        </w:rPr>
        <w:t xml:space="preserve">sexes </w:t>
      </w:r>
      <w:r>
        <w:rPr>
          <w:rFonts w:eastAsia="Times New Roman"/>
          <w:lang w:val="fr-FR"/>
        </w:rPr>
        <w:t>à l’horizon</w:t>
      </w:r>
      <w:r w:rsidRPr="00466CE7">
        <w:rPr>
          <w:rFonts w:eastAsia="Times New Roman"/>
          <w:lang w:val="fr-FR"/>
        </w:rPr>
        <w:t xml:space="preserve"> 2020, </w:t>
      </w:r>
      <w:r>
        <w:rPr>
          <w:rFonts w:eastAsia="Times New Roman"/>
          <w:lang w:val="fr-FR"/>
        </w:rPr>
        <w:t xml:space="preserve">adoptée en 2012 par une décision du </w:t>
      </w:r>
      <w:r w:rsidR="00A66135">
        <w:rPr>
          <w:rFonts w:eastAsia="Times New Roman"/>
          <w:lang w:val="fr-FR"/>
        </w:rPr>
        <w:t>Gouvernement</w:t>
      </w:r>
      <w:r>
        <w:rPr>
          <w:rFonts w:eastAsia="Times New Roman"/>
          <w:lang w:val="fr-FR"/>
        </w:rPr>
        <w:t xml:space="preserve">, </w:t>
      </w:r>
      <w:r w:rsidRPr="00466CE7">
        <w:rPr>
          <w:rFonts w:eastAsia="Times New Roman"/>
          <w:lang w:val="fr-FR"/>
        </w:rPr>
        <w:t xml:space="preserve">définit les priorités de la politique </w:t>
      </w:r>
      <w:r>
        <w:rPr>
          <w:rFonts w:eastAsia="Times New Roman"/>
          <w:lang w:val="fr-FR"/>
        </w:rPr>
        <w:t>publique en matière d’égalité</w:t>
      </w:r>
      <w:r w:rsidRPr="00466CE7">
        <w:rPr>
          <w:rFonts w:eastAsia="Times New Roman"/>
          <w:lang w:val="fr-FR"/>
        </w:rPr>
        <w:t xml:space="preserve">. Les mesures spécifiques </w:t>
      </w:r>
      <w:r>
        <w:rPr>
          <w:rFonts w:eastAsia="Times New Roman"/>
          <w:lang w:val="fr-FR"/>
        </w:rPr>
        <w:t xml:space="preserve">prévues </w:t>
      </w:r>
      <w:r w:rsidRPr="00466CE7">
        <w:rPr>
          <w:rFonts w:eastAsia="Times New Roman"/>
          <w:lang w:val="fr-FR"/>
        </w:rPr>
        <w:t xml:space="preserve">pour sa mise en œuvre sont définies dans le cinquième plan national </w:t>
      </w:r>
      <w:r>
        <w:rPr>
          <w:rFonts w:eastAsia="Times New Roman"/>
          <w:lang w:val="fr-FR"/>
        </w:rPr>
        <w:t xml:space="preserve">pour la promotion de </w:t>
      </w:r>
      <w:r w:rsidRPr="00466CE7">
        <w:rPr>
          <w:rFonts w:eastAsia="Times New Roman"/>
          <w:lang w:val="fr-FR"/>
        </w:rPr>
        <w:t>l</w:t>
      </w:r>
      <w:r>
        <w:rPr>
          <w:rFonts w:eastAsia="Times New Roman"/>
          <w:lang w:val="fr-FR"/>
        </w:rPr>
        <w:t>’</w:t>
      </w:r>
      <w:r w:rsidRPr="00466CE7">
        <w:rPr>
          <w:rFonts w:eastAsia="Times New Roman"/>
          <w:lang w:val="fr-FR"/>
        </w:rPr>
        <w:t xml:space="preserve">égalité des sexes </w:t>
      </w:r>
      <w:r>
        <w:rPr>
          <w:rFonts w:eastAsia="Times New Roman"/>
          <w:lang w:val="fr-FR"/>
        </w:rPr>
        <w:t>(2018-</w:t>
      </w:r>
      <w:r w:rsidRPr="00466CE7">
        <w:rPr>
          <w:rFonts w:eastAsia="Times New Roman"/>
          <w:lang w:val="fr-FR"/>
        </w:rPr>
        <w:t>2020</w:t>
      </w:r>
      <w:r>
        <w:rPr>
          <w:rFonts w:eastAsia="Times New Roman"/>
          <w:lang w:val="fr-FR"/>
        </w:rPr>
        <w:t>)</w:t>
      </w:r>
      <w:r w:rsidRPr="00466CE7">
        <w:rPr>
          <w:rFonts w:eastAsia="Times New Roman"/>
          <w:lang w:val="fr-FR"/>
        </w:rPr>
        <w:t xml:space="preserve">. </w:t>
      </w:r>
    </w:p>
    <w:p w14:paraId="77BF2594" w14:textId="08545E7D" w:rsidR="009C6834" w:rsidRDefault="009C6834" w:rsidP="00CB4ECD">
      <w:pPr>
        <w:pStyle w:val="SingleTxtG"/>
        <w:keepNext/>
        <w:rPr>
          <w:rFonts w:eastAsia="Times New Roman"/>
          <w:lang w:val="fr-FR"/>
        </w:rPr>
      </w:pPr>
      <w:r w:rsidRPr="00466CE7">
        <w:rPr>
          <w:rFonts w:eastAsia="Times New Roman"/>
          <w:lang w:val="fr-FR"/>
        </w:rPr>
        <w:t>59.</w:t>
      </w:r>
      <w:r w:rsidRPr="00466CE7">
        <w:rPr>
          <w:rFonts w:eastAsia="Times New Roman"/>
          <w:lang w:val="fr-FR"/>
        </w:rPr>
        <w:tab/>
        <w:t xml:space="preserve">Les </w:t>
      </w:r>
      <w:r>
        <w:rPr>
          <w:rFonts w:eastAsia="Times New Roman"/>
          <w:lang w:val="fr-FR"/>
        </w:rPr>
        <w:t>textes ci-après</w:t>
      </w:r>
      <w:r w:rsidRPr="00466CE7">
        <w:rPr>
          <w:rFonts w:eastAsia="Times New Roman"/>
          <w:lang w:val="fr-FR"/>
        </w:rPr>
        <w:t xml:space="preserve"> ont été adoptés dans le cadre de la mise en œuvre de la </w:t>
      </w:r>
      <w:r>
        <w:rPr>
          <w:rFonts w:eastAsia="Times New Roman"/>
          <w:lang w:val="fr-FR"/>
        </w:rPr>
        <w:t>S</w:t>
      </w:r>
      <w:r w:rsidRPr="00466CE7">
        <w:rPr>
          <w:rFonts w:eastAsia="Times New Roman"/>
          <w:lang w:val="fr-FR"/>
        </w:rPr>
        <w:t>tratégie nationale</w:t>
      </w:r>
      <w:r>
        <w:rPr>
          <w:rFonts w:eastAsia="Times New Roman"/>
          <w:lang w:val="fr-FR"/>
        </w:rPr>
        <w:t> :</w:t>
      </w:r>
    </w:p>
    <w:p w14:paraId="7B118770" w14:textId="79C3A75F" w:rsidR="009C6834" w:rsidRPr="00310016" w:rsidRDefault="009C6834" w:rsidP="00CB4ECD">
      <w:pPr>
        <w:pStyle w:val="Bullet1G"/>
        <w:rPr>
          <w:lang w:val="fr-FR"/>
        </w:rPr>
      </w:pPr>
      <w:r>
        <w:rPr>
          <w:lang w:val="fr-FR"/>
        </w:rPr>
        <w:t xml:space="preserve">Ordonnance </w:t>
      </w:r>
      <w:r w:rsidRPr="00310016">
        <w:rPr>
          <w:lang w:val="fr-FR"/>
        </w:rPr>
        <w:t>du M</w:t>
      </w:r>
      <w:r>
        <w:rPr>
          <w:lang w:val="fr-FR"/>
        </w:rPr>
        <w:t>inistère du travail et du développement social</w:t>
      </w:r>
      <w:r w:rsidRPr="00310016">
        <w:rPr>
          <w:lang w:val="fr-FR"/>
        </w:rPr>
        <w:t xml:space="preserve"> sur l</w:t>
      </w:r>
      <w:r>
        <w:rPr>
          <w:lang w:val="fr-FR"/>
        </w:rPr>
        <w:t>’</w:t>
      </w:r>
      <w:r w:rsidRPr="00310016">
        <w:rPr>
          <w:lang w:val="fr-FR"/>
        </w:rPr>
        <w:t>élaboration et l</w:t>
      </w:r>
      <w:r>
        <w:rPr>
          <w:lang w:val="fr-FR"/>
        </w:rPr>
        <w:t>’</w:t>
      </w:r>
      <w:r w:rsidRPr="00310016">
        <w:rPr>
          <w:lang w:val="fr-FR"/>
        </w:rPr>
        <w:t>expérimentation du projet d</w:t>
      </w:r>
      <w:r>
        <w:rPr>
          <w:lang w:val="fr-FR"/>
        </w:rPr>
        <w:t>’</w:t>
      </w:r>
      <w:r w:rsidRPr="00310016">
        <w:rPr>
          <w:lang w:val="fr-FR"/>
        </w:rPr>
        <w:t>instruction</w:t>
      </w:r>
      <w:r>
        <w:rPr>
          <w:lang w:val="fr-FR"/>
        </w:rPr>
        <w:t xml:space="preserve"> concernant</w:t>
      </w:r>
      <w:r w:rsidRPr="00310016">
        <w:rPr>
          <w:lang w:val="fr-FR"/>
        </w:rPr>
        <w:t xml:space="preserve"> le suivi annuel de la mise en œuvre des observations</w:t>
      </w:r>
      <w:r>
        <w:rPr>
          <w:lang w:val="fr-FR"/>
        </w:rPr>
        <w:t xml:space="preserve"> finales du Comité</w:t>
      </w:r>
      <w:r w:rsidRPr="00310016">
        <w:rPr>
          <w:lang w:val="fr-FR"/>
        </w:rPr>
        <w:t xml:space="preserve"> pour l</w:t>
      </w:r>
      <w:r>
        <w:rPr>
          <w:lang w:val="fr-FR"/>
        </w:rPr>
        <w:t>’</w:t>
      </w:r>
      <w:r w:rsidRPr="00310016">
        <w:rPr>
          <w:lang w:val="fr-FR"/>
        </w:rPr>
        <w:t>élimination de toutes les formes de discrimination à l</w:t>
      </w:r>
      <w:r>
        <w:rPr>
          <w:lang w:val="fr-FR"/>
        </w:rPr>
        <w:t>’</w:t>
      </w:r>
      <w:r w:rsidRPr="00310016">
        <w:rPr>
          <w:lang w:val="fr-FR"/>
        </w:rPr>
        <w:t xml:space="preserve">égard des femmes </w:t>
      </w:r>
      <w:r>
        <w:rPr>
          <w:lang w:val="fr-FR"/>
        </w:rPr>
        <w:t>et du p</w:t>
      </w:r>
      <w:r w:rsidRPr="00310016">
        <w:rPr>
          <w:lang w:val="fr-FR"/>
        </w:rPr>
        <w:t>lan d</w:t>
      </w:r>
      <w:r>
        <w:rPr>
          <w:lang w:val="fr-FR"/>
        </w:rPr>
        <w:t>’</w:t>
      </w:r>
      <w:r w:rsidRPr="00310016">
        <w:rPr>
          <w:lang w:val="fr-FR"/>
        </w:rPr>
        <w:t xml:space="preserve">action national pour la </w:t>
      </w:r>
      <w:r>
        <w:rPr>
          <w:lang w:val="fr-FR"/>
        </w:rPr>
        <w:t xml:space="preserve">promotion </w:t>
      </w:r>
      <w:r w:rsidRPr="00310016">
        <w:rPr>
          <w:lang w:val="fr-FR"/>
        </w:rPr>
        <w:t>de l</w:t>
      </w:r>
      <w:r>
        <w:rPr>
          <w:lang w:val="fr-FR"/>
        </w:rPr>
        <w:t>’</w:t>
      </w:r>
      <w:r w:rsidRPr="00310016">
        <w:rPr>
          <w:lang w:val="fr-FR"/>
        </w:rPr>
        <w:t xml:space="preserve">égalité </w:t>
      </w:r>
      <w:r>
        <w:rPr>
          <w:lang w:val="fr-FR"/>
        </w:rPr>
        <w:t xml:space="preserve">entre les </w:t>
      </w:r>
      <w:r w:rsidRPr="00310016">
        <w:rPr>
          <w:lang w:val="fr-FR"/>
        </w:rPr>
        <w:t xml:space="preserve">sexes pour </w:t>
      </w:r>
      <w:r>
        <w:rPr>
          <w:lang w:val="fr-FR"/>
        </w:rPr>
        <w:t xml:space="preserve">la période </w:t>
      </w:r>
      <w:r w:rsidRPr="00310016">
        <w:rPr>
          <w:lang w:val="fr-FR"/>
        </w:rPr>
        <w:t>2018-2020 (2019)</w:t>
      </w:r>
      <w:r w:rsidR="00CB4ECD">
        <w:rPr>
          <w:lang w:val="fr-FR"/>
        </w:rPr>
        <w:t> </w:t>
      </w:r>
      <w:r w:rsidRPr="00310016">
        <w:rPr>
          <w:lang w:val="fr-FR"/>
        </w:rPr>
        <w:t>;</w:t>
      </w:r>
    </w:p>
    <w:p w14:paraId="6A85CA72" w14:textId="77777777" w:rsidR="009C6834" w:rsidRPr="00310016" w:rsidRDefault="009C6834" w:rsidP="00CB4ECD">
      <w:pPr>
        <w:pStyle w:val="Bullet1G"/>
        <w:rPr>
          <w:lang w:val="fr-FR"/>
        </w:rPr>
      </w:pPr>
      <w:r w:rsidRPr="00310016">
        <w:rPr>
          <w:lang w:val="fr-FR"/>
        </w:rPr>
        <w:t xml:space="preserve">Décision gouvernementale </w:t>
      </w:r>
      <w:r>
        <w:rPr>
          <w:lang w:val="fr-FR"/>
        </w:rPr>
        <w:t xml:space="preserve">sur les modalités </w:t>
      </w:r>
      <w:r w:rsidRPr="00310016">
        <w:rPr>
          <w:lang w:val="fr-FR"/>
        </w:rPr>
        <w:t>de</w:t>
      </w:r>
      <w:r>
        <w:rPr>
          <w:lang w:val="fr-FR"/>
        </w:rPr>
        <w:t xml:space="preserve"> mise en œuvre </w:t>
      </w:r>
      <w:r w:rsidRPr="00310016">
        <w:rPr>
          <w:lang w:val="fr-FR"/>
        </w:rPr>
        <w:t>de la protection contre la violence familiale (2019)</w:t>
      </w:r>
      <w:r>
        <w:rPr>
          <w:lang w:val="fr-FR"/>
        </w:rPr>
        <w:t> ;</w:t>
      </w:r>
    </w:p>
    <w:p w14:paraId="29B473DF" w14:textId="4C4DF90D" w:rsidR="009C6834" w:rsidRPr="00310016" w:rsidRDefault="009C6834" w:rsidP="00CB4ECD">
      <w:pPr>
        <w:pStyle w:val="Bullet1G"/>
        <w:rPr>
          <w:lang w:val="fr-FR"/>
        </w:rPr>
      </w:pPr>
      <w:r w:rsidRPr="00310016">
        <w:rPr>
          <w:lang w:val="fr-FR"/>
        </w:rPr>
        <w:t>Décision gouvernementale portant modification de la décision gouvernementale n</w:t>
      </w:r>
      <w:r w:rsidR="00CB4ECD" w:rsidRPr="00CB4ECD">
        <w:rPr>
          <w:vertAlign w:val="superscript"/>
          <w:lang w:val="fr-FR"/>
        </w:rPr>
        <w:t>o</w:t>
      </w:r>
      <w:r w:rsidR="00CB4ECD">
        <w:rPr>
          <w:lang w:val="fr-FR"/>
        </w:rPr>
        <w:t> </w:t>
      </w:r>
      <w:r w:rsidRPr="00310016">
        <w:rPr>
          <w:lang w:val="fr-FR"/>
        </w:rPr>
        <w:t>268 du 2</w:t>
      </w:r>
      <w:r w:rsidR="00CB4ECD">
        <w:rPr>
          <w:lang w:val="fr-FR"/>
        </w:rPr>
        <w:t> </w:t>
      </w:r>
      <w:r w:rsidRPr="00310016">
        <w:rPr>
          <w:lang w:val="fr-FR"/>
        </w:rPr>
        <w:t>mai 2012</w:t>
      </w:r>
      <w:r>
        <w:rPr>
          <w:lang w:val="fr-FR"/>
        </w:rPr>
        <w:t xml:space="preserve"> relative à </w:t>
      </w:r>
      <w:r w:rsidRPr="00310016">
        <w:rPr>
          <w:lang w:val="fr-FR"/>
        </w:rPr>
        <w:t>l</w:t>
      </w:r>
      <w:r>
        <w:rPr>
          <w:lang w:val="fr-FR"/>
        </w:rPr>
        <w:t>’</w:t>
      </w:r>
      <w:r w:rsidRPr="00310016">
        <w:rPr>
          <w:lang w:val="fr-FR"/>
        </w:rPr>
        <w:t xml:space="preserve">établissement du Conseil national pour </w:t>
      </w:r>
      <w:r>
        <w:rPr>
          <w:lang w:val="fr-FR"/>
        </w:rPr>
        <w:t xml:space="preserve">l’égalité des sexes auprès du </w:t>
      </w:r>
      <w:r w:rsidR="00A66135">
        <w:rPr>
          <w:lang w:val="fr-FR"/>
        </w:rPr>
        <w:t xml:space="preserve">Gouvernement </w:t>
      </w:r>
      <w:r w:rsidRPr="00310016">
        <w:rPr>
          <w:lang w:val="fr-FR"/>
        </w:rPr>
        <w:t>kirghize (2019)</w:t>
      </w:r>
      <w:r w:rsidR="00CB4ECD">
        <w:rPr>
          <w:lang w:val="fr-FR"/>
        </w:rPr>
        <w:t> </w:t>
      </w:r>
      <w:r w:rsidRPr="00310016">
        <w:rPr>
          <w:lang w:val="fr-FR"/>
        </w:rPr>
        <w:t>;</w:t>
      </w:r>
    </w:p>
    <w:p w14:paraId="0ACE008A" w14:textId="61B623B9" w:rsidR="009C6834" w:rsidRPr="00310016" w:rsidRDefault="009C6834" w:rsidP="00CB4ECD">
      <w:pPr>
        <w:pStyle w:val="Bullet1G"/>
        <w:rPr>
          <w:lang w:val="fr-FR"/>
        </w:rPr>
      </w:pPr>
      <w:r>
        <w:rPr>
          <w:lang w:val="fr-FR"/>
        </w:rPr>
        <w:t xml:space="preserve">Ordonnance </w:t>
      </w:r>
      <w:r w:rsidRPr="00310016">
        <w:rPr>
          <w:lang w:val="fr-FR"/>
        </w:rPr>
        <w:t xml:space="preserve">du Ministère </w:t>
      </w:r>
      <w:r>
        <w:rPr>
          <w:lang w:val="fr-FR"/>
        </w:rPr>
        <w:t>du travail et du développement social</w:t>
      </w:r>
      <w:r w:rsidRPr="00310016">
        <w:rPr>
          <w:lang w:val="fr-FR"/>
        </w:rPr>
        <w:t xml:space="preserve"> </w:t>
      </w:r>
      <w:r>
        <w:rPr>
          <w:lang w:val="fr-FR"/>
        </w:rPr>
        <w:t xml:space="preserve">sur l’élaboration de propositions de </w:t>
      </w:r>
      <w:r w:rsidRPr="00310016">
        <w:rPr>
          <w:lang w:val="fr-FR"/>
        </w:rPr>
        <w:t xml:space="preserve">mesures spéciales </w:t>
      </w:r>
      <w:r>
        <w:rPr>
          <w:lang w:val="fr-FR"/>
        </w:rPr>
        <w:t xml:space="preserve">propres à garantir </w:t>
      </w:r>
      <w:r w:rsidRPr="00310016">
        <w:rPr>
          <w:lang w:val="fr-FR"/>
        </w:rPr>
        <w:t xml:space="preserve">la représentation des </w:t>
      </w:r>
      <w:r>
        <w:rPr>
          <w:lang w:val="fr-FR"/>
        </w:rPr>
        <w:t xml:space="preserve">hommes et des femmes </w:t>
      </w:r>
      <w:r w:rsidRPr="00310016">
        <w:rPr>
          <w:lang w:val="fr-FR"/>
        </w:rPr>
        <w:t xml:space="preserve">aux postes politiques spéciaux </w:t>
      </w:r>
      <w:r>
        <w:rPr>
          <w:lang w:val="fr-FR"/>
        </w:rPr>
        <w:t>aux niveaux national et municipal</w:t>
      </w:r>
      <w:r w:rsidRPr="00310016">
        <w:rPr>
          <w:lang w:val="fr-FR"/>
        </w:rPr>
        <w:t xml:space="preserve"> (2019)</w:t>
      </w:r>
      <w:r w:rsidR="00CB4ECD">
        <w:rPr>
          <w:lang w:val="fr-FR"/>
        </w:rPr>
        <w:t> </w:t>
      </w:r>
      <w:r w:rsidRPr="00310016">
        <w:rPr>
          <w:lang w:val="fr-FR"/>
        </w:rPr>
        <w:t>;</w:t>
      </w:r>
    </w:p>
    <w:p w14:paraId="1BF76F66" w14:textId="2385537D" w:rsidR="009C6834" w:rsidRPr="00310016" w:rsidRDefault="009C6834" w:rsidP="00CB4ECD">
      <w:pPr>
        <w:pStyle w:val="Bullet1G"/>
        <w:rPr>
          <w:lang w:val="fr-FR"/>
        </w:rPr>
      </w:pPr>
      <w:r>
        <w:rPr>
          <w:lang w:val="fr-FR"/>
        </w:rPr>
        <w:t xml:space="preserve">Ordonnance </w:t>
      </w:r>
      <w:r w:rsidRPr="00310016">
        <w:rPr>
          <w:lang w:val="fr-FR"/>
        </w:rPr>
        <w:t xml:space="preserve">du Ministère </w:t>
      </w:r>
      <w:r>
        <w:rPr>
          <w:lang w:val="fr-FR"/>
        </w:rPr>
        <w:t>du travail et du développement social</w:t>
      </w:r>
      <w:r w:rsidRPr="00310016">
        <w:rPr>
          <w:lang w:val="fr-FR"/>
        </w:rPr>
        <w:t xml:space="preserve"> </w:t>
      </w:r>
      <w:r>
        <w:rPr>
          <w:lang w:val="fr-FR"/>
        </w:rPr>
        <w:t xml:space="preserve">sur l’élaboration d’un </w:t>
      </w:r>
      <w:r w:rsidRPr="00310016">
        <w:rPr>
          <w:lang w:val="fr-FR"/>
        </w:rPr>
        <w:t>plan d</w:t>
      </w:r>
      <w:r>
        <w:rPr>
          <w:lang w:val="fr-FR"/>
        </w:rPr>
        <w:t>’</w:t>
      </w:r>
      <w:r w:rsidRPr="00310016">
        <w:rPr>
          <w:lang w:val="fr-FR"/>
        </w:rPr>
        <w:t>action pour prévenir le</w:t>
      </w:r>
      <w:r>
        <w:rPr>
          <w:lang w:val="fr-FR"/>
        </w:rPr>
        <w:t>s</w:t>
      </w:r>
      <w:r w:rsidRPr="00310016">
        <w:rPr>
          <w:lang w:val="fr-FR"/>
        </w:rPr>
        <w:t xml:space="preserve"> mariage</w:t>
      </w:r>
      <w:r>
        <w:rPr>
          <w:lang w:val="fr-FR"/>
        </w:rPr>
        <w:t>s</w:t>
      </w:r>
      <w:r w:rsidRPr="00310016">
        <w:rPr>
          <w:lang w:val="fr-FR"/>
        </w:rPr>
        <w:t xml:space="preserve"> précoce</w:t>
      </w:r>
      <w:r>
        <w:rPr>
          <w:lang w:val="fr-FR"/>
        </w:rPr>
        <w:t>s</w:t>
      </w:r>
      <w:r w:rsidRPr="00310016">
        <w:rPr>
          <w:lang w:val="fr-FR"/>
        </w:rPr>
        <w:t xml:space="preserve"> de mineurs (2019).</w:t>
      </w:r>
    </w:p>
    <w:p w14:paraId="7E79578B" w14:textId="059DC29B" w:rsidR="009C6834" w:rsidRPr="00466CE7" w:rsidRDefault="009C6834" w:rsidP="009C6834">
      <w:pPr>
        <w:pStyle w:val="SingleTxtG"/>
        <w:rPr>
          <w:lang w:val="fr-FR"/>
        </w:rPr>
      </w:pPr>
      <w:r w:rsidRPr="00466CE7">
        <w:rPr>
          <w:lang w:val="fr-FR"/>
        </w:rPr>
        <w:t>60.</w:t>
      </w:r>
      <w:r w:rsidRPr="00466CE7">
        <w:rPr>
          <w:lang w:val="fr-FR"/>
        </w:rPr>
        <w:tab/>
      </w:r>
      <w:r>
        <w:rPr>
          <w:lang w:val="fr-FR"/>
        </w:rPr>
        <w:t>L</w:t>
      </w:r>
      <w:r w:rsidRPr="00466CE7">
        <w:rPr>
          <w:lang w:val="fr-FR"/>
        </w:rPr>
        <w:t xml:space="preserve">e Conseil national pour </w:t>
      </w:r>
      <w:r>
        <w:rPr>
          <w:lang w:val="fr-FR"/>
        </w:rPr>
        <w:t>l’égalité des sexes a été créé en 2012</w:t>
      </w:r>
      <w:r w:rsidRPr="00C44A56">
        <w:rPr>
          <w:lang w:val="fr-FR"/>
        </w:rPr>
        <w:t xml:space="preserve"> </w:t>
      </w:r>
      <w:r w:rsidRPr="00466CE7">
        <w:rPr>
          <w:lang w:val="fr-FR"/>
        </w:rPr>
        <w:t>sous l</w:t>
      </w:r>
      <w:r>
        <w:rPr>
          <w:lang w:val="fr-FR"/>
        </w:rPr>
        <w:t>’</w:t>
      </w:r>
      <w:r w:rsidRPr="00466CE7">
        <w:rPr>
          <w:lang w:val="fr-FR"/>
        </w:rPr>
        <w:t xml:space="preserve">égide du </w:t>
      </w:r>
      <w:r w:rsidR="00A66135" w:rsidRPr="00466CE7">
        <w:rPr>
          <w:lang w:val="fr-FR"/>
        </w:rPr>
        <w:t>Gouvernement</w:t>
      </w:r>
      <w:r w:rsidR="00A66135">
        <w:rPr>
          <w:lang w:val="fr-FR"/>
        </w:rPr>
        <w:t xml:space="preserve"> </w:t>
      </w:r>
      <w:r w:rsidRPr="00466CE7">
        <w:rPr>
          <w:lang w:val="fr-FR"/>
        </w:rPr>
        <w:t xml:space="preserve">par </w:t>
      </w:r>
      <w:r>
        <w:rPr>
          <w:lang w:val="fr-FR"/>
        </w:rPr>
        <w:t xml:space="preserve">une </w:t>
      </w:r>
      <w:r w:rsidRPr="00466CE7">
        <w:rPr>
          <w:lang w:val="fr-FR"/>
        </w:rPr>
        <w:t>dé</w:t>
      </w:r>
      <w:r>
        <w:rPr>
          <w:lang w:val="fr-FR"/>
        </w:rPr>
        <w:t xml:space="preserve">cision </w:t>
      </w:r>
      <w:r w:rsidRPr="00466CE7">
        <w:rPr>
          <w:lang w:val="fr-FR"/>
        </w:rPr>
        <w:t>gouvernemental</w:t>
      </w:r>
      <w:r>
        <w:rPr>
          <w:lang w:val="fr-FR"/>
        </w:rPr>
        <w:t>e</w:t>
      </w:r>
      <w:r w:rsidRPr="00466CE7">
        <w:rPr>
          <w:lang w:val="fr-FR"/>
        </w:rPr>
        <w:t xml:space="preserve">. </w:t>
      </w:r>
      <w:r>
        <w:rPr>
          <w:lang w:val="fr-FR"/>
        </w:rPr>
        <w:t xml:space="preserve">Il s’agit d’un organe consultatif qui </w:t>
      </w:r>
      <w:r w:rsidRPr="00466CE7">
        <w:rPr>
          <w:lang w:val="fr-FR"/>
        </w:rPr>
        <w:t>coordonne l</w:t>
      </w:r>
      <w:r>
        <w:rPr>
          <w:lang w:val="fr-FR"/>
        </w:rPr>
        <w:t>’</w:t>
      </w:r>
      <w:r w:rsidRPr="00466CE7">
        <w:rPr>
          <w:lang w:val="fr-FR"/>
        </w:rPr>
        <w:t xml:space="preserve">élaboration et la mise en œuvre de la politique </w:t>
      </w:r>
      <w:r>
        <w:rPr>
          <w:lang w:val="fr-FR"/>
        </w:rPr>
        <w:t xml:space="preserve">publique en matière d’égalité des sexes et </w:t>
      </w:r>
      <w:r w:rsidRPr="00466CE7">
        <w:rPr>
          <w:lang w:val="fr-FR"/>
        </w:rPr>
        <w:t>effectue un travail d</w:t>
      </w:r>
      <w:r>
        <w:rPr>
          <w:lang w:val="fr-FR"/>
        </w:rPr>
        <w:t>’</w:t>
      </w:r>
      <w:r w:rsidRPr="00466CE7">
        <w:rPr>
          <w:lang w:val="fr-FR"/>
        </w:rPr>
        <w:t>analyse et d</w:t>
      </w:r>
      <w:r>
        <w:rPr>
          <w:lang w:val="fr-FR"/>
        </w:rPr>
        <w:t>’</w:t>
      </w:r>
      <w:r w:rsidRPr="00466CE7">
        <w:rPr>
          <w:lang w:val="fr-FR"/>
        </w:rPr>
        <w:t xml:space="preserve">expertise </w:t>
      </w:r>
      <w:r>
        <w:rPr>
          <w:lang w:val="fr-FR"/>
        </w:rPr>
        <w:t xml:space="preserve">en vue de </w:t>
      </w:r>
      <w:r w:rsidRPr="00466CE7">
        <w:rPr>
          <w:lang w:val="fr-FR"/>
        </w:rPr>
        <w:t xml:space="preserve">solutions </w:t>
      </w:r>
      <w:r>
        <w:rPr>
          <w:lang w:val="fr-FR"/>
        </w:rPr>
        <w:t>concertées dans ce domaine</w:t>
      </w:r>
      <w:r w:rsidRPr="00466CE7">
        <w:rPr>
          <w:lang w:val="fr-FR"/>
        </w:rPr>
        <w:t>.</w:t>
      </w:r>
    </w:p>
    <w:p w14:paraId="1020783E" w14:textId="64A9D35C" w:rsidR="009C6834" w:rsidRPr="00466CE7" w:rsidRDefault="009C6834" w:rsidP="00A66135">
      <w:pPr>
        <w:pStyle w:val="SingleTxtG"/>
        <w:keepNext/>
        <w:keepLines/>
        <w:rPr>
          <w:lang w:val="fr-FR"/>
        </w:rPr>
      </w:pPr>
      <w:r w:rsidRPr="00466CE7">
        <w:rPr>
          <w:lang w:val="fr-FR"/>
        </w:rPr>
        <w:lastRenderedPageBreak/>
        <w:t>61.</w:t>
      </w:r>
      <w:r w:rsidRPr="00466CE7">
        <w:rPr>
          <w:lang w:val="fr-FR"/>
        </w:rPr>
        <w:tab/>
      </w:r>
      <w:r>
        <w:rPr>
          <w:lang w:val="fr-FR"/>
        </w:rPr>
        <w:t xml:space="preserve">Un </w:t>
      </w:r>
      <w:r w:rsidRPr="00466CE7">
        <w:rPr>
          <w:lang w:val="fr-FR"/>
        </w:rPr>
        <w:t>plan d</w:t>
      </w:r>
      <w:r>
        <w:rPr>
          <w:lang w:val="fr-FR"/>
        </w:rPr>
        <w:t>’</w:t>
      </w:r>
      <w:r w:rsidRPr="00466CE7">
        <w:rPr>
          <w:lang w:val="fr-FR"/>
        </w:rPr>
        <w:t xml:space="preserve">action 2018-2020 pour la mise en œuvre de la résolution 1325 du Conseil de sécurité </w:t>
      </w:r>
      <w:r>
        <w:rPr>
          <w:lang w:val="fr-FR"/>
        </w:rPr>
        <w:t>de l’ONU</w:t>
      </w:r>
      <w:r w:rsidRPr="00466CE7">
        <w:rPr>
          <w:lang w:val="fr-FR"/>
        </w:rPr>
        <w:t xml:space="preserve"> sur le rôle des femmes dans la paix et la sécurité</w:t>
      </w:r>
      <w:r>
        <w:rPr>
          <w:lang w:val="fr-FR"/>
        </w:rPr>
        <w:t xml:space="preserve"> </w:t>
      </w:r>
      <w:r w:rsidRPr="00466CE7">
        <w:rPr>
          <w:lang w:val="fr-FR"/>
        </w:rPr>
        <w:t>a été approuvé par</w:t>
      </w:r>
      <w:r>
        <w:rPr>
          <w:lang w:val="fr-FR"/>
        </w:rPr>
        <w:t xml:space="preserve"> une ordonnance</w:t>
      </w:r>
      <w:r w:rsidRPr="00466CE7">
        <w:rPr>
          <w:lang w:val="fr-FR"/>
        </w:rPr>
        <w:t xml:space="preserve"> </w:t>
      </w:r>
      <w:r>
        <w:rPr>
          <w:lang w:val="fr-FR"/>
        </w:rPr>
        <w:t xml:space="preserve">du </w:t>
      </w:r>
      <w:r w:rsidR="0071029D">
        <w:rPr>
          <w:lang w:val="fr-FR"/>
        </w:rPr>
        <w:t>Gouvernement</w:t>
      </w:r>
      <w:r w:rsidR="0071029D" w:rsidRPr="00466CE7">
        <w:rPr>
          <w:lang w:val="fr-FR"/>
        </w:rPr>
        <w:t xml:space="preserve"> </w:t>
      </w:r>
      <w:r w:rsidRPr="00466CE7">
        <w:rPr>
          <w:lang w:val="fr-FR"/>
        </w:rPr>
        <w:t>(2018).</w:t>
      </w:r>
    </w:p>
    <w:p w14:paraId="48B1A908" w14:textId="27B7EDC2" w:rsidR="009C6834" w:rsidRPr="00466CE7" w:rsidRDefault="009C6834" w:rsidP="009C6834">
      <w:pPr>
        <w:pStyle w:val="SingleTxtG"/>
        <w:rPr>
          <w:lang w:val="fr-FR"/>
        </w:rPr>
      </w:pPr>
      <w:r w:rsidRPr="00466CE7">
        <w:rPr>
          <w:lang w:val="fr-FR"/>
        </w:rPr>
        <w:t>62.</w:t>
      </w:r>
      <w:r w:rsidRPr="00466CE7">
        <w:rPr>
          <w:lang w:val="fr-FR"/>
        </w:rPr>
        <w:tab/>
      </w:r>
      <w:r>
        <w:rPr>
          <w:lang w:val="fr-FR"/>
        </w:rPr>
        <w:t xml:space="preserve">Un </w:t>
      </w:r>
      <w:r w:rsidRPr="00466CE7">
        <w:rPr>
          <w:lang w:val="fr-FR"/>
        </w:rPr>
        <w:t>plan d</w:t>
      </w:r>
      <w:r>
        <w:rPr>
          <w:lang w:val="fr-FR"/>
        </w:rPr>
        <w:t>’</w:t>
      </w:r>
      <w:r w:rsidRPr="00466CE7">
        <w:rPr>
          <w:lang w:val="fr-FR"/>
        </w:rPr>
        <w:t xml:space="preserve">action pour la mise en œuvre des recommandations </w:t>
      </w:r>
      <w:r>
        <w:rPr>
          <w:lang w:val="fr-FR"/>
        </w:rPr>
        <w:t xml:space="preserve">formulées par le </w:t>
      </w:r>
      <w:r w:rsidRPr="00466CE7">
        <w:rPr>
          <w:lang w:val="fr-FR"/>
        </w:rPr>
        <w:t xml:space="preserve">Comité </w:t>
      </w:r>
      <w:r>
        <w:rPr>
          <w:lang w:val="fr-FR"/>
        </w:rPr>
        <w:t xml:space="preserve">pour </w:t>
      </w:r>
      <w:r w:rsidRPr="00466CE7">
        <w:rPr>
          <w:lang w:val="fr-FR"/>
        </w:rPr>
        <w:t>l</w:t>
      </w:r>
      <w:r>
        <w:rPr>
          <w:lang w:val="fr-FR"/>
        </w:rPr>
        <w:t>’</w:t>
      </w:r>
      <w:r w:rsidRPr="00466CE7">
        <w:rPr>
          <w:lang w:val="fr-FR"/>
        </w:rPr>
        <w:t>élimination de toutes les formes de discrimination à l</w:t>
      </w:r>
      <w:r>
        <w:rPr>
          <w:lang w:val="fr-FR"/>
        </w:rPr>
        <w:t>’</w:t>
      </w:r>
      <w:r w:rsidRPr="00466CE7">
        <w:rPr>
          <w:lang w:val="fr-FR"/>
        </w:rPr>
        <w:t>égard des femmes</w:t>
      </w:r>
      <w:r>
        <w:rPr>
          <w:lang w:val="fr-FR"/>
        </w:rPr>
        <w:t xml:space="preserve"> à l’issue de l’examen du </w:t>
      </w:r>
      <w:r w:rsidRPr="00466CE7">
        <w:rPr>
          <w:lang w:val="fr-FR"/>
        </w:rPr>
        <w:t xml:space="preserve">quatrième rapport périodique </w:t>
      </w:r>
      <w:r>
        <w:rPr>
          <w:lang w:val="fr-FR"/>
        </w:rPr>
        <w:t xml:space="preserve">du Kirghizistan </w:t>
      </w:r>
      <w:r w:rsidRPr="00466CE7">
        <w:rPr>
          <w:lang w:val="fr-FR"/>
        </w:rPr>
        <w:t xml:space="preserve">a été approuvé par </w:t>
      </w:r>
      <w:r>
        <w:rPr>
          <w:lang w:val="fr-FR"/>
        </w:rPr>
        <w:t xml:space="preserve">une ordonnance du </w:t>
      </w:r>
      <w:r w:rsidR="00A66135">
        <w:rPr>
          <w:lang w:val="fr-FR"/>
        </w:rPr>
        <w:t xml:space="preserve">Gouvernement </w:t>
      </w:r>
      <w:r w:rsidRPr="00466CE7">
        <w:rPr>
          <w:lang w:val="fr-FR"/>
        </w:rPr>
        <w:t>(2017).</w:t>
      </w:r>
    </w:p>
    <w:p w14:paraId="62AE6ED2" w14:textId="7C3CC2EF" w:rsidR="009C6834" w:rsidRDefault="009C6834" w:rsidP="009C6834">
      <w:pPr>
        <w:pStyle w:val="SingleTxtG"/>
        <w:rPr>
          <w:lang w:val="fr-FR"/>
        </w:rPr>
      </w:pPr>
      <w:r w:rsidRPr="00466CE7">
        <w:rPr>
          <w:lang w:val="fr-FR"/>
        </w:rPr>
        <w:t>63.</w:t>
      </w:r>
      <w:r w:rsidRPr="00466CE7">
        <w:rPr>
          <w:lang w:val="fr-FR"/>
        </w:rPr>
        <w:tab/>
      </w:r>
      <w:r>
        <w:rPr>
          <w:lang w:val="fr-FR"/>
        </w:rPr>
        <w:t xml:space="preserve">Aux fins </w:t>
      </w:r>
      <w:r w:rsidRPr="00466CE7">
        <w:rPr>
          <w:lang w:val="fr-FR"/>
        </w:rPr>
        <w:t>de l</w:t>
      </w:r>
      <w:r>
        <w:rPr>
          <w:lang w:val="fr-FR"/>
        </w:rPr>
        <w:t>’application</w:t>
      </w:r>
      <w:r w:rsidRPr="00466CE7">
        <w:rPr>
          <w:lang w:val="fr-FR"/>
        </w:rPr>
        <w:t xml:space="preserve"> du </w:t>
      </w:r>
      <w:r>
        <w:rPr>
          <w:lang w:val="fr-FR"/>
        </w:rPr>
        <w:t>p</w:t>
      </w:r>
      <w:r w:rsidRPr="00466CE7">
        <w:rPr>
          <w:lang w:val="fr-FR"/>
        </w:rPr>
        <w:t>lan d</w:t>
      </w:r>
      <w:r>
        <w:rPr>
          <w:lang w:val="fr-FR"/>
        </w:rPr>
        <w:t>’</w:t>
      </w:r>
      <w:r w:rsidRPr="00466CE7">
        <w:rPr>
          <w:lang w:val="fr-FR"/>
        </w:rPr>
        <w:t xml:space="preserve">action pour la mise en œuvre du </w:t>
      </w:r>
      <w:r>
        <w:rPr>
          <w:lang w:val="fr-FR"/>
        </w:rPr>
        <w:t xml:space="preserve">cadre conceptuel de la </w:t>
      </w:r>
      <w:r w:rsidRPr="00466CE7">
        <w:rPr>
          <w:lang w:val="fr-FR"/>
        </w:rPr>
        <w:t>politique de l</w:t>
      </w:r>
      <w:r>
        <w:rPr>
          <w:lang w:val="fr-FR"/>
        </w:rPr>
        <w:t>’</w:t>
      </w:r>
      <w:r w:rsidRPr="00466CE7">
        <w:rPr>
          <w:lang w:val="fr-FR"/>
        </w:rPr>
        <w:t>État</w:t>
      </w:r>
      <w:r>
        <w:rPr>
          <w:lang w:val="fr-FR"/>
        </w:rPr>
        <w:t xml:space="preserve"> en matière religieuse</w:t>
      </w:r>
      <w:r w:rsidRPr="00466CE7">
        <w:rPr>
          <w:lang w:val="fr-FR"/>
        </w:rPr>
        <w:t xml:space="preserve"> 2015-2020, approuvé par </w:t>
      </w:r>
      <w:r>
        <w:rPr>
          <w:lang w:val="fr-FR"/>
        </w:rPr>
        <w:t xml:space="preserve">une décision du </w:t>
      </w:r>
      <w:r w:rsidR="00A66135">
        <w:rPr>
          <w:lang w:val="fr-FR"/>
        </w:rPr>
        <w:t xml:space="preserve">Gouvernement </w:t>
      </w:r>
      <w:r>
        <w:rPr>
          <w:lang w:val="fr-FR"/>
        </w:rPr>
        <w:t xml:space="preserve">en </w:t>
      </w:r>
      <w:r w:rsidRPr="00466CE7">
        <w:rPr>
          <w:lang w:val="fr-FR"/>
        </w:rPr>
        <w:t>2015, des activités d</w:t>
      </w:r>
      <w:r>
        <w:rPr>
          <w:lang w:val="fr-FR"/>
        </w:rPr>
        <w:t>’</w:t>
      </w:r>
      <w:r w:rsidRPr="00466CE7">
        <w:rPr>
          <w:lang w:val="fr-FR"/>
        </w:rPr>
        <w:t>informatio</w:t>
      </w:r>
      <w:r>
        <w:rPr>
          <w:lang w:val="fr-FR"/>
        </w:rPr>
        <w:t>n et de prévention sont menées en direction du</w:t>
      </w:r>
      <w:r w:rsidRPr="00466CE7">
        <w:rPr>
          <w:lang w:val="fr-FR"/>
        </w:rPr>
        <w:t xml:space="preserve"> clergé. Dans le cadre de ces activités, les employés des mosquées </w:t>
      </w:r>
      <w:r>
        <w:rPr>
          <w:lang w:val="fr-FR"/>
        </w:rPr>
        <w:t xml:space="preserve">sont informés </w:t>
      </w:r>
      <w:r w:rsidRPr="00466CE7">
        <w:rPr>
          <w:lang w:val="fr-FR"/>
        </w:rPr>
        <w:t xml:space="preserve">des lois </w:t>
      </w:r>
      <w:r>
        <w:rPr>
          <w:lang w:val="fr-FR"/>
        </w:rPr>
        <w:t xml:space="preserve">à respecter en matière religieuse </w:t>
      </w:r>
      <w:r w:rsidRPr="00466CE7">
        <w:rPr>
          <w:lang w:val="fr-FR"/>
        </w:rPr>
        <w:t xml:space="preserve">et </w:t>
      </w:r>
      <w:r>
        <w:rPr>
          <w:lang w:val="fr-FR"/>
        </w:rPr>
        <w:t>sont avertis qu’il est interdit de célébrer religieusement des mariages (</w:t>
      </w:r>
      <w:proofErr w:type="spellStart"/>
      <w:r w:rsidRPr="000D778A">
        <w:rPr>
          <w:lang w:val="fr-FR"/>
        </w:rPr>
        <w:t>nikah</w:t>
      </w:r>
      <w:proofErr w:type="spellEnd"/>
      <w:r>
        <w:rPr>
          <w:lang w:val="fr-FR"/>
        </w:rPr>
        <w:t>)</w:t>
      </w:r>
      <w:r w:rsidRPr="00466CE7">
        <w:rPr>
          <w:lang w:val="fr-FR"/>
        </w:rPr>
        <w:t xml:space="preserve"> </w:t>
      </w:r>
      <w:r>
        <w:rPr>
          <w:lang w:val="fr-FR"/>
        </w:rPr>
        <w:t>qui n’ont pas été préalablement enregistrés civilement par l’organe public compétent</w:t>
      </w:r>
      <w:r w:rsidRPr="00466CE7">
        <w:rPr>
          <w:lang w:val="fr-FR"/>
        </w:rPr>
        <w:t>.</w:t>
      </w:r>
    </w:p>
    <w:p w14:paraId="58DE631A" w14:textId="77777777" w:rsidR="009C6834" w:rsidRPr="00466CE7" w:rsidRDefault="009C6834" w:rsidP="009C6834">
      <w:pPr>
        <w:pStyle w:val="SingleTxtG"/>
        <w:rPr>
          <w:lang w:val="fr-FR"/>
        </w:rPr>
      </w:pPr>
      <w:r>
        <w:rPr>
          <w:lang w:val="fr-FR"/>
        </w:rPr>
        <w:t>64.</w:t>
      </w:r>
      <w:r>
        <w:rPr>
          <w:lang w:val="fr-FR"/>
        </w:rPr>
        <w:tab/>
        <w:t>De même, en application d’une décision</w:t>
      </w:r>
      <w:r w:rsidRPr="00466CE7">
        <w:rPr>
          <w:lang w:val="fr-FR"/>
        </w:rPr>
        <w:t xml:space="preserve"> gouvernemental</w:t>
      </w:r>
      <w:r>
        <w:rPr>
          <w:lang w:val="fr-FR"/>
        </w:rPr>
        <w:t>e</w:t>
      </w:r>
      <w:r w:rsidRPr="00466CE7">
        <w:rPr>
          <w:lang w:val="fr-FR"/>
        </w:rPr>
        <w:t xml:space="preserve"> sur la stratégie nationale </w:t>
      </w:r>
      <w:r>
        <w:rPr>
          <w:lang w:val="fr-FR"/>
        </w:rPr>
        <w:t xml:space="preserve">de promotion de </w:t>
      </w:r>
      <w:r w:rsidRPr="00466CE7">
        <w:rPr>
          <w:lang w:val="fr-FR"/>
        </w:rPr>
        <w:t>l</w:t>
      </w:r>
      <w:r>
        <w:rPr>
          <w:lang w:val="fr-FR"/>
        </w:rPr>
        <w:t>’</w:t>
      </w:r>
      <w:r w:rsidRPr="00466CE7">
        <w:rPr>
          <w:lang w:val="fr-FR"/>
        </w:rPr>
        <w:t xml:space="preserve">égalité des sexes </w:t>
      </w:r>
      <w:r>
        <w:rPr>
          <w:lang w:val="fr-FR"/>
        </w:rPr>
        <w:t>à l’horizon</w:t>
      </w:r>
      <w:r w:rsidRPr="00466CE7">
        <w:rPr>
          <w:lang w:val="fr-FR"/>
        </w:rPr>
        <w:t xml:space="preserve"> 2020 et </w:t>
      </w:r>
      <w:r>
        <w:rPr>
          <w:lang w:val="fr-FR"/>
        </w:rPr>
        <w:t xml:space="preserve">du </w:t>
      </w:r>
      <w:r w:rsidRPr="00466CE7">
        <w:rPr>
          <w:lang w:val="fr-FR"/>
        </w:rPr>
        <w:t>plan d</w:t>
      </w:r>
      <w:r>
        <w:rPr>
          <w:lang w:val="fr-FR"/>
        </w:rPr>
        <w:t>’</w:t>
      </w:r>
      <w:r w:rsidRPr="00466CE7">
        <w:rPr>
          <w:lang w:val="fr-FR"/>
        </w:rPr>
        <w:t>action national pour l</w:t>
      </w:r>
      <w:r>
        <w:rPr>
          <w:lang w:val="fr-FR"/>
        </w:rPr>
        <w:t>’</w:t>
      </w:r>
      <w:r w:rsidRPr="00466CE7">
        <w:rPr>
          <w:lang w:val="fr-FR"/>
        </w:rPr>
        <w:t xml:space="preserve">égalité des sexes (2012), </w:t>
      </w:r>
      <w:r>
        <w:rPr>
          <w:lang w:val="fr-FR"/>
        </w:rPr>
        <w:t xml:space="preserve">un </w:t>
      </w:r>
      <w:r w:rsidRPr="00466CE7">
        <w:rPr>
          <w:lang w:val="fr-FR"/>
        </w:rPr>
        <w:t xml:space="preserve">règlement relatif à la </w:t>
      </w:r>
      <w:r>
        <w:rPr>
          <w:lang w:val="fr-FR"/>
        </w:rPr>
        <w:t>Commission d’État aux affaires religieuses</w:t>
      </w:r>
      <w:r w:rsidRPr="00466CE7">
        <w:rPr>
          <w:lang w:val="fr-FR"/>
        </w:rPr>
        <w:t xml:space="preserve"> a été élaboré</w:t>
      </w:r>
      <w:r>
        <w:rPr>
          <w:lang w:val="fr-FR"/>
        </w:rPr>
        <w:t xml:space="preserve"> sur les questions de genre</w:t>
      </w:r>
      <w:r w:rsidRPr="00466CE7">
        <w:rPr>
          <w:lang w:val="fr-FR"/>
        </w:rPr>
        <w:t xml:space="preserve">. </w:t>
      </w:r>
      <w:r>
        <w:rPr>
          <w:lang w:val="fr-FR"/>
        </w:rPr>
        <w:t xml:space="preserve">Le rôle de cette </w:t>
      </w:r>
      <w:r w:rsidRPr="00466CE7">
        <w:rPr>
          <w:lang w:val="fr-FR"/>
        </w:rPr>
        <w:t xml:space="preserve">commission </w:t>
      </w:r>
      <w:r>
        <w:rPr>
          <w:lang w:val="fr-FR"/>
        </w:rPr>
        <w:t xml:space="preserve">est de </w:t>
      </w:r>
      <w:r w:rsidRPr="00466CE7">
        <w:rPr>
          <w:lang w:val="fr-FR"/>
        </w:rPr>
        <w:t xml:space="preserve">coordonner </w:t>
      </w:r>
      <w:r>
        <w:rPr>
          <w:lang w:val="fr-FR"/>
        </w:rPr>
        <w:t xml:space="preserve">la </w:t>
      </w:r>
      <w:r w:rsidRPr="00466CE7">
        <w:rPr>
          <w:lang w:val="fr-FR"/>
        </w:rPr>
        <w:t xml:space="preserve">mise en œuvre des tâches </w:t>
      </w:r>
      <w:r>
        <w:rPr>
          <w:lang w:val="fr-FR"/>
        </w:rPr>
        <w:t xml:space="preserve">prévues dans les </w:t>
      </w:r>
      <w:r w:rsidRPr="00466CE7">
        <w:rPr>
          <w:lang w:val="fr-FR"/>
        </w:rPr>
        <w:t>stratégie</w:t>
      </w:r>
      <w:r>
        <w:rPr>
          <w:lang w:val="fr-FR"/>
        </w:rPr>
        <w:t>s</w:t>
      </w:r>
      <w:r w:rsidRPr="00466CE7">
        <w:rPr>
          <w:lang w:val="fr-FR"/>
        </w:rPr>
        <w:t xml:space="preserve"> </w:t>
      </w:r>
      <w:r>
        <w:rPr>
          <w:lang w:val="fr-FR"/>
        </w:rPr>
        <w:t xml:space="preserve">nationales </w:t>
      </w:r>
      <w:r w:rsidRPr="00466CE7">
        <w:rPr>
          <w:lang w:val="fr-FR"/>
        </w:rPr>
        <w:t>et d</w:t>
      </w:r>
      <w:r>
        <w:rPr>
          <w:lang w:val="fr-FR"/>
        </w:rPr>
        <w:t>’</w:t>
      </w:r>
      <w:r w:rsidRPr="00466CE7">
        <w:rPr>
          <w:lang w:val="fr-FR"/>
        </w:rPr>
        <w:t>autres documents</w:t>
      </w:r>
      <w:r w:rsidRPr="00C44A56">
        <w:rPr>
          <w:lang w:val="fr-FR"/>
        </w:rPr>
        <w:t xml:space="preserve"> </w:t>
      </w:r>
      <w:r>
        <w:rPr>
          <w:lang w:val="fr-FR"/>
        </w:rPr>
        <w:t xml:space="preserve">pour réaliser </w:t>
      </w:r>
      <w:r w:rsidRPr="00466CE7">
        <w:rPr>
          <w:lang w:val="fr-FR"/>
        </w:rPr>
        <w:t>l</w:t>
      </w:r>
      <w:r>
        <w:rPr>
          <w:lang w:val="fr-FR"/>
        </w:rPr>
        <w:t>’</w:t>
      </w:r>
      <w:r w:rsidRPr="00466CE7">
        <w:rPr>
          <w:lang w:val="fr-FR"/>
        </w:rPr>
        <w:t xml:space="preserve">égalité </w:t>
      </w:r>
      <w:r>
        <w:rPr>
          <w:lang w:val="fr-FR"/>
        </w:rPr>
        <w:t xml:space="preserve">entre les </w:t>
      </w:r>
      <w:r w:rsidRPr="00466CE7">
        <w:rPr>
          <w:lang w:val="fr-FR"/>
        </w:rPr>
        <w:t xml:space="preserve">sexes, </w:t>
      </w:r>
      <w:r>
        <w:rPr>
          <w:lang w:val="fr-FR"/>
        </w:rPr>
        <w:t>et d’</w:t>
      </w:r>
      <w:r w:rsidRPr="00466CE7">
        <w:rPr>
          <w:lang w:val="fr-FR"/>
        </w:rPr>
        <w:t xml:space="preserve">organiser </w:t>
      </w:r>
      <w:r>
        <w:rPr>
          <w:lang w:val="fr-FR"/>
        </w:rPr>
        <w:t>d</w:t>
      </w:r>
      <w:r w:rsidRPr="00466CE7">
        <w:rPr>
          <w:lang w:val="fr-FR"/>
        </w:rPr>
        <w:t>es activités</w:t>
      </w:r>
      <w:r>
        <w:rPr>
          <w:lang w:val="fr-FR"/>
        </w:rPr>
        <w:t xml:space="preserve"> dans ce domaine</w:t>
      </w:r>
      <w:r w:rsidRPr="00466CE7">
        <w:rPr>
          <w:lang w:val="fr-FR"/>
        </w:rPr>
        <w:t xml:space="preserve">. Des commissions </w:t>
      </w:r>
      <w:r>
        <w:rPr>
          <w:lang w:val="fr-FR"/>
        </w:rPr>
        <w:t xml:space="preserve">pour l’égalité entre les sexes ont </w:t>
      </w:r>
      <w:r w:rsidRPr="00466CE7">
        <w:rPr>
          <w:lang w:val="fr-FR"/>
        </w:rPr>
        <w:t xml:space="preserve">également été </w:t>
      </w:r>
      <w:r>
        <w:rPr>
          <w:lang w:val="fr-FR"/>
        </w:rPr>
        <w:t xml:space="preserve">établies au sein des </w:t>
      </w:r>
      <w:r w:rsidRPr="00466CE7">
        <w:rPr>
          <w:lang w:val="fr-FR"/>
        </w:rPr>
        <w:t xml:space="preserve">ministères, </w:t>
      </w:r>
      <w:r>
        <w:rPr>
          <w:lang w:val="fr-FR"/>
        </w:rPr>
        <w:t xml:space="preserve">des administrations </w:t>
      </w:r>
      <w:r w:rsidRPr="00466CE7">
        <w:rPr>
          <w:lang w:val="fr-FR"/>
        </w:rPr>
        <w:t xml:space="preserve">et </w:t>
      </w:r>
      <w:r>
        <w:rPr>
          <w:lang w:val="fr-FR"/>
        </w:rPr>
        <w:t>des collectivités locales</w:t>
      </w:r>
      <w:r w:rsidRPr="00466CE7">
        <w:rPr>
          <w:lang w:val="fr-FR"/>
        </w:rPr>
        <w:t>.</w:t>
      </w:r>
    </w:p>
    <w:p w14:paraId="668CBD1A" w14:textId="2A50A337" w:rsidR="009C6834" w:rsidRDefault="009C6834" w:rsidP="009C6834">
      <w:pPr>
        <w:pStyle w:val="SingleTxtG"/>
        <w:rPr>
          <w:lang w:val="fr-FR"/>
        </w:rPr>
      </w:pPr>
      <w:r w:rsidRPr="00466CE7">
        <w:rPr>
          <w:lang w:val="fr-FR"/>
        </w:rPr>
        <w:t>65.</w:t>
      </w:r>
      <w:r w:rsidRPr="00466CE7">
        <w:rPr>
          <w:lang w:val="fr-FR"/>
        </w:rPr>
        <w:tab/>
      </w:r>
      <w:r>
        <w:rPr>
          <w:lang w:val="fr-FR"/>
        </w:rPr>
        <w:t xml:space="preserve">En vertu de la </w:t>
      </w:r>
      <w:r w:rsidRPr="00466CE7">
        <w:rPr>
          <w:lang w:val="fr-FR"/>
        </w:rPr>
        <w:t xml:space="preserve">loi </w:t>
      </w:r>
      <w:r>
        <w:rPr>
          <w:lang w:val="fr-FR"/>
        </w:rPr>
        <w:t xml:space="preserve">portant modification </w:t>
      </w:r>
      <w:r w:rsidRPr="00466CE7">
        <w:rPr>
          <w:lang w:val="fr-FR"/>
        </w:rPr>
        <w:t xml:space="preserve">de certains </w:t>
      </w:r>
      <w:r>
        <w:rPr>
          <w:lang w:val="fr-FR"/>
        </w:rPr>
        <w:t>textes de loi</w:t>
      </w:r>
      <w:r w:rsidRPr="00466CE7">
        <w:rPr>
          <w:lang w:val="fr-FR"/>
        </w:rPr>
        <w:t xml:space="preserve"> (</w:t>
      </w:r>
      <w:r w:rsidR="009603CF">
        <w:rPr>
          <w:lang w:val="fr-FR"/>
        </w:rPr>
        <w:t>Code</w:t>
      </w:r>
      <w:r w:rsidRPr="00466CE7">
        <w:rPr>
          <w:lang w:val="fr-FR"/>
        </w:rPr>
        <w:t xml:space="preserve"> de la famille, </w:t>
      </w:r>
      <w:r w:rsidR="000479B3">
        <w:rPr>
          <w:lang w:val="fr-FR"/>
        </w:rPr>
        <w:t>Code pénal</w:t>
      </w:r>
      <w:r w:rsidRPr="00466CE7">
        <w:rPr>
          <w:lang w:val="fr-FR"/>
        </w:rPr>
        <w:t>) adoptée</w:t>
      </w:r>
      <w:r>
        <w:rPr>
          <w:lang w:val="fr-FR"/>
        </w:rPr>
        <w:t xml:space="preserve"> le 17</w:t>
      </w:r>
      <w:r w:rsidR="00CB4ECD">
        <w:rPr>
          <w:lang w:val="fr-FR"/>
        </w:rPr>
        <w:t> </w:t>
      </w:r>
      <w:r>
        <w:rPr>
          <w:lang w:val="fr-FR"/>
        </w:rPr>
        <w:t>novembre 2016</w:t>
      </w:r>
      <w:r w:rsidRPr="00466CE7">
        <w:rPr>
          <w:lang w:val="fr-FR"/>
        </w:rPr>
        <w:t xml:space="preserve">, </w:t>
      </w:r>
      <w:r>
        <w:rPr>
          <w:lang w:val="fr-FR"/>
        </w:rPr>
        <w:t xml:space="preserve">le </w:t>
      </w:r>
      <w:r w:rsidR="000479B3">
        <w:rPr>
          <w:lang w:val="fr-FR"/>
        </w:rPr>
        <w:t>Code pénal</w:t>
      </w:r>
      <w:r>
        <w:rPr>
          <w:lang w:val="fr-FR"/>
        </w:rPr>
        <w:t xml:space="preserve"> a été complété par </w:t>
      </w:r>
      <w:r w:rsidRPr="00466CE7">
        <w:rPr>
          <w:lang w:val="fr-FR"/>
        </w:rPr>
        <w:t>l</w:t>
      </w:r>
      <w:r>
        <w:rPr>
          <w:lang w:val="fr-FR"/>
        </w:rPr>
        <w:t>’</w:t>
      </w:r>
      <w:r w:rsidR="00CB4ECD">
        <w:rPr>
          <w:lang w:val="fr-FR"/>
        </w:rPr>
        <w:t>article </w:t>
      </w:r>
      <w:r w:rsidRPr="00466CE7">
        <w:rPr>
          <w:lang w:val="fr-FR"/>
        </w:rPr>
        <w:t>155</w:t>
      </w:r>
      <w:r w:rsidRPr="00CB4ECD">
        <w:rPr>
          <w:sz w:val="18"/>
          <w:szCs w:val="18"/>
          <w:vertAlign w:val="superscript"/>
          <w:lang w:val="fr-FR"/>
        </w:rPr>
        <w:t>1</w:t>
      </w:r>
      <w:r>
        <w:rPr>
          <w:lang w:val="fr-FR"/>
        </w:rPr>
        <w:t>, qui prévoit que « </w:t>
      </w:r>
      <w:r w:rsidRPr="00466CE7">
        <w:rPr>
          <w:lang w:val="fr-FR"/>
        </w:rPr>
        <w:t>les parents (</w:t>
      </w:r>
      <w:r>
        <w:rPr>
          <w:lang w:val="fr-FR"/>
        </w:rPr>
        <w:t xml:space="preserve">les </w:t>
      </w:r>
      <w:r w:rsidRPr="00466CE7">
        <w:rPr>
          <w:lang w:val="fr-FR"/>
        </w:rPr>
        <w:t xml:space="preserve">personnes </w:t>
      </w:r>
      <w:r>
        <w:rPr>
          <w:lang w:val="fr-FR"/>
        </w:rPr>
        <w:t>qui en tiennent lieu</w:t>
      </w:r>
      <w:r w:rsidRPr="00466CE7">
        <w:rPr>
          <w:lang w:val="fr-FR"/>
        </w:rPr>
        <w:t>) d</w:t>
      </w:r>
      <w:r>
        <w:rPr>
          <w:lang w:val="fr-FR"/>
        </w:rPr>
        <w:t>’</w:t>
      </w:r>
      <w:r w:rsidRPr="00466CE7">
        <w:rPr>
          <w:lang w:val="fr-FR"/>
        </w:rPr>
        <w:t xml:space="preserve">une personne </w:t>
      </w:r>
      <w:r>
        <w:rPr>
          <w:lang w:val="fr-FR"/>
        </w:rPr>
        <w:t xml:space="preserve">que l’on marie dans le cadre d’une cérémonie religieuse, les personnes qui célèbrent de tels mariages religieux et les personnes majeures qui épousent religieusement une personne mineure en violation de la loi sur l’âge du mariage encourent une peine de privation de liberté d’une durée comprise entre </w:t>
      </w:r>
      <w:r w:rsidRPr="00466CE7">
        <w:rPr>
          <w:lang w:val="fr-FR"/>
        </w:rPr>
        <w:t xml:space="preserve">trois </w:t>
      </w:r>
      <w:r>
        <w:rPr>
          <w:lang w:val="fr-FR"/>
        </w:rPr>
        <w:t xml:space="preserve">et </w:t>
      </w:r>
      <w:r w:rsidRPr="00466CE7">
        <w:rPr>
          <w:lang w:val="fr-FR"/>
        </w:rPr>
        <w:t>cinq ans</w:t>
      </w:r>
      <w:r>
        <w:rPr>
          <w:lang w:val="fr-FR"/>
        </w:rPr>
        <w:t> »</w:t>
      </w:r>
      <w:r w:rsidRPr="00466CE7">
        <w:rPr>
          <w:lang w:val="fr-FR"/>
        </w:rPr>
        <w:t xml:space="preserve">. </w:t>
      </w:r>
      <w:r>
        <w:rPr>
          <w:lang w:val="fr-FR"/>
        </w:rPr>
        <w:t xml:space="preserve">Le </w:t>
      </w:r>
      <w:r w:rsidR="009603CF">
        <w:rPr>
          <w:lang w:val="fr-FR"/>
        </w:rPr>
        <w:t>Code</w:t>
      </w:r>
      <w:r>
        <w:rPr>
          <w:lang w:val="fr-FR"/>
        </w:rPr>
        <w:t xml:space="preserve"> de la famille a quant à lui été complété par une </w:t>
      </w:r>
      <w:r w:rsidRPr="00466CE7">
        <w:rPr>
          <w:lang w:val="fr-FR"/>
        </w:rPr>
        <w:t>disposition</w:t>
      </w:r>
      <w:r>
        <w:rPr>
          <w:lang w:val="fr-FR"/>
        </w:rPr>
        <w:t>, à l’</w:t>
      </w:r>
      <w:r w:rsidR="00CB4ECD">
        <w:rPr>
          <w:lang w:val="fr-FR"/>
        </w:rPr>
        <w:t>article </w:t>
      </w:r>
      <w:r>
        <w:rPr>
          <w:lang w:val="fr-FR"/>
        </w:rPr>
        <w:t xml:space="preserve">14, qui stipule </w:t>
      </w:r>
      <w:r w:rsidRPr="00466CE7">
        <w:rPr>
          <w:lang w:val="fr-FR"/>
        </w:rPr>
        <w:t xml:space="preserve">que les personnes </w:t>
      </w:r>
      <w:r>
        <w:rPr>
          <w:lang w:val="fr-FR"/>
        </w:rPr>
        <w:t xml:space="preserve">qui se rendent </w:t>
      </w:r>
      <w:r w:rsidRPr="00466CE7">
        <w:rPr>
          <w:lang w:val="fr-FR"/>
        </w:rPr>
        <w:t xml:space="preserve">coupables </w:t>
      </w:r>
      <w:r>
        <w:rPr>
          <w:lang w:val="fr-FR"/>
        </w:rPr>
        <w:t xml:space="preserve">d’une infraction au </w:t>
      </w:r>
      <w:r w:rsidR="009603CF">
        <w:rPr>
          <w:lang w:val="fr-FR"/>
        </w:rPr>
        <w:t>Code</w:t>
      </w:r>
      <w:r w:rsidRPr="00466CE7">
        <w:rPr>
          <w:lang w:val="fr-FR"/>
        </w:rPr>
        <w:t xml:space="preserve"> sont </w:t>
      </w:r>
      <w:r>
        <w:rPr>
          <w:lang w:val="fr-FR"/>
        </w:rPr>
        <w:t xml:space="preserve">pénalement </w:t>
      </w:r>
      <w:r w:rsidRPr="00466CE7">
        <w:rPr>
          <w:lang w:val="fr-FR"/>
        </w:rPr>
        <w:t xml:space="preserve">responsables </w:t>
      </w:r>
      <w:r>
        <w:rPr>
          <w:lang w:val="fr-FR"/>
        </w:rPr>
        <w:t>en application de la législation kirghize</w:t>
      </w:r>
      <w:r w:rsidRPr="00466CE7">
        <w:rPr>
          <w:lang w:val="fr-FR"/>
        </w:rPr>
        <w:t>.</w:t>
      </w:r>
    </w:p>
    <w:p w14:paraId="403F746C" w14:textId="77777777" w:rsidR="009C6834" w:rsidRPr="00466CE7" w:rsidRDefault="009C6834" w:rsidP="009C6834">
      <w:pPr>
        <w:pStyle w:val="SingleTxtG"/>
        <w:rPr>
          <w:lang w:val="fr-FR"/>
        </w:rPr>
      </w:pPr>
      <w:r w:rsidRPr="00466CE7">
        <w:rPr>
          <w:lang w:val="fr-FR"/>
        </w:rPr>
        <w:t>66.</w:t>
      </w:r>
      <w:r w:rsidRPr="00466CE7">
        <w:rPr>
          <w:lang w:val="fr-FR"/>
        </w:rPr>
        <w:tab/>
        <w:t xml:space="preserve">Conformément </w:t>
      </w:r>
      <w:r>
        <w:rPr>
          <w:lang w:val="fr-FR"/>
        </w:rPr>
        <w:t xml:space="preserve">à des </w:t>
      </w:r>
      <w:r w:rsidRPr="00466CE7">
        <w:rPr>
          <w:lang w:val="fr-FR"/>
        </w:rPr>
        <w:t>lois fondamentales</w:t>
      </w:r>
      <w:r>
        <w:rPr>
          <w:lang w:val="fr-FR"/>
        </w:rPr>
        <w:t xml:space="preserve"> comme la loi s</w:t>
      </w:r>
      <w:r w:rsidRPr="00466CE7">
        <w:rPr>
          <w:lang w:val="fr-FR"/>
        </w:rPr>
        <w:t>ur les garanties de l</w:t>
      </w:r>
      <w:r>
        <w:rPr>
          <w:lang w:val="fr-FR"/>
        </w:rPr>
        <w:t>’</w:t>
      </w:r>
      <w:r w:rsidRPr="00466CE7">
        <w:rPr>
          <w:lang w:val="fr-FR"/>
        </w:rPr>
        <w:t>État en matière d</w:t>
      </w:r>
      <w:r>
        <w:rPr>
          <w:lang w:val="fr-FR"/>
        </w:rPr>
        <w:t>’</w:t>
      </w:r>
      <w:r w:rsidRPr="00466CE7">
        <w:rPr>
          <w:lang w:val="fr-FR"/>
        </w:rPr>
        <w:t xml:space="preserve">égalité des droits et des chances pour les hommes et les femmes et </w:t>
      </w:r>
      <w:r>
        <w:rPr>
          <w:lang w:val="fr-FR"/>
        </w:rPr>
        <w:t xml:space="preserve">la loi sur </w:t>
      </w:r>
      <w:r w:rsidRPr="00466CE7">
        <w:rPr>
          <w:lang w:val="fr-FR"/>
        </w:rPr>
        <w:t xml:space="preserve">la protection sociale et juridique contre la violence </w:t>
      </w:r>
      <w:r>
        <w:rPr>
          <w:lang w:val="fr-FR"/>
        </w:rPr>
        <w:t>familiale</w:t>
      </w:r>
      <w:r w:rsidRPr="00466CE7">
        <w:rPr>
          <w:lang w:val="fr-FR"/>
        </w:rPr>
        <w:t xml:space="preserve">, la République kirghize </w:t>
      </w:r>
      <w:r>
        <w:rPr>
          <w:lang w:val="fr-FR"/>
        </w:rPr>
        <w:t xml:space="preserve">ne cesse depuis son indépendance de défendre </w:t>
      </w:r>
      <w:r w:rsidRPr="00466CE7">
        <w:rPr>
          <w:lang w:val="fr-FR"/>
        </w:rPr>
        <w:t>l</w:t>
      </w:r>
      <w:r>
        <w:rPr>
          <w:lang w:val="fr-FR"/>
        </w:rPr>
        <w:t>’</w:t>
      </w:r>
      <w:r w:rsidRPr="00466CE7">
        <w:rPr>
          <w:lang w:val="fr-FR"/>
        </w:rPr>
        <w:t>idée d</w:t>
      </w:r>
      <w:r>
        <w:rPr>
          <w:lang w:val="fr-FR"/>
        </w:rPr>
        <w:t>’</w:t>
      </w:r>
      <w:r w:rsidRPr="00466CE7">
        <w:rPr>
          <w:lang w:val="fr-FR"/>
        </w:rPr>
        <w:t xml:space="preserve">égalité. </w:t>
      </w:r>
    </w:p>
    <w:p w14:paraId="5D62353D" w14:textId="77777777" w:rsidR="009C6834" w:rsidRPr="00466CE7" w:rsidRDefault="009C6834" w:rsidP="009C6834">
      <w:pPr>
        <w:pStyle w:val="SingleTxtG"/>
        <w:rPr>
          <w:lang w:val="fr-FR"/>
        </w:rPr>
      </w:pPr>
      <w:r>
        <w:rPr>
          <w:lang w:val="fr-FR"/>
        </w:rPr>
        <w:t>67.</w:t>
      </w:r>
      <w:r>
        <w:rPr>
          <w:lang w:val="fr-FR"/>
        </w:rPr>
        <w:tab/>
        <w:t>C’est ainsi qu’elle a favorisé l’</w:t>
      </w:r>
      <w:r w:rsidRPr="00466CE7">
        <w:rPr>
          <w:lang w:val="fr-FR"/>
        </w:rPr>
        <w:t xml:space="preserve">activité économique </w:t>
      </w:r>
      <w:r>
        <w:rPr>
          <w:lang w:val="fr-FR"/>
        </w:rPr>
        <w:t xml:space="preserve">des femmes en mettant en place un </w:t>
      </w:r>
      <w:r w:rsidRPr="00466CE7">
        <w:rPr>
          <w:lang w:val="fr-FR"/>
        </w:rPr>
        <w:t xml:space="preserve">réseau </w:t>
      </w:r>
      <w:r>
        <w:rPr>
          <w:lang w:val="fr-FR"/>
        </w:rPr>
        <w:t xml:space="preserve">d’établissements préscolaires </w:t>
      </w:r>
      <w:r w:rsidRPr="00466CE7">
        <w:rPr>
          <w:lang w:val="fr-FR"/>
        </w:rPr>
        <w:t>et d</w:t>
      </w:r>
      <w:r>
        <w:rPr>
          <w:lang w:val="fr-FR"/>
        </w:rPr>
        <w:t>’</w:t>
      </w:r>
      <w:r w:rsidRPr="00466CE7">
        <w:rPr>
          <w:lang w:val="fr-FR"/>
        </w:rPr>
        <w:t>autres établissements d</w:t>
      </w:r>
      <w:r>
        <w:rPr>
          <w:lang w:val="fr-FR"/>
        </w:rPr>
        <w:t>’</w:t>
      </w:r>
      <w:r w:rsidRPr="00466CE7">
        <w:rPr>
          <w:lang w:val="fr-FR"/>
        </w:rPr>
        <w:t>enseignement contribuant au développement d</w:t>
      </w:r>
      <w:r>
        <w:rPr>
          <w:lang w:val="fr-FR"/>
        </w:rPr>
        <w:t xml:space="preserve">e l’enfant, soutenu leur développement professionnel par </w:t>
      </w:r>
      <w:r w:rsidRPr="00466CE7">
        <w:rPr>
          <w:lang w:val="fr-FR"/>
        </w:rPr>
        <w:t xml:space="preserve">un certain nombre de règles </w:t>
      </w:r>
      <w:r>
        <w:rPr>
          <w:lang w:val="fr-FR"/>
        </w:rPr>
        <w:t>en matière d’</w:t>
      </w:r>
      <w:r w:rsidRPr="00466CE7">
        <w:rPr>
          <w:lang w:val="fr-FR"/>
        </w:rPr>
        <w:t>avancement</w:t>
      </w:r>
      <w:r>
        <w:rPr>
          <w:lang w:val="fr-FR"/>
        </w:rPr>
        <w:t xml:space="preserve">, assuré leur </w:t>
      </w:r>
      <w:r w:rsidRPr="00466CE7">
        <w:rPr>
          <w:lang w:val="fr-FR"/>
        </w:rPr>
        <w:t xml:space="preserve">indépendance sociale </w:t>
      </w:r>
      <w:r>
        <w:rPr>
          <w:lang w:val="fr-FR"/>
        </w:rPr>
        <w:t xml:space="preserve">en leur permettant d’accéder à tous les degrés de l’éducation et à des </w:t>
      </w:r>
      <w:r w:rsidRPr="00466CE7">
        <w:rPr>
          <w:lang w:val="fr-FR"/>
        </w:rPr>
        <w:t xml:space="preserve">emplois </w:t>
      </w:r>
      <w:r>
        <w:rPr>
          <w:lang w:val="fr-FR"/>
        </w:rPr>
        <w:t xml:space="preserve">régulièrement rémunérés </w:t>
      </w:r>
      <w:r w:rsidRPr="00466CE7">
        <w:rPr>
          <w:lang w:val="fr-FR"/>
        </w:rPr>
        <w:t xml:space="preserve">et stables </w:t>
      </w:r>
      <w:r>
        <w:rPr>
          <w:lang w:val="fr-FR"/>
        </w:rPr>
        <w:t xml:space="preserve">et en octroyant une indemnisation aux </w:t>
      </w:r>
      <w:r w:rsidRPr="00466CE7">
        <w:rPr>
          <w:lang w:val="fr-FR"/>
        </w:rPr>
        <w:t xml:space="preserve">mères divorcées et </w:t>
      </w:r>
      <w:r>
        <w:rPr>
          <w:lang w:val="fr-FR"/>
        </w:rPr>
        <w:t xml:space="preserve">des allocations aux </w:t>
      </w:r>
      <w:r w:rsidRPr="00466CE7">
        <w:rPr>
          <w:lang w:val="fr-FR"/>
        </w:rPr>
        <w:t xml:space="preserve">femmes </w:t>
      </w:r>
      <w:r>
        <w:rPr>
          <w:lang w:val="fr-FR"/>
        </w:rPr>
        <w:t xml:space="preserve">élevant seules </w:t>
      </w:r>
      <w:r w:rsidRPr="00466CE7">
        <w:rPr>
          <w:lang w:val="fr-FR"/>
        </w:rPr>
        <w:t xml:space="preserve">des enfants, etc. </w:t>
      </w:r>
    </w:p>
    <w:p w14:paraId="1BA1557B" w14:textId="77777777" w:rsidR="009C6834" w:rsidRPr="00466CE7" w:rsidRDefault="009C6834" w:rsidP="009C6834">
      <w:pPr>
        <w:pStyle w:val="SingleTxtG"/>
        <w:rPr>
          <w:lang w:val="fr-FR"/>
        </w:rPr>
      </w:pPr>
      <w:r w:rsidRPr="00466CE7">
        <w:rPr>
          <w:lang w:val="fr-FR"/>
        </w:rPr>
        <w:t>68.</w:t>
      </w:r>
      <w:r w:rsidRPr="00466CE7">
        <w:rPr>
          <w:lang w:val="fr-FR"/>
        </w:rPr>
        <w:tab/>
      </w:r>
      <w:r>
        <w:rPr>
          <w:lang w:val="fr-FR"/>
        </w:rPr>
        <w:t xml:space="preserve">Les </w:t>
      </w:r>
      <w:r w:rsidRPr="00466CE7">
        <w:rPr>
          <w:lang w:val="fr-FR"/>
        </w:rPr>
        <w:t>mère</w:t>
      </w:r>
      <w:r>
        <w:rPr>
          <w:lang w:val="fr-FR"/>
        </w:rPr>
        <w:t>s</w:t>
      </w:r>
      <w:r w:rsidRPr="00466CE7">
        <w:rPr>
          <w:lang w:val="fr-FR"/>
        </w:rPr>
        <w:t xml:space="preserve"> célibataire</w:t>
      </w:r>
      <w:r>
        <w:rPr>
          <w:lang w:val="fr-FR"/>
        </w:rPr>
        <w:t xml:space="preserve">s, de même, ont accès </w:t>
      </w:r>
      <w:r w:rsidRPr="00466CE7">
        <w:rPr>
          <w:lang w:val="fr-FR"/>
        </w:rPr>
        <w:t>aux services publics</w:t>
      </w:r>
      <w:r>
        <w:rPr>
          <w:lang w:val="fr-FR"/>
        </w:rPr>
        <w:t xml:space="preserve"> sans aucune restriction</w:t>
      </w:r>
      <w:r w:rsidRPr="00466CE7">
        <w:rPr>
          <w:lang w:val="fr-FR"/>
        </w:rPr>
        <w:t>.</w:t>
      </w:r>
    </w:p>
    <w:p w14:paraId="17590DE0" w14:textId="5F6AC11D" w:rsidR="009C6834" w:rsidRDefault="009C6834" w:rsidP="009C6834">
      <w:pPr>
        <w:pStyle w:val="SingleTxtG"/>
        <w:rPr>
          <w:lang w:val="fr-FR"/>
        </w:rPr>
      </w:pPr>
      <w:r w:rsidRPr="00466CE7">
        <w:rPr>
          <w:lang w:val="fr-FR"/>
        </w:rPr>
        <w:t>69.</w:t>
      </w:r>
      <w:r w:rsidRPr="00466CE7">
        <w:rPr>
          <w:lang w:val="fr-FR"/>
        </w:rPr>
        <w:tab/>
        <w:t xml:space="preserve">La République kirghize </w:t>
      </w:r>
      <w:r>
        <w:rPr>
          <w:lang w:val="fr-FR"/>
        </w:rPr>
        <w:t xml:space="preserve">a mis en place une législation exhaustive pour assurer </w:t>
      </w:r>
      <w:r w:rsidRPr="00466CE7">
        <w:rPr>
          <w:lang w:val="fr-FR"/>
        </w:rPr>
        <w:t>l</w:t>
      </w:r>
      <w:r>
        <w:rPr>
          <w:lang w:val="fr-FR"/>
        </w:rPr>
        <w:t>’</w:t>
      </w:r>
      <w:r w:rsidRPr="00466CE7">
        <w:rPr>
          <w:lang w:val="fr-FR"/>
        </w:rPr>
        <w:t xml:space="preserve">égalité des </w:t>
      </w:r>
      <w:r>
        <w:rPr>
          <w:lang w:val="fr-FR"/>
        </w:rPr>
        <w:t xml:space="preserve">femmes s’agissant de la </w:t>
      </w:r>
      <w:r w:rsidRPr="00466CE7">
        <w:rPr>
          <w:lang w:val="fr-FR"/>
        </w:rPr>
        <w:t xml:space="preserve">participation </w:t>
      </w:r>
      <w:r>
        <w:rPr>
          <w:lang w:val="fr-FR"/>
        </w:rPr>
        <w:t xml:space="preserve">à la vie </w:t>
      </w:r>
      <w:r w:rsidRPr="00466CE7">
        <w:rPr>
          <w:lang w:val="fr-FR"/>
        </w:rPr>
        <w:t xml:space="preserve">politique. </w:t>
      </w:r>
      <w:r>
        <w:rPr>
          <w:lang w:val="fr-FR"/>
        </w:rPr>
        <w:t>L</w:t>
      </w:r>
      <w:r w:rsidRPr="00466CE7">
        <w:rPr>
          <w:lang w:val="fr-FR"/>
        </w:rPr>
        <w:t xml:space="preserve">a loi constitutionnelle </w:t>
      </w:r>
      <w:r>
        <w:rPr>
          <w:lang w:val="fr-FR"/>
        </w:rPr>
        <w:t xml:space="preserve">relative aux </w:t>
      </w:r>
      <w:r w:rsidRPr="00466CE7">
        <w:rPr>
          <w:lang w:val="fr-FR"/>
        </w:rPr>
        <w:t xml:space="preserve">élections du </w:t>
      </w:r>
      <w:r w:rsidR="00A66135" w:rsidRPr="00466CE7">
        <w:rPr>
          <w:lang w:val="fr-FR"/>
        </w:rPr>
        <w:t xml:space="preserve">Président </w:t>
      </w:r>
      <w:r w:rsidRPr="00466CE7">
        <w:rPr>
          <w:lang w:val="fr-FR"/>
        </w:rPr>
        <w:t xml:space="preserve">de la République kirghize et des députés du </w:t>
      </w:r>
      <w:proofErr w:type="spellStart"/>
      <w:r w:rsidRPr="00466CE7">
        <w:rPr>
          <w:lang w:val="fr-FR"/>
        </w:rPr>
        <w:t>Jogork</w:t>
      </w:r>
      <w:r>
        <w:rPr>
          <w:lang w:val="fr-FR"/>
        </w:rPr>
        <w:t>o</w:t>
      </w:r>
      <w:r w:rsidRPr="00466CE7">
        <w:rPr>
          <w:lang w:val="fr-FR"/>
        </w:rPr>
        <w:t>u</w:t>
      </w:r>
      <w:proofErr w:type="spellEnd"/>
      <w:r w:rsidRPr="00466CE7">
        <w:rPr>
          <w:lang w:val="fr-FR"/>
        </w:rPr>
        <w:t xml:space="preserve"> </w:t>
      </w:r>
      <w:proofErr w:type="spellStart"/>
      <w:r w:rsidRPr="00466CE7">
        <w:rPr>
          <w:lang w:val="fr-FR"/>
        </w:rPr>
        <w:t>Kene</w:t>
      </w:r>
      <w:r>
        <w:rPr>
          <w:lang w:val="fr-FR"/>
        </w:rPr>
        <w:t>c</w:t>
      </w:r>
      <w:r w:rsidRPr="00466CE7">
        <w:rPr>
          <w:lang w:val="fr-FR"/>
        </w:rPr>
        <w:t>h</w:t>
      </w:r>
      <w:proofErr w:type="spellEnd"/>
      <w:r w:rsidRPr="00466CE7">
        <w:rPr>
          <w:lang w:val="fr-FR"/>
        </w:rPr>
        <w:t xml:space="preserve"> de la République kirghize prévoit </w:t>
      </w:r>
      <w:r>
        <w:rPr>
          <w:lang w:val="fr-FR"/>
        </w:rPr>
        <w:t xml:space="preserve">par exemple </w:t>
      </w:r>
      <w:r w:rsidRPr="00466CE7">
        <w:rPr>
          <w:lang w:val="fr-FR"/>
        </w:rPr>
        <w:t>des quotas obligatoires pour les hommes et les femme</w:t>
      </w:r>
      <w:r>
        <w:rPr>
          <w:lang w:val="fr-FR"/>
        </w:rPr>
        <w:t>s, à savoir que les personnes de</w:t>
      </w:r>
      <w:r w:rsidRPr="00466CE7">
        <w:rPr>
          <w:lang w:val="fr-FR"/>
        </w:rPr>
        <w:t xml:space="preserve"> même sexe </w:t>
      </w:r>
      <w:r>
        <w:rPr>
          <w:lang w:val="fr-FR"/>
        </w:rPr>
        <w:t xml:space="preserve">ne peuvent représenter plus </w:t>
      </w:r>
      <w:r w:rsidRPr="00466CE7">
        <w:rPr>
          <w:lang w:val="fr-FR"/>
        </w:rPr>
        <w:t>de 70</w:t>
      </w:r>
      <w:r w:rsidR="00CB4ECD">
        <w:rPr>
          <w:lang w:val="fr-FR"/>
        </w:rPr>
        <w:t> %</w:t>
      </w:r>
      <w:r w:rsidRPr="00466CE7">
        <w:rPr>
          <w:lang w:val="fr-FR"/>
        </w:rPr>
        <w:t xml:space="preserve"> </w:t>
      </w:r>
      <w:r>
        <w:rPr>
          <w:lang w:val="fr-FR"/>
        </w:rPr>
        <w:t xml:space="preserve">des membres des organes </w:t>
      </w:r>
      <w:r w:rsidRPr="00466CE7">
        <w:rPr>
          <w:lang w:val="fr-FR"/>
        </w:rPr>
        <w:t>législatif</w:t>
      </w:r>
      <w:r>
        <w:rPr>
          <w:lang w:val="fr-FR"/>
        </w:rPr>
        <w:t>s</w:t>
      </w:r>
      <w:r w:rsidRPr="00466CE7">
        <w:rPr>
          <w:lang w:val="fr-FR"/>
        </w:rPr>
        <w:t xml:space="preserve">. </w:t>
      </w:r>
      <w:r>
        <w:rPr>
          <w:lang w:val="fr-FR"/>
        </w:rPr>
        <w:t>Une disposition prévoit en outre qu’au cas où une femme députée</w:t>
      </w:r>
      <w:r w:rsidRPr="00D862C8">
        <w:rPr>
          <w:lang w:val="fr-FR"/>
        </w:rPr>
        <w:t xml:space="preserve"> </w:t>
      </w:r>
      <w:r>
        <w:rPr>
          <w:lang w:val="fr-FR"/>
        </w:rPr>
        <w:t xml:space="preserve">au </w:t>
      </w:r>
      <w:proofErr w:type="spellStart"/>
      <w:r>
        <w:rPr>
          <w:lang w:val="fr-FR"/>
        </w:rPr>
        <w:t>Jogorkou</w:t>
      </w:r>
      <w:proofErr w:type="spellEnd"/>
      <w:r>
        <w:rPr>
          <w:lang w:val="fr-FR"/>
        </w:rPr>
        <w:t xml:space="preserve"> </w:t>
      </w:r>
      <w:proofErr w:type="spellStart"/>
      <w:r>
        <w:rPr>
          <w:lang w:val="fr-FR"/>
        </w:rPr>
        <w:t>Kenec</w:t>
      </w:r>
      <w:r w:rsidRPr="00466CE7">
        <w:rPr>
          <w:lang w:val="fr-FR"/>
        </w:rPr>
        <w:t>h</w:t>
      </w:r>
      <w:proofErr w:type="spellEnd"/>
      <w:r>
        <w:rPr>
          <w:lang w:val="fr-FR"/>
        </w:rPr>
        <w:t xml:space="preserve"> interrompt son mandat avant le terme prévu</w:t>
      </w:r>
      <w:r w:rsidRPr="00466CE7">
        <w:rPr>
          <w:lang w:val="fr-FR"/>
        </w:rPr>
        <w:t xml:space="preserve">, </w:t>
      </w:r>
      <w:r>
        <w:rPr>
          <w:lang w:val="fr-FR"/>
        </w:rPr>
        <w:t xml:space="preserve">ce mandat est repris par </w:t>
      </w:r>
      <w:r w:rsidRPr="00466CE7">
        <w:rPr>
          <w:lang w:val="fr-FR"/>
        </w:rPr>
        <w:t xml:space="preserve">la candidate </w:t>
      </w:r>
      <w:r>
        <w:rPr>
          <w:lang w:val="fr-FR"/>
        </w:rPr>
        <w:t>suivante sur la liste</w:t>
      </w:r>
      <w:r w:rsidRPr="00466CE7">
        <w:rPr>
          <w:lang w:val="fr-FR"/>
        </w:rPr>
        <w:t xml:space="preserve">. Une </w:t>
      </w:r>
      <w:r>
        <w:rPr>
          <w:lang w:val="fr-FR"/>
        </w:rPr>
        <w:t xml:space="preserve">disposition analogue figure </w:t>
      </w:r>
      <w:r w:rsidRPr="00466CE7">
        <w:rPr>
          <w:lang w:val="fr-FR"/>
        </w:rPr>
        <w:t>dans la loi sur l</w:t>
      </w:r>
      <w:r>
        <w:rPr>
          <w:lang w:val="fr-FR"/>
        </w:rPr>
        <w:t>’</w:t>
      </w:r>
      <w:r w:rsidRPr="00466CE7">
        <w:rPr>
          <w:lang w:val="fr-FR"/>
        </w:rPr>
        <w:t xml:space="preserve">élection des </w:t>
      </w:r>
      <w:r>
        <w:rPr>
          <w:lang w:val="fr-FR"/>
        </w:rPr>
        <w:t xml:space="preserve">représentants aux </w:t>
      </w:r>
      <w:r w:rsidRPr="00466CE7">
        <w:rPr>
          <w:lang w:val="fr-FR"/>
        </w:rPr>
        <w:t>conseils locaux</w:t>
      </w:r>
      <w:r w:rsidR="00CB4ECD">
        <w:rPr>
          <w:lang w:val="fr-FR"/>
        </w:rPr>
        <w:t> </w:t>
      </w:r>
      <w:r w:rsidRPr="00466CE7">
        <w:rPr>
          <w:lang w:val="fr-FR"/>
        </w:rPr>
        <w:t xml:space="preserve">; </w:t>
      </w:r>
      <w:r>
        <w:rPr>
          <w:lang w:val="fr-FR"/>
        </w:rPr>
        <w:t xml:space="preserve">dans les </w:t>
      </w:r>
      <w:r w:rsidRPr="00466CE7">
        <w:rPr>
          <w:lang w:val="fr-FR"/>
        </w:rPr>
        <w:t>conseils locaux</w:t>
      </w:r>
      <w:r w:rsidRPr="00A53581">
        <w:rPr>
          <w:lang w:val="fr-FR"/>
        </w:rPr>
        <w:t xml:space="preserve"> </w:t>
      </w:r>
      <w:r>
        <w:rPr>
          <w:lang w:val="fr-FR"/>
        </w:rPr>
        <w:t xml:space="preserve">élus au scrutin </w:t>
      </w:r>
      <w:r w:rsidRPr="00466CE7">
        <w:rPr>
          <w:lang w:val="fr-FR"/>
        </w:rPr>
        <w:t xml:space="preserve">majoritaire, </w:t>
      </w:r>
      <w:r>
        <w:rPr>
          <w:lang w:val="fr-FR"/>
        </w:rPr>
        <w:t xml:space="preserve">au moins </w:t>
      </w:r>
      <w:r w:rsidRPr="00466CE7">
        <w:rPr>
          <w:lang w:val="fr-FR"/>
        </w:rPr>
        <w:t>30</w:t>
      </w:r>
      <w:r w:rsidR="00CB4ECD">
        <w:rPr>
          <w:lang w:val="fr-FR"/>
        </w:rPr>
        <w:t> %</w:t>
      </w:r>
      <w:r w:rsidRPr="00466CE7">
        <w:rPr>
          <w:lang w:val="fr-FR"/>
        </w:rPr>
        <w:t xml:space="preserve"> des</w:t>
      </w:r>
      <w:r>
        <w:rPr>
          <w:lang w:val="fr-FR"/>
        </w:rPr>
        <w:t xml:space="preserve"> sièges </w:t>
      </w:r>
      <w:r w:rsidRPr="00466CE7">
        <w:rPr>
          <w:lang w:val="fr-FR"/>
        </w:rPr>
        <w:t xml:space="preserve">sont réservés aux femmes. </w:t>
      </w:r>
    </w:p>
    <w:p w14:paraId="4E761B12" w14:textId="48956EF2" w:rsidR="009C6834" w:rsidRPr="00466CE7" w:rsidRDefault="009C6834" w:rsidP="009C6834">
      <w:pPr>
        <w:pStyle w:val="SingleTxtG"/>
        <w:rPr>
          <w:lang w:val="fr-FR"/>
        </w:rPr>
      </w:pPr>
      <w:r w:rsidRPr="00466CE7">
        <w:rPr>
          <w:lang w:val="fr-FR"/>
        </w:rPr>
        <w:lastRenderedPageBreak/>
        <w:t>70.</w:t>
      </w:r>
      <w:r w:rsidRPr="00466CE7">
        <w:rPr>
          <w:lang w:val="fr-FR"/>
        </w:rPr>
        <w:tab/>
      </w:r>
      <w:r>
        <w:rPr>
          <w:lang w:val="fr-FR"/>
        </w:rPr>
        <w:t>Conformément à l’</w:t>
      </w:r>
      <w:r w:rsidR="00CB4ECD">
        <w:rPr>
          <w:lang w:val="fr-FR"/>
        </w:rPr>
        <w:t>article </w:t>
      </w:r>
      <w:r w:rsidRPr="00466CE7">
        <w:rPr>
          <w:lang w:val="fr-FR"/>
        </w:rPr>
        <w:t xml:space="preserve">13 de la loi </w:t>
      </w:r>
      <w:r>
        <w:rPr>
          <w:lang w:val="fr-FR"/>
        </w:rPr>
        <w:t xml:space="preserve">relative aux </w:t>
      </w:r>
      <w:r w:rsidRPr="00466CE7">
        <w:rPr>
          <w:lang w:val="fr-FR"/>
        </w:rPr>
        <w:t xml:space="preserve">actes </w:t>
      </w:r>
      <w:r>
        <w:rPr>
          <w:lang w:val="fr-FR"/>
        </w:rPr>
        <w:t>d’</w:t>
      </w:r>
      <w:r w:rsidRPr="00466CE7">
        <w:rPr>
          <w:lang w:val="fr-FR"/>
        </w:rPr>
        <w:t>état civil (2020)</w:t>
      </w:r>
      <w:r>
        <w:rPr>
          <w:lang w:val="fr-FR"/>
        </w:rPr>
        <w:t>,</w:t>
      </w:r>
      <w:r w:rsidRPr="00466CE7">
        <w:rPr>
          <w:lang w:val="fr-FR"/>
        </w:rPr>
        <w:t xml:space="preserve"> </w:t>
      </w:r>
      <w:r>
        <w:rPr>
          <w:lang w:val="fr-FR"/>
        </w:rPr>
        <w:t xml:space="preserve">la naissance d’un enfant dont </w:t>
      </w:r>
      <w:r w:rsidRPr="00466CE7">
        <w:rPr>
          <w:lang w:val="fr-FR"/>
        </w:rPr>
        <w:t>les parents (le père ou la mère) n</w:t>
      </w:r>
      <w:r>
        <w:rPr>
          <w:lang w:val="fr-FR"/>
        </w:rPr>
        <w:t>’</w:t>
      </w:r>
      <w:r w:rsidRPr="00466CE7">
        <w:rPr>
          <w:lang w:val="fr-FR"/>
        </w:rPr>
        <w:t>ont pas de documents d</w:t>
      </w:r>
      <w:r>
        <w:rPr>
          <w:lang w:val="fr-FR"/>
        </w:rPr>
        <w:t>’</w:t>
      </w:r>
      <w:r w:rsidRPr="00466CE7">
        <w:rPr>
          <w:lang w:val="fr-FR"/>
        </w:rPr>
        <w:t xml:space="preserve">identité </w:t>
      </w:r>
      <w:r>
        <w:rPr>
          <w:lang w:val="fr-FR"/>
        </w:rPr>
        <w:t xml:space="preserve">est officiellement enregistrée par </w:t>
      </w:r>
      <w:r w:rsidRPr="00466CE7">
        <w:rPr>
          <w:lang w:val="fr-FR"/>
        </w:rPr>
        <w:t>l</w:t>
      </w:r>
      <w:r>
        <w:rPr>
          <w:lang w:val="fr-FR"/>
        </w:rPr>
        <w:t>’</w:t>
      </w:r>
      <w:r w:rsidRPr="00466CE7">
        <w:rPr>
          <w:lang w:val="fr-FR"/>
        </w:rPr>
        <w:t>établissement d</w:t>
      </w:r>
      <w:r>
        <w:rPr>
          <w:lang w:val="fr-FR"/>
        </w:rPr>
        <w:t>’</w:t>
      </w:r>
      <w:r w:rsidRPr="00466CE7">
        <w:rPr>
          <w:lang w:val="fr-FR"/>
        </w:rPr>
        <w:t>un acte de naissance</w:t>
      </w:r>
      <w:r>
        <w:rPr>
          <w:lang w:val="fr-FR"/>
        </w:rPr>
        <w:t> ; l’</w:t>
      </w:r>
      <w:r w:rsidRPr="00466CE7">
        <w:rPr>
          <w:lang w:val="fr-FR"/>
        </w:rPr>
        <w:t xml:space="preserve">extrait </w:t>
      </w:r>
      <w:r>
        <w:rPr>
          <w:lang w:val="fr-FR"/>
        </w:rPr>
        <w:t>d’</w:t>
      </w:r>
      <w:r w:rsidRPr="00466CE7">
        <w:rPr>
          <w:lang w:val="fr-FR"/>
        </w:rPr>
        <w:t>acte de naissance</w:t>
      </w:r>
      <w:r>
        <w:rPr>
          <w:lang w:val="fr-FR"/>
        </w:rPr>
        <w:t xml:space="preserve"> délivré donne à l’enfant le droit de </w:t>
      </w:r>
      <w:r w:rsidRPr="00466CE7">
        <w:rPr>
          <w:lang w:val="fr-FR"/>
        </w:rPr>
        <w:t>bénéficier des services sociaux et médicaux jusqu</w:t>
      </w:r>
      <w:r>
        <w:rPr>
          <w:lang w:val="fr-FR"/>
        </w:rPr>
        <w:t>’</w:t>
      </w:r>
      <w:r w:rsidRPr="00466CE7">
        <w:rPr>
          <w:lang w:val="fr-FR"/>
        </w:rPr>
        <w:t xml:space="preserve">à ce que </w:t>
      </w:r>
      <w:r>
        <w:rPr>
          <w:lang w:val="fr-FR"/>
        </w:rPr>
        <w:t>s</w:t>
      </w:r>
      <w:r w:rsidRPr="00466CE7">
        <w:rPr>
          <w:lang w:val="fr-FR"/>
        </w:rPr>
        <w:t>es parents (</w:t>
      </w:r>
      <w:r>
        <w:rPr>
          <w:lang w:val="fr-FR"/>
        </w:rPr>
        <w:t xml:space="preserve">son </w:t>
      </w:r>
      <w:r w:rsidRPr="00466CE7">
        <w:rPr>
          <w:lang w:val="fr-FR"/>
        </w:rPr>
        <w:t xml:space="preserve">père </w:t>
      </w:r>
      <w:r>
        <w:rPr>
          <w:lang w:val="fr-FR"/>
        </w:rPr>
        <w:t xml:space="preserve">ou sa </w:t>
      </w:r>
      <w:r w:rsidRPr="00466CE7">
        <w:rPr>
          <w:lang w:val="fr-FR"/>
        </w:rPr>
        <w:t xml:space="preserve">mère) </w:t>
      </w:r>
      <w:r>
        <w:rPr>
          <w:lang w:val="fr-FR"/>
        </w:rPr>
        <w:t xml:space="preserve">produisent un document attestant de leur </w:t>
      </w:r>
      <w:r w:rsidRPr="00466CE7">
        <w:rPr>
          <w:lang w:val="fr-FR"/>
        </w:rPr>
        <w:t>identité.</w:t>
      </w:r>
    </w:p>
    <w:p w14:paraId="23F9736F" w14:textId="50C24D84" w:rsidR="009C6834" w:rsidRPr="00466CE7" w:rsidRDefault="009C6834" w:rsidP="009C6834">
      <w:pPr>
        <w:pStyle w:val="SingleTxtG"/>
        <w:rPr>
          <w:lang w:val="fr-FR"/>
        </w:rPr>
      </w:pPr>
      <w:r>
        <w:rPr>
          <w:lang w:val="fr-FR"/>
        </w:rPr>
        <w:t>71.</w:t>
      </w:r>
      <w:r>
        <w:rPr>
          <w:lang w:val="fr-FR"/>
        </w:rPr>
        <w:tab/>
        <w:t xml:space="preserve">Il convient de noter qu’un certain nombre de </w:t>
      </w:r>
      <w:r w:rsidRPr="00466CE7">
        <w:rPr>
          <w:lang w:val="fr-FR"/>
        </w:rPr>
        <w:t xml:space="preserve">mariages </w:t>
      </w:r>
      <w:r>
        <w:rPr>
          <w:lang w:val="fr-FR"/>
        </w:rPr>
        <w:t>sont contractés</w:t>
      </w:r>
      <w:r w:rsidRPr="00466CE7">
        <w:rPr>
          <w:lang w:val="fr-FR"/>
        </w:rPr>
        <w:t xml:space="preserve"> selon des rites religieux</w:t>
      </w:r>
      <w:r>
        <w:rPr>
          <w:lang w:val="fr-FR"/>
        </w:rPr>
        <w:t xml:space="preserve"> mais que </w:t>
      </w:r>
      <w:r w:rsidRPr="00466CE7">
        <w:rPr>
          <w:lang w:val="fr-FR"/>
        </w:rPr>
        <w:t>la plupart</w:t>
      </w:r>
      <w:r>
        <w:rPr>
          <w:lang w:val="fr-FR"/>
        </w:rPr>
        <w:t xml:space="preserve"> sont parallèlement </w:t>
      </w:r>
      <w:r w:rsidRPr="00466CE7">
        <w:rPr>
          <w:lang w:val="fr-FR"/>
        </w:rPr>
        <w:t xml:space="preserve">enregistrés </w:t>
      </w:r>
      <w:r>
        <w:rPr>
          <w:lang w:val="fr-FR"/>
        </w:rPr>
        <w:t xml:space="preserve">à </w:t>
      </w:r>
      <w:r w:rsidRPr="00466CE7">
        <w:rPr>
          <w:lang w:val="fr-FR"/>
        </w:rPr>
        <w:t>l</w:t>
      </w:r>
      <w:r>
        <w:rPr>
          <w:lang w:val="fr-FR"/>
        </w:rPr>
        <w:t>’</w:t>
      </w:r>
      <w:r w:rsidRPr="00466CE7">
        <w:rPr>
          <w:lang w:val="fr-FR"/>
        </w:rPr>
        <w:t xml:space="preserve">état civil. </w:t>
      </w:r>
      <w:r>
        <w:rPr>
          <w:lang w:val="fr-FR"/>
        </w:rPr>
        <w:t>D’après les données du Comité national de statistique</w:t>
      </w:r>
      <w:r w:rsidRPr="00466CE7">
        <w:rPr>
          <w:lang w:val="fr-FR"/>
        </w:rPr>
        <w:t xml:space="preserve">, </w:t>
      </w:r>
      <w:r>
        <w:rPr>
          <w:lang w:val="fr-FR"/>
        </w:rPr>
        <w:t xml:space="preserve">la proportion des </w:t>
      </w:r>
      <w:r w:rsidRPr="00466CE7">
        <w:rPr>
          <w:lang w:val="fr-FR"/>
        </w:rPr>
        <w:t xml:space="preserve">enfants nés </w:t>
      </w:r>
      <w:r>
        <w:rPr>
          <w:lang w:val="fr-FR"/>
        </w:rPr>
        <w:t xml:space="preserve">dans le cadre de </w:t>
      </w:r>
      <w:r w:rsidRPr="00466CE7">
        <w:rPr>
          <w:lang w:val="fr-FR"/>
        </w:rPr>
        <w:t>mariages non enregistrés est passé</w:t>
      </w:r>
      <w:r>
        <w:rPr>
          <w:lang w:val="fr-FR"/>
        </w:rPr>
        <w:t>e</w:t>
      </w:r>
      <w:r w:rsidRPr="00466CE7">
        <w:rPr>
          <w:lang w:val="fr-FR"/>
        </w:rPr>
        <w:t xml:space="preserve"> de 25,9</w:t>
      </w:r>
      <w:r w:rsidR="00CB4ECD">
        <w:rPr>
          <w:lang w:val="fr-FR"/>
        </w:rPr>
        <w:t> %</w:t>
      </w:r>
      <w:r w:rsidRPr="00466CE7">
        <w:rPr>
          <w:lang w:val="fr-FR"/>
        </w:rPr>
        <w:t xml:space="preserve"> en 2014 à 21,5</w:t>
      </w:r>
      <w:r w:rsidR="00CB4ECD">
        <w:rPr>
          <w:lang w:val="fr-FR"/>
        </w:rPr>
        <w:t> %</w:t>
      </w:r>
      <w:r w:rsidRPr="00466CE7">
        <w:rPr>
          <w:lang w:val="fr-FR"/>
        </w:rPr>
        <w:t xml:space="preserve"> en 2018.</w:t>
      </w:r>
    </w:p>
    <w:p w14:paraId="33CE2066" w14:textId="7128E87E" w:rsidR="009C6834" w:rsidRPr="00466CE7" w:rsidRDefault="009C6834" w:rsidP="009C6834">
      <w:pPr>
        <w:pStyle w:val="SingleTxtG"/>
        <w:rPr>
          <w:lang w:val="fr-FR"/>
        </w:rPr>
      </w:pPr>
      <w:r w:rsidRPr="00466CE7">
        <w:rPr>
          <w:lang w:val="fr-FR"/>
        </w:rPr>
        <w:t>72.</w:t>
      </w:r>
      <w:r w:rsidRPr="00466CE7">
        <w:rPr>
          <w:lang w:val="fr-FR"/>
        </w:rPr>
        <w:tab/>
      </w:r>
      <w:r>
        <w:rPr>
          <w:lang w:val="fr-FR"/>
        </w:rPr>
        <w:t xml:space="preserve">Conformément à </w:t>
      </w:r>
      <w:r w:rsidRPr="00466CE7">
        <w:rPr>
          <w:lang w:val="fr-FR"/>
        </w:rPr>
        <w:t>l</w:t>
      </w:r>
      <w:r>
        <w:rPr>
          <w:lang w:val="fr-FR"/>
        </w:rPr>
        <w:t>’</w:t>
      </w:r>
      <w:r w:rsidR="00CB4ECD">
        <w:rPr>
          <w:lang w:val="fr-FR"/>
        </w:rPr>
        <w:t>article </w:t>
      </w:r>
      <w:r w:rsidRPr="00466CE7">
        <w:rPr>
          <w:lang w:val="fr-FR"/>
        </w:rPr>
        <w:t>1</w:t>
      </w:r>
      <w:r w:rsidR="00CB4ECD">
        <w:rPr>
          <w:lang w:val="fr-FR"/>
        </w:rPr>
        <w:t> </w:t>
      </w:r>
      <w:r w:rsidRPr="00466CE7">
        <w:rPr>
          <w:lang w:val="fr-FR"/>
        </w:rPr>
        <w:t xml:space="preserve">2) du </w:t>
      </w:r>
      <w:r w:rsidR="009603CF">
        <w:rPr>
          <w:lang w:val="fr-FR"/>
        </w:rPr>
        <w:t>Code</w:t>
      </w:r>
      <w:r w:rsidRPr="00466CE7">
        <w:rPr>
          <w:lang w:val="fr-FR"/>
        </w:rPr>
        <w:t xml:space="preserve"> de la famille, </w:t>
      </w:r>
      <w:r>
        <w:rPr>
          <w:lang w:val="fr-FR"/>
        </w:rPr>
        <w:t xml:space="preserve">sont reconnus </w:t>
      </w:r>
      <w:r w:rsidRPr="00466CE7">
        <w:rPr>
          <w:lang w:val="fr-FR"/>
        </w:rPr>
        <w:t>le</w:t>
      </w:r>
      <w:r>
        <w:rPr>
          <w:lang w:val="fr-FR"/>
        </w:rPr>
        <w:t>s</w:t>
      </w:r>
      <w:r w:rsidRPr="00466CE7">
        <w:rPr>
          <w:lang w:val="fr-FR"/>
        </w:rPr>
        <w:t xml:space="preserve"> mariage</w:t>
      </w:r>
      <w:r>
        <w:rPr>
          <w:lang w:val="fr-FR"/>
        </w:rPr>
        <w:t>s</w:t>
      </w:r>
      <w:r w:rsidRPr="00466CE7">
        <w:rPr>
          <w:lang w:val="fr-FR"/>
        </w:rPr>
        <w:t xml:space="preserve"> con</w:t>
      </w:r>
      <w:r>
        <w:rPr>
          <w:lang w:val="fr-FR"/>
        </w:rPr>
        <w:t>tractés</w:t>
      </w:r>
      <w:r w:rsidRPr="00466CE7">
        <w:rPr>
          <w:lang w:val="fr-FR"/>
        </w:rPr>
        <w:t xml:space="preserve"> </w:t>
      </w:r>
      <w:r>
        <w:rPr>
          <w:lang w:val="fr-FR"/>
        </w:rPr>
        <w:t xml:space="preserve">auprès des services administratifs centraux et locaux habilités à </w:t>
      </w:r>
      <w:r w:rsidRPr="00466CE7">
        <w:rPr>
          <w:lang w:val="fr-FR"/>
        </w:rPr>
        <w:t xml:space="preserve">enregistrer </w:t>
      </w:r>
      <w:r>
        <w:rPr>
          <w:lang w:val="fr-FR"/>
        </w:rPr>
        <w:t xml:space="preserve">officiellement </w:t>
      </w:r>
      <w:r w:rsidRPr="00466CE7">
        <w:rPr>
          <w:lang w:val="fr-FR"/>
        </w:rPr>
        <w:t>les actes d</w:t>
      </w:r>
      <w:r>
        <w:rPr>
          <w:lang w:val="fr-FR"/>
        </w:rPr>
        <w:t>’</w:t>
      </w:r>
      <w:r w:rsidRPr="00466CE7">
        <w:rPr>
          <w:lang w:val="fr-FR"/>
        </w:rPr>
        <w:t xml:space="preserve">état civil. Les cérémonies religieuses </w:t>
      </w:r>
      <w:r>
        <w:rPr>
          <w:lang w:val="fr-FR"/>
        </w:rPr>
        <w:t xml:space="preserve">matrimoniales et </w:t>
      </w:r>
      <w:r w:rsidRPr="00466CE7">
        <w:rPr>
          <w:lang w:val="fr-FR"/>
        </w:rPr>
        <w:t>familiales n</w:t>
      </w:r>
      <w:r>
        <w:rPr>
          <w:lang w:val="fr-FR"/>
        </w:rPr>
        <w:t>’</w:t>
      </w:r>
      <w:r w:rsidRPr="00466CE7">
        <w:rPr>
          <w:lang w:val="fr-FR"/>
        </w:rPr>
        <w:t xml:space="preserve">ont aucune </w:t>
      </w:r>
      <w:r>
        <w:rPr>
          <w:lang w:val="fr-FR"/>
        </w:rPr>
        <w:t xml:space="preserve">valeur </w:t>
      </w:r>
      <w:r w:rsidRPr="00466CE7">
        <w:rPr>
          <w:lang w:val="fr-FR"/>
        </w:rPr>
        <w:t>juridique.</w:t>
      </w:r>
    </w:p>
    <w:p w14:paraId="05BDAFF1" w14:textId="7408669E" w:rsidR="009C6834" w:rsidRPr="00466CE7" w:rsidRDefault="009C6834" w:rsidP="009C6834">
      <w:pPr>
        <w:pStyle w:val="SingleTxtG"/>
        <w:rPr>
          <w:lang w:val="fr-FR"/>
        </w:rPr>
      </w:pPr>
      <w:r w:rsidRPr="00466CE7">
        <w:rPr>
          <w:lang w:val="fr-FR"/>
        </w:rPr>
        <w:t>73.</w:t>
      </w:r>
      <w:r w:rsidRPr="00466CE7">
        <w:rPr>
          <w:lang w:val="fr-FR"/>
        </w:rPr>
        <w:tab/>
      </w:r>
      <w:r>
        <w:rPr>
          <w:lang w:val="fr-FR"/>
        </w:rPr>
        <w:t>Le c</w:t>
      </w:r>
      <w:r w:rsidRPr="00466CE7">
        <w:rPr>
          <w:lang w:val="fr-FR"/>
        </w:rPr>
        <w:t xml:space="preserve">onseil des femmes </w:t>
      </w:r>
      <w:r>
        <w:rPr>
          <w:lang w:val="fr-FR"/>
        </w:rPr>
        <w:t xml:space="preserve">établi au sein de la </w:t>
      </w:r>
      <w:r w:rsidRPr="00466CE7">
        <w:rPr>
          <w:lang w:val="fr-FR"/>
        </w:rPr>
        <w:t xml:space="preserve">Fédération des syndicats du Kirghizistan </w:t>
      </w:r>
      <w:r>
        <w:rPr>
          <w:lang w:val="fr-FR"/>
        </w:rPr>
        <w:t>a organisé en 2018</w:t>
      </w:r>
      <w:r w:rsidRPr="00466CE7">
        <w:rPr>
          <w:lang w:val="fr-FR"/>
        </w:rPr>
        <w:t xml:space="preserve"> </w:t>
      </w:r>
      <w:r>
        <w:rPr>
          <w:lang w:val="fr-FR"/>
        </w:rPr>
        <w:t xml:space="preserve">des réunions avec des </w:t>
      </w:r>
      <w:r w:rsidRPr="00466CE7">
        <w:rPr>
          <w:lang w:val="fr-FR"/>
        </w:rPr>
        <w:t>représentants du M</w:t>
      </w:r>
      <w:r>
        <w:rPr>
          <w:lang w:val="fr-FR"/>
        </w:rPr>
        <w:t>inistère du travail et du développement social et</w:t>
      </w:r>
      <w:r w:rsidRPr="00466CE7">
        <w:rPr>
          <w:lang w:val="fr-FR"/>
        </w:rPr>
        <w:t xml:space="preserve"> de l</w:t>
      </w:r>
      <w:r>
        <w:rPr>
          <w:lang w:val="fr-FR"/>
        </w:rPr>
        <w:t>’</w:t>
      </w:r>
      <w:r w:rsidRPr="00466CE7">
        <w:rPr>
          <w:lang w:val="fr-FR"/>
        </w:rPr>
        <w:t xml:space="preserve">ONG </w:t>
      </w:r>
      <w:r>
        <w:rPr>
          <w:lang w:val="fr-FR"/>
        </w:rPr>
        <w:t>Réseau démocratique des femmes</w:t>
      </w:r>
      <w:r w:rsidRPr="00466CE7">
        <w:rPr>
          <w:lang w:val="fr-FR"/>
        </w:rPr>
        <w:t xml:space="preserve"> et </w:t>
      </w:r>
      <w:r>
        <w:rPr>
          <w:lang w:val="fr-FR"/>
        </w:rPr>
        <w:t xml:space="preserve">avec </w:t>
      </w:r>
      <w:r w:rsidRPr="00466CE7">
        <w:rPr>
          <w:lang w:val="fr-FR"/>
        </w:rPr>
        <w:t xml:space="preserve">un expert </w:t>
      </w:r>
      <w:r>
        <w:rPr>
          <w:lang w:val="fr-FR"/>
        </w:rPr>
        <w:t>de la question de l’égalité des sexes pour se familiariser avec l’ODD 5 « </w:t>
      </w:r>
      <w:r w:rsidRPr="00466CE7">
        <w:rPr>
          <w:lang w:val="fr-FR"/>
        </w:rPr>
        <w:t>Égalité des sexes</w:t>
      </w:r>
      <w:r>
        <w:rPr>
          <w:lang w:val="fr-FR"/>
        </w:rPr>
        <w:t xml:space="preserve"> » et obtenir des informations sur les orientations prioritaires du plan d’action national </w:t>
      </w:r>
      <w:r w:rsidRPr="00466CE7">
        <w:rPr>
          <w:lang w:val="fr-FR"/>
        </w:rPr>
        <w:t>pour 2018</w:t>
      </w:r>
      <w:r w:rsidR="00CB4ECD">
        <w:rPr>
          <w:lang w:val="fr-FR"/>
        </w:rPr>
        <w:noBreakHyphen/>
      </w:r>
      <w:r w:rsidRPr="00466CE7">
        <w:rPr>
          <w:lang w:val="fr-FR"/>
        </w:rPr>
        <w:t>2020</w:t>
      </w:r>
      <w:r>
        <w:rPr>
          <w:lang w:val="fr-FR"/>
        </w:rPr>
        <w:t xml:space="preserve"> ainsi que sur </w:t>
      </w:r>
      <w:r w:rsidRPr="00466CE7">
        <w:rPr>
          <w:lang w:val="fr-FR"/>
        </w:rPr>
        <w:t xml:space="preserve">la loi </w:t>
      </w:r>
      <w:r>
        <w:rPr>
          <w:lang w:val="fr-FR"/>
        </w:rPr>
        <w:t xml:space="preserve">relative à la </w:t>
      </w:r>
      <w:r w:rsidRPr="00466CE7">
        <w:rPr>
          <w:lang w:val="fr-FR"/>
        </w:rPr>
        <w:t>protection contre la violence familiale et sur l</w:t>
      </w:r>
      <w:r>
        <w:rPr>
          <w:lang w:val="fr-FR"/>
        </w:rPr>
        <w:t>’</w:t>
      </w:r>
      <w:r w:rsidRPr="00466CE7">
        <w:rPr>
          <w:lang w:val="fr-FR"/>
        </w:rPr>
        <w:t xml:space="preserve">intégration </w:t>
      </w:r>
      <w:r>
        <w:rPr>
          <w:lang w:val="fr-FR"/>
        </w:rPr>
        <w:t>d’</w:t>
      </w:r>
      <w:r w:rsidRPr="00466CE7">
        <w:rPr>
          <w:lang w:val="fr-FR"/>
        </w:rPr>
        <w:t xml:space="preserve">aspects </w:t>
      </w:r>
      <w:r>
        <w:rPr>
          <w:lang w:val="fr-FR"/>
        </w:rPr>
        <w:t xml:space="preserve">liés au </w:t>
      </w:r>
      <w:r w:rsidRPr="00466CE7">
        <w:rPr>
          <w:lang w:val="fr-FR"/>
        </w:rPr>
        <w:t xml:space="preserve">genre dans le sixième rapport national </w:t>
      </w:r>
      <w:r>
        <w:rPr>
          <w:lang w:val="fr-FR"/>
        </w:rPr>
        <w:t xml:space="preserve">concernant </w:t>
      </w:r>
      <w:r w:rsidRPr="00466CE7">
        <w:rPr>
          <w:lang w:val="fr-FR"/>
        </w:rPr>
        <w:t>la Convention su</w:t>
      </w:r>
      <w:r>
        <w:rPr>
          <w:lang w:val="fr-FR"/>
        </w:rPr>
        <w:t>r la diversité biologique</w:t>
      </w:r>
      <w:r w:rsidRPr="00466CE7">
        <w:rPr>
          <w:lang w:val="fr-FR"/>
        </w:rPr>
        <w:t>.</w:t>
      </w:r>
    </w:p>
    <w:p w14:paraId="56F9FD56" w14:textId="1CC3BDA1" w:rsidR="009C6834" w:rsidRPr="00466CE7" w:rsidRDefault="00CB4ECD" w:rsidP="00CB4ECD">
      <w:pPr>
        <w:pStyle w:val="H1G"/>
        <w:rPr>
          <w:lang w:val="fr-FR"/>
        </w:rPr>
      </w:pPr>
      <w:r>
        <w:rPr>
          <w:lang w:val="fr-FR"/>
        </w:rPr>
        <w:tab/>
      </w:r>
      <w:r>
        <w:rPr>
          <w:lang w:val="fr-FR"/>
        </w:rPr>
        <w:tab/>
        <w:t>Article </w:t>
      </w:r>
      <w:r w:rsidR="009C6834" w:rsidRPr="00466CE7">
        <w:rPr>
          <w:lang w:val="fr-FR"/>
        </w:rPr>
        <w:t>9</w:t>
      </w:r>
      <w:r>
        <w:rPr>
          <w:lang w:val="fr-FR"/>
        </w:rPr>
        <w:br/>
      </w:r>
      <w:r w:rsidR="009C6834" w:rsidRPr="00466CE7">
        <w:rPr>
          <w:lang w:val="fr-FR"/>
        </w:rPr>
        <w:t>Chômage</w:t>
      </w:r>
    </w:p>
    <w:p w14:paraId="4F78AEC6" w14:textId="78F5A9A2" w:rsidR="009C6834" w:rsidRPr="00466CE7" w:rsidRDefault="009C6834" w:rsidP="009C6834">
      <w:pPr>
        <w:pStyle w:val="SingleTxtG"/>
        <w:rPr>
          <w:lang w:val="fr-FR"/>
        </w:rPr>
      </w:pPr>
      <w:r w:rsidRPr="00466CE7">
        <w:rPr>
          <w:lang w:val="fr-FR"/>
        </w:rPr>
        <w:t>74.</w:t>
      </w:r>
      <w:r w:rsidRPr="00466CE7">
        <w:rPr>
          <w:lang w:val="fr-FR"/>
        </w:rPr>
        <w:tab/>
        <w:t xml:space="preserve">En 2019, </w:t>
      </w:r>
      <w:r>
        <w:rPr>
          <w:lang w:val="fr-FR"/>
        </w:rPr>
        <w:t>la main-d’œuvre dans le pays s’établissait à 2 583</w:t>
      </w:r>
      <w:r w:rsidR="00CB4ECD">
        <w:rPr>
          <w:lang w:val="fr-FR"/>
        </w:rPr>
        <w:t> </w:t>
      </w:r>
      <w:r w:rsidRPr="00466CE7">
        <w:rPr>
          <w:lang w:val="fr-FR"/>
        </w:rPr>
        <w:t>6</w:t>
      </w:r>
      <w:r>
        <w:rPr>
          <w:lang w:val="fr-FR"/>
        </w:rPr>
        <w:t>00</w:t>
      </w:r>
      <w:r w:rsidR="00CB4ECD">
        <w:rPr>
          <w:lang w:val="fr-FR"/>
        </w:rPr>
        <w:t> </w:t>
      </w:r>
      <w:r>
        <w:rPr>
          <w:lang w:val="fr-FR"/>
        </w:rPr>
        <w:t>personnes</w:t>
      </w:r>
      <w:r w:rsidRPr="00466CE7">
        <w:rPr>
          <w:lang w:val="fr-FR"/>
        </w:rPr>
        <w:t>, dont 2</w:t>
      </w:r>
      <w:r>
        <w:rPr>
          <w:lang w:val="fr-FR"/>
        </w:rPr>
        <w:t> </w:t>
      </w:r>
      <w:r w:rsidRPr="00466CE7">
        <w:rPr>
          <w:lang w:val="fr-FR"/>
        </w:rPr>
        <w:t>442</w:t>
      </w:r>
      <w:r w:rsidR="00CB4ECD">
        <w:rPr>
          <w:lang w:val="fr-FR"/>
        </w:rPr>
        <w:t> </w:t>
      </w:r>
      <w:r w:rsidRPr="00466CE7">
        <w:rPr>
          <w:lang w:val="fr-FR"/>
        </w:rPr>
        <w:t>7</w:t>
      </w:r>
      <w:r>
        <w:rPr>
          <w:lang w:val="fr-FR"/>
        </w:rPr>
        <w:t>00</w:t>
      </w:r>
      <w:r w:rsidR="00CB4ECD">
        <w:rPr>
          <w:lang w:val="fr-FR"/>
        </w:rPr>
        <w:t> </w:t>
      </w:r>
      <w:r>
        <w:rPr>
          <w:lang w:val="fr-FR"/>
        </w:rPr>
        <w:t xml:space="preserve">personnes ayant un emploi </w:t>
      </w:r>
      <w:r w:rsidRPr="00466CE7">
        <w:rPr>
          <w:lang w:val="fr-FR"/>
        </w:rPr>
        <w:t>et 140</w:t>
      </w:r>
      <w:r w:rsidR="00CB4ECD">
        <w:rPr>
          <w:lang w:val="fr-FR"/>
        </w:rPr>
        <w:t> </w:t>
      </w:r>
      <w:r w:rsidRPr="00466CE7">
        <w:rPr>
          <w:lang w:val="fr-FR"/>
        </w:rPr>
        <w:t>9</w:t>
      </w:r>
      <w:r>
        <w:rPr>
          <w:lang w:val="fr-FR"/>
        </w:rPr>
        <w:t>00</w:t>
      </w:r>
      <w:r w:rsidR="00CB4ECD">
        <w:rPr>
          <w:lang w:val="fr-FR"/>
        </w:rPr>
        <w:t> </w:t>
      </w:r>
      <w:r>
        <w:rPr>
          <w:lang w:val="fr-FR"/>
        </w:rPr>
        <w:t xml:space="preserve">personnes au chômage, soit un </w:t>
      </w:r>
      <w:r w:rsidRPr="00466CE7">
        <w:rPr>
          <w:lang w:val="fr-FR"/>
        </w:rPr>
        <w:t>taux d</w:t>
      </w:r>
      <w:r>
        <w:rPr>
          <w:lang w:val="fr-FR"/>
        </w:rPr>
        <w:t>’</w:t>
      </w:r>
      <w:r w:rsidRPr="00466CE7">
        <w:rPr>
          <w:lang w:val="fr-FR"/>
        </w:rPr>
        <w:t xml:space="preserve">emploi </w:t>
      </w:r>
      <w:r>
        <w:rPr>
          <w:lang w:val="fr-FR"/>
        </w:rPr>
        <w:t xml:space="preserve">de </w:t>
      </w:r>
      <w:r w:rsidRPr="00466CE7">
        <w:rPr>
          <w:lang w:val="fr-FR"/>
        </w:rPr>
        <w:t>57</w:t>
      </w:r>
      <w:r w:rsidR="00CB4ECD">
        <w:rPr>
          <w:lang w:val="fr-FR"/>
        </w:rPr>
        <w:t> %</w:t>
      </w:r>
      <w:r w:rsidRPr="00466CE7">
        <w:rPr>
          <w:lang w:val="fr-FR"/>
        </w:rPr>
        <w:t xml:space="preserve"> et </w:t>
      </w:r>
      <w:r>
        <w:rPr>
          <w:lang w:val="fr-FR"/>
        </w:rPr>
        <w:t xml:space="preserve">un </w:t>
      </w:r>
      <w:r w:rsidRPr="00466CE7">
        <w:rPr>
          <w:lang w:val="fr-FR"/>
        </w:rPr>
        <w:t xml:space="preserve">taux de chômage </w:t>
      </w:r>
      <w:r>
        <w:rPr>
          <w:lang w:val="fr-FR"/>
        </w:rPr>
        <w:t xml:space="preserve">de </w:t>
      </w:r>
      <w:r w:rsidRPr="00466CE7">
        <w:rPr>
          <w:lang w:val="fr-FR"/>
        </w:rPr>
        <w:t>5,5</w:t>
      </w:r>
      <w:r w:rsidR="00CB4ECD">
        <w:rPr>
          <w:lang w:val="fr-FR"/>
        </w:rPr>
        <w:t> %</w:t>
      </w:r>
      <w:r w:rsidRPr="00466CE7">
        <w:rPr>
          <w:lang w:val="fr-FR"/>
        </w:rPr>
        <w:t>.</w:t>
      </w:r>
    </w:p>
    <w:p w14:paraId="63D5B64C" w14:textId="77777777" w:rsidR="009C6834" w:rsidRPr="00466CE7" w:rsidRDefault="009C6834" w:rsidP="009C6834">
      <w:pPr>
        <w:pStyle w:val="SingleTxtG"/>
        <w:rPr>
          <w:lang w:val="fr-FR"/>
        </w:rPr>
      </w:pPr>
      <w:r w:rsidRPr="00466CE7">
        <w:rPr>
          <w:lang w:val="fr-FR"/>
        </w:rPr>
        <w:t>75.</w:t>
      </w:r>
      <w:r w:rsidRPr="00466CE7">
        <w:rPr>
          <w:lang w:val="fr-FR"/>
        </w:rPr>
        <w:tab/>
        <w:t>Le taux d</w:t>
      </w:r>
      <w:r>
        <w:rPr>
          <w:lang w:val="fr-FR"/>
        </w:rPr>
        <w:t>’</w:t>
      </w:r>
      <w:r w:rsidRPr="00466CE7">
        <w:rPr>
          <w:lang w:val="fr-FR"/>
        </w:rPr>
        <w:t xml:space="preserve">emploi </w:t>
      </w:r>
      <w:r>
        <w:rPr>
          <w:lang w:val="fr-FR"/>
        </w:rPr>
        <w:t xml:space="preserve">au cours de </w:t>
      </w:r>
      <w:r w:rsidRPr="00466CE7">
        <w:rPr>
          <w:lang w:val="fr-FR"/>
        </w:rPr>
        <w:t>la période 2012-2018 présente de légères fluctuations</w:t>
      </w:r>
      <w:r>
        <w:rPr>
          <w:lang w:val="fr-FR"/>
        </w:rPr>
        <w:t xml:space="preserve"> et l’évolution</w:t>
      </w:r>
      <w:r w:rsidRPr="00466CE7">
        <w:rPr>
          <w:lang w:val="fr-FR"/>
        </w:rPr>
        <w:t xml:space="preserve"> du taux de chômage montre un net recul. </w:t>
      </w:r>
      <w:r>
        <w:rPr>
          <w:lang w:val="fr-FR"/>
        </w:rPr>
        <w:t>L’économie n’a pas connu de</w:t>
      </w:r>
      <w:r w:rsidRPr="00466CE7">
        <w:rPr>
          <w:lang w:val="fr-FR"/>
        </w:rPr>
        <w:t xml:space="preserve"> </w:t>
      </w:r>
      <w:r>
        <w:rPr>
          <w:lang w:val="fr-FR"/>
        </w:rPr>
        <w:t>ralentissement marqué en 2019</w:t>
      </w:r>
      <w:r w:rsidRPr="00466CE7">
        <w:rPr>
          <w:lang w:val="fr-FR"/>
        </w:rPr>
        <w:t xml:space="preserve">, les tendances </w:t>
      </w:r>
      <w:r>
        <w:rPr>
          <w:lang w:val="fr-FR"/>
        </w:rPr>
        <w:t xml:space="preserve">en matière </w:t>
      </w:r>
      <w:r w:rsidRPr="00466CE7">
        <w:rPr>
          <w:lang w:val="fr-FR"/>
        </w:rPr>
        <w:t xml:space="preserve">de développement </w:t>
      </w:r>
      <w:r>
        <w:rPr>
          <w:lang w:val="fr-FR"/>
        </w:rPr>
        <w:t xml:space="preserve">ont été </w:t>
      </w:r>
      <w:r w:rsidRPr="00466CE7">
        <w:rPr>
          <w:lang w:val="fr-FR"/>
        </w:rPr>
        <w:t>positives et</w:t>
      </w:r>
      <w:r>
        <w:rPr>
          <w:lang w:val="fr-FR"/>
        </w:rPr>
        <w:t xml:space="preserve"> </w:t>
      </w:r>
      <w:r w:rsidRPr="00466CE7">
        <w:rPr>
          <w:lang w:val="fr-FR"/>
        </w:rPr>
        <w:t xml:space="preserve">le marché du travail </w:t>
      </w:r>
      <w:r>
        <w:rPr>
          <w:lang w:val="fr-FR"/>
        </w:rPr>
        <w:t>est donc resté</w:t>
      </w:r>
      <w:r w:rsidRPr="00466CE7">
        <w:rPr>
          <w:lang w:val="fr-FR"/>
        </w:rPr>
        <w:t xml:space="preserve"> stable.</w:t>
      </w:r>
    </w:p>
    <w:p w14:paraId="4FA093B0" w14:textId="77777777" w:rsidR="00CB4ECD" w:rsidRDefault="009C6834" w:rsidP="00CB4ECD">
      <w:pPr>
        <w:pStyle w:val="Titre1"/>
        <w:rPr>
          <w:lang w:val="fr-FR"/>
        </w:rPr>
      </w:pPr>
      <w:r>
        <w:rPr>
          <w:lang w:val="fr-FR"/>
        </w:rPr>
        <w:t>Tableau</w:t>
      </w:r>
      <w:r w:rsidRPr="008D70A5">
        <w:rPr>
          <w:lang w:val="fr-FR"/>
        </w:rPr>
        <w:t xml:space="preserve"> 1</w:t>
      </w:r>
    </w:p>
    <w:p w14:paraId="18BF6FAF" w14:textId="206B4E1E" w:rsidR="009C6834" w:rsidRPr="00CB4ECD" w:rsidRDefault="009C6834" w:rsidP="00CB4ECD">
      <w:pPr>
        <w:pStyle w:val="Titre1"/>
        <w:spacing w:after="120"/>
        <w:rPr>
          <w:b/>
          <w:bCs/>
          <w:lang w:val="fr-FR"/>
        </w:rPr>
      </w:pPr>
      <w:r w:rsidRPr="00CB4ECD">
        <w:rPr>
          <w:b/>
          <w:bCs/>
          <w:lang w:val="fr-FR"/>
        </w:rPr>
        <w:t xml:space="preserve">Évolution du taux d’emploi et du taux de chômage </w:t>
      </w:r>
    </w:p>
    <w:tbl>
      <w:tblPr>
        <w:tblW w:w="7370" w:type="dxa"/>
        <w:tblInd w:w="1134" w:type="dxa"/>
        <w:tblLayout w:type="fixed"/>
        <w:tblCellMar>
          <w:left w:w="0" w:type="dxa"/>
          <w:right w:w="0" w:type="dxa"/>
        </w:tblCellMar>
        <w:tblLook w:val="0400" w:firstRow="0" w:lastRow="0" w:firstColumn="0" w:lastColumn="0" w:noHBand="0" w:noVBand="1"/>
      </w:tblPr>
      <w:tblGrid>
        <w:gridCol w:w="1134"/>
        <w:gridCol w:w="709"/>
        <w:gridCol w:w="703"/>
        <w:gridCol w:w="804"/>
        <w:gridCol w:w="804"/>
        <w:gridCol w:w="804"/>
        <w:gridCol w:w="804"/>
        <w:gridCol w:w="804"/>
        <w:gridCol w:w="804"/>
      </w:tblGrid>
      <w:tr w:rsidR="009C6834" w:rsidRPr="002C42F4" w14:paraId="1A404515" w14:textId="77777777" w:rsidTr="002C42F4">
        <w:trPr>
          <w:tblHeader/>
        </w:trPr>
        <w:tc>
          <w:tcPr>
            <w:tcW w:w="1134" w:type="dxa"/>
            <w:tcBorders>
              <w:top w:val="single" w:sz="4" w:space="0" w:color="auto"/>
              <w:bottom w:val="single" w:sz="12" w:space="0" w:color="auto"/>
            </w:tcBorders>
            <w:shd w:val="clear" w:color="auto" w:fill="auto"/>
            <w:tcMar>
              <w:left w:w="28" w:type="dxa"/>
              <w:right w:w="28" w:type="dxa"/>
            </w:tcMar>
            <w:vAlign w:val="bottom"/>
          </w:tcPr>
          <w:p w14:paraId="032C3989" w14:textId="77777777" w:rsidR="009C6834" w:rsidRPr="002C42F4" w:rsidRDefault="009C6834" w:rsidP="002C42F4">
            <w:pPr>
              <w:suppressAutoHyphens w:val="0"/>
              <w:spacing w:before="80" w:after="80" w:line="200" w:lineRule="exact"/>
              <w:rPr>
                <w:i/>
                <w:sz w:val="16"/>
                <w:lang w:val="fr-FR"/>
              </w:rPr>
            </w:pPr>
          </w:p>
        </w:tc>
        <w:tc>
          <w:tcPr>
            <w:tcW w:w="709" w:type="dxa"/>
            <w:tcBorders>
              <w:top w:val="single" w:sz="4" w:space="0" w:color="auto"/>
              <w:bottom w:val="single" w:sz="12" w:space="0" w:color="auto"/>
            </w:tcBorders>
            <w:shd w:val="clear" w:color="auto" w:fill="auto"/>
            <w:tcMar>
              <w:left w:w="28" w:type="dxa"/>
              <w:right w:w="28" w:type="dxa"/>
            </w:tcMar>
            <w:vAlign w:val="bottom"/>
          </w:tcPr>
          <w:p w14:paraId="52A7EFA5"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2012</w:t>
            </w:r>
          </w:p>
        </w:tc>
        <w:tc>
          <w:tcPr>
            <w:tcW w:w="703" w:type="dxa"/>
            <w:tcBorders>
              <w:top w:val="single" w:sz="4" w:space="0" w:color="auto"/>
              <w:bottom w:val="single" w:sz="12" w:space="0" w:color="auto"/>
            </w:tcBorders>
            <w:shd w:val="clear" w:color="auto" w:fill="auto"/>
            <w:tcMar>
              <w:left w:w="28" w:type="dxa"/>
              <w:right w:w="28" w:type="dxa"/>
            </w:tcMar>
            <w:vAlign w:val="bottom"/>
          </w:tcPr>
          <w:p w14:paraId="0FA17399"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2013</w:t>
            </w:r>
          </w:p>
        </w:tc>
        <w:tc>
          <w:tcPr>
            <w:tcW w:w="804" w:type="dxa"/>
            <w:tcBorders>
              <w:top w:val="single" w:sz="4" w:space="0" w:color="auto"/>
              <w:bottom w:val="single" w:sz="12" w:space="0" w:color="auto"/>
            </w:tcBorders>
            <w:shd w:val="clear" w:color="auto" w:fill="auto"/>
            <w:tcMar>
              <w:left w:w="28" w:type="dxa"/>
              <w:right w:w="28" w:type="dxa"/>
            </w:tcMar>
            <w:vAlign w:val="bottom"/>
          </w:tcPr>
          <w:p w14:paraId="3FDC7937"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2014</w:t>
            </w:r>
          </w:p>
        </w:tc>
        <w:tc>
          <w:tcPr>
            <w:tcW w:w="804" w:type="dxa"/>
            <w:tcBorders>
              <w:top w:val="single" w:sz="4" w:space="0" w:color="auto"/>
              <w:bottom w:val="single" w:sz="12" w:space="0" w:color="auto"/>
            </w:tcBorders>
            <w:shd w:val="clear" w:color="auto" w:fill="auto"/>
            <w:tcMar>
              <w:left w:w="28" w:type="dxa"/>
              <w:right w:w="28" w:type="dxa"/>
            </w:tcMar>
            <w:vAlign w:val="bottom"/>
          </w:tcPr>
          <w:p w14:paraId="08231B82"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2015</w:t>
            </w:r>
          </w:p>
        </w:tc>
        <w:tc>
          <w:tcPr>
            <w:tcW w:w="804" w:type="dxa"/>
            <w:tcBorders>
              <w:top w:val="single" w:sz="4" w:space="0" w:color="auto"/>
              <w:bottom w:val="single" w:sz="12" w:space="0" w:color="auto"/>
            </w:tcBorders>
            <w:shd w:val="clear" w:color="auto" w:fill="auto"/>
            <w:tcMar>
              <w:left w:w="28" w:type="dxa"/>
              <w:right w:w="28" w:type="dxa"/>
            </w:tcMar>
            <w:vAlign w:val="bottom"/>
          </w:tcPr>
          <w:p w14:paraId="45E30C9D"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2016</w:t>
            </w:r>
          </w:p>
        </w:tc>
        <w:tc>
          <w:tcPr>
            <w:tcW w:w="804" w:type="dxa"/>
            <w:tcBorders>
              <w:top w:val="single" w:sz="4" w:space="0" w:color="auto"/>
              <w:bottom w:val="single" w:sz="12" w:space="0" w:color="auto"/>
            </w:tcBorders>
            <w:shd w:val="clear" w:color="auto" w:fill="auto"/>
            <w:tcMar>
              <w:left w:w="28" w:type="dxa"/>
              <w:right w:w="28" w:type="dxa"/>
            </w:tcMar>
            <w:vAlign w:val="bottom"/>
          </w:tcPr>
          <w:p w14:paraId="3267BA54"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2017</w:t>
            </w:r>
          </w:p>
        </w:tc>
        <w:tc>
          <w:tcPr>
            <w:tcW w:w="804" w:type="dxa"/>
            <w:tcBorders>
              <w:top w:val="single" w:sz="4" w:space="0" w:color="auto"/>
              <w:bottom w:val="single" w:sz="12" w:space="0" w:color="auto"/>
            </w:tcBorders>
            <w:shd w:val="clear" w:color="auto" w:fill="auto"/>
            <w:tcMar>
              <w:left w:w="28" w:type="dxa"/>
              <w:right w:w="28" w:type="dxa"/>
            </w:tcMar>
            <w:vAlign w:val="bottom"/>
          </w:tcPr>
          <w:p w14:paraId="5063F371"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2018</w:t>
            </w:r>
          </w:p>
        </w:tc>
        <w:tc>
          <w:tcPr>
            <w:tcW w:w="804" w:type="dxa"/>
            <w:tcBorders>
              <w:top w:val="single" w:sz="4" w:space="0" w:color="auto"/>
              <w:bottom w:val="single" w:sz="12" w:space="0" w:color="auto"/>
            </w:tcBorders>
            <w:shd w:val="clear" w:color="auto" w:fill="auto"/>
            <w:tcMar>
              <w:left w:w="28" w:type="dxa"/>
              <w:right w:w="28" w:type="dxa"/>
            </w:tcMar>
            <w:vAlign w:val="bottom"/>
          </w:tcPr>
          <w:p w14:paraId="257F2878" w14:textId="77777777" w:rsidR="009C6834" w:rsidRPr="002C42F4" w:rsidRDefault="009C6834" w:rsidP="002C42F4">
            <w:pPr>
              <w:suppressAutoHyphens w:val="0"/>
              <w:spacing w:before="80" w:after="80" w:line="200" w:lineRule="exact"/>
              <w:jc w:val="right"/>
              <w:rPr>
                <w:i/>
                <w:sz w:val="16"/>
                <w:lang w:val="fr-FR"/>
              </w:rPr>
            </w:pPr>
            <w:r w:rsidRPr="002C42F4">
              <w:rPr>
                <w:i/>
                <w:sz w:val="16"/>
                <w:lang w:val="fr-FR"/>
              </w:rPr>
              <w:t>2019</w:t>
            </w:r>
          </w:p>
        </w:tc>
      </w:tr>
      <w:tr w:rsidR="009C6834" w:rsidRPr="002C42F4" w14:paraId="4871FB5E" w14:textId="77777777" w:rsidTr="002C42F4">
        <w:tc>
          <w:tcPr>
            <w:tcW w:w="1134" w:type="dxa"/>
            <w:tcBorders>
              <w:top w:val="single" w:sz="12" w:space="0" w:color="auto"/>
            </w:tcBorders>
            <w:shd w:val="clear" w:color="auto" w:fill="auto"/>
            <w:tcMar>
              <w:left w:w="28" w:type="dxa"/>
              <w:right w:w="28" w:type="dxa"/>
            </w:tcMar>
          </w:tcPr>
          <w:p w14:paraId="2EA70707" w14:textId="77777777" w:rsidR="009C6834" w:rsidRPr="002C42F4" w:rsidRDefault="009C6834" w:rsidP="002C42F4">
            <w:pPr>
              <w:suppressAutoHyphens w:val="0"/>
              <w:spacing w:before="40" w:after="40" w:line="220" w:lineRule="exact"/>
              <w:rPr>
                <w:sz w:val="18"/>
                <w:lang w:val="fr-FR"/>
              </w:rPr>
            </w:pPr>
            <w:r w:rsidRPr="002C42F4">
              <w:rPr>
                <w:sz w:val="18"/>
                <w:lang w:val="fr-FR"/>
              </w:rPr>
              <w:t xml:space="preserve">Personnes ayant un emploi, en milliers </w:t>
            </w:r>
          </w:p>
        </w:tc>
        <w:tc>
          <w:tcPr>
            <w:tcW w:w="709" w:type="dxa"/>
            <w:tcBorders>
              <w:top w:val="single" w:sz="12" w:space="0" w:color="auto"/>
            </w:tcBorders>
            <w:shd w:val="clear" w:color="auto" w:fill="auto"/>
            <w:tcMar>
              <w:left w:w="28" w:type="dxa"/>
              <w:right w:w="28" w:type="dxa"/>
            </w:tcMar>
            <w:vAlign w:val="bottom"/>
          </w:tcPr>
          <w:p w14:paraId="58C56D8F" w14:textId="04FC9270"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286,4</w:t>
            </w:r>
          </w:p>
        </w:tc>
        <w:tc>
          <w:tcPr>
            <w:tcW w:w="703" w:type="dxa"/>
            <w:tcBorders>
              <w:top w:val="single" w:sz="12" w:space="0" w:color="auto"/>
            </w:tcBorders>
            <w:shd w:val="clear" w:color="auto" w:fill="auto"/>
            <w:tcMar>
              <w:left w:w="28" w:type="dxa"/>
              <w:right w:w="28" w:type="dxa"/>
            </w:tcMar>
            <w:vAlign w:val="bottom"/>
          </w:tcPr>
          <w:p w14:paraId="2908F4DF" w14:textId="688A73A7"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263,0</w:t>
            </w:r>
          </w:p>
        </w:tc>
        <w:tc>
          <w:tcPr>
            <w:tcW w:w="804" w:type="dxa"/>
            <w:tcBorders>
              <w:top w:val="single" w:sz="12" w:space="0" w:color="auto"/>
            </w:tcBorders>
            <w:shd w:val="clear" w:color="auto" w:fill="auto"/>
            <w:tcMar>
              <w:left w:w="28" w:type="dxa"/>
              <w:right w:w="28" w:type="dxa"/>
            </w:tcMar>
            <w:vAlign w:val="bottom"/>
          </w:tcPr>
          <w:p w14:paraId="57A6D465" w14:textId="2283CAE0"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302,7</w:t>
            </w:r>
          </w:p>
        </w:tc>
        <w:tc>
          <w:tcPr>
            <w:tcW w:w="804" w:type="dxa"/>
            <w:tcBorders>
              <w:top w:val="single" w:sz="12" w:space="0" w:color="auto"/>
            </w:tcBorders>
            <w:shd w:val="clear" w:color="auto" w:fill="auto"/>
            <w:tcMar>
              <w:left w:w="28" w:type="dxa"/>
              <w:right w:w="28" w:type="dxa"/>
            </w:tcMar>
            <w:vAlign w:val="bottom"/>
          </w:tcPr>
          <w:p w14:paraId="362F082D" w14:textId="350ABADC"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352,1</w:t>
            </w:r>
          </w:p>
        </w:tc>
        <w:tc>
          <w:tcPr>
            <w:tcW w:w="804" w:type="dxa"/>
            <w:tcBorders>
              <w:top w:val="single" w:sz="12" w:space="0" w:color="auto"/>
            </w:tcBorders>
            <w:shd w:val="clear" w:color="auto" w:fill="auto"/>
            <w:tcMar>
              <w:left w:w="28" w:type="dxa"/>
              <w:right w:w="28" w:type="dxa"/>
            </w:tcMar>
            <w:vAlign w:val="bottom"/>
          </w:tcPr>
          <w:p w14:paraId="455965E3" w14:textId="77AF4856"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363,7</w:t>
            </w:r>
          </w:p>
        </w:tc>
        <w:tc>
          <w:tcPr>
            <w:tcW w:w="804" w:type="dxa"/>
            <w:tcBorders>
              <w:top w:val="single" w:sz="12" w:space="0" w:color="auto"/>
            </w:tcBorders>
            <w:shd w:val="clear" w:color="auto" w:fill="auto"/>
            <w:tcMar>
              <w:left w:w="28" w:type="dxa"/>
              <w:right w:w="28" w:type="dxa"/>
            </w:tcMar>
            <w:vAlign w:val="bottom"/>
          </w:tcPr>
          <w:p w14:paraId="11A69082" w14:textId="1A76F0D9"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351,2</w:t>
            </w:r>
          </w:p>
        </w:tc>
        <w:tc>
          <w:tcPr>
            <w:tcW w:w="804" w:type="dxa"/>
            <w:tcBorders>
              <w:top w:val="single" w:sz="12" w:space="0" w:color="auto"/>
            </w:tcBorders>
            <w:shd w:val="clear" w:color="auto" w:fill="auto"/>
            <w:tcMar>
              <w:left w:w="28" w:type="dxa"/>
              <w:right w:w="28" w:type="dxa"/>
            </w:tcMar>
            <w:vAlign w:val="bottom"/>
          </w:tcPr>
          <w:p w14:paraId="3E0272F0" w14:textId="600273FF"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382,5</w:t>
            </w:r>
          </w:p>
        </w:tc>
        <w:tc>
          <w:tcPr>
            <w:tcW w:w="804" w:type="dxa"/>
            <w:tcBorders>
              <w:top w:val="single" w:sz="12" w:space="0" w:color="auto"/>
            </w:tcBorders>
            <w:shd w:val="clear" w:color="auto" w:fill="auto"/>
            <w:tcMar>
              <w:left w:w="28" w:type="dxa"/>
              <w:right w:w="28" w:type="dxa"/>
            </w:tcMar>
            <w:vAlign w:val="bottom"/>
          </w:tcPr>
          <w:p w14:paraId="7F00455D" w14:textId="5928DC32" w:rsidR="009C6834" w:rsidRPr="002C42F4" w:rsidRDefault="009C6834" w:rsidP="002C42F4">
            <w:pPr>
              <w:suppressAutoHyphens w:val="0"/>
              <w:spacing w:before="40" w:after="40" w:line="220" w:lineRule="exact"/>
              <w:jc w:val="right"/>
              <w:rPr>
                <w:sz w:val="18"/>
                <w:lang w:val="fr-FR"/>
              </w:rPr>
            </w:pPr>
            <w:r w:rsidRPr="002C42F4">
              <w:rPr>
                <w:sz w:val="18"/>
                <w:lang w:val="fr-FR"/>
              </w:rPr>
              <w:t>2</w:t>
            </w:r>
            <w:r w:rsidR="002C42F4">
              <w:rPr>
                <w:sz w:val="18"/>
                <w:lang w:val="fr-FR"/>
              </w:rPr>
              <w:t> </w:t>
            </w:r>
            <w:r w:rsidRPr="002C42F4">
              <w:rPr>
                <w:sz w:val="18"/>
                <w:lang w:val="fr-FR"/>
              </w:rPr>
              <w:t>442,7</w:t>
            </w:r>
          </w:p>
        </w:tc>
      </w:tr>
      <w:tr w:rsidR="009C6834" w:rsidRPr="002C42F4" w14:paraId="2DCC0FE9" w14:textId="77777777" w:rsidTr="002C42F4">
        <w:tc>
          <w:tcPr>
            <w:tcW w:w="1134" w:type="dxa"/>
            <w:shd w:val="clear" w:color="auto" w:fill="auto"/>
            <w:tcMar>
              <w:left w:w="28" w:type="dxa"/>
              <w:right w:w="28" w:type="dxa"/>
            </w:tcMar>
          </w:tcPr>
          <w:p w14:paraId="57C52548" w14:textId="6EF4344B" w:rsidR="009C6834" w:rsidRPr="002C42F4" w:rsidRDefault="009C6834" w:rsidP="002C42F4">
            <w:pPr>
              <w:suppressAutoHyphens w:val="0"/>
              <w:spacing w:before="40" w:after="40" w:line="220" w:lineRule="exact"/>
              <w:rPr>
                <w:sz w:val="18"/>
                <w:lang w:val="fr-FR"/>
              </w:rPr>
            </w:pPr>
            <w:r w:rsidRPr="002C42F4">
              <w:rPr>
                <w:sz w:val="18"/>
                <w:lang w:val="fr-FR"/>
              </w:rPr>
              <w:t xml:space="preserve">Taux d’emploi, </w:t>
            </w:r>
            <w:r w:rsidRPr="002C42F4">
              <w:rPr>
                <w:sz w:val="18"/>
                <w:lang w:val="fr-FR"/>
              </w:rPr>
              <w:br/>
              <w:t>en</w:t>
            </w:r>
            <w:r w:rsidR="00CB4ECD" w:rsidRPr="002C42F4">
              <w:rPr>
                <w:sz w:val="18"/>
                <w:lang w:val="fr-FR"/>
              </w:rPr>
              <w:t> %</w:t>
            </w:r>
          </w:p>
        </w:tc>
        <w:tc>
          <w:tcPr>
            <w:tcW w:w="709" w:type="dxa"/>
            <w:shd w:val="clear" w:color="auto" w:fill="auto"/>
            <w:tcMar>
              <w:left w:w="28" w:type="dxa"/>
              <w:right w:w="28" w:type="dxa"/>
            </w:tcMar>
            <w:vAlign w:val="bottom"/>
          </w:tcPr>
          <w:p w14:paraId="413416B8"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58,8</w:t>
            </w:r>
          </w:p>
        </w:tc>
        <w:tc>
          <w:tcPr>
            <w:tcW w:w="703" w:type="dxa"/>
            <w:shd w:val="clear" w:color="auto" w:fill="auto"/>
            <w:tcMar>
              <w:left w:w="28" w:type="dxa"/>
              <w:right w:w="28" w:type="dxa"/>
            </w:tcMar>
            <w:vAlign w:val="bottom"/>
          </w:tcPr>
          <w:p w14:paraId="06586957"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57,2</w:t>
            </w:r>
          </w:p>
        </w:tc>
        <w:tc>
          <w:tcPr>
            <w:tcW w:w="804" w:type="dxa"/>
            <w:shd w:val="clear" w:color="auto" w:fill="auto"/>
            <w:tcMar>
              <w:left w:w="28" w:type="dxa"/>
              <w:right w:w="28" w:type="dxa"/>
            </w:tcMar>
            <w:vAlign w:val="bottom"/>
          </w:tcPr>
          <w:p w14:paraId="08CDCF94"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57,3</w:t>
            </w:r>
          </w:p>
        </w:tc>
        <w:tc>
          <w:tcPr>
            <w:tcW w:w="804" w:type="dxa"/>
            <w:shd w:val="clear" w:color="auto" w:fill="auto"/>
            <w:tcMar>
              <w:left w:w="28" w:type="dxa"/>
              <w:right w:w="28" w:type="dxa"/>
            </w:tcMar>
            <w:vAlign w:val="bottom"/>
          </w:tcPr>
          <w:p w14:paraId="5AA1113E"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57,7</w:t>
            </w:r>
          </w:p>
        </w:tc>
        <w:tc>
          <w:tcPr>
            <w:tcW w:w="804" w:type="dxa"/>
            <w:shd w:val="clear" w:color="auto" w:fill="auto"/>
            <w:tcMar>
              <w:left w:w="28" w:type="dxa"/>
              <w:right w:w="28" w:type="dxa"/>
            </w:tcMar>
            <w:vAlign w:val="bottom"/>
          </w:tcPr>
          <w:p w14:paraId="701F655E"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57,1</w:t>
            </w:r>
          </w:p>
        </w:tc>
        <w:tc>
          <w:tcPr>
            <w:tcW w:w="804" w:type="dxa"/>
            <w:shd w:val="clear" w:color="auto" w:fill="auto"/>
            <w:tcMar>
              <w:left w:w="28" w:type="dxa"/>
              <w:right w:w="28" w:type="dxa"/>
            </w:tcMar>
            <w:vAlign w:val="bottom"/>
          </w:tcPr>
          <w:p w14:paraId="7F80ABEC"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55,9</w:t>
            </w:r>
          </w:p>
        </w:tc>
        <w:tc>
          <w:tcPr>
            <w:tcW w:w="804" w:type="dxa"/>
            <w:shd w:val="clear" w:color="auto" w:fill="auto"/>
            <w:tcMar>
              <w:left w:w="28" w:type="dxa"/>
              <w:right w:w="28" w:type="dxa"/>
            </w:tcMar>
            <w:vAlign w:val="bottom"/>
          </w:tcPr>
          <w:p w14:paraId="065088C7"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56,2</w:t>
            </w:r>
          </w:p>
        </w:tc>
        <w:tc>
          <w:tcPr>
            <w:tcW w:w="804" w:type="dxa"/>
            <w:shd w:val="clear" w:color="auto" w:fill="auto"/>
            <w:tcMar>
              <w:left w:w="28" w:type="dxa"/>
              <w:right w:w="28" w:type="dxa"/>
            </w:tcMar>
            <w:vAlign w:val="bottom"/>
          </w:tcPr>
          <w:p w14:paraId="5A9C0080"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57,0</w:t>
            </w:r>
          </w:p>
        </w:tc>
      </w:tr>
      <w:tr w:rsidR="009C6834" w:rsidRPr="002C42F4" w14:paraId="73C0099E" w14:textId="77777777" w:rsidTr="002C42F4">
        <w:tc>
          <w:tcPr>
            <w:tcW w:w="1134" w:type="dxa"/>
            <w:shd w:val="clear" w:color="auto" w:fill="auto"/>
            <w:tcMar>
              <w:left w:w="28" w:type="dxa"/>
              <w:right w:w="28" w:type="dxa"/>
            </w:tcMar>
          </w:tcPr>
          <w:p w14:paraId="088B1638" w14:textId="4F321701" w:rsidR="009C6834" w:rsidRPr="002C42F4" w:rsidRDefault="009C6834" w:rsidP="002C42F4">
            <w:pPr>
              <w:suppressAutoHyphens w:val="0"/>
              <w:spacing w:before="40" w:after="40" w:line="220" w:lineRule="exact"/>
              <w:rPr>
                <w:sz w:val="18"/>
                <w:lang w:val="fr-FR"/>
              </w:rPr>
            </w:pPr>
            <w:r w:rsidRPr="002C42F4">
              <w:rPr>
                <w:sz w:val="18"/>
                <w:lang w:val="fr-FR"/>
              </w:rPr>
              <w:t xml:space="preserve">Chômeurs, </w:t>
            </w:r>
            <w:r w:rsidR="002C42F4">
              <w:rPr>
                <w:sz w:val="18"/>
                <w:lang w:val="fr-FR"/>
              </w:rPr>
              <w:br/>
            </w:r>
            <w:r w:rsidRPr="002C42F4">
              <w:rPr>
                <w:sz w:val="18"/>
                <w:lang w:val="fr-FR"/>
              </w:rPr>
              <w:t xml:space="preserve">en milliers </w:t>
            </w:r>
          </w:p>
        </w:tc>
        <w:tc>
          <w:tcPr>
            <w:tcW w:w="709" w:type="dxa"/>
            <w:shd w:val="clear" w:color="auto" w:fill="auto"/>
            <w:tcMar>
              <w:left w:w="28" w:type="dxa"/>
              <w:right w:w="28" w:type="dxa"/>
            </w:tcMar>
            <w:vAlign w:val="bottom"/>
          </w:tcPr>
          <w:p w14:paraId="5AE01B23"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210,4</w:t>
            </w:r>
          </w:p>
        </w:tc>
        <w:tc>
          <w:tcPr>
            <w:tcW w:w="703" w:type="dxa"/>
            <w:shd w:val="clear" w:color="auto" w:fill="auto"/>
            <w:tcMar>
              <w:left w:w="28" w:type="dxa"/>
              <w:right w:w="28" w:type="dxa"/>
            </w:tcMar>
            <w:vAlign w:val="bottom"/>
          </w:tcPr>
          <w:p w14:paraId="627E01C7"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205,7</w:t>
            </w:r>
          </w:p>
        </w:tc>
        <w:tc>
          <w:tcPr>
            <w:tcW w:w="804" w:type="dxa"/>
            <w:shd w:val="clear" w:color="auto" w:fill="auto"/>
            <w:tcMar>
              <w:left w:w="28" w:type="dxa"/>
              <w:right w:w="28" w:type="dxa"/>
            </w:tcMar>
            <w:vAlign w:val="bottom"/>
          </w:tcPr>
          <w:p w14:paraId="171716FF"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201,5</w:t>
            </w:r>
          </w:p>
        </w:tc>
        <w:tc>
          <w:tcPr>
            <w:tcW w:w="804" w:type="dxa"/>
            <w:shd w:val="clear" w:color="auto" w:fill="auto"/>
            <w:tcMar>
              <w:left w:w="28" w:type="dxa"/>
              <w:right w:w="28" w:type="dxa"/>
            </w:tcMar>
            <w:vAlign w:val="bottom"/>
          </w:tcPr>
          <w:p w14:paraId="6BD9F719"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192,2</w:t>
            </w:r>
          </w:p>
        </w:tc>
        <w:tc>
          <w:tcPr>
            <w:tcW w:w="804" w:type="dxa"/>
            <w:shd w:val="clear" w:color="auto" w:fill="auto"/>
            <w:tcMar>
              <w:left w:w="28" w:type="dxa"/>
              <w:right w:w="28" w:type="dxa"/>
            </w:tcMar>
            <w:vAlign w:val="bottom"/>
          </w:tcPr>
          <w:p w14:paraId="23E95858"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183,7</w:t>
            </w:r>
          </w:p>
        </w:tc>
        <w:tc>
          <w:tcPr>
            <w:tcW w:w="804" w:type="dxa"/>
            <w:shd w:val="clear" w:color="auto" w:fill="auto"/>
            <w:tcMar>
              <w:left w:w="28" w:type="dxa"/>
              <w:right w:w="28" w:type="dxa"/>
            </w:tcMar>
            <w:vAlign w:val="bottom"/>
          </w:tcPr>
          <w:p w14:paraId="49EEEEED"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174,0</w:t>
            </w:r>
          </w:p>
        </w:tc>
        <w:tc>
          <w:tcPr>
            <w:tcW w:w="804" w:type="dxa"/>
            <w:shd w:val="clear" w:color="auto" w:fill="auto"/>
            <w:tcMar>
              <w:left w:w="28" w:type="dxa"/>
              <w:right w:w="28" w:type="dxa"/>
            </w:tcMar>
            <w:vAlign w:val="bottom"/>
          </w:tcPr>
          <w:p w14:paraId="6E50D475"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156,3</w:t>
            </w:r>
          </w:p>
        </w:tc>
        <w:tc>
          <w:tcPr>
            <w:tcW w:w="804" w:type="dxa"/>
            <w:shd w:val="clear" w:color="auto" w:fill="auto"/>
            <w:tcMar>
              <w:left w:w="28" w:type="dxa"/>
              <w:right w:w="28" w:type="dxa"/>
            </w:tcMar>
            <w:vAlign w:val="bottom"/>
          </w:tcPr>
          <w:p w14:paraId="2DF38EF5"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140,9</w:t>
            </w:r>
          </w:p>
        </w:tc>
      </w:tr>
      <w:tr w:rsidR="009C6834" w:rsidRPr="002C42F4" w14:paraId="7B58A908" w14:textId="77777777" w:rsidTr="002C42F4">
        <w:tc>
          <w:tcPr>
            <w:tcW w:w="1134" w:type="dxa"/>
            <w:tcBorders>
              <w:bottom w:val="single" w:sz="12" w:space="0" w:color="auto"/>
            </w:tcBorders>
            <w:shd w:val="clear" w:color="auto" w:fill="auto"/>
            <w:tcMar>
              <w:left w:w="28" w:type="dxa"/>
              <w:right w:w="28" w:type="dxa"/>
            </w:tcMar>
          </w:tcPr>
          <w:p w14:paraId="293DF094" w14:textId="3C15F8D3" w:rsidR="009C6834" w:rsidRPr="002C42F4" w:rsidRDefault="009C6834" w:rsidP="002C42F4">
            <w:pPr>
              <w:suppressAutoHyphens w:val="0"/>
              <w:spacing w:before="40" w:after="40" w:line="220" w:lineRule="exact"/>
              <w:rPr>
                <w:sz w:val="18"/>
                <w:lang w:val="fr-FR"/>
              </w:rPr>
            </w:pPr>
            <w:r w:rsidRPr="002C42F4">
              <w:rPr>
                <w:sz w:val="18"/>
                <w:lang w:val="fr-FR"/>
              </w:rPr>
              <w:t>Taux de chômage, en</w:t>
            </w:r>
            <w:r w:rsidR="00CB4ECD" w:rsidRPr="002C42F4">
              <w:rPr>
                <w:sz w:val="18"/>
                <w:lang w:val="fr-FR"/>
              </w:rPr>
              <w:t> %</w:t>
            </w:r>
          </w:p>
        </w:tc>
        <w:tc>
          <w:tcPr>
            <w:tcW w:w="709" w:type="dxa"/>
            <w:tcBorders>
              <w:bottom w:val="single" w:sz="12" w:space="0" w:color="auto"/>
            </w:tcBorders>
            <w:shd w:val="clear" w:color="auto" w:fill="auto"/>
            <w:tcMar>
              <w:left w:w="28" w:type="dxa"/>
              <w:right w:w="28" w:type="dxa"/>
            </w:tcMar>
            <w:vAlign w:val="bottom"/>
          </w:tcPr>
          <w:p w14:paraId="4843331C"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8,4</w:t>
            </w:r>
          </w:p>
        </w:tc>
        <w:tc>
          <w:tcPr>
            <w:tcW w:w="703" w:type="dxa"/>
            <w:tcBorders>
              <w:bottom w:val="single" w:sz="12" w:space="0" w:color="auto"/>
            </w:tcBorders>
            <w:shd w:val="clear" w:color="auto" w:fill="auto"/>
            <w:tcMar>
              <w:left w:w="28" w:type="dxa"/>
              <w:right w:w="28" w:type="dxa"/>
            </w:tcMar>
            <w:vAlign w:val="bottom"/>
          </w:tcPr>
          <w:p w14:paraId="550C8EBD"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8,3</w:t>
            </w:r>
          </w:p>
        </w:tc>
        <w:tc>
          <w:tcPr>
            <w:tcW w:w="804" w:type="dxa"/>
            <w:tcBorders>
              <w:bottom w:val="single" w:sz="12" w:space="0" w:color="auto"/>
            </w:tcBorders>
            <w:shd w:val="clear" w:color="auto" w:fill="auto"/>
            <w:tcMar>
              <w:left w:w="28" w:type="dxa"/>
              <w:right w:w="28" w:type="dxa"/>
            </w:tcMar>
            <w:vAlign w:val="bottom"/>
          </w:tcPr>
          <w:p w14:paraId="5DCCD322"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8,0</w:t>
            </w:r>
          </w:p>
        </w:tc>
        <w:tc>
          <w:tcPr>
            <w:tcW w:w="804" w:type="dxa"/>
            <w:tcBorders>
              <w:bottom w:val="single" w:sz="12" w:space="0" w:color="auto"/>
            </w:tcBorders>
            <w:shd w:val="clear" w:color="auto" w:fill="auto"/>
            <w:tcMar>
              <w:left w:w="28" w:type="dxa"/>
              <w:right w:w="28" w:type="dxa"/>
            </w:tcMar>
            <w:vAlign w:val="bottom"/>
          </w:tcPr>
          <w:p w14:paraId="15CC9D77"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7,6</w:t>
            </w:r>
          </w:p>
        </w:tc>
        <w:tc>
          <w:tcPr>
            <w:tcW w:w="804" w:type="dxa"/>
            <w:tcBorders>
              <w:bottom w:val="single" w:sz="12" w:space="0" w:color="auto"/>
            </w:tcBorders>
            <w:shd w:val="clear" w:color="auto" w:fill="auto"/>
            <w:tcMar>
              <w:left w:w="28" w:type="dxa"/>
              <w:right w:w="28" w:type="dxa"/>
            </w:tcMar>
            <w:vAlign w:val="bottom"/>
          </w:tcPr>
          <w:p w14:paraId="65C19719"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7,2</w:t>
            </w:r>
          </w:p>
        </w:tc>
        <w:tc>
          <w:tcPr>
            <w:tcW w:w="804" w:type="dxa"/>
            <w:tcBorders>
              <w:bottom w:val="single" w:sz="12" w:space="0" w:color="auto"/>
            </w:tcBorders>
            <w:shd w:val="clear" w:color="auto" w:fill="auto"/>
            <w:tcMar>
              <w:left w:w="28" w:type="dxa"/>
              <w:right w:w="28" w:type="dxa"/>
            </w:tcMar>
            <w:vAlign w:val="bottom"/>
          </w:tcPr>
          <w:p w14:paraId="4ECE951D"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6,9</w:t>
            </w:r>
          </w:p>
        </w:tc>
        <w:tc>
          <w:tcPr>
            <w:tcW w:w="804" w:type="dxa"/>
            <w:tcBorders>
              <w:bottom w:val="single" w:sz="12" w:space="0" w:color="auto"/>
            </w:tcBorders>
            <w:shd w:val="clear" w:color="auto" w:fill="auto"/>
            <w:tcMar>
              <w:left w:w="28" w:type="dxa"/>
              <w:right w:w="28" w:type="dxa"/>
            </w:tcMar>
            <w:vAlign w:val="bottom"/>
          </w:tcPr>
          <w:p w14:paraId="663B5D1D"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6,2</w:t>
            </w:r>
          </w:p>
        </w:tc>
        <w:tc>
          <w:tcPr>
            <w:tcW w:w="804" w:type="dxa"/>
            <w:tcBorders>
              <w:bottom w:val="single" w:sz="12" w:space="0" w:color="auto"/>
            </w:tcBorders>
            <w:shd w:val="clear" w:color="auto" w:fill="auto"/>
            <w:tcMar>
              <w:left w:w="28" w:type="dxa"/>
              <w:right w:w="28" w:type="dxa"/>
            </w:tcMar>
            <w:vAlign w:val="bottom"/>
          </w:tcPr>
          <w:p w14:paraId="0E700ABD" w14:textId="77777777" w:rsidR="009C6834" w:rsidRPr="002C42F4" w:rsidRDefault="009C6834" w:rsidP="002C42F4">
            <w:pPr>
              <w:suppressAutoHyphens w:val="0"/>
              <w:spacing w:before="40" w:after="40" w:line="220" w:lineRule="exact"/>
              <w:jc w:val="right"/>
              <w:rPr>
                <w:sz w:val="18"/>
                <w:lang w:val="fr-FR"/>
              </w:rPr>
            </w:pPr>
            <w:r w:rsidRPr="002C42F4">
              <w:rPr>
                <w:sz w:val="18"/>
                <w:lang w:val="fr-FR"/>
              </w:rPr>
              <w:t>5,5</w:t>
            </w:r>
          </w:p>
        </w:tc>
      </w:tr>
    </w:tbl>
    <w:p w14:paraId="6EFC5E31" w14:textId="77777777" w:rsidR="009C6834" w:rsidRPr="00466CE7" w:rsidRDefault="009C6834" w:rsidP="00905EC8">
      <w:pPr>
        <w:pStyle w:val="SingleTxtG"/>
        <w:keepNext/>
        <w:keepLines/>
        <w:spacing w:before="240"/>
        <w:rPr>
          <w:lang w:val="fr-FR"/>
        </w:rPr>
      </w:pPr>
      <w:r w:rsidRPr="00466CE7">
        <w:rPr>
          <w:lang w:val="fr-FR"/>
        </w:rPr>
        <w:lastRenderedPageBreak/>
        <w:t>76.</w:t>
      </w:r>
      <w:r w:rsidRPr="00466CE7">
        <w:rPr>
          <w:lang w:val="fr-FR"/>
        </w:rPr>
        <w:tab/>
        <w:t xml:space="preserve">La politique </w:t>
      </w:r>
      <w:r>
        <w:rPr>
          <w:lang w:val="fr-FR"/>
        </w:rPr>
        <w:t xml:space="preserve">publique pour </w:t>
      </w:r>
      <w:r w:rsidRPr="00466CE7">
        <w:rPr>
          <w:lang w:val="fr-FR"/>
        </w:rPr>
        <w:t>l</w:t>
      </w:r>
      <w:r>
        <w:rPr>
          <w:lang w:val="fr-FR"/>
        </w:rPr>
        <w:t>’</w:t>
      </w:r>
      <w:r w:rsidRPr="00466CE7">
        <w:rPr>
          <w:lang w:val="fr-FR"/>
        </w:rPr>
        <w:t xml:space="preserve">emploi a été mise en œuvre conformément à la loi </w:t>
      </w:r>
      <w:r>
        <w:rPr>
          <w:lang w:val="fr-FR"/>
        </w:rPr>
        <w:t xml:space="preserve">relative à </w:t>
      </w:r>
      <w:r w:rsidRPr="00466CE7">
        <w:rPr>
          <w:lang w:val="fr-FR"/>
        </w:rPr>
        <w:t>la promotio</w:t>
      </w:r>
      <w:r>
        <w:rPr>
          <w:lang w:val="fr-FR"/>
        </w:rPr>
        <w:t xml:space="preserve">n de l’emploi de la population </w:t>
      </w:r>
      <w:r w:rsidRPr="00466CE7">
        <w:rPr>
          <w:lang w:val="fr-FR"/>
        </w:rPr>
        <w:t xml:space="preserve">dans le cadre des </w:t>
      </w:r>
      <w:r>
        <w:rPr>
          <w:lang w:val="fr-FR"/>
        </w:rPr>
        <w:t>programmes applicables</w:t>
      </w:r>
      <w:r w:rsidRPr="00466CE7">
        <w:rPr>
          <w:lang w:val="fr-FR"/>
        </w:rPr>
        <w:t>, qui prévoient des mesures active</w:t>
      </w:r>
      <w:r>
        <w:rPr>
          <w:lang w:val="fr-FR"/>
        </w:rPr>
        <w:t>s en faveur</w:t>
      </w:r>
      <w:r w:rsidRPr="00466CE7">
        <w:rPr>
          <w:lang w:val="fr-FR"/>
        </w:rPr>
        <w:t xml:space="preserve"> de l</w:t>
      </w:r>
      <w:r>
        <w:rPr>
          <w:lang w:val="fr-FR"/>
        </w:rPr>
        <w:t>’</w:t>
      </w:r>
      <w:r w:rsidRPr="00466CE7">
        <w:rPr>
          <w:lang w:val="fr-FR"/>
        </w:rPr>
        <w:t>emploi et des mesures supplémentaires visant à réduire les tensions sur le marché</w:t>
      </w:r>
      <w:r>
        <w:rPr>
          <w:lang w:val="fr-FR"/>
        </w:rPr>
        <w:t xml:space="preserve"> du travail</w:t>
      </w:r>
      <w:r w:rsidRPr="00466CE7">
        <w:rPr>
          <w:lang w:val="fr-FR"/>
        </w:rPr>
        <w:t>.</w:t>
      </w:r>
    </w:p>
    <w:p w14:paraId="62B65E75" w14:textId="2368E736" w:rsidR="009C6834" w:rsidRPr="00466CE7" w:rsidRDefault="009C6834" w:rsidP="009C6834">
      <w:pPr>
        <w:pStyle w:val="SingleTxtG"/>
        <w:rPr>
          <w:lang w:val="fr-FR"/>
        </w:rPr>
      </w:pPr>
      <w:r w:rsidRPr="00466CE7">
        <w:rPr>
          <w:lang w:val="fr-FR"/>
        </w:rPr>
        <w:t>77.</w:t>
      </w:r>
      <w:r w:rsidRPr="00466CE7">
        <w:rPr>
          <w:lang w:val="fr-FR"/>
        </w:rPr>
        <w:tab/>
      </w:r>
      <w:r>
        <w:rPr>
          <w:lang w:val="fr-FR"/>
        </w:rPr>
        <w:t>Au cours de</w:t>
      </w:r>
      <w:r w:rsidRPr="00466CE7">
        <w:rPr>
          <w:lang w:val="fr-FR"/>
        </w:rPr>
        <w:t xml:space="preserve"> la période 2012-2019, plus de 300</w:t>
      </w:r>
      <w:r w:rsidR="002C42F4">
        <w:rPr>
          <w:lang w:val="fr-FR"/>
        </w:rPr>
        <w:t> </w:t>
      </w:r>
      <w:r w:rsidRPr="00466CE7">
        <w:rPr>
          <w:lang w:val="fr-FR"/>
        </w:rPr>
        <w:t>000</w:t>
      </w:r>
      <w:r w:rsidR="002C42F4">
        <w:rPr>
          <w:lang w:val="fr-FR"/>
        </w:rPr>
        <w:t> </w:t>
      </w:r>
      <w:r w:rsidRPr="00466CE7">
        <w:rPr>
          <w:lang w:val="fr-FR"/>
        </w:rPr>
        <w:t xml:space="preserve">personnes ont trouvé un emploi </w:t>
      </w:r>
      <w:r>
        <w:rPr>
          <w:lang w:val="fr-FR"/>
        </w:rPr>
        <w:t>par l’intermédiaire des services de placement</w:t>
      </w:r>
      <w:r w:rsidRPr="00466CE7">
        <w:rPr>
          <w:lang w:val="fr-FR"/>
        </w:rPr>
        <w:t>.</w:t>
      </w:r>
    </w:p>
    <w:p w14:paraId="095294A3" w14:textId="77777777" w:rsidR="009C6834" w:rsidRPr="00466CE7" w:rsidRDefault="009C6834" w:rsidP="009C6834">
      <w:pPr>
        <w:pStyle w:val="SingleTxtG"/>
        <w:rPr>
          <w:lang w:val="fr-FR"/>
        </w:rPr>
      </w:pPr>
      <w:r w:rsidRPr="00466CE7">
        <w:rPr>
          <w:lang w:val="fr-FR"/>
        </w:rPr>
        <w:t>78.</w:t>
      </w:r>
      <w:r w:rsidRPr="00466CE7">
        <w:rPr>
          <w:lang w:val="fr-FR"/>
        </w:rPr>
        <w:tab/>
        <w:t>Compte tenu de la pénurie de</w:t>
      </w:r>
      <w:r>
        <w:rPr>
          <w:lang w:val="fr-FR"/>
        </w:rPr>
        <w:t xml:space="preserve"> main-d’œuvre</w:t>
      </w:r>
      <w:r w:rsidRPr="00466CE7">
        <w:rPr>
          <w:lang w:val="fr-FR"/>
        </w:rPr>
        <w:t xml:space="preserve">, la formation des </w:t>
      </w:r>
      <w:r>
        <w:rPr>
          <w:lang w:val="fr-FR"/>
        </w:rPr>
        <w:t xml:space="preserve">personnes </w:t>
      </w:r>
      <w:r w:rsidRPr="00466CE7">
        <w:rPr>
          <w:lang w:val="fr-FR"/>
        </w:rPr>
        <w:t xml:space="preserve">sans emploi </w:t>
      </w:r>
      <w:r>
        <w:rPr>
          <w:lang w:val="fr-FR"/>
        </w:rPr>
        <w:t xml:space="preserve">aux </w:t>
      </w:r>
      <w:r w:rsidRPr="00466CE7">
        <w:rPr>
          <w:lang w:val="fr-FR"/>
        </w:rPr>
        <w:t>professions recherchées sur le marché du travail est une priorité.</w:t>
      </w:r>
    </w:p>
    <w:p w14:paraId="401CD46E" w14:textId="0DF4C065" w:rsidR="009C6834" w:rsidRPr="00466CE7" w:rsidRDefault="009C6834" w:rsidP="009C6834">
      <w:pPr>
        <w:pStyle w:val="SingleTxtG"/>
        <w:rPr>
          <w:lang w:val="fr-FR"/>
        </w:rPr>
      </w:pPr>
      <w:r w:rsidRPr="00466CE7">
        <w:rPr>
          <w:lang w:val="fr-FR"/>
        </w:rPr>
        <w:t>79.</w:t>
      </w:r>
      <w:r w:rsidRPr="00466CE7">
        <w:rPr>
          <w:lang w:val="fr-FR"/>
        </w:rPr>
        <w:tab/>
      </w:r>
      <w:r>
        <w:rPr>
          <w:lang w:val="fr-FR"/>
        </w:rPr>
        <w:t xml:space="preserve">Au cours de la période 2012-2019, </w:t>
      </w:r>
      <w:r w:rsidRPr="00466CE7">
        <w:rPr>
          <w:lang w:val="fr-FR"/>
        </w:rPr>
        <w:t>60</w:t>
      </w:r>
      <w:r w:rsidR="002C42F4">
        <w:rPr>
          <w:lang w:val="fr-FR"/>
        </w:rPr>
        <w:t> </w:t>
      </w:r>
      <w:r w:rsidRPr="00466CE7">
        <w:rPr>
          <w:lang w:val="fr-FR"/>
        </w:rPr>
        <w:t>300</w:t>
      </w:r>
      <w:r w:rsidR="002C42F4">
        <w:rPr>
          <w:lang w:val="fr-FR"/>
        </w:rPr>
        <w:t> </w:t>
      </w:r>
      <w:r w:rsidRPr="00466CE7">
        <w:rPr>
          <w:lang w:val="fr-FR"/>
        </w:rPr>
        <w:t xml:space="preserve">chômeurs </w:t>
      </w:r>
      <w:r>
        <w:rPr>
          <w:lang w:val="fr-FR"/>
        </w:rPr>
        <w:t xml:space="preserve">ont suivi </w:t>
      </w:r>
      <w:r w:rsidRPr="00466CE7">
        <w:rPr>
          <w:lang w:val="fr-FR"/>
        </w:rPr>
        <w:t>une formation professionnelle.</w:t>
      </w:r>
    </w:p>
    <w:p w14:paraId="2D0E680A" w14:textId="62C53B61" w:rsidR="009C6834" w:rsidRDefault="009C6834" w:rsidP="009C6834">
      <w:pPr>
        <w:pStyle w:val="SingleTxtG"/>
        <w:rPr>
          <w:lang w:val="fr-FR"/>
        </w:rPr>
      </w:pPr>
      <w:r w:rsidRPr="00466CE7">
        <w:rPr>
          <w:lang w:val="fr-FR"/>
        </w:rPr>
        <w:t>80.</w:t>
      </w:r>
      <w:r w:rsidRPr="00466CE7">
        <w:rPr>
          <w:lang w:val="fr-FR"/>
        </w:rPr>
        <w:tab/>
      </w:r>
      <w:r>
        <w:rPr>
          <w:lang w:val="fr-FR"/>
        </w:rPr>
        <w:t xml:space="preserve">L’une des </w:t>
      </w:r>
      <w:r w:rsidRPr="00466CE7">
        <w:rPr>
          <w:lang w:val="fr-FR"/>
        </w:rPr>
        <w:t>mesure</w:t>
      </w:r>
      <w:r>
        <w:rPr>
          <w:lang w:val="fr-FR"/>
        </w:rPr>
        <w:t>s de la politique</w:t>
      </w:r>
      <w:r w:rsidRPr="00466CE7">
        <w:rPr>
          <w:lang w:val="fr-FR"/>
        </w:rPr>
        <w:t xml:space="preserve"> active</w:t>
      </w:r>
      <w:r>
        <w:rPr>
          <w:lang w:val="fr-FR"/>
        </w:rPr>
        <w:t xml:space="preserve"> en faveur</w:t>
      </w:r>
      <w:r w:rsidRPr="00466CE7">
        <w:rPr>
          <w:lang w:val="fr-FR"/>
        </w:rPr>
        <w:t xml:space="preserve"> de l</w:t>
      </w:r>
      <w:r>
        <w:rPr>
          <w:lang w:val="fr-FR"/>
        </w:rPr>
        <w:t>’</w:t>
      </w:r>
      <w:r w:rsidRPr="00466CE7">
        <w:rPr>
          <w:lang w:val="fr-FR"/>
        </w:rPr>
        <w:t xml:space="preserve">emploi est </w:t>
      </w:r>
      <w:r>
        <w:rPr>
          <w:lang w:val="fr-FR"/>
        </w:rPr>
        <w:t xml:space="preserve">la mise en place de travaux publics </w:t>
      </w:r>
      <w:r w:rsidRPr="00466CE7">
        <w:rPr>
          <w:lang w:val="fr-FR"/>
        </w:rPr>
        <w:t>rémunéré</w:t>
      </w:r>
      <w:r>
        <w:rPr>
          <w:lang w:val="fr-FR"/>
        </w:rPr>
        <w:t>s</w:t>
      </w:r>
      <w:r w:rsidRPr="00466CE7">
        <w:rPr>
          <w:lang w:val="fr-FR"/>
        </w:rPr>
        <w:t>.</w:t>
      </w:r>
      <w:r>
        <w:rPr>
          <w:lang w:val="fr-FR"/>
        </w:rPr>
        <w:t xml:space="preserve"> E</w:t>
      </w:r>
      <w:r w:rsidRPr="00466CE7">
        <w:rPr>
          <w:lang w:val="fr-FR"/>
        </w:rPr>
        <w:t>ntre 2012 et 2019</w:t>
      </w:r>
      <w:r>
        <w:rPr>
          <w:lang w:val="fr-FR"/>
        </w:rPr>
        <w:t xml:space="preserve">, </w:t>
      </w:r>
      <w:r w:rsidRPr="00466CE7">
        <w:rPr>
          <w:lang w:val="fr-FR"/>
        </w:rPr>
        <w:t xml:space="preserve">les services de </w:t>
      </w:r>
      <w:r>
        <w:rPr>
          <w:lang w:val="fr-FR"/>
        </w:rPr>
        <w:t>placement</w:t>
      </w:r>
      <w:r w:rsidRPr="00466CE7">
        <w:rPr>
          <w:lang w:val="fr-FR"/>
        </w:rPr>
        <w:t xml:space="preserve"> ont </w:t>
      </w:r>
      <w:r>
        <w:rPr>
          <w:lang w:val="fr-FR"/>
        </w:rPr>
        <w:t>admis 167</w:t>
      </w:r>
      <w:r w:rsidR="002C42F4">
        <w:rPr>
          <w:lang w:val="fr-FR"/>
        </w:rPr>
        <w:t> </w:t>
      </w:r>
      <w:r w:rsidRPr="00466CE7">
        <w:rPr>
          <w:lang w:val="fr-FR"/>
        </w:rPr>
        <w:t>400</w:t>
      </w:r>
      <w:r w:rsidR="002C42F4">
        <w:rPr>
          <w:lang w:val="fr-FR"/>
        </w:rPr>
        <w:t> </w:t>
      </w:r>
      <w:r w:rsidRPr="00466CE7">
        <w:rPr>
          <w:lang w:val="fr-FR"/>
        </w:rPr>
        <w:t xml:space="preserve">personnes </w:t>
      </w:r>
      <w:r>
        <w:rPr>
          <w:lang w:val="fr-FR"/>
        </w:rPr>
        <w:t xml:space="preserve">à des programmes de </w:t>
      </w:r>
      <w:r w:rsidRPr="00466CE7">
        <w:rPr>
          <w:lang w:val="fr-FR"/>
        </w:rPr>
        <w:t>travaux publics rémunérés</w:t>
      </w:r>
      <w:r>
        <w:rPr>
          <w:lang w:val="fr-FR"/>
        </w:rPr>
        <w:t xml:space="preserve">, offrant ainsi </w:t>
      </w:r>
      <w:r w:rsidRPr="00466CE7">
        <w:rPr>
          <w:lang w:val="fr-FR"/>
        </w:rPr>
        <w:t xml:space="preserve">un emploi temporaire </w:t>
      </w:r>
      <w:r>
        <w:rPr>
          <w:lang w:val="fr-FR"/>
        </w:rPr>
        <w:t xml:space="preserve">à des </w:t>
      </w:r>
      <w:r w:rsidRPr="00466CE7">
        <w:rPr>
          <w:lang w:val="fr-FR"/>
        </w:rPr>
        <w:t>chômeurs de longue durée. Le</w:t>
      </w:r>
      <w:r>
        <w:rPr>
          <w:lang w:val="fr-FR"/>
        </w:rPr>
        <w:t>s</w:t>
      </w:r>
      <w:r w:rsidRPr="00466CE7">
        <w:rPr>
          <w:lang w:val="fr-FR"/>
        </w:rPr>
        <w:t xml:space="preserve"> trava</w:t>
      </w:r>
      <w:r>
        <w:rPr>
          <w:lang w:val="fr-FR"/>
        </w:rPr>
        <w:t>ux</w:t>
      </w:r>
      <w:r w:rsidRPr="00466CE7">
        <w:rPr>
          <w:lang w:val="fr-FR"/>
        </w:rPr>
        <w:t xml:space="preserve"> public</w:t>
      </w:r>
      <w:r>
        <w:rPr>
          <w:lang w:val="fr-FR"/>
        </w:rPr>
        <w:t>s</w:t>
      </w:r>
      <w:r w:rsidRPr="00466CE7">
        <w:rPr>
          <w:lang w:val="fr-FR"/>
        </w:rPr>
        <w:t xml:space="preserve"> rémunéré</w:t>
      </w:r>
      <w:r>
        <w:rPr>
          <w:lang w:val="fr-FR"/>
        </w:rPr>
        <w:t>s</w:t>
      </w:r>
      <w:r w:rsidRPr="00466CE7">
        <w:rPr>
          <w:lang w:val="fr-FR"/>
        </w:rPr>
        <w:t xml:space="preserve"> </w:t>
      </w:r>
      <w:r>
        <w:rPr>
          <w:lang w:val="fr-FR"/>
        </w:rPr>
        <w:t xml:space="preserve">visent </w:t>
      </w:r>
      <w:r w:rsidRPr="00466CE7">
        <w:rPr>
          <w:lang w:val="fr-FR"/>
        </w:rPr>
        <w:t xml:space="preserve">principalement </w:t>
      </w:r>
      <w:r>
        <w:rPr>
          <w:lang w:val="fr-FR"/>
        </w:rPr>
        <w:t xml:space="preserve">à </w:t>
      </w:r>
      <w:r w:rsidRPr="00466CE7">
        <w:rPr>
          <w:lang w:val="fr-FR"/>
        </w:rPr>
        <w:t xml:space="preserve">améliorer </w:t>
      </w:r>
      <w:r>
        <w:rPr>
          <w:lang w:val="fr-FR"/>
        </w:rPr>
        <w:t xml:space="preserve">les </w:t>
      </w:r>
      <w:r w:rsidRPr="00466CE7">
        <w:rPr>
          <w:lang w:val="fr-FR"/>
        </w:rPr>
        <w:t>infrastructure</w:t>
      </w:r>
      <w:r>
        <w:rPr>
          <w:lang w:val="fr-FR"/>
        </w:rPr>
        <w:t>s</w:t>
      </w:r>
      <w:r w:rsidRPr="00466CE7">
        <w:rPr>
          <w:lang w:val="fr-FR"/>
        </w:rPr>
        <w:t xml:space="preserve"> sociale</w:t>
      </w:r>
      <w:r>
        <w:rPr>
          <w:lang w:val="fr-FR"/>
        </w:rPr>
        <w:t>s</w:t>
      </w:r>
      <w:r w:rsidRPr="00466CE7">
        <w:rPr>
          <w:lang w:val="fr-FR"/>
        </w:rPr>
        <w:t xml:space="preserve"> dans les régions.</w:t>
      </w:r>
    </w:p>
    <w:p w14:paraId="1CBA0693" w14:textId="77777777" w:rsidR="009C6834" w:rsidRPr="00466CE7" w:rsidRDefault="009C6834" w:rsidP="009C6834">
      <w:pPr>
        <w:pStyle w:val="SingleTxtG"/>
        <w:rPr>
          <w:lang w:val="fr-FR"/>
        </w:rPr>
      </w:pPr>
      <w:r w:rsidRPr="00466CE7">
        <w:rPr>
          <w:lang w:val="fr-FR"/>
        </w:rPr>
        <w:t>81.</w:t>
      </w:r>
      <w:r w:rsidRPr="00466CE7">
        <w:rPr>
          <w:lang w:val="fr-FR"/>
        </w:rPr>
        <w:tab/>
      </w:r>
      <w:r>
        <w:rPr>
          <w:lang w:val="fr-FR"/>
        </w:rPr>
        <w:t xml:space="preserve">La </w:t>
      </w:r>
      <w:r w:rsidRPr="00466CE7">
        <w:rPr>
          <w:lang w:val="fr-FR"/>
        </w:rPr>
        <w:t xml:space="preserve">loi </w:t>
      </w:r>
      <w:r>
        <w:rPr>
          <w:lang w:val="fr-FR"/>
        </w:rPr>
        <w:t xml:space="preserve">sur la </w:t>
      </w:r>
      <w:r w:rsidRPr="00466CE7">
        <w:rPr>
          <w:lang w:val="fr-FR"/>
        </w:rPr>
        <w:t>promotion de l</w:t>
      </w:r>
      <w:r>
        <w:rPr>
          <w:lang w:val="fr-FR"/>
        </w:rPr>
        <w:t>’</w:t>
      </w:r>
      <w:r w:rsidRPr="00466CE7">
        <w:rPr>
          <w:lang w:val="fr-FR"/>
        </w:rPr>
        <w:t xml:space="preserve">emploi de la population </w:t>
      </w:r>
      <w:r>
        <w:rPr>
          <w:lang w:val="fr-FR"/>
        </w:rPr>
        <w:t xml:space="preserve">adoptée en 2015 </w:t>
      </w:r>
      <w:r w:rsidRPr="00466CE7">
        <w:rPr>
          <w:lang w:val="fr-FR"/>
        </w:rPr>
        <w:t>définit les fondements juridiques, économiques et organisationnels de la politique de l</w:t>
      </w:r>
      <w:r>
        <w:rPr>
          <w:lang w:val="fr-FR"/>
        </w:rPr>
        <w:t>’</w:t>
      </w:r>
      <w:r w:rsidRPr="00466CE7">
        <w:rPr>
          <w:lang w:val="fr-FR"/>
        </w:rPr>
        <w:t>État en matière de promotion de l</w:t>
      </w:r>
      <w:r>
        <w:rPr>
          <w:lang w:val="fr-FR"/>
        </w:rPr>
        <w:t>’</w:t>
      </w:r>
      <w:r w:rsidRPr="00466CE7">
        <w:rPr>
          <w:lang w:val="fr-FR"/>
        </w:rPr>
        <w:t xml:space="preserve">emploi, </w:t>
      </w:r>
      <w:r>
        <w:rPr>
          <w:lang w:val="fr-FR"/>
        </w:rPr>
        <w:t xml:space="preserve">notamment </w:t>
      </w:r>
      <w:r w:rsidRPr="00466CE7">
        <w:rPr>
          <w:lang w:val="fr-FR"/>
        </w:rPr>
        <w:t>les garanties de l</w:t>
      </w:r>
      <w:r>
        <w:rPr>
          <w:lang w:val="fr-FR"/>
        </w:rPr>
        <w:t>’</w:t>
      </w:r>
      <w:r w:rsidRPr="00466CE7">
        <w:rPr>
          <w:lang w:val="fr-FR"/>
        </w:rPr>
        <w:t>État pour la</w:t>
      </w:r>
      <w:r>
        <w:rPr>
          <w:lang w:val="fr-FR"/>
        </w:rPr>
        <w:t xml:space="preserve"> réalisation</w:t>
      </w:r>
      <w:r w:rsidRPr="00466CE7">
        <w:rPr>
          <w:lang w:val="fr-FR"/>
        </w:rPr>
        <w:t xml:space="preserve"> des droits constitutionnels des citoyens au travail et à la protection sociale contre le chômage. </w:t>
      </w:r>
    </w:p>
    <w:p w14:paraId="279AFF0F" w14:textId="00FFCF5B" w:rsidR="009C6834" w:rsidRPr="00466CE7" w:rsidRDefault="009C6834" w:rsidP="009C6834">
      <w:pPr>
        <w:pStyle w:val="SingleTxtG"/>
        <w:rPr>
          <w:lang w:val="fr-FR"/>
        </w:rPr>
      </w:pPr>
      <w:r w:rsidRPr="00466CE7">
        <w:rPr>
          <w:lang w:val="fr-FR"/>
        </w:rPr>
        <w:t>82.</w:t>
      </w:r>
      <w:r w:rsidRPr="00466CE7">
        <w:rPr>
          <w:lang w:val="fr-FR"/>
        </w:rPr>
        <w:tab/>
      </w:r>
      <w:r>
        <w:rPr>
          <w:lang w:val="fr-FR"/>
        </w:rPr>
        <w:t>L</w:t>
      </w:r>
      <w:r w:rsidRPr="00466CE7">
        <w:rPr>
          <w:lang w:val="fr-FR"/>
        </w:rPr>
        <w:t>e règlement sur la formation, la reconversion et le développement professionnel des chômeurs, le règlement sur l</w:t>
      </w:r>
      <w:r>
        <w:rPr>
          <w:lang w:val="fr-FR"/>
        </w:rPr>
        <w:t>’</w:t>
      </w:r>
      <w:r w:rsidRPr="00466CE7">
        <w:rPr>
          <w:lang w:val="fr-FR"/>
        </w:rPr>
        <w:t>organisation des travaux publics rémunérés et le règlement sur</w:t>
      </w:r>
      <w:r>
        <w:rPr>
          <w:lang w:val="fr-FR"/>
        </w:rPr>
        <w:t xml:space="preserve"> les modalités</w:t>
      </w:r>
      <w:r w:rsidRPr="00466CE7">
        <w:rPr>
          <w:lang w:val="fr-FR"/>
        </w:rPr>
        <w:t xml:space="preserve">, les conditions et les </w:t>
      </w:r>
      <w:r>
        <w:rPr>
          <w:lang w:val="fr-FR"/>
        </w:rPr>
        <w:t xml:space="preserve">délais de versement </w:t>
      </w:r>
      <w:r w:rsidRPr="00466CE7">
        <w:rPr>
          <w:lang w:val="fr-FR"/>
        </w:rPr>
        <w:t>des allocations de chômage</w:t>
      </w:r>
      <w:r>
        <w:rPr>
          <w:lang w:val="fr-FR"/>
        </w:rPr>
        <w:t xml:space="preserve"> ont été approuvés par une décision du </w:t>
      </w:r>
      <w:r w:rsidR="00BA6DC3">
        <w:rPr>
          <w:lang w:val="fr-FR"/>
        </w:rPr>
        <w:t xml:space="preserve">Gouvernement </w:t>
      </w:r>
      <w:r>
        <w:rPr>
          <w:lang w:val="fr-FR"/>
        </w:rPr>
        <w:t>en 2016</w:t>
      </w:r>
      <w:r w:rsidRPr="00466CE7">
        <w:rPr>
          <w:lang w:val="fr-FR"/>
        </w:rPr>
        <w:t>.</w:t>
      </w:r>
    </w:p>
    <w:p w14:paraId="0037AB22" w14:textId="77777777" w:rsidR="009C6834" w:rsidRDefault="009C6834" w:rsidP="009C6834">
      <w:pPr>
        <w:pStyle w:val="SingleTxtG"/>
        <w:rPr>
          <w:lang w:val="fr-FR"/>
        </w:rPr>
      </w:pPr>
      <w:r w:rsidRPr="00466CE7">
        <w:rPr>
          <w:lang w:val="fr-FR"/>
        </w:rPr>
        <w:t>83.</w:t>
      </w:r>
      <w:r w:rsidRPr="00466CE7">
        <w:rPr>
          <w:lang w:val="fr-FR"/>
        </w:rPr>
        <w:tab/>
        <w:t xml:space="preserve">En 2019, des modifications </w:t>
      </w:r>
      <w:r>
        <w:rPr>
          <w:lang w:val="fr-FR"/>
        </w:rPr>
        <w:t>portant sur les modalités</w:t>
      </w:r>
      <w:r w:rsidRPr="00466CE7">
        <w:rPr>
          <w:lang w:val="fr-FR"/>
        </w:rPr>
        <w:t xml:space="preserve"> d</w:t>
      </w:r>
      <w:r>
        <w:rPr>
          <w:lang w:val="fr-FR"/>
        </w:rPr>
        <w:t>’</w:t>
      </w:r>
      <w:r w:rsidRPr="00466CE7">
        <w:rPr>
          <w:lang w:val="fr-FR"/>
        </w:rPr>
        <w:t>organisation des travaux publics rémunérés</w:t>
      </w:r>
      <w:r>
        <w:rPr>
          <w:lang w:val="fr-FR"/>
        </w:rPr>
        <w:t xml:space="preserve"> et sur </w:t>
      </w:r>
      <w:r w:rsidRPr="00466CE7">
        <w:rPr>
          <w:lang w:val="fr-FR"/>
        </w:rPr>
        <w:t xml:space="preserve">les conditions et </w:t>
      </w:r>
      <w:r>
        <w:rPr>
          <w:lang w:val="fr-FR"/>
        </w:rPr>
        <w:t>délais</w:t>
      </w:r>
      <w:r w:rsidRPr="00466CE7">
        <w:rPr>
          <w:lang w:val="fr-FR"/>
        </w:rPr>
        <w:t xml:space="preserve"> de versement des allocations de chômage</w:t>
      </w:r>
      <w:r>
        <w:rPr>
          <w:lang w:val="fr-FR"/>
        </w:rPr>
        <w:t xml:space="preserve"> </w:t>
      </w:r>
      <w:r w:rsidRPr="00466CE7">
        <w:rPr>
          <w:lang w:val="fr-FR"/>
        </w:rPr>
        <w:t>ont été apportées à la décision gouvernementale sur les mesures d</w:t>
      </w:r>
      <w:r>
        <w:rPr>
          <w:lang w:val="fr-FR"/>
        </w:rPr>
        <w:t>’</w:t>
      </w:r>
      <w:r w:rsidRPr="00466CE7">
        <w:rPr>
          <w:lang w:val="fr-FR"/>
        </w:rPr>
        <w:t xml:space="preserve">application de la loi </w:t>
      </w:r>
      <w:r>
        <w:rPr>
          <w:lang w:val="fr-FR"/>
        </w:rPr>
        <w:t>relative à la promotion de l’emploi (2016).</w:t>
      </w:r>
    </w:p>
    <w:p w14:paraId="72ACF22B" w14:textId="4383DD77" w:rsidR="009C6834" w:rsidRPr="00466CE7" w:rsidRDefault="009C6834" w:rsidP="009C6834">
      <w:pPr>
        <w:pStyle w:val="SingleTxtG"/>
        <w:rPr>
          <w:lang w:val="fr-FR"/>
        </w:rPr>
      </w:pPr>
      <w:r w:rsidRPr="00466CE7">
        <w:rPr>
          <w:lang w:val="fr-FR"/>
        </w:rPr>
        <w:t>84.</w:t>
      </w:r>
      <w:r w:rsidRPr="00466CE7">
        <w:rPr>
          <w:lang w:val="fr-FR"/>
        </w:rPr>
        <w:tab/>
      </w:r>
      <w:r>
        <w:rPr>
          <w:lang w:val="fr-FR"/>
        </w:rPr>
        <w:t>La promotion de l’</w:t>
      </w:r>
      <w:r w:rsidRPr="00466CE7">
        <w:rPr>
          <w:lang w:val="fr-FR"/>
        </w:rPr>
        <w:t xml:space="preserve">emploi </w:t>
      </w:r>
      <w:r>
        <w:rPr>
          <w:lang w:val="fr-FR"/>
        </w:rPr>
        <w:t xml:space="preserve">passe aussi par des mesures actives sur le </w:t>
      </w:r>
      <w:r w:rsidRPr="00466CE7">
        <w:rPr>
          <w:lang w:val="fr-FR"/>
        </w:rPr>
        <w:t xml:space="preserve">marché du travail. </w:t>
      </w:r>
    </w:p>
    <w:p w14:paraId="6FD34C03" w14:textId="6478BD1D" w:rsidR="009C6834" w:rsidRPr="00466CE7" w:rsidRDefault="009C6834" w:rsidP="009C6834">
      <w:pPr>
        <w:pStyle w:val="SingleTxtG"/>
        <w:rPr>
          <w:lang w:val="fr-FR"/>
        </w:rPr>
      </w:pPr>
      <w:r w:rsidRPr="00466CE7">
        <w:rPr>
          <w:lang w:val="fr-FR"/>
        </w:rPr>
        <w:t>85.</w:t>
      </w:r>
      <w:r w:rsidRPr="00466CE7">
        <w:rPr>
          <w:lang w:val="fr-FR"/>
        </w:rPr>
        <w:tab/>
        <w:t>En 2019, 17</w:t>
      </w:r>
      <w:r w:rsidR="002C42F4">
        <w:rPr>
          <w:lang w:val="fr-FR"/>
        </w:rPr>
        <w:t> </w:t>
      </w:r>
      <w:r w:rsidRPr="00466CE7">
        <w:rPr>
          <w:lang w:val="fr-FR"/>
        </w:rPr>
        <w:t>872</w:t>
      </w:r>
      <w:r w:rsidR="002C42F4">
        <w:rPr>
          <w:lang w:val="fr-FR"/>
        </w:rPr>
        <w:t> </w:t>
      </w:r>
      <w:r>
        <w:rPr>
          <w:lang w:val="fr-FR"/>
        </w:rPr>
        <w:t xml:space="preserve">chômeurs </w:t>
      </w:r>
      <w:r w:rsidRPr="00466CE7">
        <w:rPr>
          <w:lang w:val="fr-FR"/>
        </w:rPr>
        <w:t xml:space="preserve">ont été orientés </w:t>
      </w:r>
      <w:r>
        <w:rPr>
          <w:lang w:val="fr-FR"/>
        </w:rPr>
        <w:t xml:space="preserve">à titre </w:t>
      </w:r>
      <w:r w:rsidRPr="00466CE7">
        <w:rPr>
          <w:lang w:val="fr-FR"/>
        </w:rPr>
        <w:t xml:space="preserve">temporaire vers </w:t>
      </w:r>
      <w:r>
        <w:rPr>
          <w:lang w:val="fr-FR"/>
        </w:rPr>
        <w:t>d</w:t>
      </w:r>
      <w:r w:rsidRPr="00466CE7">
        <w:rPr>
          <w:lang w:val="fr-FR"/>
        </w:rPr>
        <w:t>es travaux publics rémunérés.</w:t>
      </w:r>
    </w:p>
    <w:p w14:paraId="18180900" w14:textId="77777777" w:rsidR="009C6834" w:rsidRPr="00466CE7" w:rsidRDefault="009C6834" w:rsidP="009C6834">
      <w:pPr>
        <w:pStyle w:val="SingleTxtG"/>
        <w:rPr>
          <w:lang w:val="fr-FR"/>
        </w:rPr>
      </w:pPr>
      <w:r w:rsidRPr="00466CE7">
        <w:rPr>
          <w:lang w:val="fr-FR"/>
        </w:rPr>
        <w:t>86.</w:t>
      </w:r>
      <w:r w:rsidRPr="00466CE7">
        <w:rPr>
          <w:lang w:val="fr-FR"/>
        </w:rPr>
        <w:tab/>
        <w:t xml:space="preserve">Dans le cadre de </w:t>
      </w:r>
      <w:r>
        <w:rPr>
          <w:lang w:val="fr-FR"/>
        </w:rPr>
        <w:t xml:space="preserve">l’informatisation </w:t>
      </w:r>
      <w:r w:rsidRPr="00466CE7">
        <w:rPr>
          <w:lang w:val="fr-FR"/>
        </w:rPr>
        <w:t xml:space="preserve">du système </w:t>
      </w:r>
      <w:r>
        <w:rPr>
          <w:lang w:val="fr-FR"/>
        </w:rPr>
        <w:t xml:space="preserve">de promotion de </w:t>
      </w:r>
      <w:r w:rsidRPr="00466CE7">
        <w:rPr>
          <w:lang w:val="fr-FR"/>
        </w:rPr>
        <w:t>l</w:t>
      </w:r>
      <w:r>
        <w:rPr>
          <w:lang w:val="fr-FR"/>
        </w:rPr>
        <w:t>’</w:t>
      </w:r>
      <w:r w:rsidRPr="00466CE7">
        <w:rPr>
          <w:lang w:val="fr-FR"/>
        </w:rPr>
        <w:t>emploi, le logiciel du système d</w:t>
      </w:r>
      <w:r>
        <w:rPr>
          <w:lang w:val="fr-FR"/>
        </w:rPr>
        <w:t>’</w:t>
      </w:r>
      <w:r w:rsidRPr="00466CE7">
        <w:rPr>
          <w:lang w:val="fr-FR"/>
        </w:rPr>
        <w:t xml:space="preserve">information </w:t>
      </w:r>
      <w:r>
        <w:rPr>
          <w:lang w:val="fr-FR"/>
        </w:rPr>
        <w:t xml:space="preserve">relatif au </w:t>
      </w:r>
      <w:r w:rsidRPr="00466CE7">
        <w:rPr>
          <w:lang w:val="fr-FR"/>
        </w:rPr>
        <w:t>marché du travail</w:t>
      </w:r>
      <w:r>
        <w:rPr>
          <w:lang w:val="fr-FR"/>
        </w:rPr>
        <w:t xml:space="preserve"> </w:t>
      </w:r>
      <w:r w:rsidRPr="00466CE7">
        <w:rPr>
          <w:lang w:val="fr-FR"/>
        </w:rPr>
        <w:t xml:space="preserve">est </w:t>
      </w:r>
      <w:r>
        <w:rPr>
          <w:lang w:val="fr-FR"/>
        </w:rPr>
        <w:t>mis en place dans tout le pays</w:t>
      </w:r>
      <w:r w:rsidRPr="00466CE7">
        <w:rPr>
          <w:lang w:val="fr-FR"/>
        </w:rPr>
        <w:t xml:space="preserve">. </w:t>
      </w:r>
      <w:r>
        <w:rPr>
          <w:lang w:val="fr-FR"/>
        </w:rPr>
        <w:t>Il s’agit d’</w:t>
      </w:r>
      <w:r w:rsidRPr="00466CE7">
        <w:rPr>
          <w:lang w:val="fr-FR"/>
        </w:rPr>
        <w:t xml:space="preserve">un système ouvert </w:t>
      </w:r>
      <w:r>
        <w:rPr>
          <w:lang w:val="fr-FR"/>
        </w:rPr>
        <w:t xml:space="preserve">spécialisé </w:t>
      </w:r>
      <w:r w:rsidRPr="00466CE7">
        <w:rPr>
          <w:lang w:val="fr-FR"/>
        </w:rPr>
        <w:t xml:space="preserve">qui </w:t>
      </w:r>
      <w:r>
        <w:rPr>
          <w:lang w:val="fr-FR"/>
        </w:rPr>
        <w:t xml:space="preserve">donne </w:t>
      </w:r>
      <w:r w:rsidRPr="00466CE7">
        <w:rPr>
          <w:lang w:val="fr-FR"/>
        </w:rPr>
        <w:t>aux chômeurs et aux employeurs des informations sur les tendances du marché du travail, les professions recherchées et les postes vacants.</w:t>
      </w:r>
    </w:p>
    <w:p w14:paraId="6D1E0CDB" w14:textId="7FB8CEBC" w:rsidR="009C6834" w:rsidRPr="00466CE7" w:rsidRDefault="009C6834" w:rsidP="009C6834">
      <w:pPr>
        <w:pStyle w:val="SingleTxtG"/>
        <w:rPr>
          <w:lang w:val="fr-FR"/>
        </w:rPr>
      </w:pPr>
      <w:r w:rsidRPr="00466CE7">
        <w:rPr>
          <w:lang w:val="fr-FR"/>
        </w:rPr>
        <w:t>87.</w:t>
      </w:r>
      <w:r w:rsidRPr="00466CE7">
        <w:rPr>
          <w:lang w:val="fr-FR"/>
        </w:rPr>
        <w:tab/>
      </w:r>
      <w:r>
        <w:rPr>
          <w:lang w:val="fr-FR"/>
        </w:rPr>
        <w:t xml:space="preserve">Le </w:t>
      </w:r>
      <w:r w:rsidRPr="00466CE7">
        <w:rPr>
          <w:lang w:val="fr-FR"/>
        </w:rPr>
        <w:t xml:space="preserve">portail interactif </w:t>
      </w:r>
      <w:r>
        <w:rPr>
          <w:lang w:val="fr-FR"/>
        </w:rPr>
        <w:t>« </w:t>
      </w:r>
      <w:r w:rsidRPr="00466CE7">
        <w:rPr>
          <w:lang w:val="fr-FR"/>
        </w:rPr>
        <w:t>Emploi</w:t>
      </w:r>
      <w:r>
        <w:rPr>
          <w:lang w:val="fr-FR"/>
        </w:rPr>
        <w:t> »</w:t>
      </w:r>
      <w:r w:rsidRPr="00466CE7">
        <w:rPr>
          <w:lang w:val="fr-FR"/>
        </w:rPr>
        <w:t xml:space="preserve"> (</w:t>
      </w:r>
      <w:hyperlink r:id="rId8" w:history="1">
        <w:r w:rsidR="00BA6DC3" w:rsidRPr="00BA6DC3">
          <w:rPr>
            <w:rStyle w:val="Lienhypertexte"/>
            <w:lang w:val="fr-FR"/>
          </w:rPr>
          <w:t>www.zanyatost.kg</w:t>
        </w:r>
      </w:hyperlink>
      <w:r w:rsidRPr="00466CE7">
        <w:rPr>
          <w:lang w:val="fr-FR"/>
        </w:rPr>
        <w:t xml:space="preserve">), qui publie des informations </w:t>
      </w:r>
      <w:r>
        <w:rPr>
          <w:lang w:val="fr-FR"/>
        </w:rPr>
        <w:t xml:space="preserve">et des renseignements </w:t>
      </w:r>
      <w:r w:rsidRPr="00466CE7">
        <w:rPr>
          <w:lang w:val="fr-FR"/>
        </w:rPr>
        <w:t xml:space="preserve">sur les </w:t>
      </w:r>
      <w:r>
        <w:rPr>
          <w:lang w:val="fr-FR"/>
        </w:rPr>
        <w:t xml:space="preserve">offres d’emploi </w:t>
      </w:r>
      <w:r w:rsidRPr="00466CE7">
        <w:rPr>
          <w:lang w:val="fr-FR"/>
        </w:rPr>
        <w:t xml:space="preserve">dans le pays, les services publics </w:t>
      </w:r>
      <w:r>
        <w:rPr>
          <w:lang w:val="fr-FR"/>
        </w:rPr>
        <w:t xml:space="preserve">d’aide à </w:t>
      </w:r>
      <w:r w:rsidRPr="00466CE7">
        <w:rPr>
          <w:lang w:val="fr-FR"/>
        </w:rPr>
        <w:t>l</w:t>
      </w:r>
      <w:r>
        <w:rPr>
          <w:lang w:val="fr-FR"/>
        </w:rPr>
        <w:t>’</w:t>
      </w:r>
      <w:r w:rsidRPr="00466CE7">
        <w:rPr>
          <w:lang w:val="fr-FR"/>
        </w:rPr>
        <w:t>emploi</w:t>
      </w:r>
      <w:r>
        <w:rPr>
          <w:lang w:val="fr-FR"/>
        </w:rPr>
        <w:t xml:space="preserve"> et</w:t>
      </w:r>
      <w:r w:rsidRPr="00466CE7">
        <w:rPr>
          <w:lang w:val="fr-FR"/>
        </w:rPr>
        <w:t xml:space="preserve"> les </w:t>
      </w:r>
      <w:r>
        <w:rPr>
          <w:lang w:val="fr-FR"/>
        </w:rPr>
        <w:t>activités organisées, est désormais opérationnel</w:t>
      </w:r>
      <w:r w:rsidRPr="00466CE7">
        <w:rPr>
          <w:lang w:val="fr-FR"/>
        </w:rPr>
        <w:t>.</w:t>
      </w:r>
    </w:p>
    <w:p w14:paraId="34E00ED1" w14:textId="0EF7784F" w:rsidR="009C6834" w:rsidRPr="00466CE7" w:rsidRDefault="009C6834" w:rsidP="009C6834">
      <w:pPr>
        <w:pStyle w:val="SingleTxtG"/>
        <w:rPr>
          <w:lang w:val="fr-FR"/>
        </w:rPr>
      </w:pPr>
      <w:r w:rsidRPr="00466CE7">
        <w:rPr>
          <w:lang w:val="fr-FR"/>
        </w:rPr>
        <w:t>88.</w:t>
      </w:r>
      <w:r w:rsidRPr="00466CE7">
        <w:rPr>
          <w:lang w:val="fr-FR"/>
        </w:rPr>
        <w:tab/>
      </w:r>
      <w:r>
        <w:rPr>
          <w:lang w:val="fr-FR"/>
        </w:rPr>
        <w:t>Le montant de base de l’</w:t>
      </w:r>
      <w:r w:rsidRPr="00466CE7">
        <w:rPr>
          <w:lang w:val="fr-FR"/>
        </w:rPr>
        <w:t xml:space="preserve">allocation </w:t>
      </w:r>
      <w:r>
        <w:rPr>
          <w:lang w:val="fr-FR"/>
        </w:rPr>
        <w:t xml:space="preserve">de </w:t>
      </w:r>
      <w:r w:rsidRPr="00466CE7">
        <w:rPr>
          <w:lang w:val="fr-FR"/>
        </w:rPr>
        <w:t xml:space="preserve">chômage </w:t>
      </w:r>
      <w:r>
        <w:rPr>
          <w:lang w:val="fr-FR"/>
        </w:rPr>
        <w:t xml:space="preserve">a été porté </w:t>
      </w:r>
      <w:r w:rsidRPr="00466CE7">
        <w:rPr>
          <w:lang w:val="fr-FR"/>
        </w:rPr>
        <w:t>à 300</w:t>
      </w:r>
      <w:r w:rsidR="002A6A2B">
        <w:rPr>
          <w:lang w:val="fr-FR"/>
        </w:rPr>
        <w:t> </w:t>
      </w:r>
      <w:proofErr w:type="spellStart"/>
      <w:r w:rsidRPr="00466CE7">
        <w:rPr>
          <w:lang w:val="fr-FR"/>
        </w:rPr>
        <w:t>soms</w:t>
      </w:r>
      <w:proofErr w:type="spellEnd"/>
      <w:r>
        <w:rPr>
          <w:lang w:val="fr-FR"/>
        </w:rPr>
        <w:t xml:space="preserve"> à compter du </w:t>
      </w:r>
      <w:r w:rsidRPr="00466CE7">
        <w:rPr>
          <w:lang w:val="fr-FR"/>
        </w:rPr>
        <w:t>1</w:t>
      </w:r>
      <w:r w:rsidRPr="002C42F4">
        <w:rPr>
          <w:vertAlign w:val="superscript"/>
          <w:lang w:val="fr-FR"/>
        </w:rPr>
        <w:t>er</w:t>
      </w:r>
      <w:r w:rsidR="002C42F4">
        <w:rPr>
          <w:lang w:val="fr-FR"/>
        </w:rPr>
        <w:t> </w:t>
      </w:r>
      <w:r w:rsidRPr="00466CE7">
        <w:rPr>
          <w:lang w:val="fr-FR"/>
        </w:rPr>
        <w:t>juillet 2019</w:t>
      </w:r>
      <w:r>
        <w:rPr>
          <w:lang w:val="fr-FR"/>
        </w:rPr>
        <w:t xml:space="preserve"> par une décision du </w:t>
      </w:r>
      <w:r w:rsidR="00BA6DC3">
        <w:rPr>
          <w:lang w:val="fr-FR"/>
        </w:rPr>
        <w:t>Gouvernement</w:t>
      </w:r>
      <w:r w:rsidRPr="00466CE7">
        <w:rPr>
          <w:lang w:val="fr-FR"/>
        </w:rPr>
        <w:t>.</w:t>
      </w:r>
    </w:p>
    <w:p w14:paraId="12A53914" w14:textId="5265942B" w:rsidR="009C6834" w:rsidRPr="00466CE7" w:rsidRDefault="009C6834" w:rsidP="009C6834">
      <w:pPr>
        <w:pStyle w:val="SingleTxtG"/>
        <w:rPr>
          <w:lang w:val="fr-FR"/>
        </w:rPr>
      </w:pPr>
      <w:r w:rsidRPr="00466CE7">
        <w:rPr>
          <w:lang w:val="fr-FR"/>
        </w:rPr>
        <w:t>89.</w:t>
      </w:r>
      <w:r w:rsidRPr="00466CE7">
        <w:rPr>
          <w:lang w:val="fr-FR"/>
        </w:rPr>
        <w:tab/>
        <w:t>Le taux d</w:t>
      </w:r>
      <w:r>
        <w:rPr>
          <w:lang w:val="fr-FR"/>
        </w:rPr>
        <w:t>’</w:t>
      </w:r>
      <w:r w:rsidRPr="00466CE7">
        <w:rPr>
          <w:lang w:val="fr-FR"/>
        </w:rPr>
        <w:t>activité de la population en âge de travailler a progressivement diminué, passant de 69,2</w:t>
      </w:r>
      <w:r w:rsidR="00CB4ECD">
        <w:rPr>
          <w:lang w:val="fr-FR"/>
        </w:rPr>
        <w:t> %</w:t>
      </w:r>
      <w:r w:rsidRPr="00466CE7">
        <w:rPr>
          <w:lang w:val="fr-FR"/>
        </w:rPr>
        <w:t xml:space="preserve"> en 2013 à 66,9</w:t>
      </w:r>
      <w:r w:rsidR="00CB4ECD">
        <w:rPr>
          <w:lang w:val="fr-FR"/>
        </w:rPr>
        <w:t> %</w:t>
      </w:r>
      <w:r w:rsidRPr="00466CE7">
        <w:rPr>
          <w:lang w:val="fr-FR"/>
        </w:rPr>
        <w:t xml:space="preserve"> en 2019, </w:t>
      </w:r>
      <w:r>
        <w:rPr>
          <w:lang w:val="fr-FR"/>
        </w:rPr>
        <w:t xml:space="preserve">avec toujours </w:t>
      </w:r>
      <w:r w:rsidRPr="00466CE7">
        <w:rPr>
          <w:lang w:val="fr-FR"/>
        </w:rPr>
        <w:t>un déséquilibre marqué entre les sexes</w:t>
      </w:r>
      <w:r>
        <w:rPr>
          <w:lang w:val="fr-FR"/>
        </w:rPr>
        <w:t> :</w:t>
      </w:r>
      <w:r w:rsidRPr="00466CE7">
        <w:rPr>
          <w:lang w:val="fr-FR"/>
        </w:rPr>
        <w:t xml:space="preserve"> le taux d</w:t>
      </w:r>
      <w:r>
        <w:rPr>
          <w:lang w:val="fr-FR"/>
        </w:rPr>
        <w:t>’</w:t>
      </w:r>
      <w:r w:rsidRPr="00466CE7">
        <w:rPr>
          <w:lang w:val="fr-FR"/>
        </w:rPr>
        <w:t xml:space="preserve">activité des hommes en âge de travailler </w:t>
      </w:r>
      <w:r>
        <w:rPr>
          <w:lang w:val="fr-FR"/>
        </w:rPr>
        <w:t xml:space="preserve">demeure </w:t>
      </w:r>
      <w:r w:rsidRPr="00466CE7">
        <w:rPr>
          <w:lang w:val="fr-FR"/>
        </w:rPr>
        <w:t>supérieur à 80</w:t>
      </w:r>
      <w:r w:rsidR="00CB4ECD">
        <w:rPr>
          <w:lang w:val="fr-FR"/>
        </w:rPr>
        <w:t> %</w:t>
      </w:r>
      <w:r w:rsidRPr="00466CE7">
        <w:rPr>
          <w:lang w:val="fr-FR"/>
        </w:rPr>
        <w:t>, tandis que celui des femmes ne dépasse pas 60</w:t>
      </w:r>
      <w:r w:rsidR="00CB4ECD">
        <w:rPr>
          <w:lang w:val="fr-FR"/>
        </w:rPr>
        <w:t> %</w:t>
      </w:r>
      <w:r w:rsidRPr="00466CE7">
        <w:rPr>
          <w:lang w:val="fr-FR"/>
        </w:rPr>
        <w:t>.</w:t>
      </w:r>
    </w:p>
    <w:p w14:paraId="678B5CE0" w14:textId="7E4FD3F5" w:rsidR="009C6834" w:rsidRPr="00466CE7" w:rsidRDefault="009C6834" w:rsidP="009C6834">
      <w:pPr>
        <w:pStyle w:val="SingleTxtG"/>
        <w:rPr>
          <w:lang w:val="fr-FR"/>
        </w:rPr>
      </w:pPr>
      <w:r w:rsidRPr="00466CE7">
        <w:rPr>
          <w:lang w:val="fr-FR"/>
        </w:rPr>
        <w:t>90.</w:t>
      </w:r>
      <w:r w:rsidRPr="00466CE7">
        <w:rPr>
          <w:lang w:val="fr-FR"/>
        </w:rPr>
        <w:tab/>
      </w:r>
      <w:r>
        <w:rPr>
          <w:lang w:val="fr-FR"/>
        </w:rPr>
        <w:t>O</w:t>
      </w:r>
      <w:r w:rsidRPr="00466CE7">
        <w:rPr>
          <w:lang w:val="fr-FR"/>
        </w:rPr>
        <w:t xml:space="preserve">n a observé </w:t>
      </w:r>
      <w:r>
        <w:rPr>
          <w:lang w:val="fr-FR"/>
        </w:rPr>
        <w:t xml:space="preserve">ces </w:t>
      </w:r>
      <w:r w:rsidRPr="00466CE7">
        <w:rPr>
          <w:lang w:val="fr-FR"/>
        </w:rPr>
        <w:t>dix dernières années une tendance à la baisse du taux d</w:t>
      </w:r>
      <w:r>
        <w:rPr>
          <w:lang w:val="fr-FR"/>
        </w:rPr>
        <w:t xml:space="preserve">’emploi </w:t>
      </w:r>
      <w:r w:rsidRPr="00466CE7">
        <w:rPr>
          <w:lang w:val="fr-FR"/>
        </w:rPr>
        <w:t>de la population en âge de travailler, avec un déséquilibre notable entre les sexes. Ainsi, le taux d</w:t>
      </w:r>
      <w:r>
        <w:rPr>
          <w:lang w:val="fr-FR"/>
        </w:rPr>
        <w:t>’</w:t>
      </w:r>
      <w:r w:rsidRPr="00466CE7">
        <w:rPr>
          <w:lang w:val="fr-FR"/>
        </w:rPr>
        <w:t xml:space="preserve">emploi des femmes en âge de travailler </w:t>
      </w:r>
      <w:r>
        <w:rPr>
          <w:lang w:val="fr-FR"/>
        </w:rPr>
        <w:t xml:space="preserve">est passé </w:t>
      </w:r>
      <w:r w:rsidRPr="00466CE7">
        <w:rPr>
          <w:lang w:val="fr-FR"/>
        </w:rPr>
        <w:t>de 50,4</w:t>
      </w:r>
      <w:r w:rsidR="00CB4ECD">
        <w:rPr>
          <w:lang w:val="fr-FR"/>
        </w:rPr>
        <w:t> %</w:t>
      </w:r>
      <w:r w:rsidRPr="00466CE7">
        <w:rPr>
          <w:lang w:val="fr-FR"/>
        </w:rPr>
        <w:t xml:space="preserve"> à 48,1</w:t>
      </w:r>
      <w:r w:rsidR="00CB4ECD">
        <w:rPr>
          <w:lang w:val="fr-FR"/>
        </w:rPr>
        <w:t> %</w:t>
      </w:r>
      <w:r w:rsidRPr="00466CE7">
        <w:rPr>
          <w:lang w:val="fr-FR"/>
        </w:rPr>
        <w:t xml:space="preserve"> en</w:t>
      </w:r>
      <w:r>
        <w:rPr>
          <w:lang w:val="fr-FR"/>
        </w:rPr>
        <w:t xml:space="preserve">tre </w:t>
      </w:r>
      <w:r w:rsidRPr="00466CE7">
        <w:rPr>
          <w:lang w:val="fr-FR"/>
        </w:rPr>
        <w:t xml:space="preserve">en 2013 </w:t>
      </w:r>
      <w:r>
        <w:rPr>
          <w:lang w:val="fr-FR"/>
        </w:rPr>
        <w:t>et</w:t>
      </w:r>
      <w:r w:rsidRPr="00466CE7">
        <w:rPr>
          <w:lang w:val="fr-FR"/>
        </w:rPr>
        <w:t xml:space="preserve"> 2019 (pour les hommes, </w:t>
      </w:r>
      <w:r>
        <w:rPr>
          <w:lang w:val="fr-FR"/>
        </w:rPr>
        <w:t xml:space="preserve">ce taux est passé dans le même temps </w:t>
      </w:r>
      <w:r w:rsidRPr="00466CE7">
        <w:rPr>
          <w:lang w:val="fr-FR"/>
        </w:rPr>
        <w:t>de 76</w:t>
      </w:r>
      <w:r w:rsidR="00CB4ECD">
        <w:rPr>
          <w:lang w:val="fr-FR"/>
        </w:rPr>
        <w:t> %</w:t>
      </w:r>
      <w:r w:rsidRPr="00466CE7">
        <w:rPr>
          <w:lang w:val="fr-FR"/>
        </w:rPr>
        <w:t xml:space="preserve"> à 77,2</w:t>
      </w:r>
      <w:r w:rsidR="00CB4ECD">
        <w:rPr>
          <w:lang w:val="fr-FR"/>
        </w:rPr>
        <w:t> %</w:t>
      </w:r>
      <w:r w:rsidRPr="00466CE7">
        <w:rPr>
          <w:lang w:val="fr-FR"/>
        </w:rPr>
        <w:t>). L</w:t>
      </w:r>
      <w:r>
        <w:rPr>
          <w:lang w:val="fr-FR"/>
        </w:rPr>
        <w:t xml:space="preserve">a </w:t>
      </w:r>
      <w:r w:rsidRPr="00466CE7">
        <w:rPr>
          <w:lang w:val="fr-FR"/>
        </w:rPr>
        <w:t xml:space="preserve">principale </w:t>
      </w:r>
      <w:r>
        <w:rPr>
          <w:lang w:val="fr-FR"/>
        </w:rPr>
        <w:t xml:space="preserve">raison </w:t>
      </w:r>
      <w:r w:rsidRPr="00466CE7">
        <w:rPr>
          <w:lang w:val="fr-FR"/>
        </w:rPr>
        <w:t>de l</w:t>
      </w:r>
      <w:r>
        <w:rPr>
          <w:lang w:val="fr-FR"/>
        </w:rPr>
        <w:t>’</w:t>
      </w:r>
      <w:r w:rsidRPr="00466CE7">
        <w:rPr>
          <w:lang w:val="fr-FR"/>
        </w:rPr>
        <w:t>écart entre les sexes en matière d</w:t>
      </w:r>
      <w:r>
        <w:rPr>
          <w:lang w:val="fr-FR"/>
        </w:rPr>
        <w:t>’</w:t>
      </w:r>
      <w:r w:rsidRPr="00466CE7">
        <w:rPr>
          <w:lang w:val="fr-FR"/>
        </w:rPr>
        <w:t xml:space="preserve">emploi est le </w:t>
      </w:r>
      <w:r>
        <w:rPr>
          <w:lang w:val="fr-FR"/>
        </w:rPr>
        <w:t xml:space="preserve">temps que passent les femmes à des tâches de soins non </w:t>
      </w:r>
      <w:r w:rsidRPr="00466CE7">
        <w:rPr>
          <w:lang w:val="fr-FR"/>
        </w:rPr>
        <w:t>rémunéré</w:t>
      </w:r>
      <w:r>
        <w:rPr>
          <w:lang w:val="fr-FR"/>
        </w:rPr>
        <w:t>es</w:t>
      </w:r>
      <w:r w:rsidRPr="00466CE7">
        <w:rPr>
          <w:lang w:val="fr-FR"/>
        </w:rPr>
        <w:t xml:space="preserve">. </w:t>
      </w:r>
      <w:r>
        <w:rPr>
          <w:lang w:val="fr-FR"/>
        </w:rPr>
        <w:t xml:space="preserve">En revanche, on ne constate pas de décalage entre </w:t>
      </w:r>
      <w:r w:rsidRPr="00466CE7">
        <w:rPr>
          <w:lang w:val="fr-FR"/>
        </w:rPr>
        <w:t>les populations urbaines et rurales</w:t>
      </w:r>
      <w:r>
        <w:rPr>
          <w:lang w:val="fr-FR"/>
        </w:rPr>
        <w:t xml:space="preserve"> </w:t>
      </w:r>
      <w:r w:rsidRPr="00466CE7">
        <w:rPr>
          <w:lang w:val="fr-FR"/>
        </w:rPr>
        <w:t xml:space="preserve">(dans les zones urbaines </w:t>
      </w:r>
      <w:r>
        <w:rPr>
          <w:lang w:val="fr-FR"/>
        </w:rPr>
        <w:t xml:space="preserve">comme dans les zones </w:t>
      </w:r>
      <w:r w:rsidRPr="00466CE7">
        <w:rPr>
          <w:lang w:val="fr-FR"/>
        </w:rPr>
        <w:t>rurales</w:t>
      </w:r>
      <w:r>
        <w:rPr>
          <w:lang w:val="fr-FR"/>
        </w:rPr>
        <w:t>, le taux d’emploi</w:t>
      </w:r>
      <w:r w:rsidRPr="00466CE7">
        <w:rPr>
          <w:lang w:val="fr-FR"/>
        </w:rPr>
        <w:t xml:space="preserve"> </w:t>
      </w:r>
      <w:r>
        <w:rPr>
          <w:lang w:val="fr-FR"/>
        </w:rPr>
        <w:t xml:space="preserve">est légèrement supérieur à </w:t>
      </w:r>
      <w:r w:rsidRPr="00466CE7">
        <w:rPr>
          <w:lang w:val="fr-FR"/>
        </w:rPr>
        <w:t>60</w:t>
      </w:r>
      <w:r w:rsidR="00CB4ECD">
        <w:rPr>
          <w:lang w:val="fr-FR"/>
        </w:rPr>
        <w:t> %</w:t>
      </w:r>
      <w:r w:rsidRPr="00466CE7">
        <w:rPr>
          <w:lang w:val="fr-FR"/>
        </w:rPr>
        <w:t>).</w:t>
      </w:r>
    </w:p>
    <w:p w14:paraId="6876E872" w14:textId="78B81265" w:rsidR="009C6834" w:rsidRPr="00466CE7" w:rsidRDefault="009C6834" w:rsidP="002C42F4">
      <w:pPr>
        <w:pStyle w:val="H1G"/>
        <w:rPr>
          <w:lang w:val="fr-FR"/>
        </w:rPr>
      </w:pPr>
      <w:r w:rsidRPr="00466CE7">
        <w:rPr>
          <w:lang w:val="fr-FR"/>
        </w:rPr>
        <w:lastRenderedPageBreak/>
        <w:tab/>
      </w:r>
      <w:r w:rsidRPr="00466CE7">
        <w:rPr>
          <w:lang w:val="fr-FR"/>
        </w:rPr>
        <w:tab/>
      </w:r>
      <w:r w:rsidR="00CB4ECD">
        <w:rPr>
          <w:lang w:val="fr-FR"/>
        </w:rPr>
        <w:t>Article </w:t>
      </w:r>
      <w:r w:rsidRPr="00466CE7">
        <w:rPr>
          <w:lang w:val="fr-FR"/>
        </w:rPr>
        <w:t>10</w:t>
      </w:r>
      <w:r w:rsidRPr="00466CE7">
        <w:rPr>
          <w:lang w:val="fr-FR"/>
        </w:rPr>
        <w:br/>
      </w:r>
      <w:r>
        <w:rPr>
          <w:lang w:val="fr-FR"/>
        </w:rPr>
        <w:t>Salaire minimum</w:t>
      </w:r>
      <w:r w:rsidRPr="00466CE7">
        <w:rPr>
          <w:lang w:val="fr-FR"/>
        </w:rPr>
        <w:t xml:space="preserve"> </w:t>
      </w:r>
    </w:p>
    <w:p w14:paraId="34C04CE9" w14:textId="77777777" w:rsidR="009C6834" w:rsidRPr="00466CE7" w:rsidRDefault="009C6834" w:rsidP="009C6834">
      <w:pPr>
        <w:pStyle w:val="SingleTxtG"/>
        <w:rPr>
          <w:lang w:val="fr-FR"/>
        </w:rPr>
      </w:pPr>
      <w:r w:rsidRPr="00466CE7">
        <w:rPr>
          <w:lang w:val="fr-FR"/>
        </w:rPr>
        <w:t>91.</w:t>
      </w:r>
      <w:r w:rsidRPr="00466CE7">
        <w:rPr>
          <w:lang w:val="fr-FR"/>
        </w:rPr>
        <w:tab/>
        <w:t xml:space="preserve">Conformément à la loi </w:t>
      </w:r>
      <w:r>
        <w:rPr>
          <w:lang w:val="fr-FR"/>
        </w:rPr>
        <w:t xml:space="preserve">relative au </w:t>
      </w:r>
      <w:r w:rsidRPr="00466CE7">
        <w:rPr>
          <w:lang w:val="fr-FR"/>
        </w:rPr>
        <w:t xml:space="preserve">salaire minimum, le montant du salaire minimum est fixé par la loi </w:t>
      </w:r>
      <w:r>
        <w:rPr>
          <w:lang w:val="fr-FR"/>
        </w:rPr>
        <w:t>budgétaire</w:t>
      </w:r>
      <w:r w:rsidRPr="00466CE7">
        <w:rPr>
          <w:lang w:val="fr-FR"/>
        </w:rPr>
        <w:t xml:space="preserve"> pour l</w:t>
      </w:r>
      <w:r>
        <w:rPr>
          <w:lang w:val="fr-FR"/>
        </w:rPr>
        <w:t>’</w:t>
      </w:r>
      <w:r w:rsidRPr="00466CE7">
        <w:rPr>
          <w:lang w:val="fr-FR"/>
        </w:rPr>
        <w:t xml:space="preserve">année </w:t>
      </w:r>
      <w:r>
        <w:rPr>
          <w:lang w:val="fr-FR"/>
        </w:rPr>
        <w:t>en cours</w:t>
      </w:r>
      <w:r w:rsidRPr="00466CE7">
        <w:rPr>
          <w:lang w:val="fr-FR"/>
        </w:rPr>
        <w:t xml:space="preserve">, </w:t>
      </w:r>
      <w:r>
        <w:rPr>
          <w:lang w:val="fr-FR"/>
        </w:rPr>
        <w:t xml:space="preserve">selon le </w:t>
      </w:r>
      <w:r w:rsidRPr="00466CE7">
        <w:rPr>
          <w:lang w:val="fr-FR"/>
        </w:rPr>
        <w:t xml:space="preserve">principe </w:t>
      </w:r>
      <w:r>
        <w:rPr>
          <w:lang w:val="fr-FR"/>
        </w:rPr>
        <w:t xml:space="preserve">d’une hausse progressive </w:t>
      </w:r>
      <w:r w:rsidRPr="00466CE7">
        <w:rPr>
          <w:lang w:val="fr-FR"/>
        </w:rPr>
        <w:t>jusqu</w:t>
      </w:r>
      <w:r>
        <w:rPr>
          <w:lang w:val="fr-FR"/>
        </w:rPr>
        <w:t>’</w:t>
      </w:r>
      <w:r w:rsidRPr="00466CE7">
        <w:rPr>
          <w:lang w:val="fr-FR"/>
        </w:rPr>
        <w:t xml:space="preserve">au niveau </w:t>
      </w:r>
      <w:r>
        <w:rPr>
          <w:lang w:val="fr-FR"/>
        </w:rPr>
        <w:t xml:space="preserve">du </w:t>
      </w:r>
      <w:r w:rsidRPr="00466CE7">
        <w:rPr>
          <w:lang w:val="fr-FR"/>
        </w:rPr>
        <w:t xml:space="preserve">minimum </w:t>
      </w:r>
      <w:r>
        <w:rPr>
          <w:lang w:val="fr-FR"/>
        </w:rPr>
        <w:t xml:space="preserve">vital </w:t>
      </w:r>
      <w:r w:rsidRPr="00466CE7">
        <w:rPr>
          <w:lang w:val="fr-FR"/>
        </w:rPr>
        <w:t>d</w:t>
      </w:r>
      <w:r>
        <w:rPr>
          <w:lang w:val="fr-FR"/>
        </w:rPr>
        <w:t>’</w:t>
      </w:r>
      <w:r w:rsidRPr="00466CE7">
        <w:rPr>
          <w:lang w:val="fr-FR"/>
        </w:rPr>
        <w:t xml:space="preserve">une personne </w:t>
      </w:r>
      <w:r>
        <w:rPr>
          <w:lang w:val="fr-FR"/>
        </w:rPr>
        <w:t>apte au travail</w:t>
      </w:r>
      <w:r w:rsidRPr="00466CE7">
        <w:rPr>
          <w:lang w:val="fr-FR"/>
        </w:rPr>
        <w:t xml:space="preserve">. </w:t>
      </w:r>
    </w:p>
    <w:p w14:paraId="505344E9" w14:textId="713096D4" w:rsidR="009C6834" w:rsidRPr="00466CE7" w:rsidRDefault="009C6834" w:rsidP="009C6834">
      <w:pPr>
        <w:pStyle w:val="SingleTxtG"/>
        <w:rPr>
          <w:lang w:val="fr-FR"/>
        </w:rPr>
      </w:pPr>
      <w:r w:rsidRPr="00466CE7">
        <w:rPr>
          <w:lang w:val="fr-FR"/>
        </w:rPr>
        <w:t>92.</w:t>
      </w:r>
      <w:r w:rsidRPr="00466CE7">
        <w:rPr>
          <w:lang w:val="fr-FR"/>
        </w:rPr>
        <w:tab/>
      </w:r>
      <w:r>
        <w:rPr>
          <w:lang w:val="fr-FR"/>
        </w:rPr>
        <w:t xml:space="preserve">Conformément à </w:t>
      </w:r>
      <w:r w:rsidRPr="00466CE7">
        <w:rPr>
          <w:lang w:val="fr-FR"/>
        </w:rPr>
        <w:t>la loi</w:t>
      </w:r>
      <w:r>
        <w:rPr>
          <w:lang w:val="fr-FR"/>
        </w:rPr>
        <w:t xml:space="preserve"> budgétaire de</w:t>
      </w:r>
      <w:r w:rsidRPr="00466CE7">
        <w:rPr>
          <w:lang w:val="fr-FR"/>
        </w:rPr>
        <w:t xml:space="preserve"> 2019 et </w:t>
      </w:r>
      <w:r>
        <w:rPr>
          <w:lang w:val="fr-FR"/>
        </w:rPr>
        <w:t>aux prévisions budgétaires pour la période 2020-2021, l</w:t>
      </w:r>
      <w:r w:rsidRPr="00466CE7">
        <w:rPr>
          <w:lang w:val="fr-FR"/>
        </w:rPr>
        <w:t xml:space="preserve">e salaire minimum </w:t>
      </w:r>
      <w:r>
        <w:rPr>
          <w:lang w:val="fr-FR"/>
        </w:rPr>
        <w:t xml:space="preserve">a été </w:t>
      </w:r>
      <w:r w:rsidRPr="00466CE7">
        <w:rPr>
          <w:lang w:val="fr-FR"/>
        </w:rPr>
        <w:t>fixé à 1</w:t>
      </w:r>
      <w:r w:rsidR="002A6A2B">
        <w:rPr>
          <w:lang w:val="fr-FR"/>
        </w:rPr>
        <w:t> </w:t>
      </w:r>
      <w:r w:rsidRPr="00466CE7">
        <w:rPr>
          <w:lang w:val="fr-FR"/>
        </w:rPr>
        <w:t>750</w:t>
      </w:r>
      <w:r w:rsidR="002A6A2B">
        <w:rPr>
          <w:lang w:val="fr-FR"/>
        </w:rPr>
        <w:t> </w:t>
      </w:r>
      <w:proofErr w:type="spellStart"/>
      <w:r w:rsidRPr="00466CE7">
        <w:rPr>
          <w:lang w:val="fr-FR"/>
        </w:rPr>
        <w:t>soms</w:t>
      </w:r>
      <w:proofErr w:type="spellEnd"/>
      <w:r w:rsidRPr="00466CE7">
        <w:rPr>
          <w:lang w:val="fr-FR"/>
        </w:rPr>
        <w:t xml:space="preserve"> pour </w:t>
      </w:r>
      <w:r>
        <w:rPr>
          <w:lang w:val="fr-FR"/>
        </w:rPr>
        <w:t xml:space="preserve">2019, </w:t>
      </w:r>
      <w:r w:rsidRPr="00466CE7">
        <w:rPr>
          <w:lang w:val="fr-FR"/>
        </w:rPr>
        <w:t>1</w:t>
      </w:r>
      <w:r w:rsidR="002A6A2B">
        <w:rPr>
          <w:lang w:val="fr-FR"/>
        </w:rPr>
        <w:t> </w:t>
      </w:r>
      <w:r w:rsidRPr="00466CE7">
        <w:rPr>
          <w:lang w:val="fr-FR"/>
        </w:rPr>
        <w:t>854</w:t>
      </w:r>
      <w:r w:rsidR="002A6A2B">
        <w:rPr>
          <w:lang w:val="fr-FR"/>
        </w:rPr>
        <w:t> </w:t>
      </w:r>
      <w:proofErr w:type="spellStart"/>
      <w:r w:rsidRPr="00466CE7">
        <w:rPr>
          <w:lang w:val="fr-FR"/>
        </w:rPr>
        <w:t>soms</w:t>
      </w:r>
      <w:proofErr w:type="spellEnd"/>
      <w:r w:rsidRPr="00466CE7">
        <w:rPr>
          <w:lang w:val="fr-FR"/>
        </w:rPr>
        <w:t xml:space="preserve"> pour 2020 et 1</w:t>
      </w:r>
      <w:r w:rsidR="002A6A2B">
        <w:rPr>
          <w:lang w:val="fr-FR"/>
        </w:rPr>
        <w:t> </w:t>
      </w:r>
      <w:r w:rsidRPr="00466CE7">
        <w:rPr>
          <w:lang w:val="fr-FR"/>
        </w:rPr>
        <w:t>970</w:t>
      </w:r>
      <w:r w:rsidR="002A6A2B">
        <w:rPr>
          <w:lang w:val="fr-FR"/>
        </w:rPr>
        <w:t> </w:t>
      </w:r>
      <w:proofErr w:type="spellStart"/>
      <w:r w:rsidRPr="00466CE7">
        <w:rPr>
          <w:lang w:val="fr-FR"/>
        </w:rPr>
        <w:t>soms</w:t>
      </w:r>
      <w:proofErr w:type="spellEnd"/>
      <w:r w:rsidRPr="00466CE7">
        <w:rPr>
          <w:lang w:val="fr-FR"/>
        </w:rPr>
        <w:t xml:space="preserve"> pour 2021.</w:t>
      </w:r>
    </w:p>
    <w:p w14:paraId="25877650" w14:textId="7C7A49F8" w:rsidR="009C6834" w:rsidRPr="00466CE7" w:rsidRDefault="009C6834" w:rsidP="009C6834">
      <w:pPr>
        <w:pStyle w:val="SingleTxtG"/>
        <w:rPr>
          <w:lang w:val="fr-FR"/>
        </w:rPr>
      </w:pPr>
      <w:r w:rsidRPr="00466CE7">
        <w:rPr>
          <w:lang w:val="fr-FR"/>
        </w:rPr>
        <w:t>93.</w:t>
      </w:r>
      <w:r w:rsidRPr="00466CE7">
        <w:rPr>
          <w:lang w:val="fr-FR"/>
        </w:rPr>
        <w:tab/>
        <w:t xml:space="preserve">En 2019, </w:t>
      </w:r>
      <w:r>
        <w:rPr>
          <w:lang w:val="fr-FR"/>
        </w:rPr>
        <w:t xml:space="preserve">le salaire </w:t>
      </w:r>
      <w:r w:rsidRPr="00466CE7">
        <w:rPr>
          <w:lang w:val="fr-FR"/>
        </w:rPr>
        <w:t>mensuel</w:t>
      </w:r>
      <w:r>
        <w:rPr>
          <w:lang w:val="fr-FR"/>
        </w:rPr>
        <w:t xml:space="preserve"> par personne </w:t>
      </w:r>
      <w:r w:rsidRPr="00466CE7">
        <w:rPr>
          <w:lang w:val="fr-FR"/>
        </w:rPr>
        <w:t xml:space="preserve">(hors petites entreprises) </w:t>
      </w:r>
      <w:r>
        <w:rPr>
          <w:lang w:val="fr-FR"/>
        </w:rPr>
        <w:t xml:space="preserve">était en moyenne de </w:t>
      </w:r>
      <w:r w:rsidRPr="00466CE7">
        <w:rPr>
          <w:lang w:val="fr-FR"/>
        </w:rPr>
        <w:t>17</w:t>
      </w:r>
      <w:r w:rsidR="002A6A2B">
        <w:rPr>
          <w:lang w:val="fr-FR"/>
        </w:rPr>
        <w:t> </w:t>
      </w:r>
      <w:r w:rsidRPr="00466CE7">
        <w:rPr>
          <w:lang w:val="fr-FR"/>
        </w:rPr>
        <w:t>166</w:t>
      </w:r>
      <w:r w:rsidR="002A6A2B">
        <w:rPr>
          <w:lang w:val="fr-FR"/>
        </w:rPr>
        <w:t> </w:t>
      </w:r>
      <w:proofErr w:type="spellStart"/>
      <w:r w:rsidRPr="00466CE7">
        <w:rPr>
          <w:lang w:val="fr-FR"/>
        </w:rPr>
        <w:t>soms</w:t>
      </w:r>
      <w:proofErr w:type="spellEnd"/>
      <w:r>
        <w:rPr>
          <w:lang w:val="fr-FR"/>
        </w:rPr>
        <w:t>, soit une hausse nominale de</w:t>
      </w:r>
      <w:r w:rsidRPr="00466CE7">
        <w:rPr>
          <w:lang w:val="fr-FR"/>
        </w:rPr>
        <w:t xml:space="preserve"> 5,9</w:t>
      </w:r>
      <w:r w:rsidR="00CB4ECD">
        <w:rPr>
          <w:lang w:val="fr-FR"/>
        </w:rPr>
        <w:t> %</w:t>
      </w:r>
      <w:r w:rsidRPr="00697AA9">
        <w:rPr>
          <w:lang w:val="fr-FR"/>
        </w:rPr>
        <w:t xml:space="preserve"> </w:t>
      </w:r>
      <w:r w:rsidRPr="00466CE7">
        <w:rPr>
          <w:lang w:val="fr-FR"/>
        </w:rPr>
        <w:t xml:space="preserve">par rapport à 2018, </w:t>
      </w:r>
      <w:r>
        <w:rPr>
          <w:lang w:val="fr-FR"/>
        </w:rPr>
        <w:t xml:space="preserve">ou une hausse </w:t>
      </w:r>
      <w:r w:rsidRPr="00466CE7">
        <w:rPr>
          <w:lang w:val="fr-FR"/>
        </w:rPr>
        <w:t xml:space="preserve">réelle, </w:t>
      </w:r>
      <w:r>
        <w:rPr>
          <w:lang w:val="fr-FR"/>
        </w:rPr>
        <w:t xml:space="preserve">compte tenu de </w:t>
      </w:r>
      <w:r w:rsidRPr="00466CE7">
        <w:rPr>
          <w:lang w:val="fr-FR"/>
        </w:rPr>
        <w:t>l</w:t>
      </w:r>
      <w:r>
        <w:rPr>
          <w:lang w:val="fr-FR"/>
        </w:rPr>
        <w:t>’</w:t>
      </w:r>
      <w:r w:rsidRPr="00466CE7">
        <w:rPr>
          <w:lang w:val="fr-FR"/>
        </w:rPr>
        <w:t xml:space="preserve">indice des prix à la consommation, </w:t>
      </w:r>
      <w:r>
        <w:rPr>
          <w:lang w:val="fr-FR"/>
        </w:rPr>
        <w:t xml:space="preserve">de </w:t>
      </w:r>
      <w:r w:rsidRPr="00466CE7">
        <w:rPr>
          <w:lang w:val="fr-FR"/>
        </w:rPr>
        <w:t>4,7</w:t>
      </w:r>
      <w:r w:rsidR="00CB4ECD">
        <w:rPr>
          <w:lang w:val="fr-FR"/>
        </w:rPr>
        <w:t> %</w:t>
      </w:r>
      <w:r w:rsidRPr="00466CE7">
        <w:rPr>
          <w:lang w:val="fr-FR"/>
        </w:rPr>
        <w:t>. L</w:t>
      </w:r>
      <w:r>
        <w:rPr>
          <w:lang w:val="fr-FR"/>
        </w:rPr>
        <w:t xml:space="preserve">e salaire </w:t>
      </w:r>
      <w:r w:rsidRPr="00466CE7">
        <w:rPr>
          <w:lang w:val="fr-FR"/>
        </w:rPr>
        <w:t>mensuel</w:t>
      </w:r>
      <w:r>
        <w:rPr>
          <w:lang w:val="fr-FR"/>
        </w:rPr>
        <w:t xml:space="preserve"> par personne s’élève en moyenne à </w:t>
      </w:r>
      <w:r w:rsidRPr="00466CE7">
        <w:rPr>
          <w:lang w:val="fr-FR"/>
        </w:rPr>
        <w:t>14</w:t>
      </w:r>
      <w:r w:rsidR="002A6A2B">
        <w:rPr>
          <w:lang w:val="fr-FR"/>
        </w:rPr>
        <w:t> </w:t>
      </w:r>
      <w:r w:rsidRPr="00466CE7">
        <w:rPr>
          <w:lang w:val="fr-FR"/>
        </w:rPr>
        <w:t>607</w:t>
      </w:r>
      <w:r w:rsidR="002A6A2B">
        <w:rPr>
          <w:lang w:val="fr-FR"/>
        </w:rPr>
        <w:t> </w:t>
      </w:r>
      <w:proofErr w:type="spellStart"/>
      <w:r w:rsidRPr="00466CE7">
        <w:rPr>
          <w:lang w:val="fr-FR"/>
        </w:rPr>
        <w:t>soms</w:t>
      </w:r>
      <w:proofErr w:type="spellEnd"/>
      <w:r w:rsidRPr="00E70428">
        <w:rPr>
          <w:lang w:val="fr-FR"/>
        </w:rPr>
        <w:t xml:space="preserve"> </w:t>
      </w:r>
      <w:r w:rsidRPr="00466CE7">
        <w:rPr>
          <w:lang w:val="fr-FR"/>
        </w:rPr>
        <w:t>dans les régions</w:t>
      </w:r>
      <w:r>
        <w:rPr>
          <w:lang w:val="fr-FR"/>
        </w:rPr>
        <w:t xml:space="preserve"> (hors ville de Bichkek, où il atteint </w:t>
      </w:r>
      <w:r w:rsidRPr="00466CE7">
        <w:rPr>
          <w:lang w:val="fr-FR"/>
        </w:rPr>
        <w:t>22</w:t>
      </w:r>
      <w:r w:rsidR="002C42F4">
        <w:rPr>
          <w:lang w:val="fr-FR"/>
        </w:rPr>
        <w:t> </w:t>
      </w:r>
      <w:r w:rsidRPr="00466CE7">
        <w:rPr>
          <w:lang w:val="fr-FR"/>
        </w:rPr>
        <w:t>269</w:t>
      </w:r>
      <w:r w:rsidR="002C42F4">
        <w:rPr>
          <w:lang w:val="fr-FR"/>
        </w:rPr>
        <w:t> </w:t>
      </w:r>
      <w:proofErr w:type="spellStart"/>
      <w:r w:rsidRPr="00466CE7">
        <w:rPr>
          <w:lang w:val="fr-FR"/>
        </w:rPr>
        <w:t>soms</w:t>
      </w:r>
      <w:proofErr w:type="spellEnd"/>
      <w:r>
        <w:rPr>
          <w:lang w:val="fr-FR"/>
        </w:rPr>
        <w:t>)</w:t>
      </w:r>
      <w:r w:rsidRPr="00466CE7">
        <w:rPr>
          <w:lang w:val="fr-FR"/>
        </w:rPr>
        <w:t>.</w:t>
      </w:r>
    </w:p>
    <w:p w14:paraId="58D2A278" w14:textId="77777777" w:rsidR="009C6834" w:rsidRPr="00466CE7" w:rsidRDefault="009C6834" w:rsidP="009C6834">
      <w:pPr>
        <w:pStyle w:val="SingleTxtG"/>
        <w:rPr>
          <w:lang w:val="fr-FR"/>
        </w:rPr>
      </w:pPr>
      <w:r w:rsidRPr="00466CE7">
        <w:rPr>
          <w:lang w:val="fr-FR"/>
        </w:rPr>
        <w:t>94.</w:t>
      </w:r>
      <w:r w:rsidRPr="00466CE7">
        <w:rPr>
          <w:lang w:val="fr-FR"/>
        </w:rPr>
        <w:tab/>
        <w:t>Il convient de noter que le salaire minimum</w:t>
      </w:r>
      <w:r>
        <w:rPr>
          <w:lang w:val="fr-FR"/>
        </w:rPr>
        <w:t xml:space="preserve"> ne s’applique pas à la rémunération des employés du </w:t>
      </w:r>
      <w:r w:rsidRPr="00466CE7">
        <w:rPr>
          <w:lang w:val="fr-FR"/>
        </w:rPr>
        <w:t xml:space="preserve">secteur public. </w:t>
      </w:r>
      <w:r>
        <w:rPr>
          <w:lang w:val="fr-FR"/>
        </w:rPr>
        <w:t xml:space="preserve">La rémunération des employés de l’éducation et de la santé, par exemple, </w:t>
      </w:r>
      <w:r w:rsidRPr="00466CE7">
        <w:rPr>
          <w:lang w:val="fr-FR"/>
        </w:rPr>
        <w:t xml:space="preserve">est calculée </w:t>
      </w:r>
      <w:r>
        <w:rPr>
          <w:lang w:val="fr-FR"/>
        </w:rPr>
        <w:t xml:space="preserve">à partir du </w:t>
      </w:r>
      <w:r w:rsidRPr="00466CE7">
        <w:rPr>
          <w:lang w:val="fr-FR"/>
        </w:rPr>
        <w:t>taux de base, qui est deux à trois fois plus élevé que le salaire minimum.</w:t>
      </w:r>
    </w:p>
    <w:p w14:paraId="23AFB368" w14:textId="3D26E03B" w:rsidR="009C6834" w:rsidRPr="00466CE7" w:rsidRDefault="009C6834" w:rsidP="002C42F4">
      <w:pPr>
        <w:pStyle w:val="H1G"/>
        <w:rPr>
          <w:lang w:val="fr-FR"/>
        </w:rPr>
      </w:pPr>
      <w:r w:rsidRPr="00466CE7">
        <w:rPr>
          <w:lang w:val="fr-FR"/>
        </w:rPr>
        <w:tab/>
      </w:r>
      <w:r w:rsidRPr="00466CE7">
        <w:rPr>
          <w:lang w:val="fr-FR"/>
        </w:rPr>
        <w:tab/>
      </w:r>
      <w:r w:rsidR="00CB4ECD">
        <w:rPr>
          <w:lang w:val="fr-FR"/>
        </w:rPr>
        <w:t>Article </w:t>
      </w:r>
      <w:r w:rsidRPr="00466CE7">
        <w:rPr>
          <w:lang w:val="fr-FR"/>
        </w:rPr>
        <w:t>11</w:t>
      </w:r>
      <w:r w:rsidRPr="00466CE7">
        <w:rPr>
          <w:lang w:val="fr-FR"/>
        </w:rPr>
        <w:br/>
      </w:r>
      <w:r>
        <w:rPr>
          <w:lang w:val="fr-FR"/>
        </w:rPr>
        <w:t>Économie informelle</w:t>
      </w:r>
    </w:p>
    <w:p w14:paraId="26826025" w14:textId="77777777" w:rsidR="009C6834" w:rsidRPr="001F79BB" w:rsidRDefault="009C6834" w:rsidP="009C6834">
      <w:pPr>
        <w:pStyle w:val="SingleTxtG"/>
        <w:rPr>
          <w:lang w:val="fr-FR"/>
        </w:rPr>
      </w:pPr>
      <w:r w:rsidRPr="001F79BB">
        <w:rPr>
          <w:lang w:val="fr-FR"/>
        </w:rPr>
        <w:t>95.</w:t>
      </w:r>
      <w:r w:rsidRPr="001F79BB">
        <w:rPr>
          <w:lang w:val="fr-FR"/>
        </w:rPr>
        <w:tab/>
      </w:r>
      <w:r>
        <w:rPr>
          <w:lang w:val="fr-FR"/>
        </w:rPr>
        <w:t>U</w:t>
      </w:r>
      <w:r w:rsidRPr="001F79BB">
        <w:rPr>
          <w:lang w:val="fr-FR"/>
        </w:rPr>
        <w:t xml:space="preserve">n groupe de travail interministériel a été </w:t>
      </w:r>
      <w:r>
        <w:rPr>
          <w:lang w:val="fr-FR"/>
        </w:rPr>
        <w:t>chargé par le Ministère de l’économie d’</w:t>
      </w:r>
      <w:r w:rsidRPr="001F79BB">
        <w:rPr>
          <w:lang w:val="fr-FR"/>
        </w:rPr>
        <w:t xml:space="preserve">étudier le secteur </w:t>
      </w:r>
      <w:r>
        <w:rPr>
          <w:lang w:val="fr-FR"/>
        </w:rPr>
        <w:t xml:space="preserve">caché </w:t>
      </w:r>
      <w:r w:rsidRPr="001F79BB">
        <w:rPr>
          <w:lang w:val="fr-FR"/>
        </w:rPr>
        <w:t>de l</w:t>
      </w:r>
      <w:r>
        <w:rPr>
          <w:lang w:val="fr-FR"/>
        </w:rPr>
        <w:t>’</w:t>
      </w:r>
      <w:r w:rsidRPr="001F79BB">
        <w:rPr>
          <w:lang w:val="fr-FR"/>
        </w:rPr>
        <w:t xml:space="preserve">économie et </w:t>
      </w:r>
      <w:r>
        <w:rPr>
          <w:lang w:val="fr-FR"/>
        </w:rPr>
        <w:t>d’</w:t>
      </w:r>
      <w:r w:rsidRPr="001F79BB">
        <w:rPr>
          <w:lang w:val="fr-FR"/>
        </w:rPr>
        <w:t xml:space="preserve">élaborer </w:t>
      </w:r>
      <w:r>
        <w:rPr>
          <w:lang w:val="fr-FR"/>
        </w:rPr>
        <w:t xml:space="preserve">un </w:t>
      </w:r>
      <w:r w:rsidRPr="001F79BB">
        <w:rPr>
          <w:lang w:val="fr-FR"/>
        </w:rPr>
        <w:t>plan d</w:t>
      </w:r>
      <w:r>
        <w:rPr>
          <w:lang w:val="fr-FR"/>
        </w:rPr>
        <w:t>’</w:t>
      </w:r>
      <w:r w:rsidRPr="001F79BB">
        <w:rPr>
          <w:lang w:val="fr-FR"/>
        </w:rPr>
        <w:t xml:space="preserve">action </w:t>
      </w:r>
      <w:r>
        <w:rPr>
          <w:lang w:val="fr-FR"/>
        </w:rPr>
        <w:t>en vue de le réduire (arrêté de 2018). Ce groupe comprend</w:t>
      </w:r>
      <w:r w:rsidRPr="001F79BB">
        <w:rPr>
          <w:lang w:val="fr-FR"/>
        </w:rPr>
        <w:t xml:space="preserve"> en priorité des représentants du secteur public et </w:t>
      </w:r>
      <w:r>
        <w:rPr>
          <w:lang w:val="fr-FR"/>
        </w:rPr>
        <w:t xml:space="preserve">des représentants </w:t>
      </w:r>
      <w:r w:rsidRPr="001F79BB">
        <w:rPr>
          <w:lang w:val="fr-FR"/>
        </w:rPr>
        <w:t>des associations d</w:t>
      </w:r>
      <w:r>
        <w:rPr>
          <w:lang w:val="fr-FR"/>
        </w:rPr>
        <w:t>’</w:t>
      </w:r>
      <w:r w:rsidRPr="001F79BB">
        <w:rPr>
          <w:lang w:val="fr-FR"/>
        </w:rPr>
        <w:t>entreprises.</w:t>
      </w:r>
    </w:p>
    <w:p w14:paraId="72AF2A3B" w14:textId="77777777" w:rsidR="009C6834" w:rsidRPr="001F79BB" w:rsidRDefault="009C6834" w:rsidP="009C6834">
      <w:pPr>
        <w:pStyle w:val="SingleTxtG"/>
        <w:rPr>
          <w:lang w:val="fr-FR"/>
        </w:rPr>
      </w:pPr>
      <w:r>
        <w:rPr>
          <w:lang w:val="fr-FR"/>
        </w:rPr>
        <w:t>96.</w:t>
      </w:r>
      <w:r>
        <w:rPr>
          <w:lang w:val="fr-FR"/>
        </w:rPr>
        <w:tab/>
        <w:t>Le M</w:t>
      </w:r>
      <w:r w:rsidRPr="001F79BB">
        <w:rPr>
          <w:lang w:val="fr-FR"/>
        </w:rPr>
        <w:t>inistère de l</w:t>
      </w:r>
      <w:r>
        <w:rPr>
          <w:lang w:val="fr-FR"/>
        </w:rPr>
        <w:t>’</w:t>
      </w:r>
      <w:r w:rsidRPr="001F79BB">
        <w:rPr>
          <w:lang w:val="fr-FR"/>
        </w:rPr>
        <w:t xml:space="preserve">économie, avec </w:t>
      </w:r>
      <w:r>
        <w:rPr>
          <w:lang w:val="fr-FR"/>
        </w:rPr>
        <w:t xml:space="preserve">le concours </w:t>
      </w:r>
      <w:r w:rsidRPr="001F79BB">
        <w:rPr>
          <w:lang w:val="fr-FR"/>
        </w:rPr>
        <w:t xml:space="preserve">technique de la Banque européenne pour la reconstruction et le développement, a </w:t>
      </w:r>
      <w:r>
        <w:rPr>
          <w:lang w:val="fr-FR"/>
        </w:rPr>
        <w:t xml:space="preserve">commandé </w:t>
      </w:r>
      <w:r w:rsidRPr="001F79BB">
        <w:rPr>
          <w:lang w:val="fr-FR"/>
        </w:rPr>
        <w:t xml:space="preserve">une étude sur la taille du secteur </w:t>
      </w:r>
      <w:r>
        <w:rPr>
          <w:lang w:val="fr-FR"/>
        </w:rPr>
        <w:t xml:space="preserve">non observé de l’économie dans le </w:t>
      </w:r>
      <w:r w:rsidRPr="001F79BB">
        <w:rPr>
          <w:lang w:val="fr-FR"/>
        </w:rPr>
        <w:t xml:space="preserve">pays. </w:t>
      </w:r>
      <w:r>
        <w:rPr>
          <w:lang w:val="fr-FR"/>
        </w:rPr>
        <w:t>L’</w:t>
      </w:r>
      <w:r w:rsidRPr="001F79BB">
        <w:rPr>
          <w:lang w:val="fr-FR"/>
        </w:rPr>
        <w:t>étude</w:t>
      </w:r>
      <w:r>
        <w:rPr>
          <w:lang w:val="fr-FR"/>
        </w:rPr>
        <w:t xml:space="preserve"> a été réalisée par Pricewaterho</w:t>
      </w:r>
      <w:r w:rsidRPr="001F79BB">
        <w:rPr>
          <w:lang w:val="fr-FR"/>
        </w:rPr>
        <w:t>useCoopers (PwC), qui, avec une équipe d</w:t>
      </w:r>
      <w:r>
        <w:rPr>
          <w:lang w:val="fr-FR"/>
        </w:rPr>
        <w:t>’</w:t>
      </w:r>
      <w:r w:rsidRPr="001F79BB">
        <w:rPr>
          <w:lang w:val="fr-FR"/>
        </w:rPr>
        <w:t xml:space="preserve">experts internationaux, a organisé </w:t>
      </w:r>
      <w:r>
        <w:rPr>
          <w:lang w:val="fr-FR"/>
        </w:rPr>
        <w:t xml:space="preserve">au ministère plusieurs </w:t>
      </w:r>
      <w:r w:rsidRPr="001F79BB">
        <w:rPr>
          <w:lang w:val="fr-FR"/>
        </w:rPr>
        <w:t>réunions avec des représentants des milieux d</w:t>
      </w:r>
      <w:r>
        <w:rPr>
          <w:lang w:val="fr-FR"/>
        </w:rPr>
        <w:t>’</w:t>
      </w:r>
      <w:r w:rsidRPr="001F79BB">
        <w:rPr>
          <w:lang w:val="fr-FR"/>
        </w:rPr>
        <w:t xml:space="preserve">affaires et des </w:t>
      </w:r>
      <w:r>
        <w:rPr>
          <w:lang w:val="fr-FR"/>
        </w:rPr>
        <w:t xml:space="preserve">organes de l’État pour recenser </w:t>
      </w:r>
      <w:r w:rsidRPr="001F79BB">
        <w:rPr>
          <w:lang w:val="fr-FR"/>
        </w:rPr>
        <w:t>les problèmes sectoriels rencontrés par les entreprises dans le cadre de leurs activités.</w:t>
      </w:r>
    </w:p>
    <w:p w14:paraId="44F3FB84" w14:textId="52A085F2" w:rsidR="009C6834" w:rsidRPr="001F79BB" w:rsidRDefault="009C6834" w:rsidP="009C6834">
      <w:pPr>
        <w:pStyle w:val="SingleTxtG"/>
        <w:rPr>
          <w:lang w:val="fr-FR"/>
        </w:rPr>
      </w:pPr>
      <w:r w:rsidRPr="001F79BB">
        <w:rPr>
          <w:lang w:val="fr-FR"/>
        </w:rPr>
        <w:t>97.</w:t>
      </w:r>
      <w:r w:rsidRPr="001F79BB">
        <w:rPr>
          <w:lang w:val="fr-FR"/>
        </w:rPr>
        <w:tab/>
        <w:t>Selon le</w:t>
      </w:r>
      <w:r>
        <w:rPr>
          <w:lang w:val="fr-FR"/>
        </w:rPr>
        <w:t>s données du</w:t>
      </w:r>
      <w:r w:rsidRPr="001F79BB">
        <w:rPr>
          <w:lang w:val="fr-FR"/>
        </w:rPr>
        <w:t xml:space="preserve"> </w:t>
      </w:r>
      <w:r>
        <w:rPr>
          <w:lang w:val="fr-FR"/>
        </w:rPr>
        <w:t>Comité national de statistique</w:t>
      </w:r>
      <w:r w:rsidRPr="001F79BB">
        <w:rPr>
          <w:lang w:val="fr-FR"/>
        </w:rPr>
        <w:t>, l</w:t>
      </w:r>
      <w:r>
        <w:rPr>
          <w:lang w:val="fr-FR"/>
        </w:rPr>
        <w:t>’</w:t>
      </w:r>
      <w:r w:rsidRPr="001F79BB">
        <w:rPr>
          <w:lang w:val="fr-FR"/>
        </w:rPr>
        <w:t xml:space="preserve">économie non observée (cachée et informelle), </w:t>
      </w:r>
      <w:r>
        <w:rPr>
          <w:lang w:val="fr-FR"/>
        </w:rPr>
        <w:t xml:space="preserve">évaluée côté </w:t>
      </w:r>
      <w:r w:rsidRPr="001F79BB">
        <w:rPr>
          <w:lang w:val="fr-FR"/>
        </w:rPr>
        <w:t xml:space="preserve">production, </w:t>
      </w:r>
      <w:r>
        <w:rPr>
          <w:lang w:val="fr-FR"/>
        </w:rPr>
        <w:t xml:space="preserve">représentait </w:t>
      </w:r>
      <w:r w:rsidRPr="001F79BB">
        <w:rPr>
          <w:lang w:val="fr-FR"/>
        </w:rPr>
        <w:t>133,4</w:t>
      </w:r>
      <w:r w:rsidR="002C42F4">
        <w:rPr>
          <w:lang w:val="fr-FR"/>
        </w:rPr>
        <w:t> </w:t>
      </w:r>
      <w:r w:rsidRPr="001F79BB">
        <w:rPr>
          <w:lang w:val="fr-FR"/>
        </w:rPr>
        <w:t xml:space="preserve">milliards de </w:t>
      </w:r>
      <w:proofErr w:type="spellStart"/>
      <w:r w:rsidRPr="001F79BB">
        <w:rPr>
          <w:lang w:val="fr-FR"/>
        </w:rPr>
        <w:t>soms</w:t>
      </w:r>
      <w:proofErr w:type="spellEnd"/>
      <w:r w:rsidRPr="001F79BB">
        <w:rPr>
          <w:lang w:val="fr-FR"/>
        </w:rPr>
        <w:t xml:space="preserve"> </w:t>
      </w:r>
      <w:r>
        <w:rPr>
          <w:lang w:val="fr-FR"/>
        </w:rPr>
        <w:t>en 2018 (</w:t>
      </w:r>
      <w:r w:rsidRPr="001F79BB">
        <w:rPr>
          <w:lang w:val="fr-FR"/>
        </w:rPr>
        <w:t>23,4</w:t>
      </w:r>
      <w:r w:rsidR="00CB4ECD">
        <w:rPr>
          <w:lang w:val="fr-FR"/>
        </w:rPr>
        <w:t> %</w:t>
      </w:r>
      <w:r w:rsidRPr="001F79BB">
        <w:rPr>
          <w:lang w:val="fr-FR"/>
        </w:rPr>
        <w:t xml:space="preserve"> du PIB</w:t>
      </w:r>
      <w:r>
        <w:rPr>
          <w:lang w:val="fr-FR"/>
        </w:rPr>
        <w:t>)</w:t>
      </w:r>
      <w:r w:rsidRPr="001F79BB">
        <w:rPr>
          <w:lang w:val="fr-FR"/>
        </w:rPr>
        <w:t xml:space="preserve"> </w:t>
      </w:r>
      <w:r>
        <w:rPr>
          <w:lang w:val="fr-FR"/>
        </w:rPr>
        <w:t xml:space="preserve">et </w:t>
      </w:r>
      <w:r w:rsidRPr="001F79BB">
        <w:rPr>
          <w:lang w:val="fr-FR"/>
        </w:rPr>
        <w:t>145,2</w:t>
      </w:r>
      <w:r w:rsidR="002C42F4">
        <w:rPr>
          <w:lang w:val="fr-FR"/>
        </w:rPr>
        <w:t> </w:t>
      </w:r>
      <w:r w:rsidRPr="001F79BB">
        <w:rPr>
          <w:lang w:val="fr-FR"/>
        </w:rPr>
        <w:t xml:space="preserve">milliards de </w:t>
      </w:r>
      <w:proofErr w:type="spellStart"/>
      <w:r w:rsidRPr="001F79BB">
        <w:rPr>
          <w:lang w:val="fr-FR"/>
        </w:rPr>
        <w:t>soms</w:t>
      </w:r>
      <w:proofErr w:type="spellEnd"/>
      <w:r w:rsidRPr="001F79BB">
        <w:rPr>
          <w:lang w:val="fr-FR"/>
        </w:rPr>
        <w:t xml:space="preserve"> en 2019 </w:t>
      </w:r>
      <w:r>
        <w:rPr>
          <w:lang w:val="fr-FR"/>
        </w:rPr>
        <w:t>(</w:t>
      </w:r>
      <w:r w:rsidRPr="001F79BB">
        <w:rPr>
          <w:lang w:val="fr-FR"/>
        </w:rPr>
        <w:t>23,5</w:t>
      </w:r>
      <w:r w:rsidR="00CB4ECD">
        <w:rPr>
          <w:lang w:val="fr-FR"/>
        </w:rPr>
        <w:t> %</w:t>
      </w:r>
      <w:r w:rsidRPr="001F79BB">
        <w:rPr>
          <w:lang w:val="fr-FR"/>
        </w:rPr>
        <w:t xml:space="preserve"> du PIB</w:t>
      </w:r>
      <w:r>
        <w:rPr>
          <w:lang w:val="fr-FR"/>
        </w:rPr>
        <w:t>)</w:t>
      </w:r>
      <w:r w:rsidRPr="001F79BB">
        <w:rPr>
          <w:lang w:val="fr-FR"/>
        </w:rPr>
        <w:t>.</w:t>
      </w:r>
    </w:p>
    <w:p w14:paraId="5F04C7F3" w14:textId="3D3AE13E" w:rsidR="009C6834" w:rsidRPr="001F79BB" w:rsidRDefault="009C6834" w:rsidP="009C6834">
      <w:pPr>
        <w:pStyle w:val="SingleTxtG"/>
        <w:rPr>
          <w:lang w:val="fr-FR"/>
        </w:rPr>
      </w:pPr>
      <w:r w:rsidRPr="001F79BB">
        <w:rPr>
          <w:lang w:val="fr-FR"/>
        </w:rPr>
        <w:t>98.</w:t>
      </w:r>
      <w:r w:rsidRPr="001F79BB">
        <w:rPr>
          <w:lang w:val="fr-FR"/>
        </w:rPr>
        <w:tab/>
      </w:r>
      <w:r>
        <w:rPr>
          <w:lang w:val="fr-FR"/>
        </w:rPr>
        <w:t xml:space="preserve">Les deux </w:t>
      </w:r>
      <w:r w:rsidRPr="001F79BB">
        <w:rPr>
          <w:lang w:val="fr-FR"/>
        </w:rPr>
        <w:t>tiers (68</w:t>
      </w:r>
      <w:r w:rsidR="00CB4ECD">
        <w:rPr>
          <w:lang w:val="fr-FR"/>
        </w:rPr>
        <w:t> %</w:t>
      </w:r>
      <w:r w:rsidRPr="001F79BB">
        <w:rPr>
          <w:lang w:val="fr-FR"/>
        </w:rPr>
        <w:t xml:space="preserve">) des petites et moyennes entreprises en activité </w:t>
      </w:r>
      <w:r>
        <w:rPr>
          <w:lang w:val="fr-FR"/>
        </w:rPr>
        <w:t xml:space="preserve">se trouvaient </w:t>
      </w:r>
      <w:r w:rsidRPr="001F79BB">
        <w:rPr>
          <w:lang w:val="fr-FR"/>
        </w:rPr>
        <w:t>à Bichkek (2019). Le</w:t>
      </w:r>
      <w:r>
        <w:rPr>
          <w:lang w:val="fr-FR"/>
        </w:rPr>
        <w:t xml:space="preserve">s PME employaient </w:t>
      </w:r>
      <w:r w:rsidRPr="001F79BB">
        <w:rPr>
          <w:lang w:val="fr-FR"/>
        </w:rPr>
        <w:t>en 2019 107</w:t>
      </w:r>
      <w:r w:rsidR="002C42F4">
        <w:rPr>
          <w:lang w:val="fr-FR"/>
        </w:rPr>
        <w:t> </w:t>
      </w:r>
      <w:r w:rsidRPr="001F79BB">
        <w:rPr>
          <w:lang w:val="fr-FR"/>
        </w:rPr>
        <w:t>8</w:t>
      </w:r>
      <w:r>
        <w:rPr>
          <w:lang w:val="fr-FR"/>
        </w:rPr>
        <w:t>00</w:t>
      </w:r>
      <w:r w:rsidR="002C42F4">
        <w:rPr>
          <w:lang w:val="fr-FR"/>
        </w:rPr>
        <w:t> </w:t>
      </w:r>
      <w:r>
        <w:rPr>
          <w:lang w:val="fr-FR"/>
        </w:rPr>
        <w:t>personnes</w:t>
      </w:r>
      <w:r w:rsidRPr="001F79BB">
        <w:rPr>
          <w:lang w:val="fr-FR"/>
        </w:rPr>
        <w:t>. L</w:t>
      </w:r>
      <w:r>
        <w:rPr>
          <w:lang w:val="fr-FR"/>
        </w:rPr>
        <w:t xml:space="preserve">es </w:t>
      </w:r>
      <w:r w:rsidRPr="001F79BB">
        <w:rPr>
          <w:lang w:val="fr-FR"/>
        </w:rPr>
        <w:t xml:space="preserve">femmes </w:t>
      </w:r>
      <w:r>
        <w:rPr>
          <w:lang w:val="fr-FR"/>
        </w:rPr>
        <w:t xml:space="preserve">représentaient </w:t>
      </w:r>
      <w:r w:rsidRPr="001F79BB">
        <w:rPr>
          <w:lang w:val="fr-FR"/>
        </w:rPr>
        <w:t>31</w:t>
      </w:r>
      <w:r w:rsidR="00CB4ECD">
        <w:rPr>
          <w:lang w:val="fr-FR"/>
        </w:rPr>
        <w:t> %</w:t>
      </w:r>
      <w:r>
        <w:rPr>
          <w:lang w:val="fr-FR"/>
        </w:rPr>
        <w:t xml:space="preserve"> des </w:t>
      </w:r>
      <w:r w:rsidRPr="001F79BB">
        <w:rPr>
          <w:lang w:val="fr-FR"/>
        </w:rPr>
        <w:t xml:space="preserve">employés </w:t>
      </w:r>
      <w:r>
        <w:rPr>
          <w:lang w:val="fr-FR"/>
        </w:rPr>
        <w:t xml:space="preserve">des </w:t>
      </w:r>
      <w:r w:rsidRPr="001F79BB">
        <w:rPr>
          <w:lang w:val="fr-FR"/>
        </w:rPr>
        <w:t xml:space="preserve">petites entreprises. </w:t>
      </w:r>
      <w:r>
        <w:rPr>
          <w:lang w:val="fr-FR"/>
        </w:rPr>
        <w:t xml:space="preserve">Entre 2015 et 2019, </w:t>
      </w:r>
      <w:r w:rsidRPr="001F79BB">
        <w:rPr>
          <w:lang w:val="fr-FR"/>
        </w:rPr>
        <w:t>la proportion de</w:t>
      </w:r>
      <w:r>
        <w:rPr>
          <w:lang w:val="fr-FR"/>
        </w:rPr>
        <w:t>s</w:t>
      </w:r>
      <w:r w:rsidRPr="001F79BB">
        <w:rPr>
          <w:lang w:val="fr-FR"/>
        </w:rPr>
        <w:t xml:space="preserve"> femmes employées dans des petites entreprises </w:t>
      </w:r>
      <w:r>
        <w:rPr>
          <w:lang w:val="fr-FR"/>
        </w:rPr>
        <w:t xml:space="preserve">a diminué </w:t>
      </w:r>
      <w:r w:rsidRPr="001F79BB">
        <w:rPr>
          <w:lang w:val="fr-FR"/>
        </w:rPr>
        <w:t xml:space="preserve">dans la plupart des </w:t>
      </w:r>
      <w:r>
        <w:rPr>
          <w:lang w:val="fr-FR"/>
        </w:rPr>
        <w:t>secteurs de l’économie</w:t>
      </w:r>
      <w:r w:rsidRPr="001F79BB">
        <w:rPr>
          <w:lang w:val="fr-FR"/>
        </w:rPr>
        <w:t xml:space="preserve"> (information et communication, intermédiation financière et assurance, hôtellerie et restauration, etc.) </w:t>
      </w:r>
    </w:p>
    <w:p w14:paraId="55779CAD" w14:textId="23BED683" w:rsidR="009C6834" w:rsidRPr="001F79BB" w:rsidRDefault="009C6834" w:rsidP="009C6834">
      <w:pPr>
        <w:pStyle w:val="SingleTxtG"/>
        <w:rPr>
          <w:lang w:val="fr-FR"/>
        </w:rPr>
      </w:pPr>
      <w:r w:rsidRPr="001F79BB">
        <w:rPr>
          <w:lang w:val="fr-FR"/>
        </w:rPr>
        <w:t>99.</w:t>
      </w:r>
      <w:r w:rsidRPr="001F79BB">
        <w:rPr>
          <w:lang w:val="fr-FR"/>
        </w:rPr>
        <w:tab/>
        <w:t>Il convient de noter qu</w:t>
      </w:r>
      <w:r>
        <w:rPr>
          <w:lang w:val="fr-FR"/>
        </w:rPr>
        <w:t xml:space="preserve">’à l’issue d’une </w:t>
      </w:r>
      <w:r w:rsidRPr="001F79BB">
        <w:rPr>
          <w:lang w:val="fr-FR"/>
        </w:rPr>
        <w:t xml:space="preserve">conférence nationale </w:t>
      </w:r>
      <w:r>
        <w:rPr>
          <w:lang w:val="fr-FR"/>
        </w:rPr>
        <w:t>tenue le 5</w:t>
      </w:r>
      <w:r w:rsidR="002C42F4">
        <w:rPr>
          <w:lang w:val="fr-FR"/>
        </w:rPr>
        <w:t> </w:t>
      </w:r>
      <w:r>
        <w:rPr>
          <w:lang w:val="fr-FR"/>
        </w:rPr>
        <w:t>juillet 2019</w:t>
      </w:r>
      <w:r w:rsidRPr="001F79BB">
        <w:rPr>
          <w:lang w:val="fr-FR"/>
        </w:rPr>
        <w:t xml:space="preserve"> </w:t>
      </w:r>
      <w:r>
        <w:rPr>
          <w:lang w:val="fr-FR"/>
        </w:rPr>
        <w:t>sur le thème « </w:t>
      </w:r>
      <w:r w:rsidRPr="001F79BB">
        <w:rPr>
          <w:lang w:val="fr-FR"/>
        </w:rPr>
        <w:t>L</w:t>
      </w:r>
      <w:r>
        <w:rPr>
          <w:lang w:val="fr-FR"/>
        </w:rPr>
        <w:t>’</w:t>
      </w:r>
      <w:r w:rsidRPr="001F79BB">
        <w:rPr>
          <w:lang w:val="fr-FR"/>
        </w:rPr>
        <w:t>entrepreneuriat féminin en Répu</w:t>
      </w:r>
      <w:r>
        <w:rPr>
          <w:lang w:val="fr-FR"/>
        </w:rPr>
        <w:t xml:space="preserve">blique kirghize : un nouvel élan », une </w:t>
      </w:r>
      <w:r w:rsidRPr="001F79BB">
        <w:rPr>
          <w:lang w:val="fr-FR"/>
        </w:rPr>
        <w:t>résolution</w:t>
      </w:r>
      <w:r>
        <w:rPr>
          <w:lang w:val="fr-FR"/>
        </w:rPr>
        <w:t xml:space="preserve"> prévoyant l’élaboration d’un </w:t>
      </w:r>
      <w:r w:rsidRPr="001F79BB">
        <w:rPr>
          <w:lang w:val="fr-FR"/>
        </w:rPr>
        <w:t xml:space="preserve">programme national </w:t>
      </w:r>
      <w:r>
        <w:rPr>
          <w:lang w:val="fr-FR"/>
        </w:rPr>
        <w:t>à l’horizon</w:t>
      </w:r>
      <w:r w:rsidRPr="001F79BB">
        <w:rPr>
          <w:lang w:val="fr-FR"/>
        </w:rPr>
        <w:t xml:space="preserve"> 2030</w:t>
      </w:r>
      <w:r>
        <w:rPr>
          <w:lang w:val="fr-FR"/>
        </w:rPr>
        <w:t xml:space="preserve"> </w:t>
      </w:r>
      <w:r w:rsidRPr="001F79BB">
        <w:rPr>
          <w:lang w:val="fr-FR"/>
        </w:rPr>
        <w:t>pour le développement de l</w:t>
      </w:r>
      <w:r>
        <w:rPr>
          <w:lang w:val="fr-FR"/>
        </w:rPr>
        <w:t>’</w:t>
      </w:r>
      <w:r w:rsidRPr="001F79BB">
        <w:rPr>
          <w:lang w:val="fr-FR"/>
        </w:rPr>
        <w:t>entrepreneuriat féminin</w:t>
      </w:r>
      <w:r>
        <w:rPr>
          <w:lang w:val="fr-FR"/>
        </w:rPr>
        <w:t xml:space="preserve"> a été adoptée</w:t>
      </w:r>
      <w:r w:rsidRPr="001F79BB">
        <w:rPr>
          <w:lang w:val="fr-FR"/>
        </w:rPr>
        <w:t>.</w:t>
      </w:r>
    </w:p>
    <w:p w14:paraId="68C28C29" w14:textId="028BCBF1" w:rsidR="009C6834" w:rsidRPr="00466CE7" w:rsidRDefault="009C6834" w:rsidP="002C42F4">
      <w:pPr>
        <w:pStyle w:val="H1G"/>
        <w:rPr>
          <w:lang w:val="fr-FR"/>
        </w:rPr>
      </w:pPr>
      <w:r w:rsidRPr="00466CE7">
        <w:rPr>
          <w:lang w:val="fr-FR"/>
        </w:rPr>
        <w:tab/>
      </w:r>
      <w:r w:rsidRPr="00466CE7">
        <w:rPr>
          <w:lang w:val="fr-FR"/>
        </w:rPr>
        <w:tab/>
      </w:r>
      <w:r w:rsidR="00CB4ECD">
        <w:rPr>
          <w:lang w:val="fr-FR"/>
        </w:rPr>
        <w:t>Article </w:t>
      </w:r>
      <w:r w:rsidRPr="00466CE7">
        <w:rPr>
          <w:lang w:val="fr-FR"/>
        </w:rPr>
        <w:t>12</w:t>
      </w:r>
      <w:r w:rsidRPr="00466CE7">
        <w:rPr>
          <w:lang w:val="fr-FR"/>
        </w:rPr>
        <w:br/>
      </w:r>
      <w:r>
        <w:rPr>
          <w:lang w:val="fr-FR"/>
        </w:rPr>
        <w:t>Santé et sécurité au travail</w:t>
      </w:r>
    </w:p>
    <w:p w14:paraId="0A87EFA4" w14:textId="063C3E41" w:rsidR="009C6834" w:rsidRPr="00466CE7" w:rsidRDefault="009C6834" w:rsidP="009C6834">
      <w:pPr>
        <w:pStyle w:val="SingleTxtG"/>
        <w:rPr>
          <w:lang w:val="fr-FR"/>
        </w:rPr>
      </w:pPr>
      <w:r w:rsidRPr="00466CE7">
        <w:rPr>
          <w:lang w:val="fr-FR"/>
        </w:rPr>
        <w:t>100.</w:t>
      </w:r>
      <w:r w:rsidRPr="00466CE7">
        <w:rPr>
          <w:lang w:val="fr-FR"/>
        </w:rPr>
        <w:tab/>
        <w:t>Il existe 28</w:t>
      </w:r>
      <w:r w:rsidR="002C42F4">
        <w:rPr>
          <w:lang w:val="fr-FR"/>
        </w:rPr>
        <w:t> </w:t>
      </w:r>
      <w:r w:rsidRPr="00466CE7">
        <w:rPr>
          <w:lang w:val="fr-FR"/>
        </w:rPr>
        <w:t xml:space="preserve">entreprises minières dans le pays. Selon </w:t>
      </w:r>
      <w:r>
        <w:rPr>
          <w:lang w:val="fr-FR"/>
        </w:rPr>
        <w:t xml:space="preserve">la décision du </w:t>
      </w:r>
      <w:r w:rsidR="00941895">
        <w:rPr>
          <w:lang w:val="fr-FR"/>
        </w:rPr>
        <w:t xml:space="preserve">Gouvernement </w:t>
      </w:r>
      <w:r>
        <w:rPr>
          <w:lang w:val="fr-FR"/>
        </w:rPr>
        <w:t xml:space="preserve">portant </w:t>
      </w:r>
      <w:r w:rsidRPr="00466CE7">
        <w:rPr>
          <w:lang w:val="fr-FR"/>
        </w:rPr>
        <w:t xml:space="preserve">approbation des </w:t>
      </w:r>
      <w:r>
        <w:rPr>
          <w:lang w:val="fr-FR"/>
        </w:rPr>
        <w:t>textes</w:t>
      </w:r>
      <w:r w:rsidRPr="00466CE7">
        <w:rPr>
          <w:lang w:val="fr-FR"/>
        </w:rPr>
        <w:t xml:space="preserve"> juridiques </w:t>
      </w:r>
      <w:r>
        <w:rPr>
          <w:lang w:val="fr-FR"/>
        </w:rPr>
        <w:t xml:space="preserve">et </w:t>
      </w:r>
      <w:r w:rsidRPr="00466CE7">
        <w:rPr>
          <w:lang w:val="fr-FR"/>
        </w:rPr>
        <w:t xml:space="preserve">réglementaires de la République kirghize </w:t>
      </w:r>
      <w:r>
        <w:rPr>
          <w:lang w:val="fr-FR"/>
        </w:rPr>
        <w:t xml:space="preserve">relatifs à </w:t>
      </w:r>
      <w:r w:rsidRPr="00466CE7">
        <w:rPr>
          <w:lang w:val="fr-FR"/>
        </w:rPr>
        <w:t xml:space="preserve">la santé publique (2011), les personnes </w:t>
      </w:r>
      <w:r>
        <w:rPr>
          <w:lang w:val="fr-FR"/>
        </w:rPr>
        <w:t xml:space="preserve">travaillant dans </w:t>
      </w:r>
      <w:r w:rsidRPr="00466CE7">
        <w:rPr>
          <w:lang w:val="fr-FR"/>
        </w:rPr>
        <w:t xml:space="preserve">des conditions dangereuses </w:t>
      </w:r>
      <w:r>
        <w:rPr>
          <w:lang w:val="fr-FR"/>
        </w:rPr>
        <w:t xml:space="preserve">passent </w:t>
      </w:r>
      <w:r w:rsidRPr="00466CE7">
        <w:rPr>
          <w:lang w:val="fr-FR"/>
        </w:rPr>
        <w:t>des examens médicaux</w:t>
      </w:r>
      <w:r>
        <w:rPr>
          <w:lang w:val="fr-FR"/>
        </w:rPr>
        <w:t xml:space="preserve"> préliminaires et périodiques. E</w:t>
      </w:r>
      <w:r w:rsidRPr="00466CE7">
        <w:rPr>
          <w:lang w:val="fr-FR"/>
        </w:rPr>
        <w:t xml:space="preserve">n 2018, </w:t>
      </w:r>
      <w:r>
        <w:rPr>
          <w:lang w:val="fr-FR"/>
        </w:rPr>
        <w:t>7 </w:t>
      </w:r>
      <w:r w:rsidRPr="00466CE7">
        <w:rPr>
          <w:lang w:val="fr-FR"/>
        </w:rPr>
        <w:t>320</w:t>
      </w:r>
      <w:r>
        <w:rPr>
          <w:lang w:val="fr-FR"/>
        </w:rPr>
        <w:t xml:space="preserve"> des </w:t>
      </w:r>
      <w:r w:rsidRPr="00466CE7">
        <w:rPr>
          <w:lang w:val="fr-FR"/>
        </w:rPr>
        <w:t>7</w:t>
      </w:r>
      <w:r w:rsidR="002C42F4">
        <w:rPr>
          <w:lang w:val="fr-FR"/>
        </w:rPr>
        <w:t> </w:t>
      </w:r>
      <w:r w:rsidRPr="00466CE7">
        <w:rPr>
          <w:lang w:val="fr-FR"/>
        </w:rPr>
        <w:t>451</w:t>
      </w:r>
      <w:r w:rsidR="002C42F4">
        <w:rPr>
          <w:lang w:val="fr-FR"/>
        </w:rPr>
        <w:t> </w:t>
      </w:r>
      <w:r w:rsidRPr="00466CE7">
        <w:rPr>
          <w:lang w:val="fr-FR"/>
        </w:rPr>
        <w:t xml:space="preserve">personnes </w:t>
      </w:r>
      <w:r>
        <w:rPr>
          <w:lang w:val="fr-FR"/>
        </w:rPr>
        <w:t xml:space="preserve">qui </w:t>
      </w:r>
      <w:r>
        <w:rPr>
          <w:lang w:val="fr-FR"/>
        </w:rPr>
        <w:lastRenderedPageBreak/>
        <w:t xml:space="preserve">devaient se soumettre à une visite médicale de prévention ont effectivement passé cette visite, ce qui représente un taux de </w:t>
      </w:r>
      <w:r w:rsidRPr="00466CE7">
        <w:rPr>
          <w:lang w:val="fr-FR"/>
        </w:rPr>
        <w:t>98,2</w:t>
      </w:r>
      <w:r w:rsidR="00CB4ECD">
        <w:rPr>
          <w:lang w:val="fr-FR"/>
        </w:rPr>
        <w:t> %</w:t>
      </w:r>
      <w:r w:rsidRPr="00466CE7">
        <w:rPr>
          <w:lang w:val="fr-FR"/>
        </w:rPr>
        <w:t>.</w:t>
      </w:r>
    </w:p>
    <w:p w14:paraId="1C012BE4" w14:textId="77777777" w:rsidR="009C6834" w:rsidRPr="00466CE7" w:rsidRDefault="009C6834" w:rsidP="009C6834">
      <w:pPr>
        <w:pStyle w:val="SingleTxtG"/>
        <w:rPr>
          <w:lang w:val="fr-FR"/>
        </w:rPr>
      </w:pPr>
      <w:r w:rsidRPr="00466CE7">
        <w:rPr>
          <w:lang w:val="fr-FR"/>
        </w:rPr>
        <w:t>101.</w:t>
      </w:r>
      <w:r w:rsidRPr="00466CE7">
        <w:rPr>
          <w:lang w:val="fr-FR"/>
        </w:rPr>
        <w:tab/>
        <w:t>Aucun cas de maladie professionnelle n</w:t>
      </w:r>
      <w:r>
        <w:rPr>
          <w:lang w:val="fr-FR"/>
        </w:rPr>
        <w:t>’</w:t>
      </w:r>
      <w:r w:rsidRPr="00466CE7">
        <w:rPr>
          <w:lang w:val="fr-FR"/>
        </w:rPr>
        <w:t xml:space="preserve">a été enregistré en 2018 </w:t>
      </w:r>
      <w:r>
        <w:rPr>
          <w:lang w:val="fr-FR"/>
        </w:rPr>
        <w:t xml:space="preserve">ni au cours des neuf premiers mois </w:t>
      </w:r>
      <w:r w:rsidRPr="00466CE7">
        <w:rPr>
          <w:lang w:val="fr-FR"/>
        </w:rPr>
        <w:t>de 2019.</w:t>
      </w:r>
    </w:p>
    <w:p w14:paraId="73FD7DFA" w14:textId="65DFCCEC" w:rsidR="009C6834" w:rsidRPr="00466CE7" w:rsidRDefault="009C6834" w:rsidP="00E1792A">
      <w:pPr>
        <w:pStyle w:val="SingleTxtG"/>
        <w:rPr>
          <w:lang w:val="fr-FR"/>
        </w:rPr>
      </w:pPr>
      <w:r w:rsidRPr="00466CE7">
        <w:rPr>
          <w:lang w:val="fr-FR"/>
        </w:rPr>
        <w:t>102.</w:t>
      </w:r>
      <w:r w:rsidRPr="00466CE7">
        <w:rPr>
          <w:lang w:val="fr-FR"/>
        </w:rPr>
        <w:tab/>
      </w:r>
      <w:r>
        <w:rPr>
          <w:lang w:val="fr-FR"/>
        </w:rPr>
        <w:t xml:space="preserve">Les conditions de </w:t>
      </w:r>
      <w:r w:rsidRPr="00466CE7">
        <w:rPr>
          <w:lang w:val="fr-FR"/>
        </w:rPr>
        <w:t xml:space="preserve">logement et </w:t>
      </w:r>
      <w:r>
        <w:rPr>
          <w:lang w:val="fr-FR"/>
        </w:rPr>
        <w:t>d’alimentation</w:t>
      </w:r>
      <w:r w:rsidRPr="00466CE7">
        <w:rPr>
          <w:lang w:val="fr-FR"/>
        </w:rPr>
        <w:t xml:space="preserve"> des travailleurs </w:t>
      </w:r>
      <w:r>
        <w:rPr>
          <w:lang w:val="fr-FR"/>
        </w:rPr>
        <w:t>sont régulièrement contrôlées</w:t>
      </w:r>
      <w:r w:rsidRPr="00466CE7">
        <w:rPr>
          <w:lang w:val="fr-FR"/>
        </w:rPr>
        <w:t xml:space="preserve">. </w:t>
      </w:r>
      <w:r>
        <w:rPr>
          <w:lang w:val="fr-FR"/>
        </w:rPr>
        <w:t>L</w:t>
      </w:r>
      <w:r w:rsidRPr="00466CE7">
        <w:rPr>
          <w:lang w:val="fr-FR"/>
        </w:rPr>
        <w:t>a qualité de l</w:t>
      </w:r>
      <w:r>
        <w:rPr>
          <w:lang w:val="fr-FR"/>
        </w:rPr>
        <w:t>’</w:t>
      </w:r>
      <w:r w:rsidRPr="00466CE7">
        <w:rPr>
          <w:lang w:val="fr-FR"/>
        </w:rPr>
        <w:t xml:space="preserve">eau potable et des </w:t>
      </w:r>
      <w:r>
        <w:rPr>
          <w:lang w:val="fr-FR"/>
        </w:rPr>
        <w:t xml:space="preserve">denrées alimentaires </w:t>
      </w:r>
      <w:r w:rsidRPr="00466CE7">
        <w:rPr>
          <w:lang w:val="fr-FR"/>
        </w:rPr>
        <w:t xml:space="preserve">est </w:t>
      </w:r>
      <w:r>
        <w:rPr>
          <w:lang w:val="fr-FR"/>
        </w:rPr>
        <w:t>contrôlée</w:t>
      </w:r>
      <w:r w:rsidRPr="00970634">
        <w:rPr>
          <w:lang w:val="fr-FR"/>
        </w:rPr>
        <w:t xml:space="preserve"> </w:t>
      </w:r>
      <w:r w:rsidRPr="00466CE7">
        <w:rPr>
          <w:lang w:val="fr-FR"/>
        </w:rPr>
        <w:t xml:space="preserve">en laboratoire. </w:t>
      </w:r>
      <w:r>
        <w:rPr>
          <w:lang w:val="fr-FR"/>
        </w:rPr>
        <w:t xml:space="preserve">Sur les </w:t>
      </w:r>
      <w:r w:rsidRPr="00466CE7">
        <w:rPr>
          <w:lang w:val="fr-FR"/>
        </w:rPr>
        <w:t>110</w:t>
      </w:r>
      <w:r w:rsidR="002C42F4">
        <w:rPr>
          <w:lang w:val="fr-FR"/>
        </w:rPr>
        <w:t> </w:t>
      </w:r>
      <w:r w:rsidRPr="00466CE7">
        <w:rPr>
          <w:lang w:val="fr-FR"/>
        </w:rPr>
        <w:t>échantillons d</w:t>
      </w:r>
      <w:r>
        <w:rPr>
          <w:lang w:val="fr-FR"/>
        </w:rPr>
        <w:t>’</w:t>
      </w:r>
      <w:r w:rsidRPr="00466CE7">
        <w:rPr>
          <w:lang w:val="fr-FR"/>
        </w:rPr>
        <w:t xml:space="preserve">eau potable et </w:t>
      </w:r>
      <w:r>
        <w:rPr>
          <w:lang w:val="fr-FR"/>
        </w:rPr>
        <w:t xml:space="preserve">les </w:t>
      </w:r>
      <w:r w:rsidRPr="00466CE7">
        <w:rPr>
          <w:lang w:val="fr-FR"/>
        </w:rPr>
        <w:t>560</w:t>
      </w:r>
      <w:r w:rsidR="002C42F4">
        <w:rPr>
          <w:lang w:val="fr-FR"/>
        </w:rPr>
        <w:t> </w:t>
      </w:r>
      <w:r w:rsidRPr="00466CE7">
        <w:rPr>
          <w:lang w:val="fr-FR"/>
        </w:rPr>
        <w:t>échantillons d</w:t>
      </w:r>
      <w:r>
        <w:rPr>
          <w:lang w:val="fr-FR"/>
        </w:rPr>
        <w:t>’</w:t>
      </w:r>
      <w:r w:rsidRPr="00466CE7">
        <w:rPr>
          <w:lang w:val="fr-FR"/>
        </w:rPr>
        <w:t>aliments prélevés pour d</w:t>
      </w:r>
      <w:r>
        <w:rPr>
          <w:lang w:val="fr-FR"/>
        </w:rPr>
        <w:t>es tests de laboratoire, aucun écart n’a été détecté</w:t>
      </w:r>
      <w:r w:rsidRPr="00466CE7">
        <w:rPr>
          <w:lang w:val="fr-FR"/>
        </w:rPr>
        <w:t xml:space="preserve">. </w:t>
      </w:r>
    </w:p>
    <w:p w14:paraId="5ED6C9D8" w14:textId="15DE3000" w:rsidR="009C6834" w:rsidRPr="00466CE7" w:rsidRDefault="009C6834" w:rsidP="009C6834">
      <w:pPr>
        <w:pStyle w:val="SingleTxtG"/>
        <w:rPr>
          <w:lang w:val="fr-FR"/>
        </w:rPr>
      </w:pPr>
      <w:r w:rsidRPr="00466CE7">
        <w:rPr>
          <w:lang w:val="fr-FR"/>
        </w:rPr>
        <w:t>103.</w:t>
      </w:r>
      <w:r w:rsidRPr="00466CE7">
        <w:rPr>
          <w:lang w:val="fr-FR"/>
        </w:rPr>
        <w:tab/>
        <w:t>L</w:t>
      </w:r>
      <w:r>
        <w:rPr>
          <w:lang w:val="fr-FR"/>
        </w:rPr>
        <w:t>’</w:t>
      </w:r>
      <w:r w:rsidR="00CB4ECD">
        <w:rPr>
          <w:lang w:val="fr-FR"/>
        </w:rPr>
        <w:t>article </w:t>
      </w:r>
      <w:r w:rsidRPr="00466CE7">
        <w:rPr>
          <w:lang w:val="fr-FR"/>
        </w:rPr>
        <w:t xml:space="preserve">211 du </w:t>
      </w:r>
      <w:r w:rsidR="009603CF">
        <w:rPr>
          <w:lang w:val="fr-FR"/>
        </w:rPr>
        <w:t>Code du travail</w:t>
      </w:r>
      <w:r w:rsidRPr="00466CE7">
        <w:rPr>
          <w:lang w:val="fr-FR"/>
        </w:rPr>
        <w:t xml:space="preserve"> stipule que l</w:t>
      </w:r>
      <w:r>
        <w:rPr>
          <w:lang w:val="fr-FR"/>
        </w:rPr>
        <w:t>’</w:t>
      </w:r>
      <w:r w:rsidRPr="00466CE7">
        <w:rPr>
          <w:lang w:val="fr-FR"/>
        </w:rPr>
        <w:t xml:space="preserve">employeur est </w:t>
      </w:r>
      <w:r>
        <w:rPr>
          <w:lang w:val="fr-FR"/>
        </w:rPr>
        <w:t xml:space="preserve">tenu d’assurer, par ses propres moyens, des </w:t>
      </w:r>
      <w:r w:rsidRPr="00466CE7">
        <w:rPr>
          <w:lang w:val="fr-FR"/>
        </w:rPr>
        <w:t xml:space="preserve">conditions de travail saines et sûres </w:t>
      </w:r>
      <w:r>
        <w:rPr>
          <w:lang w:val="fr-FR"/>
        </w:rPr>
        <w:t xml:space="preserve">à ses </w:t>
      </w:r>
      <w:r w:rsidRPr="00466CE7">
        <w:rPr>
          <w:lang w:val="fr-FR"/>
        </w:rPr>
        <w:t xml:space="preserve">employés et </w:t>
      </w:r>
      <w:r>
        <w:rPr>
          <w:lang w:val="fr-FR"/>
        </w:rPr>
        <w:t xml:space="preserve">de respecter les normes </w:t>
      </w:r>
      <w:r w:rsidRPr="00466CE7">
        <w:rPr>
          <w:lang w:val="fr-FR"/>
        </w:rPr>
        <w:t xml:space="preserve">en matière de </w:t>
      </w:r>
      <w:r>
        <w:rPr>
          <w:lang w:val="fr-FR"/>
        </w:rPr>
        <w:t xml:space="preserve">protection </w:t>
      </w:r>
      <w:r w:rsidRPr="00466CE7">
        <w:rPr>
          <w:lang w:val="fr-FR"/>
        </w:rPr>
        <w:t>du travail.</w:t>
      </w:r>
    </w:p>
    <w:p w14:paraId="710A3E34" w14:textId="55CA55A6" w:rsidR="009C6834" w:rsidRPr="00466CE7" w:rsidRDefault="009C6834" w:rsidP="009C6834">
      <w:pPr>
        <w:pStyle w:val="SingleTxtG"/>
        <w:rPr>
          <w:lang w:val="fr-FR"/>
        </w:rPr>
      </w:pPr>
      <w:r w:rsidRPr="00466CE7">
        <w:rPr>
          <w:lang w:val="fr-FR"/>
        </w:rPr>
        <w:t>104.</w:t>
      </w:r>
      <w:r w:rsidRPr="00466CE7">
        <w:rPr>
          <w:lang w:val="fr-FR"/>
        </w:rPr>
        <w:tab/>
      </w:r>
      <w:r>
        <w:rPr>
          <w:lang w:val="fr-FR"/>
        </w:rPr>
        <w:t xml:space="preserve">Conformément à </w:t>
      </w:r>
      <w:r w:rsidRPr="00466CE7">
        <w:rPr>
          <w:lang w:val="fr-FR"/>
        </w:rPr>
        <w:t>l</w:t>
      </w:r>
      <w:r>
        <w:rPr>
          <w:lang w:val="fr-FR"/>
        </w:rPr>
        <w:t>’</w:t>
      </w:r>
      <w:r w:rsidR="00CB4ECD">
        <w:rPr>
          <w:lang w:val="fr-FR"/>
        </w:rPr>
        <w:t>article </w:t>
      </w:r>
      <w:r w:rsidRPr="00466CE7">
        <w:rPr>
          <w:lang w:val="fr-FR"/>
        </w:rPr>
        <w:t xml:space="preserve">223 du </w:t>
      </w:r>
      <w:r w:rsidR="009603CF">
        <w:rPr>
          <w:lang w:val="fr-FR"/>
        </w:rPr>
        <w:t>Code du travail</w:t>
      </w:r>
      <w:r w:rsidRPr="00466CE7">
        <w:rPr>
          <w:lang w:val="fr-FR"/>
        </w:rPr>
        <w:t>, les accidents du travail et les maladies professionnelles font l</w:t>
      </w:r>
      <w:r>
        <w:rPr>
          <w:lang w:val="fr-FR"/>
        </w:rPr>
        <w:t>’</w:t>
      </w:r>
      <w:r w:rsidRPr="00466CE7">
        <w:rPr>
          <w:lang w:val="fr-FR"/>
        </w:rPr>
        <w:t>objet d</w:t>
      </w:r>
      <w:r>
        <w:rPr>
          <w:lang w:val="fr-FR"/>
        </w:rPr>
        <w:t>’</w:t>
      </w:r>
      <w:r w:rsidRPr="00466CE7">
        <w:rPr>
          <w:lang w:val="fr-FR"/>
        </w:rPr>
        <w:t xml:space="preserve">une enquête et sont enregistrés selon la procédure </w:t>
      </w:r>
      <w:r>
        <w:rPr>
          <w:lang w:val="fr-FR"/>
        </w:rPr>
        <w:t>définie</w:t>
      </w:r>
      <w:r w:rsidRPr="00466CE7">
        <w:rPr>
          <w:lang w:val="fr-FR"/>
        </w:rPr>
        <w:t xml:space="preserve"> par le </w:t>
      </w:r>
      <w:r w:rsidR="005D7F19" w:rsidRPr="00466CE7">
        <w:rPr>
          <w:lang w:val="fr-FR"/>
        </w:rPr>
        <w:t>Gouvernement</w:t>
      </w:r>
      <w:r w:rsidRPr="00466CE7">
        <w:rPr>
          <w:lang w:val="fr-FR"/>
        </w:rPr>
        <w:t>. Si l</w:t>
      </w:r>
      <w:r>
        <w:rPr>
          <w:lang w:val="fr-FR"/>
        </w:rPr>
        <w:t>’</w:t>
      </w:r>
      <w:r w:rsidRPr="00466CE7">
        <w:rPr>
          <w:lang w:val="fr-FR"/>
        </w:rPr>
        <w:t>employeur refuse d</w:t>
      </w:r>
      <w:r>
        <w:rPr>
          <w:lang w:val="fr-FR"/>
        </w:rPr>
        <w:t>’</w:t>
      </w:r>
      <w:r w:rsidRPr="00466CE7">
        <w:rPr>
          <w:lang w:val="fr-FR"/>
        </w:rPr>
        <w:t>enquêter ou d</w:t>
      </w:r>
      <w:r>
        <w:rPr>
          <w:lang w:val="fr-FR"/>
        </w:rPr>
        <w:t>’</w:t>
      </w:r>
      <w:r w:rsidRPr="00466CE7">
        <w:rPr>
          <w:lang w:val="fr-FR"/>
        </w:rPr>
        <w:t>établir une déclaration d</w:t>
      </w:r>
      <w:r>
        <w:rPr>
          <w:lang w:val="fr-FR"/>
        </w:rPr>
        <w:t>’</w:t>
      </w:r>
      <w:r w:rsidRPr="00466CE7">
        <w:rPr>
          <w:lang w:val="fr-FR"/>
        </w:rPr>
        <w:t>accident</w:t>
      </w:r>
      <w:r w:rsidRPr="00E70428">
        <w:rPr>
          <w:lang w:val="fr-FR"/>
        </w:rPr>
        <w:t xml:space="preserve"> </w:t>
      </w:r>
      <w:r w:rsidRPr="00466CE7">
        <w:rPr>
          <w:lang w:val="fr-FR"/>
        </w:rPr>
        <w:t xml:space="preserve">selon le formulaire H-1 ou </w:t>
      </w:r>
      <w:r>
        <w:rPr>
          <w:lang w:val="fr-FR"/>
        </w:rPr>
        <w:t xml:space="preserve">une déclaration </w:t>
      </w:r>
      <w:r w:rsidRPr="00466CE7">
        <w:rPr>
          <w:lang w:val="fr-FR"/>
        </w:rPr>
        <w:t>de maladie professionnelle</w:t>
      </w:r>
      <w:r>
        <w:rPr>
          <w:lang w:val="fr-FR"/>
        </w:rPr>
        <w:t>,</w:t>
      </w:r>
      <w:r w:rsidRPr="00466CE7">
        <w:rPr>
          <w:lang w:val="fr-FR"/>
        </w:rPr>
        <w:t xml:space="preserve"> ou si la victime, les parents du défunt ou leur mandataire ne sont pas d</w:t>
      </w:r>
      <w:r>
        <w:rPr>
          <w:lang w:val="fr-FR"/>
        </w:rPr>
        <w:t>’</w:t>
      </w:r>
      <w:r w:rsidRPr="00466CE7">
        <w:rPr>
          <w:lang w:val="fr-FR"/>
        </w:rPr>
        <w:t xml:space="preserve">accord avec le contenu de la déclaration, ils peuvent </w:t>
      </w:r>
      <w:r>
        <w:rPr>
          <w:lang w:val="fr-FR"/>
        </w:rPr>
        <w:t xml:space="preserve">saisir les </w:t>
      </w:r>
      <w:r w:rsidRPr="00466CE7">
        <w:rPr>
          <w:lang w:val="fr-FR"/>
        </w:rPr>
        <w:t xml:space="preserve">organes </w:t>
      </w:r>
      <w:r>
        <w:rPr>
          <w:lang w:val="fr-FR"/>
        </w:rPr>
        <w:t xml:space="preserve">publics </w:t>
      </w:r>
      <w:r w:rsidRPr="00466CE7">
        <w:rPr>
          <w:lang w:val="fr-FR"/>
        </w:rPr>
        <w:t>compétents chargés de la surveillance et du contrôle du respect de la législation du travail, l</w:t>
      </w:r>
      <w:r>
        <w:rPr>
          <w:lang w:val="fr-FR"/>
        </w:rPr>
        <w:t>’</w:t>
      </w:r>
      <w:r w:rsidRPr="00466CE7">
        <w:rPr>
          <w:lang w:val="fr-FR"/>
        </w:rPr>
        <w:t xml:space="preserve">inspection technique du travail </w:t>
      </w:r>
      <w:r>
        <w:rPr>
          <w:lang w:val="fr-FR"/>
        </w:rPr>
        <w:t xml:space="preserve">de la Fédération </w:t>
      </w:r>
      <w:r w:rsidRPr="00466CE7">
        <w:rPr>
          <w:lang w:val="fr-FR"/>
        </w:rPr>
        <w:t xml:space="preserve">des syndicats, </w:t>
      </w:r>
      <w:r>
        <w:rPr>
          <w:lang w:val="fr-FR"/>
        </w:rPr>
        <w:t xml:space="preserve">le </w:t>
      </w:r>
      <w:r w:rsidRPr="00466CE7">
        <w:rPr>
          <w:lang w:val="fr-FR"/>
        </w:rPr>
        <w:t xml:space="preserve">service </w:t>
      </w:r>
      <w:r>
        <w:rPr>
          <w:lang w:val="fr-FR"/>
        </w:rPr>
        <w:t xml:space="preserve">public </w:t>
      </w:r>
      <w:r w:rsidRPr="00466CE7">
        <w:rPr>
          <w:lang w:val="fr-FR"/>
        </w:rPr>
        <w:t>sanitaire et épidémiologique</w:t>
      </w:r>
      <w:r>
        <w:rPr>
          <w:lang w:val="fr-FR"/>
        </w:rPr>
        <w:t>,</w:t>
      </w:r>
      <w:r w:rsidRPr="00466CE7">
        <w:rPr>
          <w:lang w:val="fr-FR"/>
        </w:rPr>
        <w:t xml:space="preserve"> ou </w:t>
      </w:r>
      <w:r>
        <w:rPr>
          <w:lang w:val="fr-FR"/>
        </w:rPr>
        <w:t>encore la justice</w:t>
      </w:r>
      <w:r w:rsidRPr="00466CE7">
        <w:rPr>
          <w:lang w:val="fr-FR"/>
        </w:rPr>
        <w:t>.</w:t>
      </w:r>
    </w:p>
    <w:p w14:paraId="31014FD2" w14:textId="382BF5AF" w:rsidR="009C6834" w:rsidRPr="00466CE7" w:rsidRDefault="009C6834" w:rsidP="009C6834">
      <w:pPr>
        <w:pStyle w:val="SingleTxtG"/>
        <w:rPr>
          <w:lang w:val="fr-FR"/>
        </w:rPr>
      </w:pPr>
      <w:r w:rsidRPr="00466CE7">
        <w:rPr>
          <w:lang w:val="fr-FR"/>
        </w:rPr>
        <w:t>105.</w:t>
      </w:r>
      <w:r w:rsidRPr="00466CE7">
        <w:rPr>
          <w:lang w:val="fr-FR"/>
        </w:rPr>
        <w:tab/>
      </w:r>
      <w:r>
        <w:rPr>
          <w:lang w:val="fr-FR"/>
        </w:rPr>
        <w:t>C</w:t>
      </w:r>
      <w:r w:rsidRPr="00466CE7">
        <w:rPr>
          <w:lang w:val="fr-FR"/>
        </w:rPr>
        <w:t>onformément à l</w:t>
      </w:r>
      <w:r>
        <w:rPr>
          <w:lang w:val="fr-FR"/>
        </w:rPr>
        <w:t>’</w:t>
      </w:r>
      <w:r w:rsidR="00CB4ECD">
        <w:rPr>
          <w:lang w:val="fr-FR"/>
        </w:rPr>
        <w:t>article </w:t>
      </w:r>
      <w:r w:rsidRPr="00466CE7">
        <w:rPr>
          <w:lang w:val="fr-FR"/>
        </w:rPr>
        <w:t xml:space="preserve">225 du </w:t>
      </w:r>
      <w:r w:rsidR="009603CF">
        <w:rPr>
          <w:lang w:val="fr-FR"/>
        </w:rPr>
        <w:t>Code du travail</w:t>
      </w:r>
      <w:r w:rsidRPr="00466CE7">
        <w:rPr>
          <w:lang w:val="fr-FR"/>
        </w:rPr>
        <w:t>, l</w:t>
      </w:r>
      <w:r>
        <w:rPr>
          <w:lang w:val="fr-FR"/>
        </w:rPr>
        <w:t>’</w:t>
      </w:r>
      <w:r w:rsidRPr="00466CE7">
        <w:rPr>
          <w:lang w:val="fr-FR"/>
        </w:rPr>
        <w:t xml:space="preserve">employeur est responsable des </w:t>
      </w:r>
      <w:r>
        <w:rPr>
          <w:lang w:val="fr-FR"/>
        </w:rPr>
        <w:t xml:space="preserve">préjudices causés à ses </w:t>
      </w:r>
      <w:r w:rsidRPr="00466CE7">
        <w:rPr>
          <w:lang w:val="fr-FR"/>
        </w:rPr>
        <w:t xml:space="preserve">employés </w:t>
      </w:r>
      <w:r>
        <w:rPr>
          <w:lang w:val="fr-FR"/>
        </w:rPr>
        <w:t xml:space="preserve">du fait </w:t>
      </w:r>
      <w:r w:rsidRPr="00466CE7">
        <w:rPr>
          <w:lang w:val="fr-FR"/>
        </w:rPr>
        <w:t>d</w:t>
      </w:r>
      <w:r>
        <w:rPr>
          <w:lang w:val="fr-FR"/>
        </w:rPr>
        <w:t>’</w:t>
      </w:r>
      <w:r w:rsidRPr="00466CE7">
        <w:rPr>
          <w:lang w:val="fr-FR"/>
        </w:rPr>
        <w:t>une blessure, d</w:t>
      </w:r>
      <w:r>
        <w:rPr>
          <w:lang w:val="fr-FR"/>
        </w:rPr>
        <w:t>’</w:t>
      </w:r>
      <w:r w:rsidRPr="00466CE7">
        <w:rPr>
          <w:lang w:val="fr-FR"/>
        </w:rPr>
        <w:t xml:space="preserve">une maladie professionnelle ou </w:t>
      </w:r>
      <w:r>
        <w:rPr>
          <w:lang w:val="fr-FR"/>
        </w:rPr>
        <w:t xml:space="preserve">de toute </w:t>
      </w:r>
      <w:r w:rsidRPr="00466CE7">
        <w:rPr>
          <w:lang w:val="fr-FR"/>
        </w:rPr>
        <w:t xml:space="preserve">autre atteinte à la santé </w:t>
      </w:r>
      <w:r>
        <w:rPr>
          <w:lang w:val="fr-FR"/>
        </w:rPr>
        <w:t xml:space="preserve">liée à l’exercice de leur activité professionnelle et survenue à l’intérieur ou en dehors des </w:t>
      </w:r>
      <w:r w:rsidRPr="00466CE7">
        <w:rPr>
          <w:lang w:val="fr-FR"/>
        </w:rPr>
        <w:t>locaux de l</w:t>
      </w:r>
      <w:r>
        <w:rPr>
          <w:lang w:val="fr-FR"/>
        </w:rPr>
        <w:t>’</w:t>
      </w:r>
      <w:r w:rsidRPr="00466CE7">
        <w:rPr>
          <w:lang w:val="fr-FR"/>
        </w:rPr>
        <w:t xml:space="preserve">employeur </w:t>
      </w:r>
      <w:r>
        <w:rPr>
          <w:lang w:val="fr-FR"/>
        </w:rPr>
        <w:t xml:space="preserve">ou </w:t>
      </w:r>
      <w:r w:rsidRPr="00466CE7">
        <w:rPr>
          <w:lang w:val="fr-FR"/>
        </w:rPr>
        <w:t xml:space="preserve">pendant </w:t>
      </w:r>
      <w:r>
        <w:rPr>
          <w:lang w:val="fr-FR"/>
        </w:rPr>
        <w:t xml:space="preserve">le </w:t>
      </w:r>
      <w:r w:rsidRPr="00466CE7">
        <w:rPr>
          <w:lang w:val="fr-FR"/>
        </w:rPr>
        <w:t xml:space="preserve">trajet </w:t>
      </w:r>
      <w:r>
        <w:rPr>
          <w:lang w:val="fr-FR"/>
        </w:rPr>
        <w:t xml:space="preserve">effectué entre leur domicile et leur lieu de </w:t>
      </w:r>
      <w:r w:rsidRPr="00466CE7">
        <w:rPr>
          <w:lang w:val="fr-FR"/>
        </w:rPr>
        <w:t xml:space="preserve">travail dans </w:t>
      </w:r>
      <w:r>
        <w:rPr>
          <w:lang w:val="fr-FR"/>
        </w:rPr>
        <w:t xml:space="preserve">un </w:t>
      </w:r>
      <w:r w:rsidRPr="00466CE7">
        <w:rPr>
          <w:lang w:val="fr-FR"/>
        </w:rPr>
        <w:t>moyen de transport fourni par l</w:t>
      </w:r>
      <w:r>
        <w:rPr>
          <w:lang w:val="fr-FR"/>
        </w:rPr>
        <w:t>’</w:t>
      </w:r>
      <w:r w:rsidRPr="00466CE7">
        <w:rPr>
          <w:lang w:val="fr-FR"/>
        </w:rPr>
        <w:t>employeur.</w:t>
      </w:r>
    </w:p>
    <w:p w14:paraId="1A5FF9BE" w14:textId="1E28FC52" w:rsidR="009C6834" w:rsidRPr="00466CE7" w:rsidRDefault="009C6834" w:rsidP="009C6834">
      <w:pPr>
        <w:pStyle w:val="SingleTxtG"/>
        <w:rPr>
          <w:lang w:val="fr-FR"/>
        </w:rPr>
      </w:pPr>
      <w:r w:rsidRPr="00466CE7">
        <w:rPr>
          <w:lang w:val="fr-FR"/>
        </w:rPr>
        <w:t>106.</w:t>
      </w:r>
      <w:r w:rsidRPr="00466CE7">
        <w:rPr>
          <w:lang w:val="fr-FR"/>
        </w:rPr>
        <w:tab/>
        <w:t>L</w:t>
      </w:r>
      <w:r>
        <w:rPr>
          <w:lang w:val="fr-FR"/>
        </w:rPr>
        <w:t>’</w:t>
      </w:r>
      <w:r w:rsidR="00CB4ECD">
        <w:rPr>
          <w:lang w:val="fr-FR"/>
        </w:rPr>
        <w:t>article </w:t>
      </w:r>
      <w:r w:rsidRPr="00466CE7">
        <w:rPr>
          <w:lang w:val="fr-FR"/>
        </w:rPr>
        <w:t xml:space="preserve">231 du </w:t>
      </w:r>
      <w:r w:rsidR="009603CF">
        <w:rPr>
          <w:lang w:val="fr-FR"/>
        </w:rPr>
        <w:t>Code du travail</w:t>
      </w:r>
      <w:r w:rsidRPr="00466CE7">
        <w:rPr>
          <w:lang w:val="fr-FR"/>
        </w:rPr>
        <w:t xml:space="preserve"> stipule que la réparation du préjudice subi par </w:t>
      </w:r>
      <w:r>
        <w:rPr>
          <w:lang w:val="fr-FR"/>
        </w:rPr>
        <w:t xml:space="preserve">l’employé </w:t>
      </w:r>
      <w:r w:rsidRPr="00466CE7">
        <w:rPr>
          <w:lang w:val="fr-FR"/>
        </w:rPr>
        <w:t xml:space="preserve">lésé consiste </w:t>
      </w:r>
      <w:r>
        <w:rPr>
          <w:lang w:val="fr-FR"/>
        </w:rPr>
        <w:t>dans le versement d’une compensation pour perte de rémunération</w:t>
      </w:r>
      <w:r w:rsidRPr="00466CE7">
        <w:rPr>
          <w:lang w:val="fr-FR"/>
        </w:rPr>
        <w:t xml:space="preserve"> (ou </w:t>
      </w:r>
      <w:r>
        <w:rPr>
          <w:lang w:val="fr-FR"/>
        </w:rPr>
        <w:t>d’</w:t>
      </w:r>
      <w:r w:rsidRPr="00466CE7">
        <w:rPr>
          <w:lang w:val="fr-FR"/>
        </w:rPr>
        <w:t>une partie</w:t>
      </w:r>
      <w:r>
        <w:rPr>
          <w:lang w:val="fr-FR"/>
        </w:rPr>
        <w:t xml:space="preserve"> de la rémunération), d’une indemnisation au titre des </w:t>
      </w:r>
      <w:r w:rsidRPr="00466CE7">
        <w:rPr>
          <w:lang w:val="fr-FR"/>
        </w:rPr>
        <w:t>dépenses supplémentaires</w:t>
      </w:r>
      <w:r>
        <w:rPr>
          <w:lang w:val="fr-FR"/>
        </w:rPr>
        <w:t xml:space="preserve"> encourues</w:t>
      </w:r>
      <w:r w:rsidRPr="00466CE7">
        <w:rPr>
          <w:lang w:val="fr-FR"/>
        </w:rPr>
        <w:t xml:space="preserve">, </w:t>
      </w:r>
      <w:r>
        <w:rPr>
          <w:lang w:val="fr-FR"/>
        </w:rPr>
        <w:t xml:space="preserve">d’une allocation forfaitaire dans certains </w:t>
      </w:r>
      <w:r w:rsidRPr="00466CE7">
        <w:rPr>
          <w:lang w:val="fr-FR"/>
        </w:rPr>
        <w:t xml:space="preserve">cas, </w:t>
      </w:r>
      <w:r>
        <w:rPr>
          <w:lang w:val="fr-FR"/>
        </w:rPr>
        <w:t>d’</w:t>
      </w:r>
      <w:r w:rsidRPr="00466CE7">
        <w:rPr>
          <w:lang w:val="fr-FR"/>
        </w:rPr>
        <w:t xml:space="preserve">une </w:t>
      </w:r>
      <w:r>
        <w:rPr>
          <w:lang w:val="fr-FR"/>
        </w:rPr>
        <w:t xml:space="preserve">réparation </w:t>
      </w:r>
      <w:r w:rsidRPr="00466CE7">
        <w:rPr>
          <w:lang w:val="fr-FR"/>
        </w:rPr>
        <w:t xml:space="preserve">pour préjudice moral et </w:t>
      </w:r>
      <w:r>
        <w:rPr>
          <w:lang w:val="fr-FR"/>
        </w:rPr>
        <w:t>d’</w:t>
      </w:r>
      <w:r w:rsidRPr="00466CE7">
        <w:rPr>
          <w:lang w:val="fr-FR"/>
        </w:rPr>
        <w:t>une indemnité pour frais d</w:t>
      </w:r>
      <w:r>
        <w:rPr>
          <w:lang w:val="fr-FR"/>
        </w:rPr>
        <w:t>’</w:t>
      </w:r>
      <w:r w:rsidRPr="00466CE7">
        <w:rPr>
          <w:lang w:val="fr-FR"/>
        </w:rPr>
        <w:t>inhumation.</w:t>
      </w:r>
    </w:p>
    <w:p w14:paraId="6EFCA851" w14:textId="07D8502A" w:rsidR="009C6834" w:rsidRPr="00466CE7" w:rsidRDefault="009C6834" w:rsidP="009C6834">
      <w:pPr>
        <w:pStyle w:val="SingleTxtG"/>
        <w:rPr>
          <w:lang w:val="fr-FR"/>
        </w:rPr>
      </w:pPr>
      <w:r w:rsidRPr="00466CE7">
        <w:rPr>
          <w:lang w:val="fr-FR"/>
        </w:rPr>
        <w:t>107.</w:t>
      </w:r>
      <w:r w:rsidRPr="00466CE7">
        <w:rPr>
          <w:lang w:val="fr-FR"/>
        </w:rPr>
        <w:tab/>
        <w:t>En 2018, l</w:t>
      </w:r>
      <w:r>
        <w:rPr>
          <w:lang w:val="fr-FR"/>
        </w:rPr>
        <w:t>’</w:t>
      </w:r>
      <w:r w:rsidRPr="00466CE7">
        <w:rPr>
          <w:lang w:val="fr-FR"/>
        </w:rPr>
        <w:t xml:space="preserve">inspection technique du travail de la Fédération des syndicats du Kirghizistan </w:t>
      </w:r>
      <w:r>
        <w:rPr>
          <w:lang w:val="fr-FR"/>
        </w:rPr>
        <w:t xml:space="preserve">et </w:t>
      </w:r>
      <w:r w:rsidRPr="00466CE7">
        <w:rPr>
          <w:lang w:val="fr-FR"/>
        </w:rPr>
        <w:t>l</w:t>
      </w:r>
      <w:r>
        <w:rPr>
          <w:lang w:val="fr-FR"/>
        </w:rPr>
        <w:t>’</w:t>
      </w:r>
      <w:r w:rsidRPr="00466CE7">
        <w:rPr>
          <w:lang w:val="fr-FR"/>
        </w:rPr>
        <w:t>inspection</w:t>
      </w:r>
      <w:r>
        <w:rPr>
          <w:lang w:val="fr-FR"/>
        </w:rPr>
        <w:t xml:space="preserve"> économique et</w:t>
      </w:r>
      <w:r w:rsidRPr="00466CE7">
        <w:rPr>
          <w:lang w:val="fr-FR"/>
        </w:rPr>
        <w:t xml:space="preserve"> technique de l</w:t>
      </w:r>
      <w:r>
        <w:rPr>
          <w:lang w:val="fr-FR"/>
        </w:rPr>
        <w:t>’</w:t>
      </w:r>
      <w:r w:rsidRPr="00466CE7">
        <w:rPr>
          <w:lang w:val="fr-FR"/>
        </w:rPr>
        <w:t xml:space="preserve">État </w:t>
      </w:r>
      <w:r>
        <w:rPr>
          <w:lang w:val="fr-FR"/>
        </w:rPr>
        <w:t>ont contrôlé 286</w:t>
      </w:r>
      <w:r w:rsidR="002C42F4">
        <w:rPr>
          <w:lang w:val="fr-FR"/>
        </w:rPr>
        <w:t> </w:t>
      </w:r>
      <w:r>
        <w:rPr>
          <w:lang w:val="fr-FR"/>
        </w:rPr>
        <w:t>organisations :</w:t>
      </w:r>
      <w:r w:rsidRPr="00466CE7">
        <w:rPr>
          <w:lang w:val="fr-FR"/>
        </w:rPr>
        <w:t xml:space="preserve"> </w:t>
      </w:r>
      <w:r>
        <w:rPr>
          <w:lang w:val="fr-FR"/>
        </w:rPr>
        <w:t xml:space="preserve">elles ont constaté </w:t>
      </w:r>
      <w:r w:rsidRPr="00466CE7">
        <w:rPr>
          <w:lang w:val="fr-FR"/>
        </w:rPr>
        <w:t>781</w:t>
      </w:r>
      <w:r w:rsidR="002C42F4">
        <w:rPr>
          <w:lang w:val="fr-FR"/>
        </w:rPr>
        <w:t> </w:t>
      </w:r>
      <w:r>
        <w:rPr>
          <w:lang w:val="fr-FR"/>
        </w:rPr>
        <w:t xml:space="preserve">infractions aux </w:t>
      </w:r>
      <w:r w:rsidRPr="00466CE7">
        <w:rPr>
          <w:lang w:val="fr-FR"/>
        </w:rPr>
        <w:t xml:space="preserve">normes et règlements en matière de </w:t>
      </w:r>
      <w:r>
        <w:rPr>
          <w:lang w:val="fr-FR"/>
        </w:rPr>
        <w:t xml:space="preserve">protection du travail </w:t>
      </w:r>
      <w:r w:rsidRPr="00466CE7">
        <w:rPr>
          <w:lang w:val="fr-FR"/>
        </w:rPr>
        <w:t xml:space="preserve">et de sécurité au travail </w:t>
      </w:r>
      <w:r>
        <w:rPr>
          <w:lang w:val="fr-FR"/>
        </w:rPr>
        <w:t xml:space="preserve">et émis à ce titre </w:t>
      </w:r>
      <w:r w:rsidRPr="00466CE7">
        <w:rPr>
          <w:lang w:val="fr-FR"/>
        </w:rPr>
        <w:t>201</w:t>
      </w:r>
      <w:r w:rsidR="002C42F4">
        <w:rPr>
          <w:lang w:val="fr-FR"/>
        </w:rPr>
        <w:t> </w:t>
      </w:r>
      <w:r>
        <w:rPr>
          <w:lang w:val="fr-FR"/>
        </w:rPr>
        <w:t xml:space="preserve">avis. Elles ont ensuite reçu </w:t>
      </w:r>
      <w:r w:rsidRPr="00466CE7">
        <w:rPr>
          <w:lang w:val="fr-FR"/>
        </w:rPr>
        <w:t>147</w:t>
      </w:r>
      <w:r w:rsidR="002C42F4">
        <w:rPr>
          <w:lang w:val="fr-FR"/>
        </w:rPr>
        <w:t> </w:t>
      </w:r>
      <w:r>
        <w:rPr>
          <w:lang w:val="fr-FR"/>
        </w:rPr>
        <w:t xml:space="preserve">notifications indiquant que ces </w:t>
      </w:r>
      <w:r w:rsidRPr="00466CE7">
        <w:rPr>
          <w:lang w:val="fr-FR"/>
        </w:rPr>
        <w:t xml:space="preserve">avis </w:t>
      </w:r>
      <w:r>
        <w:rPr>
          <w:lang w:val="fr-FR"/>
        </w:rPr>
        <w:t>avaient été suivis d’effet dans les</w:t>
      </w:r>
      <w:r w:rsidRPr="00466CE7">
        <w:rPr>
          <w:lang w:val="fr-FR"/>
        </w:rPr>
        <w:t xml:space="preserve"> délais </w:t>
      </w:r>
      <w:r>
        <w:rPr>
          <w:lang w:val="fr-FR"/>
        </w:rPr>
        <w:t>fixés</w:t>
      </w:r>
      <w:r w:rsidRPr="00466CE7">
        <w:rPr>
          <w:lang w:val="fr-FR"/>
        </w:rPr>
        <w:t xml:space="preserve">. </w:t>
      </w:r>
    </w:p>
    <w:p w14:paraId="6DD21167" w14:textId="255BABCF" w:rsidR="009C6834" w:rsidRPr="00466CE7" w:rsidRDefault="009C6834" w:rsidP="009C6834">
      <w:pPr>
        <w:pStyle w:val="SingleTxtG"/>
        <w:rPr>
          <w:lang w:val="fr-FR"/>
        </w:rPr>
      </w:pPr>
      <w:r w:rsidRPr="00466CE7">
        <w:rPr>
          <w:lang w:val="fr-FR"/>
        </w:rPr>
        <w:t>108.</w:t>
      </w:r>
      <w:r w:rsidRPr="00466CE7">
        <w:rPr>
          <w:lang w:val="fr-FR"/>
        </w:rPr>
        <w:tab/>
        <w:t>En collaboration avec les organes</w:t>
      </w:r>
      <w:r>
        <w:rPr>
          <w:lang w:val="fr-FR"/>
        </w:rPr>
        <w:t xml:space="preserve"> publics de surveillance</w:t>
      </w:r>
      <w:r w:rsidRPr="00466CE7">
        <w:rPr>
          <w:lang w:val="fr-FR"/>
        </w:rPr>
        <w:t xml:space="preserve">, les inspecteurs techniques du travail ont </w:t>
      </w:r>
      <w:r>
        <w:rPr>
          <w:lang w:val="fr-FR"/>
        </w:rPr>
        <w:t xml:space="preserve">enquêté sur </w:t>
      </w:r>
      <w:r w:rsidRPr="00466CE7">
        <w:rPr>
          <w:lang w:val="fr-FR"/>
        </w:rPr>
        <w:t>131</w:t>
      </w:r>
      <w:r w:rsidR="002C42F4">
        <w:rPr>
          <w:lang w:val="fr-FR"/>
        </w:rPr>
        <w:t> </w:t>
      </w:r>
      <w:r w:rsidRPr="00466CE7">
        <w:rPr>
          <w:lang w:val="fr-FR"/>
        </w:rPr>
        <w:t>accidents du travail, dont 43</w:t>
      </w:r>
      <w:r w:rsidR="002C42F4">
        <w:rPr>
          <w:lang w:val="fr-FR"/>
        </w:rPr>
        <w:t> </w:t>
      </w:r>
      <w:r w:rsidRPr="00466CE7">
        <w:rPr>
          <w:lang w:val="fr-FR"/>
        </w:rPr>
        <w:t>accidents mortels et 75</w:t>
      </w:r>
      <w:r w:rsidR="002C42F4">
        <w:rPr>
          <w:lang w:val="fr-FR"/>
        </w:rPr>
        <w:t> </w:t>
      </w:r>
      <w:r w:rsidRPr="00466CE7">
        <w:rPr>
          <w:lang w:val="fr-FR"/>
        </w:rPr>
        <w:t>accidents grav</w:t>
      </w:r>
      <w:r>
        <w:rPr>
          <w:lang w:val="fr-FR"/>
        </w:rPr>
        <w:t>es. Au total, 151</w:t>
      </w:r>
      <w:r w:rsidR="002C42F4">
        <w:rPr>
          <w:lang w:val="fr-FR"/>
        </w:rPr>
        <w:t> </w:t>
      </w:r>
      <w:r>
        <w:rPr>
          <w:lang w:val="fr-FR"/>
        </w:rPr>
        <w:t xml:space="preserve">personnes ont été victimes </w:t>
      </w:r>
      <w:r w:rsidRPr="00466CE7">
        <w:rPr>
          <w:lang w:val="fr-FR"/>
        </w:rPr>
        <w:t>d</w:t>
      </w:r>
      <w:r>
        <w:rPr>
          <w:lang w:val="fr-FR"/>
        </w:rPr>
        <w:t>’</w:t>
      </w:r>
      <w:r w:rsidRPr="00466CE7">
        <w:rPr>
          <w:lang w:val="fr-FR"/>
        </w:rPr>
        <w:t>accidents du travail, dont 19</w:t>
      </w:r>
      <w:r w:rsidR="002C42F4">
        <w:rPr>
          <w:lang w:val="fr-FR"/>
        </w:rPr>
        <w:t> </w:t>
      </w:r>
      <w:r w:rsidRPr="00466CE7">
        <w:rPr>
          <w:lang w:val="fr-FR"/>
        </w:rPr>
        <w:t>femmes et 3</w:t>
      </w:r>
      <w:r w:rsidR="002C42F4">
        <w:rPr>
          <w:lang w:val="fr-FR"/>
        </w:rPr>
        <w:t> </w:t>
      </w:r>
      <w:r>
        <w:rPr>
          <w:lang w:val="fr-FR"/>
        </w:rPr>
        <w:t xml:space="preserve">mineurs </w:t>
      </w:r>
      <w:r w:rsidRPr="00466CE7">
        <w:rPr>
          <w:lang w:val="fr-FR"/>
        </w:rPr>
        <w:t>de moins de 18</w:t>
      </w:r>
      <w:r w:rsidR="002C42F4">
        <w:rPr>
          <w:lang w:val="fr-FR"/>
        </w:rPr>
        <w:t> </w:t>
      </w:r>
      <w:r w:rsidRPr="00466CE7">
        <w:rPr>
          <w:lang w:val="fr-FR"/>
        </w:rPr>
        <w:t xml:space="preserve">ans. </w:t>
      </w:r>
    </w:p>
    <w:p w14:paraId="2EF27E80" w14:textId="4AC1C1D8" w:rsidR="009C6834" w:rsidRPr="00466CE7" w:rsidRDefault="009C6834" w:rsidP="009C6834">
      <w:pPr>
        <w:pStyle w:val="SingleTxtG"/>
        <w:rPr>
          <w:lang w:val="fr-FR"/>
        </w:rPr>
      </w:pPr>
      <w:r w:rsidRPr="00466CE7">
        <w:rPr>
          <w:lang w:val="fr-FR"/>
        </w:rPr>
        <w:t>109.</w:t>
      </w:r>
      <w:r w:rsidRPr="00466CE7">
        <w:rPr>
          <w:lang w:val="fr-FR"/>
        </w:rPr>
        <w:tab/>
        <w:t xml:space="preserve">Les inspecteurs du travail de la Fédération des syndicats ont examiné </w:t>
      </w:r>
      <w:r>
        <w:rPr>
          <w:lang w:val="fr-FR"/>
        </w:rPr>
        <w:t xml:space="preserve">en 2018 et 2019 respectivement </w:t>
      </w:r>
      <w:r w:rsidRPr="00466CE7">
        <w:rPr>
          <w:lang w:val="fr-FR"/>
        </w:rPr>
        <w:t>508 et 773</w:t>
      </w:r>
      <w:r w:rsidR="002C42F4">
        <w:rPr>
          <w:lang w:val="fr-FR"/>
        </w:rPr>
        <w:t> </w:t>
      </w:r>
      <w:r w:rsidRPr="00466CE7">
        <w:rPr>
          <w:lang w:val="fr-FR"/>
        </w:rPr>
        <w:t xml:space="preserve">recours, </w:t>
      </w:r>
      <w:r>
        <w:rPr>
          <w:lang w:val="fr-FR"/>
        </w:rPr>
        <w:t>requêtes</w:t>
      </w:r>
      <w:r w:rsidRPr="00466CE7">
        <w:rPr>
          <w:lang w:val="fr-FR"/>
        </w:rPr>
        <w:t xml:space="preserve"> et plaintes </w:t>
      </w:r>
      <w:r>
        <w:rPr>
          <w:lang w:val="fr-FR"/>
        </w:rPr>
        <w:t xml:space="preserve">concernant des </w:t>
      </w:r>
      <w:r w:rsidRPr="00466CE7">
        <w:rPr>
          <w:lang w:val="fr-FR"/>
        </w:rPr>
        <w:t xml:space="preserve">violations des droits des travailleurs </w:t>
      </w:r>
      <w:r>
        <w:rPr>
          <w:lang w:val="fr-FR"/>
        </w:rPr>
        <w:t xml:space="preserve">en matière de </w:t>
      </w:r>
      <w:r w:rsidRPr="00466CE7">
        <w:rPr>
          <w:lang w:val="fr-FR"/>
        </w:rPr>
        <w:t>protection du travail</w:t>
      </w:r>
      <w:r>
        <w:rPr>
          <w:lang w:val="fr-FR"/>
        </w:rPr>
        <w:t xml:space="preserve"> ; </w:t>
      </w:r>
      <w:r w:rsidRPr="00466CE7">
        <w:rPr>
          <w:lang w:val="fr-FR"/>
        </w:rPr>
        <w:t xml:space="preserve">des explications écrites ont été </w:t>
      </w:r>
      <w:r>
        <w:rPr>
          <w:lang w:val="fr-FR"/>
        </w:rPr>
        <w:t xml:space="preserve">fournies </w:t>
      </w:r>
      <w:r w:rsidRPr="00466CE7">
        <w:rPr>
          <w:lang w:val="fr-FR"/>
        </w:rPr>
        <w:t xml:space="preserve">conformément à la législation du travail, </w:t>
      </w:r>
      <w:r>
        <w:rPr>
          <w:lang w:val="fr-FR"/>
        </w:rPr>
        <w:t xml:space="preserve">notamment concernant </w:t>
      </w:r>
      <w:r w:rsidRPr="00466CE7">
        <w:rPr>
          <w:lang w:val="fr-FR"/>
        </w:rPr>
        <w:t>39</w:t>
      </w:r>
      <w:r w:rsidR="002C42F4">
        <w:rPr>
          <w:lang w:val="fr-FR"/>
        </w:rPr>
        <w:t> </w:t>
      </w:r>
      <w:r>
        <w:rPr>
          <w:lang w:val="fr-FR"/>
        </w:rPr>
        <w:t xml:space="preserve">requêtes émanant </w:t>
      </w:r>
      <w:r w:rsidRPr="00466CE7">
        <w:rPr>
          <w:lang w:val="fr-FR"/>
        </w:rPr>
        <w:t>d</w:t>
      </w:r>
      <w:r>
        <w:rPr>
          <w:lang w:val="fr-FR"/>
        </w:rPr>
        <w:t>’</w:t>
      </w:r>
      <w:r w:rsidRPr="00466CE7">
        <w:rPr>
          <w:lang w:val="fr-FR"/>
        </w:rPr>
        <w:t xml:space="preserve">entreprises. </w:t>
      </w:r>
      <w:r>
        <w:rPr>
          <w:lang w:val="fr-FR"/>
        </w:rPr>
        <w:t>Le montant</w:t>
      </w:r>
      <w:r w:rsidRPr="00AF671E">
        <w:rPr>
          <w:lang w:val="fr-FR"/>
        </w:rPr>
        <w:t xml:space="preserve"> </w:t>
      </w:r>
      <w:r w:rsidRPr="00466CE7">
        <w:rPr>
          <w:lang w:val="fr-FR"/>
        </w:rPr>
        <w:t>total</w:t>
      </w:r>
      <w:r>
        <w:rPr>
          <w:lang w:val="fr-FR"/>
        </w:rPr>
        <w:t xml:space="preserve"> </w:t>
      </w:r>
      <w:r w:rsidRPr="00466CE7">
        <w:rPr>
          <w:lang w:val="fr-FR"/>
        </w:rPr>
        <w:t>des indemni</w:t>
      </w:r>
      <w:r>
        <w:rPr>
          <w:lang w:val="fr-FR"/>
        </w:rPr>
        <w:t>sations</w:t>
      </w:r>
      <w:r w:rsidRPr="00466CE7">
        <w:rPr>
          <w:lang w:val="fr-FR"/>
        </w:rPr>
        <w:t xml:space="preserve">, </w:t>
      </w:r>
      <w:r>
        <w:rPr>
          <w:lang w:val="fr-FR"/>
        </w:rPr>
        <w:t>allocations forfaitaires et compensations pour perte de rémunération</w:t>
      </w:r>
      <w:r w:rsidRPr="00466CE7">
        <w:rPr>
          <w:lang w:val="fr-FR"/>
        </w:rPr>
        <w:t xml:space="preserve"> </w:t>
      </w:r>
      <w:r>
        <w:rPr>
          <w:lang w:val="fr-FR"/>
        </w:rPr>
        <w:t xml:space="preserve">s’est établi, indexation comprise, à </w:t>
      </w:r>
      <w:r w:rsidRPr="00466CE7">
        <w:rPr>
          <w:lang w:val="fr-FR"/>
        </w:rPr>
        <w:t>68,57</w:t>
      </w:r>
      <w:r w:rsidR="002C42F4">
        <w:rPr>
          <w:lang w:val="fr-FR"/>
        </w:rPr>
        <w:t> </w:t>
      </w:r>
      <w:r w:rsidRPr="00466CE7">
        <w:rPr>
          <w:lang w:val="fr-FR"/>
        </w:rPr>
        <w:t xml:space="preserve">millions de </w:t>
      </w:r>
      <w:proofErr w:type="spellStart"/>
      <w:r>
        <w:rPr>
          <w:lang w:val="fr-FR"/>
        </w:rPr>
        <w:t>soms</w:t>
      </w:r>
      <w:proofErr w:type="spellEnd"/>
      <w:r w:rsidRPr="00466CE7">
        <w:rPr>
          <w:lang w:val="fr-FR"/>
        </w:rPr>
        <w:t xml:space="preserve"> en 2018 et </w:t>
      </w:r>
      <w:r>
        <w:rPr>
          <w:lang w:val="fr-FR"/>
        </w:rPr>
        <w:t xml:space="preserve">à </w:t>
      </w:r>
      <w:r w:rsidRPr="00466CE7">
        <w:rPr>
          <w:lang w:val="fr-FR"/>
        </w:rPr>
        <w:t>70,8</w:t>
      </w:r>
      <w:r w:rsidR="002C42F4">
        <w:rPr>
          <w:lang w:val="fr-FR"/>
        </w:rPr>
        <w:t> </w:t>
      </w:r>
      <w:r w:rsidRPr="00466CE7">
        <w:rPr>
          <w:lang w:val="fr-FR"/>
        </w:rPr>
        <w:t xml:space="preserve">millions de </w:t>
      </w:r>
      <w:proofErr w:type="spellStart"/>
      <w:r>
        <w:rPr>
          <w:lang w:val="fr-FR"/>
        </w:rPr>
        <w:t>soms</w:t>
      </w:r>
      <w:proofErr w:type="spellEnd"/>
      <w:r>
        <w:rPr>
          <w:lang w:val="fr-FR"/>
        </w:rPr>
        <w:t xml:space="preserve"> </w:t>
      </w:r>
      <w:r w:rsidRPr="00466CE7">
        <w:rPr>
          <w:lang w:val="fr-FR"/>
        </w:rPr>
        <w:t xml:space="preserve">en 2019. </w:t>
      </w:r>
      <w:r>
        <w:rPr>
          <w:lang w:val="fr-FR"/>
        </w:rPr>
        <w:t xml:space="preserve">Les tribunaux, toutes instances confondues, ont tenu </w:t>
      </w:r>
      <w:r w:rsidRPr="00466CE7">
        <w:rPr>
          <w:lang w:val="fr-FR"/>
        </w:rPr>
        <w:t>202 audiences en 2018 et 234 e</w:t>
      </w:r>
      <w:r>
        <w:rPr>
          <w:lang w:val="fr-FR"/>
        </w:rPr>
        <w:t>n 2019 sur des cas de violation</w:t>
      </w:r>
      <w:r w:rsidRPr="0000789F">
        <w:rPr>
          <w:lang w:val="fr-FR"/>
        </w:rPr>
        <w:t xml:space="preserve"> </w:t>
      </w:r>
      <w:r w:rsidRPr="00466CE7">
        <w:rPr>
          <w:lang w:val="fr-FR"/>
        </w:rPr>
        <w:t>des droits des travailleurs</w:t>
      </w:r>
      <w:r>
        <w:rPr>
          <w:lang w:val="fr-FR"/>
        </w:rPr>
        <w:t xml:space="preserve"> ; les employés ont eu gain de cause dans </w:t>
      </w:r>
      <w:r w:rsidRPr="00466CE7">
        <w:rPr>
          <w:lang w:val="fr-FR"/>
        </w:rPr>
        <w:t>39</w:t>
      </w:r>
      <w:r w:rsidR="002C42F4">
        <w:rPr>
          <w:lang w:val="fr-FR"/>
        </w:rPr>
        <w:t> </w:t>
      </w:r>
      <w:r>
        <w:rPr>
          <w:lang w:val="fr-FR"/>
        </w:rPr>
        <w:t xml:space="preserve">cas en 2018 et dans </w:t>
      </w:r>
      <w:r w:rsidRPr="00466CE7">
        <w:rPr>
          <w:lang w:val="fr-FR"/>
        </w:rPr>
        <w:t>55</w:t>
      </w:r>
      <w:r w:rsidR="002C42F4">
        <w:rPr>
          <w:lang w:val="fr-FR"/>
        </w:rPr>
        <w:t> </w:t>
      </w:r>
      <w:r w:rsidRPr="00466CE7">
        <w:rPr>
          <w:lang w:val="fr-FR"/>
        </w:rPr>
        <w:t xml:space="preserve">cas </w:t>
      </w:r>
      <w:r>
        <w:rPr>
          <w:lang w:val="fr-FR"/>
        </w:rPr>
        <w:t>en 2019</w:t>
      </w:r>
      <w:r w:rsidRPr="00466CE7">
        <w:rPr>
          <w:lang w:val="fr-FR"/>
        </w:rPr>
        <w:t xml:space="preserve">. </w:t>
      </w:r>
    </w:p>
    <w:p w14:paraId="27EBC580" w14:textId="33291E99" w:rsidR="009C6834" w:rsidRPr="00466CE7" w:rsidRDefault="009C6834" w:rsidP="009C6834">
      <w:pPr>
        <w:pStyle w:val="SingleTxtG"/>
        <w:rPr>
          <w:lang w:val="fr-FR"/>
        </w:rPr>
      </w:pPr>
      <w:r w:rsidRPr="00466CE7">
        <w:rPr>
          <w:lang w:val="fr-FR"/>
        </w:rPr>
        <w:t>110.</w:t>
      </w:r>
      <w:r w:rsidRPr="00466CE7">
        <w:rPr>
          <w:lang w:val="fr-FR"/>
        </w:rPr>
        <w:tab/>
        <w:t>En 2018, 31</w:t>
      </w:r>
      <w:r w:rsidR="002C42F4">
        <w:rPr>
          <w:lang w:val="fr-FR"/>
        </w:rPr>
        <w:t> </w:t>
      </w:r>
      <w:r w:rsidRPr="00466CE7">
        <w:rPr>
          <w:lang w:val="fr-FR"/>
        </w:rPr>
        <w:t>accidents</w:t>
      </w:r>
      <w:r>
        <w:rPr>
          <w:lang w:val="fr-FR"/>
        </w:rPr>
        <w:t xml:space="preserve"> du travail</w:t>
      </w:r>
      <w:r w:rsidRPr="00466CE7">
        <w:rPr>
          <w:lang w:val="fr-FR"/>
        </w:rPr>
        <w:t>, dont 12</w:t>
      </w:r>
      <w:r w:rsidR="002C42F4">
        <w:rPr>
          <w:lang w:val="fr-FR"/>
        </w:rPr>
        <w:t> </w:t>
      </w:r>
      <w:r w:rsidRPr="00466CE7">
        <w:rPr>
          <w:lang w:val="fr-FR"/>
        </w:rPr>
        <w:t xml:space="preserve">mortels, ont été </w:t>
      </w:r>
      <w:r>
        <w:rPr>
          <w:lang w:val="fr-FR"/>
        </w:rPr>
        <w:t>dénombrés</w:t>
      </w:r>
      <w:r w:rsidRPr="00466CE7">
        <w:rPr>
          <w:lang w:val="fr-FR"/>
        </w:rPr>
        <w:t xml:space="preserve"> dans </w:t>
      </w:r>
      <w:r>
        <w:rPr>
          <w:lang w:val="fr-FR"/>
        </w:rPr>
        <w:t>l’industrie minière</w:t>
      </w:r>
      <w:r w:rsidRPr="00466CE7">
        <w:rPr>
          <w:lang w:val="fr-FR"/>
        </w:rPr>
        <w:t xml:space="preserve">. </w:t>
      </w:r>
      <w:r>
        <w:rPr>
          <w:lang w:val="fr-FR"/>
        </w:rPr>
        <w:t xml:space="preserve">Au cours du </w:t>
      </w:r>
      <w:r w:rsidRPr="00466CE7">
        <w:rPr>
          <w:lang w:val="fr-FR"/>
        </w:rPr>
        <w:t xml:space="preserve">premier semestre </w:t>
      </w:r>
      <w:r>
        <w:rPr>
          <w:lang w:val="fr-FR"/>
        </w:rPr>
        <w:t xml:space="preserve">de </w:t>
      </w:r>
      <w:r w:rsidRPr="00466CE7">
        <w:rPr>
          <w:lang w:val="fr-FR"/>
        </w:rPr>
        <w:t>2019, 9</w:t>
      </w:r>
      <w:r w:rsidR="002C42F4">
        <w:rPr>
          <w:lang w:val="fr-FR"/>
        </w:rPr>
        <w:t> </w:t>
      </w:r>
      <w:r>
        <w:rPr>
          <w:lang w:val="fr-FR"/>
        </w:rPr>
        <w:t xml:space="preserve">accidents du travail </w:t>
      </w:r>
      <w:r w:rsidRPr="00466CE7">
        <w:rPr>
          <w:lang w:val="fr-FR"/>
        </w:rPr>
        <w:t xml:space="preserve">ont été </w:t>
      </w:r>
      <w:r>
        <w:rPr>
          <w:lang w:val="fr-FR"/>
        </w:rPr>
        <w:t>signalés</w:t>
      </w:r>
      <w:r w:rsidRPr="00466CE7">
        <w:rPr>
          <w:lang w:val="fr-FR"/>
        </w:rPr>
        <w:t>, dont 3</w:t>
      </w:r>
      <w:r w:rsidR="002C42F4">
        <w:rPr>
          <w:lang w:val="fr-FR"/>
        </w:rPr>
        <w:t> </w:t>
      </w:r>
      <w:r w:rsidRPr="00466CE7">
        <w:rPr>
          <w:lang w:val="fr-FR"/>
        </w:rPr>
        <w:t>mortels.</w:t>
      </w:r>
    </w:p>
    <w:p w14:paraId="1B04808A" w14:textId="5B51175C" w:rsidR="009C6834" w:rsidRPr="00466CE7" w:rsidRDefault="009C6834" w:rsidP="00E1792A">
      <w:pPr>
        <w:pStyle w:val="SingleTxtG"/>
        <w:keepLines/>
        <w:rPr>
          <w:lang w:val="fr-FR"/>
        </w:rPr>
      </w:pPr>
      <w:r w:rsidRPr="00466CE7">
        <w:rPr>
          <w:lang w:val="fr-FR"/>
        </w:rPr>
        <w:lastRenderedPageBreak/>
        <w:t>111.</w:t>
      </w:r>
      <w:r w:rsidRPr="00466CE7">
        <w:rPr>
          <w:lang w:val="fr-FR"/>
        </w:rPr>
        <w:tab/>
        <w:t xml:space="preserve">En 2019, les inspecteurs </w:t>
      </w:r>
      <w:r>
        <w:rPr>
          <w:lang w:val="fr-FR"/>
        </w:rPr>
        <w:t xml:space="preserve">techniques </w:t>
      </w:r>
      <w:r w:rsidRPr="00466CE7">
        <w:rPr>
          <w:lang w:val="fr-FR"/>
        </w:rPr>
        <w:t xml:space="preserve">du travail </w:t>
      </w:r>
      <w:r>
        <w:rPr>
          <w:lang w:val="fr-FR"/>
        </w:rPr>
        <w:t xml:space="preserve">de la Fédération </w:t>
      </w:r>
      <w:r w:rsidRPr="00466CE7">
        <w:rPr>
          <w:lang w:val="fr-FR"/>
        </w:rPr>
        <w:t xml:space="preserve">des syndicats ont </w:t>
      </w:r>
      <w:r>
        <w:rPr>
          <w:lang w:val="fr-FR"/>
        </w:rPr>
        <w:t>contrôlé</w:t>
      </w:r>
      <w:r w:rsidRPr="00466CE7">
        <w:rPr>
          <w:lang w:val="fr-FR"/>
        </w:rPr>
        <w:t xml:space="preserve"> 222</w:t>
      </w:r>
      <w:r w:rsidR="002C42F4">
        <w:rPr>
          <w:lang w:val="fr-FR"/>
        </w:rPr>
        <w:t> </w:t>
      </w:r>
      <w:r w:rsidRPr="00466CE7">
        <w:rPr>
          <w:lang w:val="fr-FR"/>
        </w:rPr>
        <w:t xml:space="preserve">organisations, dont 64 </w:t>
      </w:r>
      <w:r>
        <w:rPr>
          <w:lang w:val="fr-FR"/>
        </w:rPr>
        <w:t xml:space="preserve">dans le cadre d’inspections menées conjointement </w:t>
      </w:r>
      <w:r w:rsidRPr="00466CE7">
        <w:rPr>
          <w:lang w:val="fr-FR"/>
        </w:rPr>
        <w:t xml:space="preserve">avec les organes </w:t>
      </w:r>
      <w:r>
        <w:rPr>
          <w:lang w:val="fr-FR"/>
        </w:rPr>
        <w:t>publics de surveillance</w:t>
      </w:r>
      <w:r w:rsidRPr="00466CE7">
        <w:rPr>
          <w:lang w:val="fr-FR"/>
        </w:rPr>
        <w:t xml:space="preserve">. </w:t>
      </w:r>
      <w:r>
        <w:rPr>
          <w:lang w:val="fr-FR"/>
        </w:rPr>
        <w:t xml:space="preserve">Ces inspections ont permis de détecter </w:t>
      </w:r>
      <w:r w:rsidRPr="00466CE7">
        <w:rPr>
          <w:lang w:val="fr-FR"/>
        </w:rPr>
        <w:t>856</w:t>
      </w:r>
      <w:r w:rsidR="002C42F4">
        <w:rPr>
          <w:lang w:val="fr-FR"/>
        </w:rPr>
        <w:t> </w:t>
      </w:r>
      <w:r>
        <w:rPr>
          <w:lang w:val="fr-FR"/>
        </w:rPr>
        <w:t xml:space="preserve">infractions aux </w:t>
      </w:r>
      <w:r w:rsidRPr="00466CE7">
        <w:rPr>
          <w:lang w:val="fr-FR"/>
        </w:rPr>
        <w:t xml:space="preserve">normes et règlements en matière de </w:t>
      </w:r>
      <w:r>
        <w:rPr>
          <w:lang w:val="fr-FR"/>
        </w:rPr>
        <w:t xml:space="preserve">protection du travail </w:t>
      </w:r>
      <w:r w:rsidRPr="00466CE7">
        <w:rPr>
          <w:lang w:val="fr-FR"/>
        </w:rPr>
        <w:t xml:space="preserve">et de sécurité au travail. </w:t>
      </w:r>
      <w:r>
        <w:rPr>
          <w:lang w:val="fr-FR"/>
        </w:rPr>
        <w:t>D</w:t>
      </w:r>
      <w:r w:rsidRPr="00466CE7">
        <w:rPr>
          <w:lang w:val="fr-FR"/>
        </w:rPr>
        <w:t>ans 12</w:t>
      </w:r>
      <w:r w:rsidR="002C42F4">
        <w:rPr>
          <w:lang w:val="fr-FR"/>
        </w:rPr>
        <w:t> </w:t>
      </w:r>
      <w:r w:rsidRPr="00466CE7">
        <w:rPr>
          <w:lang w:val="fr-FR"/>
        </w:rPr>
        <w:t>cas</w:t>
      </w:r>
      <w:r>
        <w:rPr>
          <w:lang w:val="fr-FR"/>
        </w:rPr>
        <w:t xml:space="preserve">, </w:t>
      </w:r>
      <w:r w:rsidRPr="00466CE7">
        <w:rPr>
          <w:lang w:val="fr-FR"/>
        </w:rPr>
        <w:t xml:space="preserve">les équipements, machines et </w:t>
      </w:r>
      <w:r>
        <w:rPr>
          <w:lang w:val="fr-FR"/>
        </w:rPr>
        <w:t xml:space="preserve">appareils </w:t>
      </w:r>
      <w:r w:rsidRPr="00466CE7">
        <w:rPr>
          <w:lang w:val="fr-FR"/>
        </w:rPr>
        <w:t>ont été</w:t>
      </w:r>
      <w:r>
        <w:rPr>
          <w:lang w:val="fr-FR"/>
        </w:rPr>
        <w:t xml:space="preserve"> arrêtés, notamment dans </w:t>
      </w:r>
      <w:r w:rsidRPr="00466CE7">
        <w:rPr>
          <w:lang w:val="fr-FR"/>
        </w:rPr>
        <w:t>trois ateliers et une entreprise</w:t>
      </w:r>
      <w:r>
        <w:rPr>
          <w:lang w:val="fr-FR"/>
        </w:rPr>
        <w:t xml:space="preserve">, parce qu’ils présentaient </w:t>
      </w:r>
      <w:r w:rsidRPr="00466CE7">
        <w:rPr>
          <w:lang w:val="fr-FR"/>
        </w:rPr>
        <w:t>une menace manifeste pour la vie et la santé des travailleurs</w:t>
      </w:r>
      <w:r w:rsidR="002C42F4">
        <w:rPr>
          <w:lang w:val="fr-FR"/>
        </w:rPr>
        <w:t>.</w:t>
      </w:r>
    </w:p>
    <w:p w14:paraId="16C3FB16" w14:textId="644F4E2F" w:rsidR="009C6834" w:rsidRPr="00466CE7" w:rsidRDefault="009C6834" w:rsidP="009C6834">
      <w:pPr>
        <w:pStyle w:val="SingleTxtG"/>
        <w:rPr>
          <w:lang w:val="fr-FR"/>
        </w:rPr>
      </w:pPr>
      <w:r w:rsidRPr="00466CE7">
        <w:rPr>
          <w:lang w:val="fr-FR"/>
        </w:rPr>
        <w:t>112.</w:t>
      </w:r>
      <w:r w:rsidRPr="00466CE7">
        <w:rPr>
          <w:lang w:val="fr-FR"/>
        </w:rPr>
        <w:tab/>
        <w:t xml:space="preserve">En </w:t>
      </w:r>
      <w:r>
        <w:rPr>
          <w:lang w:val="fr-FR"/>
        </w:rPr>
        <w:t xml:space="preserve">2019, en </w:t>
      </w:r>
      <w:r w:rsidRPr="00466CE7">
        <w:rPr>
          <w:lang w:val="fr-FR"/>
        </w:rPr>
        <w:t xml:space="preserve">collaboration avec les </w:t>
      </w:r>
      <w:r>
        <w:rPr>
          <w:lang w:val="fr-FR"/>
        </w:rPr>
        <w:t>organes publics de surveillance</w:t>
      </w:r>
      <w:r w:rsidRPr="00466CE7">
        <w:rPr>
          <w:lang w:val="fr-FR"/>
        </w:rPr>
        <w:t xml:space="preserve">, les inspecteurs techniques du travail ont </w:t>
      </w:r>
      <w:r>
        <w:rPr>
          <w:lang w:val="fr-FR"/>
        </w:rPr>
        <w:t xml:space="preserve">enquêté sur </w:t>
      </w:r>
      <w:r w:rsidRPr="00466CE7">
        <w:rPr>
          <w:lang w:val="fr-FR"/>
        </w:rPr>
        <w:t>137</w:t>
      </w:r>
      <w:r w:rsidR="002C42F4">
        <w:rPr>
          <w:lang w:val="fr-FR"/>
        </w:rPr>
        <w:t> </w:t>
      </w:r>
      <w:r w:rsidRPr="00466CE7">
        <w:rPr>
          <w:lang w:val="fr-FR"/>
        </w:rPr>
        <w:t>accidents du travail, dont 44</w:t>
      </w:r>
      <w:r w:rsidR="002C42F4">
        <w:rPr>
          <w:lang w:val="fr-FR"/>
        </w:rPr>
        <w:t> </w:t>
      </w:r>
      <w:r w:rsidRPr="00466CE7">
        <w:rPr>
          <w:lang w:val="fr-FR"/>
        </w:rPr>
        <w:t>accidents mortels. Sept décès se sont avérés être sans rapport avec</w:t>
      </w:r>
      <w:r>
        <w:rPr>
          <w:lang w:val="fr-FR"/>
        </w:rPr>
        <w:t xml:space="preserve"> le travail</w:t>
      </w:r>
      <w:r w:rsidRPr="00466CE7">
        <w:rPr>
          <w:lang w:val="fr-FR"/>
        </w:rPr>
        <w:t>. Sur le nombre total d</w:t>
      </w:r>
      <w:r>
        <w:rPr>
          <w:lang w:val="fr-FR"/>
        </w:rPr>
        <w:t>’</w:t>
      </w:r>
      <w:r w:rsidRPr="00466CE7">
        <w:rPr>
          <w:lang w:val="fr-FR"/>
        </w:rPr>
        <w:t>accidents, 13</w:t>
      </w:r>
      <w:r w:rsidR="002C42F4">
        <w:rPr>
          <w:lang w:val="fr-FR"/>
        </w:rPr>
        <w:t> </w:t>
      </w:r>
      <w:r>
        <w:rPr>
          <w:lang w:val="fr-FR"/>
        </w:rPr>
        <w:t xml:space="preserve">étaient des </w:t>
      </w:r>
      <w:r w:rsidRPr="00466CE7">
        <w:rPr>
          <w:lang w:val="fr-FR"/>
        </w:rPr>
        <w:t xml:space="preserve">accidents </w:t>
      </w:r>
      <w:r>
        <w:rPr>
          <w:lang w:val="fr-FR"/>
        </w:rPr>
        <w:t xml:space="preserve">collectifs qui ont fait </w:t>
      </w:r>
      <w:r w:rsidRPr="00466CE7">
        <w:rPr>
          <w:lang w:val="fr-FR"/>
        </w:rPr>
        <w:t>41</w:t>
      </w:r>
      <w:r w:rsidR="002C42F4">
        <w:rPr>
          <w:lang w:val="fr-FR"/>
        </w:rPr>
        <w:t> </w:t>
      </w:r>
      <w:r>
        <w:rPr>
          <w:lang w:val="fr-FR"/>
        </w:rPr>
        <w:t xml:space="preserve">victimes, </w:t>
      </w:r>
      <w:r w:rsidRPr="00466CE7">
        <w:rPr>
          <w:lang w:val="fr-FR"/>
        </w:rPr>
        <w:t>dont 8</w:t>
      </w:r>
      <w:r w:rsidR="002C42F4">
        <w:rPr>
          <w:lang w:val="fr-FR"/>
        </w:rPr>
        <w:t> </w:t>
      </w:r>
      <w:r>
        <w:rPr>
          <w:lang w:val="fr-FR"/>
        </w:rPr>
        <w:t>morts</w:t>
      </w:r>
      <w:r w:rsidRPr="00466CE7">
        <w:rPr>
          <w:lang w:val="fr-FR"/>
        </w:rPr>
        <w:t>.</w:t>
      </w:r>
    </w:p>
    <w:p w14:paraId="7784435F" w14:textId="6735A801" w:rsidR="009C6834" w:rsidRPr="00466CE7" w:rsidRDefault="009C6834" w:rsidP="009C6834">
      <w:pPr>
        <w:pStyle w:val="SingleTxtG"/>
        <w:rPr>
          <w:rFonts w:eastAsia="Times New Roman"/>
          <w:lang w:val="fr-FR"/>
        </w:rPr>
      </w:pPr>
      <w:r>
        <w:rPr>
          <w:rFonts w:eastAsia="Times New Roman"/>
          <w:lang w:val="fr-FR"/>
        </w:rPr>
        <w:t>113.</w:t>
      </w:r>
      <w:r>
        <w:rPr>
          <w:rFonts w:eastAsia="Times New Roman"/>
          <w:lang w:val="fr-FR"/>
        </w:rPr>
        <w:tab/>
        <w:t>En 2019, 165</w:t>
      </w:r>
      <w:r w:rsidR="002C42F4">
        <w:rPr>
          <w:rFonts w:eastAsia="Times New Roman"/>
          <w:lang w:val="fr-FR"/>
        </w:rPr>
        <w:t> </w:t>
      </w:r>
      <w:r>
        <w:rPr>
          <w:rFonts w:eastAsia="Times New Roman"/>
          <w:lang w:val="fr-FR"/>
        </w:rPr>
        <w:t>personnes au total, dont 24</w:t>
      </w:r>
      <w:r w:rsidR="002C42F4">
        <w:rPr>
          <w:rFonts w:eastAsia="Times New Roman"/>
          <w:lang w:val="fr-FR"/>
        </w:rPr>
        <w:t> </w:t>
      </w:r>
      <w:r>
        <w:rPr>
          <w:rFonts w:eastAsia="Times New Roman"/>
          <w:lang w:val="fr-FR"/>
        </w:rPr>
        <w:t>femmes, ont été victimes d’accidents du travail</w:t>
      </w:r>
      <w:r w:rsidRPr="00466CE7">
        <w:rPr>
          <w:rFonts w:eastAsia="Times New Roman"/>
          <w:lang w:val="fr-FR"/>
        </w:rPr>
        <w:t>.</w:t>
      </w:r>
    </w:p>
    <w:p w14:paraId="28197F2F" w14:textId="107B19E3" w:rsidR="009C6834" w:rsidRPr="00466CE7" w:rsidRDefault="009C6834" w:rsidP="002C42F4">
      <w:pPr>
        <w:pStyle w:val="H1G"/>
        <w:rPr>
          <w:lang w:val="fr-FR"/>
        </w:rPr>
      </w:pPr>
      <w:r w:rsidRPr="00466CE7">
        <w:rPr>
          <w:lang w:val="fr-FR"/>
        </w:rPr>
        <w:tab/>
      </w:r>
      <w:r w:rsidRPr="00466CE7">
        <w:rPr>
          <w:lang w:val="fr-FR"/>
        </w:rPr>
        <w:tab/>
      </w:r>
      <w:r w:rsidR="00CB4ECD">
        <w:rPr>
          <w:lang w:val="fr-FR"/>
        </w:rPr>
        <w:t>Article </w:t>
      </w:r>
      <w:r w:rsidRPr="00466CE7">
        <w:rPr>
          <w:lang w:val="fr-FR"/>
        </w:rPr>
        <w:t>13</w:t>
      </w:r>
      <w:r w:rsidRPr="00466CE7">
        <w:rPr>
          <w:lang w:val="fr-FR"/>
        </w:rPr>
        <w:br/>
      </w:r>
      <w:r>
        <w:rPr>
          <w:lang w:val="fr-FR"/>
        </w:rPr>
        <w:t xml:space="preserve">Protection des droits et des intérêts des travailleurs migrants </w:t>
      </w:r>
      <w:r w:rsidR="002C42F4">
        <w:rPr>
          <w:lang w:val="fr-FR"/>
        </w:rPr>
        <w:br/>
      </w:r>
      <w:r>
        <w:rPr>
          <w:lang w:val="fr-FR"/>
        </w:rPr>
        <w:t xml:space="preserve">à l’étranger </w:t>
      </w:r>
    </w:p>
    <w:p w14:paraId="753108A9" w14:textId="31D9783C" w:rsidR="009C6834" w:rsidRPr="00466CE7" w:rsidRDefault="009C6834" w:rsidP="009C6834">
      <w:pPr>
        <w:pStyle w:val="SingleTxtG"/>
        <w:rPr>
          <w:lang w:val="fr-FR"/>
        </w:rPr>
      </w:pPr>
      <w:r w:rsidRPr="00466CE7">
        <w:rPr>
          <w:lang w:val="fr-FR"/>
        </w:rPr>
        <w:t>114.</w:t>
      </w:r>
      <w:r w:rsidRPr="00466CE7">
        <w:rPr>
          <w:lang w:val="fr-FR"/>
        </w:rPr>
        <w:tab/>
        <w:t>En 2019, quelque 850</w:t>
      </w:r>
      <w:r w:rsidR="002C42F4">
        <w:rPr>
          <w:lang w:val="fr-FR"/>
        </w:rPr>
        <w:t> </w:t>
      </w:r>
      <w:r w:rsidRPr="00466CE7">
        <w:rPr>
          <w:lang w:val="fr-FR"/>
        </w:rPr>
        <w:t>000</w:t>
      </w:r>
      <w:r w:rsidR="002C42F4">
        <w:rPr>
          <w:lang w:val="fr-FR"/>
        </w:rPr>
        <w:t> </w:t>
      </w:r>
      <w:r w:rsidRPr="00466CE7">
        <w:rPr>
          <w:lang w:val="fr-FR"/>
        </w:rPr>
        <w:t xml:space="preserve">ressortissants kirghizes </w:t>
      </w:r>
      <w:r>
        <w:rPr>
          <w:lang w:val="fr-FR"/>
        </w:rPr>
        <w:t>travaillaient à l’étranger</w:t>
      </w:r>
      <w:r w:rsidRPr="00466CE7">
        <w:rPr>
          <w:lang w:val="fr-FR"/>
        </w:rPr>
        <w:t xml:space="preserve">, la plupart en Russie, au Kazakhstan et en Turquie. </w:t>
      </w:r>
    </w:p>
    <w:p w14:paraId="75262C62" w14:textId="628C2FF3" w:rsidR="009C6834" w:rsidRPr="00466CE7" w:rsidRDefault="009C6834" w:rsidP="009C6834">
      <w:pPr>
        <w:pStyle w:val="SingleTxtG"/>
        <w:rPr>
          <w:lang w:val="fr-FR"/>
        </w:rPr>
      </w:pPr>
      <w:r w:rsidRPr="00466CE7">
        <w:rPr>
          <w:lang w:val="fr-FR"/>
        </w:rPr>
        <w:t>115.</w:t>
      </w:r>
      <w:r w:rsidRPr="00466CE7">
        <w:rPr>
          <w:lang w:val="fr-FR"/>
        </w:rPr>
        <w:tab/>
      </w:r>
      <w:r>
        <w:rPr>
          <w:lang w:val="fr-FR"/>
        </w:rPr>
        <w:t>S</w:t>
      </w:r>
      <w:r w:rsidRPr="00466CE7">
        <w:rPr>
          <w:lang w:val="fr-FR"/>
        </w:rPr>
        <w:t>elon les estimations</w:t>
      </w:r>
      <w:r>
        <w:rPr>
          <w:lang w:val="fr-FR"/>
        </w:rPr>
        <w:t>,</w:t>
      </w:r>
      <w:r w:rsidRPr="00DA780D">
        <w:rPr>
          <w:lang w:val="fr-FR"/>
        </w:rPr>
        <w:t xml:space="preserve"> </w:t>
      </w:r>
      <w:r>
        <w:rPr>
          <w:lang w:val="fr-FR"/>
        </w:rPr>
        <w:t xml:space="preserve">on dénombrait </w:t>
      </w:r>
      <w:r w:rsidRPr="00466CE7">
        <w:rPr>
          <w:lang w:val="fr-FR"/>
        </w:rPr>
        <w:t>750</w:t>
      </w:r>
      <w:r w:rsidR="002C42F4">
        <w:rPr>
          <w:lang w:val="fr-FR"/>
        </w:rPr>
        <w:t> </w:t>
      </w:r>
      <w:r w:rsidRPr="00466CE7">
        <w:rPr>
          <w:lang w:val="fr-FR"/>
        </w:rPr>
        <w:t>000</w:t>
      </w:r>
      <w:r w:rsidR="002C42F4">
        <w:rPr>
          <w:lang w:val="fr-FR"/>
        </w:rPr>
        <w:t> </w:t>
      </w:r>
      <w:r>
        <w:rPr>
          <w:lang w:val="fr-FR"/>
        </w:rPr>
        <w:t xml:space="preserve">ressortissants </w:t>
      </w:r>
      <w:r w:rsidRPr="00466CE7">
        <w:rPr>
          <w:lang w:val="fr-FR"/>
        </w:rPr>
        <w:t>kirghizes en Russie, dont 600</w:t>
      </w:r>
      <w:r w:rsidR="002C42F4">
        <w:rPr>
          <w:lang w:val="fr-FR"/>
        </w:rPr>
        <w:t> </w:t>
      </w:r>
      <w:r w:rsidRPr="00466CE7">
        <w:rPr>
          <w:lang w:val="fr-FR"/>
        </w:rPr>
        <w:t>000</w:t>
      </w:r>
      <w:r w:rsidR="002C42F4">
        <w:rPr>
          <w:lang w:val="fr-FR"/>
        </w:rPr>
        <w:t> </w:t>
      </w:r>
      <w:r>
        <w:rPr>
          <w:lang w:val="fr-FR"/>
        </w:rPr>
        <w:t>actifs employés</w:t>
      </w:r>
      <w:r w:rsidRPr="00466CE7">
        <w:rPr>
          <w:lang w:val="fr-FR"/>
        </w:rPr>
        <w:t xml:space="preserve"> principalement dans le commerce, les services et l</w:t>
      </w:r>
      <w:r>
        <w:rPr>
          <w:lang w:val="fr-FR"/>
        </w:rPr>
        <w:t xml:space="preserve">e bâtiment ; </w:t>
      </w:r>
      <w:r w:rsidRPr="00466CE7">
        <w:rPr>
          <w:lang w:val="fr-FR"/>
        </w:rPr>
        <w:t>50</w:t>
      </w:r>
      <w:r w:rsidR="002C42F4">
        <w:rPr>
          <w:lang w:val="fr-FR"/>
        </w:rPr>
        <w:t> </w:t>
      </w:r>
      <w:r w:rsidRPr="00466CE7">
        <w:rPr>
          <w:lang w:val="fr-FR"/>
        </w:rPr>
        <w:t>000</w:t>
      </w:r>
      <w:r w:rsidR="002C42F4">
        <w:rPr>
          <w:lang w:val="fr-FR"/>
        </w:rPr>
        <w:t> </w:t>
      </w:r>
      <w:r>
        <w:rPr>
          <w:lang w:val="fr-FR"/>
        </w:rPr>
        <w:t xml:space="preserve">ressortissants </w:t>
      </w:r>
      <w:r w:rsidRPr="00466CE7">
        <w:rPr>
          <w:lang w:val="fr-FR"/>
        </w:rPr>
        <w:t xml:space="preserve">kirghizes </w:t>
      </w:r>
      <w:r>
        <w:rPr>
          <w:lang w:val="fr-FR"/>
        </w:rPr>
        <w:t>au Kazakhstan</w:t>
      </w:r>
      <w:r w:rsidRPr="00466CE7">
        <w:rPr>
          <w:lang w:val="fr-FR"/>
        </w:rPr>
        <w:t xml:space="preserve">, principalement des entrepreneurs </w:t>
      </w:r>
      <w:r>
        <w:rPr>
          <w:lang w:val="fr-FR"/>
        </w:rPr>
        <w:t>individuels</w:t>
      </w:r>
      <w:r w:rsidRPr="00466CE7">
        <w:rPr>
          <w:lang w:val="fr-FR"/>
        </w:rPr>
        <w:t xml:space="preserve">, des travailleurs saisonniers engagés </w:t>
      </w:r>
      <w:r>
        <w:rPr>
          <w:lang w:val="fr-FR"/>
        </w:rPr>
        <w:t xml:space="preserve">pour des </w:t>
      </w:r>
      <w:r w:rsidRPr="00466CE7">
        <w:rPr>
          <w:lang w:val="fr-FR"/>
        </w:rPr>
        <w:t xml:space="preserve">travaux agricoles et </w:t>
      </w:r>
      <w:r>
        <w:rPr>
          <w:lang w:val="fr-FR"/>
        </w:rPr>
        <w:t>des activités pastorales</w:t>
      </w:r>
      <w:r w:rsidRPr="00466CE7">
        <w:rPr>
          <w:lang w:val="fr-FR"/>
        </w:rPr>
        <w:t xml:space="preserve">, des </w:t>
      </w:r>
      <w:r>
        <w:rPr>
          <w:lang w:val="fr-FR"/>
        </w:rPr>
        <w:t>salariés,</w:t>
      </w:r>
      <w:r w:rsidRPr="00466CE7">
        <w:rPr>
          <w:lang w:val="fr-FR"/>
        </w:rPr>
        <w:t xml:space="preserve"> ainsi </w:t>
      </w:r>
      <w:r>
        <w:rPr>
          <w:lang w:val="fr-FR"/>
        </w:rPr>
        <w:t xml:space="preserve">qu’un petit nombre de </w:t>
      </w:r>
      <w:r w:rsidRPr="00466CE7">
        <w:rPr>
          <w:lang w:val="fr-FR"/>
        </w:rPr>
        <w:t>médecins, d</w:t>
      </w:r>
      <w:r>
        <w:rPr>
          <w:lang w:val="fr-FR"/>
        </w:rPr>
        <w:t>’</w:t>
      </w:r>
      <w:r w:rsidRPr="00466CE7">
        <w:rPr>
          <w:lang w:val="fr-FR"/>
        </w:rPr>
        <w:t>enseignants et de spécialistes</w:t>
      </w:r>
      <w:r>
        <w:rPr>
          <w:lang w:val="fr-FR"/>
        </w:rPr>
        <w:t xml:space="preserve"> divers ;</w:t>
      </w:r>
      <w:r w:rsidRPr="00C918DF">
        <w:rPr>
          <w:lang w:val="fr-FR"/>
        </w:rPr>
        <w:t xml:space="preserve"> </w:t>
      </w:r>
      <w:r>
        <w:rPr>
          <w:lang w:val="fr-FR"/>
        </w:rPr>
        <w:t xml:space="preserve">et </w:t>
      </w:r>
      <w:r w:rsidRPr="00466CE7">
        <w:rPr>
          <w:lang w:val="fr-FR"/>
        </w:rPr>
        <w:t>30</w:t>
      </w:r>
      <w:r w:rsidR="002C42F4">
        <w:rPr>
          <w:lang w:val="fr-FR"/>
        </w:rPr>
        <w:t> </w:t>
      </w:r>
      <w:r w:rsidRPr="00466CE7">
        <w:rPr>
          <w:lang w:val="fr-FR"/>
        </w:rPr>
        <w:t>000</w:t>
      </w:r>
      <w:r w:rsidR="002C42F4">
        <w:rPr>
          <w:lang w:val="fr-FR"/>
        </w:rPr>
        <w:t> </w:t>
      </w:r>
      <w:r>
        <w:rPr>
          <w:lang w:val="fr-FR"/>
        </w:rPr>
        <w:t xml:space="preserve">ressortissants </w:t>
      </w:r>
      <w:r w:rsidRPr="00466CE7">
        <w:rPr>
          <w:lang w:val="fr-FR"/>
        </w:rPr>
        <w:t>kirghizes en Turquie</w:t>
      </w:r>
      <w:r>
        <w:rPr>
          <w:lang w:val="fr-FR"/>
        </w:rPr>
        <w:t xml:space="preserve">, </w:t>
      </w:r>
      <w:r w:rsidRPr="00466CE7">
        <w:rPr>
          <w:lang w:val="fr-FR"/>
        </w:rPr>
        <w:t>travailla</w:t>
      </w:r>
      <w:r>
        <w:rPr>
          <w:lang w:val="fr-FR"/>
        </w:rPr>
        <w:t xml:space="preserve">nt dans les </w:t>
      </w:r>
      <w:r w:rsidRPr="00466CE7">
        <w:rPr>
          <w:lang w:val="fr-FR"/>
        </w:rPr>
        <w:t xml:space="preserve">services </w:t>
      </w:r>
      <w:r>
        <w:rPr>
          <w:lang w:val="fr-FR"/>
        </w:rPr>
        <w:t>d’accueil</w:t>
      </w:r>
      <w:r w:rsidRPr="00466CE7">
        <w:rPr>
          <w:lang w:val="fr-FR"/>
        </w:rPr>
        <w:t xml:space="preserve">, </w:t>
      </w:r>
      <w:r>
        <w:rPr>
          <w:lang w:val="fr-FR"/>
        </w:rPr>
        <w:t xml:space="preserve">de </w:t>
      </w:r>
      <w:r w:rsidRPr="00466CE7">
        <w:rPr>
          <w:lang w:val="fr-FR"/>
        </w:rPr>
        <w:t xml:space="preserve">restauration </w:t>
      </w:r>
      <w:r>
        <w:rPr>
          <w:lang w:val="fr-FR"/>
        </w:rPr>
        <w:t xml:space="preserve">collective </w:t>
      </w:r>
      <w:r w:rsidRPr="00466CE7">
        <w:rPr>
          <w:lang w:val="fr-FR"/>
        </w:rPr>
        <w:t xml:space="preserve">et </w:t>
      </w:r>
      <w:r>
        <w:rPr>
          <w:lang w:val="fr-FR"/>
        </w:rPr>
        <w:t xml:space="preserve">de </w:t>
      </w:r>
      <w:r w:rsidRPr="00466CE7">
        <w:rPr>
          <w:lang w:val="fr-FR"/>
        </w:rPr>
        <w:t xml:space="preserve">nettoyage. </w:t>
      </w:r>
    </w:p>
    <w:p w14:paraId="5481A882" w14:textId="3DAD9888" w:rsidR="009C6834" w:rsidRPr="00466CE7" w:rsidRDefault="009C6834" w:rsidP="009C6834">
      <w:pPr>
        <w:pStyle w:val="SingleTxtG"/>
        <w:rPr>
          <w:lang w:val="fr-FR"/>
        </w:rPr>
      </w:pPr>
      <w:r w:rsidRPr="00466CE7">
        <w:rPr>
          <w:lang w:val="fr-FR"/>
        </w:rPr>
        <w:t>116.</w:t>
      </w:r>
      <w:r w:rsidRPr="00466CE7">
        <w:rPr>
          <w:lang w:val="fr-FR"/>
        </w:rPr>
        <w:tab/>
        <w:t>Enregistrement et permis de travail. Conformément aux dispositions de l</w:t>
      </w:r>
      <w:r>
        <w:rPr>
          <w:lang w:val="fr-FR"/>
        </w:rPr>
        <w:t>’</w:t>
      </w:r>
      <w:r w:rsidRPr="00466CE7">
        <w:rPr>
          <w:lang w:val="fr-FR"/>
        </w:rPr>
        <w:t>accord signé l</w:t>
      </w:r>
      <w:r>
        <w:rPr>
          <w:lang w:val="fr-FR"/>
        </w:rPr>
        <w:t>e 19</w:t>
      </w:r>
      <w:r w:rsidR="002C42F4">
        <w:rPr>
          <w:lang w:val="fr-FR"/>
        </w:rPr>
        <w:t> </w:t>
      </w:r>
      <w:r>
        <w:rPr>
          <w:lang w:val="fr-FR"/>
        </w:rPr>
        <w:t>juin 2015</w:t>
      </w:r>
      <w:r w:rsidRPr="00466CE7">
        <w:rPr>
          <w:lang w:val="fr-FR"/>
        </w:rPr>
        <w:t xml:space="preserve"> entre la République kirghize et la Fédération de Russie sur </w:t>
      </w:r>
      <w:r>
        <w:rPr>
          <w:lang w:val="fr-FR"/>
        </w:rPr>
        <w:t xml:space="preserve">le régime de séjour des </w:t>
      </w:r>
      <w:r w:rsidRPr="00466CE7">
        <w:rPr>
          <w:lang w:val="fr-FR"/>
        </w:rPr>
        <w:t xml:space="preserve">citoyens de la République kirghize </w:t>
      </w:r>
      <w:r>
        <w:rPr>
          <w:lang w:val="fr-FR"/>
        </w:rPr>
        <w:t xml:space="preserve">sur le territoire de </w:t>
      </w:r>
      <w:r w:rsidRPr="00466CE7">
        <w:rPr>
          <w:lang w:val="fr-FR"/>
        </w:rPr>
        <w:t xml:space="preserve">la Fédération de Russie et </w:t>
      </w:r>
      <w:r>
        <w:rPr>
          <w:lang w:val="fr-FR"/>
        </w:rPr>
        <w:t xml:space="preserve">des </w:t>
      </w:r>
      <w:r w:rsidRPr="00466CE7">
        <w:rPr>
          <w:lang w:val="fr-FR"/>
        </w:rPr>
        <w:t xml:space="preserve">citoyens de la Fédération de Russie sur le territoire de la République kirghize, la </w:t>
      </w:r>
      <w:r>
        <w:rPr>
          <w:lang w:val="fr-FR"/>
        </w:rPr>
        <w:t>période</w:t>
      </w:r>
      <w:r w:rsidRPr="00466CE7">
        <w:rPr>
          <w:lang w:val="fr-FR"/>
        </w:rPr>
        <w:t xml:space="preserve"> </w:t>
      </w:r>
      <w:r>
        <w:rPr>
          <w:lang w:val="fr-FR"/>
        </w:rPr>
        <w:t xml:space="preserve">durant laquelle les ressortissants </w:t>
      </w:r>
      <w:r w:rsidRPr="00466CE7">
        <w:rPr>
          <w:lang w:val="fr-FR"/>
        </w:rPr>
        <w:t>kirghize</w:t>
      </w:r>
      <w:r>
        <w:rPr>
          <w:lang w:val="fr-FR"/>
        </w:rPr>
        <w:t>s</w:t>
      </w:r>
      <w:r w:rsidRPr="00466CE7">
        <w:rPr>
          <w:lang w:val="fr-FR"/>
        </w:rPr>
        <w:t xml:space="preserve"> </w:t>
      </w:r>
      <w:r>
        <w:rPr>
          <w:lang w:val="fr-FR"/>
        </w:rPr>
        <w:t xml:space="preserve">peuvent séjourner </w:t>
      </w:r>
      <w:r w:rsidRPr="00466CE7">
        <w:rPr>
          <w:lang w:val="fr-FR"/>
        </w:rPr>
        <w:t xml:space="preserve">dans la Fédération de Russie </w:t>
      </w:r>
      <w:r>
        <w:rPr>
          <w:lang w:val="fr-FR"/>
        </w:rPr>
        <w:t xml:space="preserve">sans être enregistrés a été portée </w:t>
      </w:r>
      <w:r w:rsidRPr="00466CE7">
        <w:rPr>
          <w:lang w:val="fr-FR"/>
        </w:rPr>
        <w:t xml:space="preserve">de </w:t>
      </w:r>
      <w:r w:rsidR="002C42F4">
        <w:rPr>
          <w:lang w:val="fr-FR"/>
        </w:rPr>
        <w:t>sept</w:t>
      </w:r>
      <w:r w:rsidRPr="00466CE7">
        <w:rPr>
          <w:lang w:val="fr-FR"/>
        </w:rPr>
        <w:t xml:space="preserve"> à </w:t>
      </w:r>
      <w:r w:rsidR="002C42F4">
        <w:rPr>
          <w:lang w:val="fr-FR"/>
        </w:rPr>
        <w:t>trente</w:t>
      </w:r>
      <w:r w:rsidRPr="00466CE7">
        <w:rPr>
          <w:lang w:val="fr-FR"/>
        </w:rPr>
        <w:t xml:space="preserve"> jours. </w:t>
      </w:r>
    </w:p>
    <w:p w14:paraId="0D2A5547" w14:textId="22FD7EB3" w:rsidR="009C6834" w:rsidRPr="00466CE7" w:rsidRDefault="009C6834" w:rsidP="009C6834">
      <w:pPr>
        <w:pStyle w:val="SingleTxtG"/>
        <w:rPr>
          <w:lang w:val="fr-FR"/>
        </w:rPr>
      </w:pPr>
      <w:r w:rsidRPr="00466CE7">
        <w:rPr>
          <w:lang w:val="fr-FR"/>
        </w:rPr>
        <w:t>117.</w:t>
      </w:r>
      <w:r w:rsidRPr="00466CE7">
        <w:rPr>
          <w:lang w:val="fr-FR"/>
        </w:rPr>
        <w:tab/>
        <w:t xml:space="preserve">Conformément aux dispositions du protocole </w:t>
      </w:r>
      <w:r>
        <w:rPr>
          <w:lang w:val="fr-FR"/>
        </w:rPr>
        <w:t>du 17</w:t>
      </w:r>
      <w:r w:rsidR="002C42F4">
        <w:rPr>
          <w:lang w:val="fr-FR"/>
        </w:rPr>
        <w:t> </w:t>
      </w:r>
      <w:r>
        <w:rPr>
          <w:lang w:val="fr-FR"/>
        </w:rPr>
        <w:t xml:space="preserve">octobre 2016 modifiant et complétant </w:t>
      </w:r>
      <w:r w:rsidRPr="00466CE7">
        <w:rPr>
          <w:lang w:val="fr-FR"/>
        </w:rPr>
        <w:t>l</w:t>
      </w:r>
      <w:r>
        <w:rPr>
          <w:lang w:val="fr-FR"/>
        </w:rPr>
        <w:t>’</w:t>
      </w:r>
      <w:r w:rsidRPr="00466CE7">
        <w:rPr>
          <w:lang w:val="fr-FR"/>
        </w:rPr>
        <w:t xml:space="preserve">accord </w:t>
      </w:r>
      <w:r>
        <w:rPr>
          <w:lang w:val="fr-FR"/>
        </w:rPr>
        <w:t xml:space="preserve">signé le </w:t>
      </w:r>
      <w:r w:rsidRPr="00466CE7">
        <w:rPr>
          <w:lang w:val="fr-FR"/>
        </w:rPr>
        <w:t>11</w:t>
      </w:r>
      <w:r w:rsidR="002C42F4">
        <w:rPr>
          <w:lang w:val="fr-FR"/>
        </w:rPr>
        <w:t> </w:t>
      </w:r>
      <w:r w:rsidRPr="00466CE7">
        <w:rPr>
          <w:lang w:val="fr-FR"/>
        </w:rPr>
        <w:t>mai 2012</w:t>
      </w:r>
      <w:r>
        <w:rPr>
          <w:lang w:val="fr-FR"/>
        </w:rPr>
        <w:t xml:space="preserve"> entre le G</w:t>
      </w:r>
      <w:r w:rsidRPr="00466CE7">
        <w:rPr>
          <w:lang w:val="fr-FR"/>
        </w:rPr>
        <w:t xml:space="preserve">ouvernement kirghize et le </w:t>
      </w:r>
      <w:r>
        <w:rPr>
          <w:lang w:val="fr-FR"/>
        </w:rPr>
        <w:t>G</w:t>
      </w:r>
      <w:r w:rsidRPr="00466CE7">
        <w:rPr>
          <w:lang w:val="fr-FR"/>
        </w:rPr>
        <w:t xml:space="preserve">ouvernement </w:t>
      </w:r>
      <w:r>
        <w:rPr>
          <w:lang w:val="fr-FR"/>
        </w:rPr>
        <w:t>k</w:t>
      </w:r>
      <w:r w:rsidRPr="00466CE7">
        <w:rPr>
          <w:lang w:val="fr-FR"/>
        </w:rPr>
        <w:t>azakh</w:t>
      </w:r>
      <w:r>
        <w:rPr>
          <w:lang w:val="fr-FR"/>
        </w:rPr>
        <w:t xml:space="preserve"> sur le régime </w:t>
      </w:r>
      <w:r w:rsidRPr="00466CE7">
        <w:rPr>
          <w:lang w:val="fr-FR"/>
        </w:rPr>
        <w:t xml:space="preserve">de séjour des </w:t>
      </w:r>
      <w:r>
        <w:rPr>
          <w:lang w:val="fr-FR"/>
        </w:rPr>
        <w:t xml:space="preserve">ressortissants </w:t>
      </w:r>
      <w:r w:rsidRPr="00466CE7">
        <w:rPr>
          <w:lang w:val="fr-FR"/>
        </w:rPr>
        <w:t xml:space="preserve">kirghizes sur le territoire de la République du Kazakhstan et des </w:t>
      </w:r>
      <w:r>
        <w:rPr>
          <w:lang w:val="fr-FR"/>
        </w:rPr>
        <w:t>ressortissants kazakhs</w:t>
      </w:r>
      <w:r w:rsidRPr="00466CE7">
        <w:rPr>
          <w:lang w:val="fr-FR"/>
        </w:rPr>
        <w:t xml:space="preserve"> sur le territoire de la République kirghize, la période </w:t>
      </w:r>
      <w:r>
        <w:rPr>
          <w:lang w:val="fr-FR"/>
        </w:rPr>
        <w:t>durant laquelle les ressortissants kirghizes peuvent séjourner au Kazakhstan</w:t>
      </w:r>
      <w:r w:rsidRPr="00466CE7">
        <w:rPr>
          <w:lang w:val="fr-FR"/>
        </w:rPr>
        <w:t xml:space="preserve"> </w:t>
      </w:r>
      <w:r>
        <w:rPr>
          <w:lang w:val="fr-FR"/>
        </w:rPr>
        <w:t xml:space="preserve">sans être enregistrés </w:t>
      </w:r>
      <w:r w:rsidRPr="00466CE7">
        <w:rPr>
          <w:lang w:val="fr-FR"/>
        </w:rPr>
        <w:t xml:space="preserve">a été </w:t>
      </w:r>
      <w:r>
        <w:rPr>
          <w:lang w:val="fr-FR"/>
        </w:rPr>
        <w:t xml:space="preserve">portée </w:t>
      </w:r>
      <w:r w:rsidRPr="00466CE7">
        <w:rPr>
          <w:lang w:val="fr-FR"/>
        </w:rPr>
        <w:t xml:space="preserve">de </w:t>
      </w:r>
      <w:r w:rsidR="002C42F4">
        <w:rPr>
          <w:lang w:val="fr-FR"/>
        </w:rPr>
        <w:t>cinq</w:t>
      </w:r>
      <w:r w:rsidRPr="00466CE7">
        <w:rPr>
          <w:lang w:val="fr-FR"/>
        </w:rPr>
        <w:t xml:space="preserve"> à </w:t>
      </w:r>
      <w:r w:rsidR="002C42F4">
        <w:rPr>
          <w:lang w:val="fr-FR"/>
        </w:rPr>
        <w:t>trente</w:t>
      </w:r>
      <w:r w:rsidRPr="00466CE7">
        <w:rPr>
          <w:lang w:val="fr-FR"/>
        </w:rPr>
        <w:t xml:space="preserve"> jours. </w:t>
      </w:r>
    </w:p>
    <w:p w14:paraId="2C16344D" w14:textId="258FE274" w:rsidR="009C6834" w:rsidRPr="00466CE7" w:rsidRDefault="009C6834" w:rsidP="009C6834">
      <w:pPr>
        <w:pStyle w:val="SingleTxtG"/>
        <w:rPr>
          <w:lang w:val="fr-FR"/>
        </w:rPr>
      </w:pPr>
      <w:r>
        <w:rPr>
          <w:lang w:val="fr-FR"/>
        </w:rPr>
        <w:t>118.</w:t>
      </w:r>
      <w:r>
        <w:rPr>
          <w:lang w:val="fr-FR"/>
        </w:rPr>
        <w:tab/>
        <w:t xml:space="preserve">Depuis l’adhésion </w:t>
      </w:r>
      <w:r w:rsidRPr="00466CE7">
        <w:rPr>
          <w:lang w:val="fr-FR"/>
        </w:rPr>
        <w:t xml:space="preserve">de la République kirghize </w:t>
      </w:r>
      <w:r>
        <w:rPr>
          <w:lang w:val="fr-FR"/>
        </w:rPr>
        <w:t xml:space="preserve">à </w:t>
      </w:r>
      <w:r w:rsidRPr="00466CE7">
        <w:rPr>
          <w:lang w:val="fr-FR"/>
        </w:rPr>
        <w:t>l</w:t>
      </w:r>
      <w:r>
        <w:rPr>
          <w:lang w:val="fr-FR"/>
        </w:rPr>
        <w:t>’</w:t>
      </w:r>
      <w:r w:rsidRPr="00466CE7">
        <w:rPr>
          <w:lang w:val="fr-FR"/>
        </w:rPr>
        <w:t>Union économique eurasi</w:t>
      </w:r>
      <w:r>
        <w:rPr>
          <w:lang w:val="fr-FR"/>
        </w:rPr>
        <w:t xml:space="preserve">atique en vertu d’un traité signé le </w:t>
      </w:r>
      <w:r w:rsidRPr="00466CE7">
        <w:rPr>
          <w:lang w:val="fr-FR"/>
        </w:rPr>
        <w:t>29</w:t>
      </w:r>
      <w:r w:rsidR="002C42F4">
        <w:rPr>
          <w:lang w:val="fr-FR"/>
        </w:rPr>
        <w:t> </w:t>
      </w:r>
      <w:r w:rsidRPr="00466CE7">
        <w:rPr>
          <w:lang w:val="fr-FR"/>
        </w:rPr>
        <w:t xml:space="preserve">mai 2014 </w:t>
      </w:r>
      <w:r>
        <w:rPr>
          <w:lang w:val="fr-FR"/>
        </w:rPr>
        <w:t xml:space="preserve">et </w:t>
      </w:r>
      <w:r w:rsidRPr="00466CE7">
        <w:rPr>
          <w:lang w:val="fr-FR"/>
        </w:rPr>
        <w:t>ratifié par la loi n</w:t>
      </w:r>
      <w:r w:rsidR="002C42F4" w:rsidRPr="002C42F4">
        <w:rPr>
          <w:vertAlign w:val="superscript"/>
          <w:lang w:val="fr-FR"/>
        </w:rPr>
        <w:t>o</w:t>
      </w:r>
      <w:r>
        <w:rPr>
          <w:lang w:val="fr-FR"/>
        </w:rPr>
        <w:t> </w:t>
      </w:r>
      <w:r w:rsidRPr="00466CE7">
        <w:rPr>
          <w:lang w:val="fr-FR"/>
        </w:rPr>
        <w:t>111 du 21</w:t>
      </w:r>
      <w:r w:rsidR="002C42F4">
        <w:rPr>
          <w:lang w:val="fr-FR"/>
        </w:rPr>
        <w:t> </w:t>
      </w:r>
      <w:r w:rsidRPr="00466CE7">
        <w:rPr>
          <w:lang w:val="fr-FR"/>
        </w:rPr>
        <w:t xml:space="preserve">mai 2015, les </w:t>
      </w:r>
      <w:r>
        <w:rPr>
          <w:lang w:val="fr-FR"/>
        </w:rPr>
        <w:t>ressortissants kirghizes</w:t>
      </w:r>
      <w:r w:rsidRPr="00E51CFC">
        <w:rPr>
          <w:lang w:val="fr-FR"/>
        </w:rPr>
        <w:t xml:space="preserve"> </w:t>
      </w:r>
      <w:r>
        <w:rPr>
          <w:lang w:val="fr-FR"/>
        </w:rPr>
        <w:t>qui travaillent</w:t>
      </w:r>
      <w:r w:rsidRPr="00466CE7">
        <w:rPr>
          <w:lang w:val="fr-FR"/>
        </w:rPr>
        <w:t xml:space="preserve"> sur le territoire des États de l</w:t>
      </w:r>
      <w:r>
        <w:rPr>
          <w:lang w:val="fr-FR"/>
        </w:rPr>
        <w:t>’</w:t>
      </w:r>
      <w:r w:rsidRPr="00466CE7">
        <w:rPr>
          <w:lang w:val="fr-FR"/>
        </w:rPr>
        <w:t xml:space="preserve">Union </w:t>
      </w:r>
      <w:r>
        <w:rPr>
          <w:lang w:val="fr-FR"/>
        </w:rPr>
        <w:t xml:space="preserve">bénéficient </w:t>
      </w:r>
      <w:r w:rsidRPr="00466CE7">
        <w:rPr>
          <w:lang w:val="fr-FR"/>
        </w:rPr>
        <w:t>d</w:t>
      </w:r>
      <w:r>
        <w:rPr>
          <w:lang w:val="fr-FR"/>
        </w:rPr>
        <w:t>’</w:t>
      </w:r>
      <w:r w:rsidRPr="00466CE7">
        <w:rPr>
          <w:lang w:val="fr-FR"/>
        </w:rPr>
        <w:t>un certain nombre d</w:t>
      </w:r>
      <w:r>
        <w:rPr>
          <w:lang w:val="fr-FR"/>
        </w:rPr>
        <w:t>’</w:t>
      </w:r>
      <w:r w:rsidRPr="00466CE7">
        <w:rPr>
          <w:lang w:val="fr-FR"/>
        </w:rPr>
        <w:t>avantages</w:t>
      </w:r>
      <w:r>
        <w:rPr>
          <w:lang w:val="fr-FR"/>
        </w:rPr>
        <w:t xml:space="preserve"> : ils n’ont pas besoin de </w:t>
      </w:r>
      <w:r w:rsidRPr="00466CE7">
        <w:rPr>
          <w:lang w:val="fr-FR"/>
        </w:rPr>
        <w:t>permis de travail</w:t>
      </w:r>
      <w:r>
        <w:rPr>
          <w:lang w:val="fr-FR"/>
        </w:rPr>
        <w:t> ; ils</w:t>
      </w:r>
      <w:r w:rsidRPr="00466CE7">
        <w:rPr>
          <w:lang w:val="fr-FR"/>
        </w:rPr>
        <w:t xml:space="preserve"> </w:t>
      </w:r>
      <w:r>
        <w:rPr>
          <w:lang w:val="fr-FR"/>
        </w:rPr>
        <w:t xml:space="preserve">sont exemptés de l’obligation de s’enregistrer comme migrants </w:t>
      </w:r>
      <w:r w:rsidRPr="00466CE7">
        <w:rPr>
          <w:lang w:val="fr-FR"/>
        </w:rPr>
        <w:t xml:space="preserve">dans les </w:t>
      </w:r>
      <w:r w:rsidR="005D7F19">
        <w:rPr>
          <w:lang w:val="fr-FR"/>
        </w:rPr>
        <w:t>trente</w:t>
      </w:r>
      <w:r w:rsidRPr="00466CE7">
        <w:rPr>
          <w:lang w:val="fr-FR"/>
        </w:rPr>
        <w:t xml:space="preserve"> jours suivant l</w:t>
      </w:r>
      <w:r>
        <w:rPr>
          <w:lang w:val="fr-FR"/>
        </w:rPr>
        <w:t>eur arrivée ;</w:t>
      </w:r>
      <w:r w:rsidRPr="00466CE7">
        <w:rPr>
          <w:lang w:val="fr-FR"/>
        </w:rPr>
        <w:t xml:space="preserve"> la </w:t>
      </w:r>
      <w:r>
        <w:rPr>
          <w:lang w:val="fr-FR"/>
        </w:rPr>
        <w:t xml:space="preserve">durée de leur </w:t>
      </w:r>
      <w:r w:rsidRPr="00E51CFC">
        <w:rPr>
          <w:lang w:val="fr-FR"/>
        </w:rPr>
        <w:t xml:space="preserve">séjour </w:t>
      </w:r>
      <w:r>
        <w:rPr>
          <w:lang w:val="fr-FR"/>
        </w:rPr>
        <w:t xml:space="preserve">est déterminée </w:t>
      </w:r>
      <w:r w:rsidRPr="00E51CFC">
        <w:rPr>
          <w:lang w:val="fr-FR"/>
        </w:rPr>
        <w:t xml:space="preserve">par la durée </w:t>
      </w:r>
      <w:r>
        <w:rPr>
          <w:lang w:val="fr-FR"/>
        </w:rPr>
        <w:t xml:space="preserve">de leur </w:t>
      </w:r>
      <w:r w:rsidRPr="00E51CFC">
        <w:rPr>
          <w:lang w:val="fr-FR"/>
        </w:rPr>
        <w:t>contrat de travail</w:t>
      </w:r>
      <w:r>
        <w:rPr>
          <w:lang w:val="fr-FR"/>
        </w:rPr>
        <w:t> ;</w:t>
      </w:r>
      <w:r w:rsidRPr="00E51CFC">
        <w:rPr>
          <w:lang w:val="fr-FR"/>
        </w:rPr>
        <w:t xml:space="preserve"> </w:t>
      </w:r>
      <w:r>
        <w:rPr>
          <w:lang w:val="fr-FR"/>
        </w:rPr>
        <w:t>leurs diplômes sont reconnus</w:t>
      </w:r>
      <w:r w:rsidRPr="00E51CFC">
        <w:rPr>
          <w:lang w:val="fr-FR"/>
        </w:rPr>
        <w:t xml:space="preserve"> (</w:t>
      </w:r>
      <w:r>
        <w:rPr>
          <w:lang w:val="fr-FR"/>
        </w:rPr>
        <w:t xml:space="preserve">sauf les diplômes d’enseignement, </w:t>
      </w:r>
      <w:r w:rsidRPr="00E51CFC">
        <w:rPr>
          <w:lang w:val="fr-FR"/>
        </w:rPr>
        <w:t xml:space="preserve">de droit, de médecine ou de pharmacie, qui nécessitent une procédure </w:t>
      </w:r>
      <w:r>
        <w:rPr>
          <w:lang w:val="fr-FR"/>
        </w:rPr>
        <w:t xml:space="preserve">d’équivalence </w:t>
      </w:r>
      <w:r w:rsidRPr="00E51CFC">
        <w:rPr>
          <w:lang w:val="fr-FR"/>
        </w:rPr>
        <w:t>supplémentaire</w:t>
      </w:r>
      <w:r>
        <w:rPr>
          <w:lang w:val="fr-FR"/>
        </w:rPr>
        <w:t xml:space="preserve">) ; leurs enfants sont admis dans les jardins d’enfants et les écoles. Les ressortissants kirghizes travaillant </w:t>
      </w:r>
      <w:r w:rsidRPr="00466CE7">
        <w:rPr>
          <w:lang w:val="fr-FR"/>
        </w:rPr>
        <w:t xml:space="preserve">en Russie ont </w:t>
      </w:r>
      <w:r>
        <w:rPr>
          <w:lang w:val="fr-FR"/>
        </w:rPr>
        <w:t xml:space="preserve">en outre </w:t>
      </w:r>
      <w:r w:rsidRPr="00466CE7">
        <w:rPr>
          <w:lang w:val="fr-FR"/>
        </w:rPr>
        <w:t>bénéficié ces dernières années d</w:t>
      </w:r>
      <w:r>
        <w:rPr>
          <w:lang w:val="fr-FR"/>
        </w:rPr>
        <w:t>’</w:t>
      </w:r>
      <w:r w:rsidRPr="00466CE7">
        <w:rPr>
          <w:lang w:val="fr-FR"/>
        </w:rPr>
        <w:t xml:space="preserve">autres </w:t>
      </w:r>
      <w:r>
        <w:rPr>
          <w:lang w:val="fr-FR"/>
        </w:rPr>
        <w:t xml:space="preserve">avantages </w:t>
      </w:r>
      <w:r w:rsidRPr="00466CE7">
        <w:rPr>
          <w:lang w:val="fr-FR"/>
        </w:rPr>
        <w:t xml:space="preserve">découlant </w:t>
      </w:r>
      <w:r>
        <w:rPr>
          <w:lang w:val="fr-FR"/>
        </w:rPr>
        <w:t>d’</w:t>
      </w:r>
      <w:r w:rsidRPr="00466CE7">
        <w:rPr>
          <w:lang w:val="fr-FR"/>
        </w:rPr>
        <w:t xml:space="preserve">accords bilatéraux, </w:t>
      </w:r>
      <w:r>
        <w:rPr>
          <w:lang w:val="fr-FR"/>
        </w:rPr>
        <w:t>notamment des « </w:t>
      </w:r>
      <w:r w:rsidRPr="00466CE7">
        <w:rPr>
          <w:lang w:val="fr-FR"/>
        </w:rPr>
        <w:t>amnisties migratoires</w:t>
      </w:r>
      <w:r>
        <w:rPr>
          <w:lang w:val="fr-FR"/>
        </w:rPr>
        <w:t> »</w:t>
      </w:r>
      <w:r w:rsidRPr="00466CE7">
        <w:rPr>
          <w:lang w:val="fr-FR"/>
        </w:rPr>
        <w:t xml:space="preserve"> </w:t>
      </w:r>
      <w:r>
        <w:rPr>
          <w:lang w:val="fr-FR"/>
        </w:rPr>
        <w:t xml:space="preserve">appliquées </w:t>
      </w:r>
      <w:r w:rsidRPr="00466CE7">
        <w:rPr>
          <w:lang w:val="fr-FR"/>
        </w:rPr>
        <w:t xml:space="preserve">en 2015, 2018 et 2019, ainsi que </w:t>
      </w:r>
      <w:r>
        <w:rPr>
          <w:lang w:val="fr-FR"/>
        </w:rPr>
        <w:t xml:space="preserve">du </w:t>
      </w:r>
      <w:r w:rsidRPr="00466CE7">
        <w:rPr>
          <w:lang w:val="fr-FR"/>
        </w:rPr>
        <w:t>droit d</w:t>
      </w:r>
      <w:r>
        <w:rPr>
          <w:lang w:val="fr-FR"/>
        </w:rPr>
        <w:t>’</w:t>
      </w:r>
      <w:r w:rsidRPr="00466CE7">
        <w:rPr>
          <w:lang w:val="fr-FR"/>
        </w:rPr>
        <w:t xml:space="preserve">utiliser </w:t>
      </w:r>
      <w:r>
        <w:rPr>
          <w:lang w:val="fr-FR"/>
        </w:rPr>
        <w:t xml:space="preserve">leur </w:t>
      </w:r>
      <w:r w:rsidRPr="00466CE7">
        <w:rPr>
          <w:lang w:val="fr-FR"/>
        </w:rPr>
        <w:t>permis de conduire kirghize</w:t>
      </w:r>
      <w:r>
        <w:rPr>
          <w:lang w:val="fr-FR"/>
        </w:rPr>
        <w:t xml:space="preserve"> pour ceux qui travaillaient comme chauffeurs</w:t>
      </w:r>
      <w:r w:rsidRPr="00466CE7">
        <w:rPr>
          <w:lang w:val="fr-FR"/>
        </w:rPr>
        <w:t>.</w:t>
      </w:r>
    </w:p>
    <w:p w14:paraId="6AE12797" w14:textId="7F0EE5D9" w:rsidR="009C6834" w:rsidRPr="00466CE7" w:rsidRDefault="009C6834" w:rsidP="00E1792A">
      <w:pPr>
        <w:pStyle w:val="SingleTxtG"/>
        <w:keepNext/>
        <w:keepLines/>
        <w:rPr>
          <w:lang w:val="fr-FR"/>
        </w:rPr>
      </w:pPr>
      <w:r w:rsidRPr="00466CE7">
        <w:rPr>
          <w:lang w:val="fr-FR"/>
        </w:rPr>
        <w:lastRenderedPageBreak/>
        <w:t>119.</w:t>
      </w:r>
      <w:r w:rsidRPr="00466CE7">
        <w:rPr>
          <w:lang w:val="fr-FR"/>
        </w:rPr>
        <w:tab/>
        <w:t xml:space="preserve">Afin de créer des conditions favorables </w:t>
      </w:r>
      <w:r>
        <w:rPr>
          <w:lang w:val="fr-FR"/>
        </w:rPr>
        <w:t>aux</w:t>
      </w:r>
      <w:r w:rsidRPr="001D219B">
        <w:rPr>
          <w:lang w:val="fr-FR"/>
        </w:rPr>
        <w:t xml:space="preserve"> </w:t>
      </w:r>
      <w:r w:rsidRPr="00466CE7">
        <w:rPr>
          <w:lang w:val="fr-FR"/>
        </w:rPr>
        <w:t>ressortissants kirghizes</w:t>
      </w:r>
      <w:r>
        <w:rPr>
          <w:lang w:val="fr-FR"/>
        </w:rPr>
        <w:t xml:space="preserve"> </w:t>
      </w:r>
      <w:r w:rsidRPr="00466CE7">
        <w:rPr>
          <w:lang w:val="fr-FR"/>
        </w:rPr>
        <w:t xml:space="preserve">et </w:t>
      </w:r>
      <w:r>
        <w:rPr>
          <w:lang w:val="fr-FR"/>
        </w:rPr>
        <w:t>de permettre à ces derniers de faire des économies</w:t>
      </w:r>
      <w:r w:rsidRPr="00466CE7">
        <w:rPr>
          <w:lang w:val="fr-FR"/>
        </w:rPr>
        <w:t>, un accord a été conclu</w:t>
      </w:r>
      <w:r w:rsidRPr="001D219B">
        <w:rPr>
          <w:lang w:val="fr-FR"/>
        </w:rPr>
        <w:t xml:space="preserve"> </w:t>
      </w:r>
      <w:r w:rsidRPr="00466CE7">
        <w:rPr>
          <w:lang w:val="fr-FR"/>
        </w:rPr>
        <w:t>en 2019 avec la partie turque pour réduire de 283 à 80</w:t>
      </w:r>
      <w:r w:rsidR="002C42F4">
        <w:rPr>
          <w:lang w:val="fr-FR"/>
        </w:rPr>
        <w:t> </w:t>
      </w:r>
      <w:r w:rsidRPr="00466CE7">
        <w:rPr>
          <w:lang w:val="fr-FR"/>
        </w:rPr>
        <w:t>dollars</w:t>
      </w:r>
      <w:r>
        <w:rPr>
          <w:lang w:val="fr-FR"/>
        </w:rPr>
        <w:t xml:space="preserve"> des </w:t>
      </w:r>
      <w:r w:rsidR="002C42F4">
        <w:rPr>
          <w:lang w:val="fr-FR"/>
        </w:rPr>
        <w:t>É</w:t>
      </w:r>
      <w:r>
        <w:rPr>
          <w:lang w:val="fr-FR"/>
        </w:rPr>
        <w:t xml:space="preserve">.-U. le montant des </w:t>
      </w:r>
      <w:r w:rsidRPr="00466CE7">
        <w:rPr>
          <w:lang w:val="fr-FR"/>
        </w:rPr>
        <w:t xml:space="preserve">frais consulaires et </w:t>
      </w:r>
      <w:r>
        <w:rPr>
          <w:lang w:val="fr-FR"/>
        </w:rPr>
        <w:t xml:space="preserve">du </w:t>
      </w:r>
      <w:r w:rsidRPr="00466CE7">
        <w:rPr>
          <w:lang w:val="fr-FR"/>
        </w:rPr>
        <w:t xml:space="preserve">permis de travail pour les ressortissants kirghizes. </w:t>
      </w:r>
    </w:p>
    <w:p w14:paraId="5AB8BFD8" w14:textId="201250EE" w:rsidR="009C6834" w:rsidRPr="00466CE7" w:rsidRDefault="009C6834" w:rsidP="00E1792A">
      <w:pPr>
        <w:pStyle w:val="SingleTxtG"/>
        <w:rPr>
          <w:lang w:val="fr-FR"/>
        </w:rPr>
      </w:pPr>
      <w:r w:rsidRPr="00466CE7">
        <w:rPr>
          <w:lang w:val="fr-FR"/>
        </w:rPr>
        <w:t>120.</w:t>
      </w:r>
      <w:r w:rsidRPr="00466CE7">
        <w:rPr>
          <w:lang w:val="fr-FR"/>
        </w:rPr>
        <w:tab/>
        <w:t xml:space="preserve">Sécurité sociale et assurance médicale </w:t>
      </w:r>
      <w:r>
        <w:rPr>
          <w:lang w:val="fr-FR"/>
        </w:rPr>
        <w:t xml:space="preserve">des </w:t>
      </w:r>
      <w:r w:rsidRPr="00466CE7">
        <w:rPr>
          <w:lang w:val="fr-FR"/>
        </w:rPr>
        <w:t>travailleurs. Conformément à l</w:t>
      </w:r>
      <w:r>
        <w:rPr>
          <w:lang w:val="fr-FR"/>
        </w:rPr>
        <w:t>’</w:t>
      </w:r>
      <w:r w:rsidR="00CB4ECD">
        <w:rPr>
          <w:lang w:val="fr-FR"/>
        </w:rPr>
        <w:t>article </w:t>
      </w:r>
      <w:r w:rsidRPr="00466CE7">
        <w:rPr>
          <w:lang w:val="fr-FR"/>
        </w:rPr>
        <w:t xml:space="preserve">98 du traité </w:t>
      </w:r>
      <w:r>
        <w:rPr>
          <w:lang w:val="fr-FR"/>
        </w:rPr>
        <w:t xml:space="preserve">sur l’Union économique eurasiatique, les conditions et modalités de </w:t>
      </w:r>
      <w:r w:rsidRPr="00466CE7">
        <w:rPr>
          <w:lang w:val="fr-FR"/>
        </w:rPr>
        <w:t xml:space="preserve">la sécurité sociale (assurance), </w:t>
      </w:r>
      <w:r>
        <w:rPr>
          <w:lang w:val="fr-FR"/>
        </w:rPr>
        <w:t xml:space="preserve">notamment de </w:t>
      </w:r>
      <w:r w:rsidRPr="00466CE7">
        <w:rPr>
          <w:lang w:val="fr-FR"/>
        </w:rPr>
        <w:t>l</w:t>
      </w:r>
      <w:r>
        <w:rPr>
          <w:lang w:val="fr-FR"/>
        </w:rPr>
        <w:t>’</w:t>
      </w:r>
      <w:r w:rsidRPr="00466CE7">
        <w:rPr>
          <w:lang w:val="fr-FR"/>
        </w:rPr>
        <w:t>assurance maladie obligatoire</w:t>
      </w:r>
      <w:r>
        <w:rPr>
          <w:lang w:val="fr-FR"/>
        </w:rPr>
        <w:t>,</w:t>
      </w:r>
      <w:r w:rsidRPr="00466CE7">
        <w:rPr>
          <w:lang w:val="fr-FR"/>
        </w:rPr>
        <w:t xml:space="preserve"> </w:t>
      </w:r>
      <w:r>
        <w:rPr>
          <w:lang w:val="fr-FR"/>
        </w:rPr>
        <w:t xml:space="preserve">sont les mêmes pour les </w:t>
      </w:r>
      <w:r w:rsidRPr="00466CE7">
        <w:rPr>
          <w:lang w:val="fr-FR"/>
        </w:rPr>
        <w:t xml:space="preserve">travailleurs </w:t>
      </w:r>
      <w:r>
        <w:rPr>
          <w:lang w:val="fr-FR"/>
        </w:rPr>
        <w:t xml:space="preserve">migrants </w:t>
      </w:r>
      <w:r w:rsidRPr="00466CE7">
        <w:rPr>
          <w:lang w:val="fr-FR"/>
        </w:rPr>
        <w:t xml:space="preserve">des États membres </w:t>
      </w:r>
      <w:r>
        <w:rPr>
          <w:lang w:val="fr-FR"/>
        </w:rPr>
        <w:t xml:space="preserve">de l’Union </w:t>
      </w:r>
      <w:r w:rsidRPr="00466CE7">
        <w:rPr>
          <w:lang w:val="fr-FR"/>
        </w:rPr>
        <w:t xml:space="preserve">et </w:t>
      </w:r>
      <w:r>
        <w:rPr>
          <w:lang w:val="fr-FR"/>
        </w:rPr>
        <w:t>d</w:t>
      </w:r>
      <w:r w:rsidRPr="00466CE7">
        <w:rPr>
          <w:lang w:val="fr-FR"/>
        </w:rPr>
        <w:t xml:space="preserve">es membres de leur famille que pour les </w:t>
      </w:r>
      <w:r>
        <w:rPr>
          <w:lang w:val="fr-FR"/>
        </w:rPr>
        <w:t xml:space="preserve">ressortissants </w:t>
      </w:r>
      <w:r w:rsidRPr="00466CE7">
        <w:rPr>
          <w:lang w:val="fr-FR"/>
        </w:rPr>
        <w:t>de l</w:t>
      </w:r>
      <w:r>
        <w:rPr>
          <w:lang w:val="fr-FR"/>
        </w:rPr>
        <w:t>’</w:t>
      </w:r>
      <w:r w:rsidRPr="00466CE7">
        <w:rPr>
          <w:lang w:val="fr-FR"/>
        </w:rPr>
        <w:t>État d</w:t>
      </w:r>
      <w:r>
        <w:rPr>
          <w:lang w:val="fr-FR"/>
        </w:rPr>
        <w:t>’</w:t>
      </w:r>
      <w:r w:rsidRPr="00466CE7">
        <w:rPr>
          <w:lang w:val="fr-FR"/>
        </w:rPr>
        <w:t>emploi.</w:t>
      </w:r>
    </w:p>
    <w:p w14:paraId="7CA4A233" w14:textId="18B70705" w:rsidR="009C6834" w:rsidRPr="00466CE7" w:rsidRDefault="009C6834" w:rsidP="009C6834">
      <w:pPr>
        <w:pStyle w:val="SingleTxtG"/>
        <w:rPr>
          <w:lang w:val="fr-FR"/>
        </w:rPr>
      </w:pPr>
      <w:r w:rsidRPr="00466CE7">
        <w:rPr>
          <w:lang w:val="fr-FR"/>
        </w:rPr>
        <w:t>121.</w:t>
      </w:r>
      <w:r w:rsidRPr="00466CE7">
        <w:rPr>
          <w:lang w:val="fr-FR"/>
        </w:rPr>
        <w:tab/>
        <w:t xml:space="preserve">En vertu du Protocole </w:t>
      </w:r>
      <w:r>
        <w:rPr>
          <w:lang w:val="fr-FR"/>
        </w:rPr>
        <w:t>relatif aux modalités d’application de l’a</w:t>
      </w:r>
      <w:r w:rsidRPr="00466CE7">
        <w:rPr>
          <w:lang w:val="fr-FR"/>
        </w:rPr>
        <w:t xml:space="preserve">ccord sur la fourniture </w:t>
      </w:r>
      <w:r>
        <w:rPr>
          <w:lang w:val="fr-FR"/>
        </w:rPr>
        <w:t>de soins de santé</w:t>
      </w:r>
      <w:r w:rsidRPr="00466CE7">
        <w:rPr>
          <w:lang w:val="fr-FR"/>
        </w:rPr>
        <w:t xml:space="preserve"> aux citoyens des États membres de la CEI (Fédéra</w:t>
      </w:r>
      <w:r>
        <w:rPr>
          <w:lang w:val="fr-FR"/>
        </w:rPr>
        <w:t>tion de Russie, Kazakhstan, Bé</w:t>
      </w:r>
      <w:r w:rsidRPr="00466CE7">
        <w:rPr>
          <w:lang w:val="fr-FR"/>
        </w:rPr>
        <w:t xml:space="preserve">larus) approuvé par </w:t>
      </w:r>
      <w:r>
        <w:rPr>
          <w:lang w:val="fr-FR"/>
        </w:rPr>
        <w:t xml:space="preserve">une </w:t>
      </w:r>
      <w:r w:rsidRPr="00466CE7">
        <w:rPr>
          <w:lang w:val="fr-FR"/>
        </w:rPr>
        <w:t xml:space="preserve">décision </w:t>
      </w:r>
      <w:r>
        <w:rPr>
          <w:lang w:val="fr-FR"/>
        </w:rPr>
        <w:t xml:space="preserve">du </w:t>
      </w:r>
      <w:r w:rsidR="005D7F19">
        <w:rPr>
          <w:lang w:val="fr-FR"/>
        </w:rPr>
        <w:t xml:space="preserve">Gouvernement </w:t>
      </w:r>
      <w:r>
        <w:rPr>
          <w:lang w:val="fr-FR"/>
        </w:rPr>
        <w:t xml:space="preserve">en </w:t>
      </w:r>
      <w:r w:rsidRPr="00466CE7">
        <w:rPr>
          <w:lang w:val="fr-FR"/>
        </w:rPr>
        <w:t xml:space="preserve">2002, </w:t>
      </w:r>
      <w:r>
        <w:rPr>
          <w:lang w:val="fr-FR"/>
        </w:rPr>
        <w:t>en cas d’affection aiguë soudaine ou de maladie</w:t>
      </w:r>
      <w:r w:rsidRPr="00466CE7">
        <w:rPr>
          <w:lang w:val="fr-FR"/>
        </w:rPr>
        <w:t xml:space="preserve"> </w:t>
      </w:r>
      <w:r>
        <w:rPr>
          <w:lang w:val="fr-FR"/>
        </w:rPr>
        <w:t>mettant en danger la vie du patient ou la santé de proches, d’accident, d’empoisonnement</w:t>
      </w:r>
      <w:r w:rsidRPr="00466CE7">
        <w:rPr>
          <w:lang w:val="fr-FR"/>
        </w:rPr>
        <w:t xml:space="preserve">, </w:t>
      </w:r>
      <w:r>
        <w:rPr>
          <w:lang w:val="fr-FR"/>
        </w:rPr>
        <w:t>de blessure</w:t>
      </w:r>
      <w:r w:rsidRPr="00466CE7">
        <w:rPr>
          <w:lang w:val="fr-FR"/>
        </w:rPr>
        <w:t xml:space="preserve">, </w:t>
      </w:r>
      <w:r>
        <w:rPr>
          <w:lang w:val="fr-FR"/>
        </w:rPr>
        <w:t xml:space="preserve">d’accouchement ou d’urgence </w:t>
      </w:r>
      <w:r w:rsidRPr="00466CE7">
        <w:rPr>
          <w:lang w:val="fr-FR"/>
        </w:rPr>
        <w:t>pendant la grossesse</w:t>
      </w:r>
      <w:r>
        <w:rPr>
          <w:lang w:val="fr-FR"/>
        </w:rPr>
        <w:t xml:space="preserve">, les ressortissants d’un État se trouvant sur le territoire d’un autre État (qu’ils soient assurés ou non) reçoivent sans entrave et gratuitement tous les soins médicaux urgents </w:t>
      </w:r>
      <w:r w:rsidRPr="00466CE7">
        <w:rPr>
          <w:lang w:val="fr-FR"/>
        </w:rPr>
        <w:t>nécessaire</w:t>
      </w:r>
      <w:r>
        <w:rPr>
          <w:lang w:val="fr-FR"/>
        </w:rPr>
        <w:t>s, dans tout établissement de santé,</w:t>
      </w:r>
      <w:r w:rsidRPr="00734E66">
        <w:rPr>
          <w:lang w:val="fr-FR"/>
        </w:rPr>
        <w:t xml:space="preserve"> </w:t>
      </w:r>
      <w:r w:rsidRPr="00466CE7">
        <w:rPr>
          <w:lang w:val="fr-FR"/>
        </w:rPr>
        <w:t>jusqu</w:t>
      </w:r>
      <w:r>
        <w:rPr>
          <w:lang w:val="fr-FR"/>
        </w:rPr>
        <w:t>’</w:t>
      </w:r>
      <w:r w:rsidRPr="00466CE7">
        <w:rPr>
          <w:lang w:val="fr-FR"/>
        </w:rPr>
        <w:t xml:space="preserve">à ce </w:t>
      </w:r>
      <w:r>
        <w:rPr>
          <w:lang w:val="fr-FR"/>
        </w:rPr>
        <w:t>qu’ils soient sortis d’affaire.</w:t>
      </w:r>
    </w:p>
    <w:p w14:paraId="52EF6B79" w14:textId="5A5D28B6" w:rsidR="009C6834" w:rsidRPr="00466CE7" w:rsidRDefault="009C6834" w:rsidP="009C6834">
      <w:pPr>
        <w:pStyle w:val="SingleTxtG"/>
        <w:rPr>
          <w:lang w:val="fr-FR"/>
        </w:rPr>
      </w:pPr>
      <w:r w:rsidRPr="00466CE7">
        <w:rPr>
          <w:lang w:val="fr-FR"/>
        </w:rPr>
        <w:t>122.</w:t>
      </w:r>
      <w:r w:rsidRPr="00466CE7">
        <w:rPr>
          <w:lang w:val="fr-FR"/>
        </w:rPr>
        <w:tab/>
      </w:r>
      <w:r>
        <w:rPr>
          <w:lang w:val="fr-FR"/>
        </w:rPr>
        <w:t xml:space="preserve">En vertu de </w:t>
      </w:r>
      <w:r w:rsidRPr="00466CE7">
        <w:rPr>
          <w:lang w:val="fr-FR"/>
        </w:rPr>
        <w:t>l</w:t>
      </w:r>
      <w:r>
        <w:rPr>
          <w:lang w:val="fr-FR"/>
        </w:rPr>
        <w:t>’</w:t>
      </w:r>
      <w:r w:rsidR="00CB4ECD">
        <w:rPr>
          <w:lang w:val="fr-FR"/>
        </w:rPr>
        <w:t>article </w:t>
      </w:r>
      <w:r w:rsidRPr="00466CE7">
        <w:rPr>
          <w:lang w:val="fr-FR"/>
        </w:rPr>
        <w:t>7 de l</w:t>
      </w:r>
      <w:r>
        <w:rPr>
          <w:lang w:val="fr-FR"/>
        </w:rPr>
        <w:t>’</w:t>
      </w:r>
      <w:r w:rsidRPr="00466CE7">
        <w:rPr>
          <w:lang w:val="fr-FR"/>
        </w:rPr>
        <w:t xml:space="preserve">accord sur </w:t>
      </w:r>
      <w:r>
        <w:rPr>
          <w:lang w:val="fr-FR"/>
        </w:rPr>
        <w:t xml:space="preserve">la fourniture de soins médicaux </w:t>
      </w:r>
      <w:r w:rsidRPr="00466CE7">
        <w:rPr>
          <w:lang w:val="fr-FR"/>
        </w:rPr>
        <w:t xml:space="preserve">aux </w:t>
      </w:r>
      <w:r>
        <w:rPr>
          <w:lang w:val="fr-FR"/>
        </w:rPr>
        <w:t xml:space="preserve">ressortissants </w:t>
      </w:r>
      <w:r w:rsidRPr="00466CE7">
        <w:rPr>
          <w:lang w:val="fr-FR"/>
        </w:rPr>
        <w:t>des États membre</w:t>
      </w:r>
      <w:r>
        <w:rPr>
          <w:lang w:val="fr-FR"/>
        </w:rPr>
        <w:t xml:space="preserve">s de la CEI </w:t>
      </w:r>
      <w:r w:rsidRPr="00466CE7">
        <w:rPr>
          <w:lang w:val="fr-FR"/>
        </w:rPr>
        <w:t>signé le 27</w:t>
      </w:r>
      <w:r w:rsidR="002C42F4">
        <w:rPr>
          <w:lang w:val="fr-FR"/>
        </w:rPr>
        <w:t> </w:t>
      </w:r>
      <w:r w:rsidRPr="00466CE7">
        <w:rPr>
          <w:lang w:val="fr-FR"/>
        </w:rPr>
        <w:t xml:space="preserve">mars 1997 à Minsk, </w:t>
      </w:r>
      <w:r>
        <w:rPr>
          <w:lang w:val="fr-FR"/>
        </w:rPr>
        <w:t xml:space="preserve">les soins médicaux </w:t>
      </w:r>
      <w:r w:rsidRPr="00466CE7">
        <w:rPr>
          <w:lang w:val="fr-FR"/>
        </w:rPr>
        <w:t xml:space="preserve">de routine </w:t>
      </w:r>
      <w:r>
        <w:rPr>
          <w:lang w:val="fr-FR"/>
        </w:rPr>
        <w:t xml:space="preserve">dispensés </w:t>
      </w:r>
      <w:r w:rsidRPr="00466CE7">
        <w:rPr>
          <w:lang w:val="fr-FR"/>
        </w:rPr>
        <w:t xml:space="preserve">aux </w:t>
      </w:r>
      <w:r>
        <w:rPr>
          <w:lang w:val="fr-FR"/>
        </w:rPr>
        <w:t xml:space="preserve">personnes </w:t>
      </w:r>
      <w:r w:rsidRPr="00466CE7">
        <w:rPr>
          <w:lang w:val="fr-FR"/>
        </w:rPr>
        <w:t xml:space="preserve">travaillant </w:t>
      </w:r>
      <w:r>
        <w:rPr>
          <w:lang w:val="fr-FR"/>
        </w:rPr>
        <w:t xml:space="preserve">dans le cadre d’un contrat </w:t>
      </w:r>
      <w:r w:rsidRPr="00466CE7">
        <w:rPr>
          <w:lang w:val="fr-FR"/>
        </w:rPr>
        <w:t xml:space="preserve">de travail dans un État </w:t>
      </w:r>
      <w:r>
        <w:rPr>
          <w:lang w:val="fr-FR"/>
        </w:rPr>
        <w:t xml:space="preserve">où ils séjournent </w:t>
      </w:r>
      <w:r w:rsidRPr="00466CE7">
        <w:rPr>
          <w:lang w:val="fr-FR"/>
        </w:rPr>
        <w:t>temporaire</w:t>
      </w:r>
      <w:r>
        <w:rPr>
          <w:lang w:val="fr-FR"/>
        </w:rPr>
        <w:t xml:space="preserve">ment sont pris en charge </w:t>
      </w:r>
      <w:r w:rsidRPr="00466CE7">
        <w:rPr>
          <w:lang w:val="fr-FR"/>
        </w:rPr>
        <w:t>par l</w:t>
      </w:r>
      <w:r>
        <w:rPr>
          <w:lang w:val="fr-FR"/>
        </w:rPr>
        <w:t>’</w:t>
      </w:r>
      <w:r w:rsidRPr="00466CE7">
        <w:rPr>
          <w:lang w:val="fr-FR"/>
        </w:rPr>
        <w:t xml:space="preserve">employeur </w:t>
      </w:r>
      <w:r>
        <w:rPr>
          <w:lang w:val="fr-FR"/>
        </w:rPr>
        <w:t xml:space="preserve">conformément aux dispositions </w:t>
      </w:r>
      <w:r w:rsidRPr="00466CE7">
        <w:rPr>
          <w:lang w:val="fr-FR"/>
        </w:rPr>
        <w:t>du contrat.</w:t>
      </w:r>
    </w:p>
    <w:p w14:paraId="45FADEFE" w14:textId="03388392" w:rsidR="009C6834" w:rsidRPr="00466CE7" w:rsidRDefault="009C6834" w:rsidP="009C6834">
      <w:pPr>
        <w:pStyle w:val="SingleTxtG"/>
        <w:rPr>
          <w:lang w:val="fr-FR"/>
        </w:rPr>
      </w:pPr>
      <w:r>
        <w:rPr>
          <w:lang w:val="fr-FR"/>
        </w:rPr>
        <w:t>123.</w:t>
      </w:r>
      <w:r>
        <w:rPr>
          <w:lang w:val="fr-FR"/>
        </w:rPr>
        <w:tab/>
        <w:t>Le 20</w:t>
      </w:r>
      <w:r w:rsidR="002C42F4">
        <w:rPr>
          <w:lang w:val="fr-FR"/>
        </w:rPr>
        <w:t> </w:t>
      </w:r>
      <w:r>
        <w:rPr>
          <w:lang w:val="fr-FR"/>
        </w:rPr>
        <w:t xml:space="preserve">décembre 2019, au cours </w:t>
      </w:r>
      <w:r w:rsidRPr="00466CE7">
        <w:rPr>
          <w:lang w:val="fr-FR"/>
        </w:rPr>
        <w:t>d</w:t>
      </w:r>
      <w:r>
        <w:rPr>
          <w:lang w:val="fr-FR"/>
        </w:rPr>
        <w:t>’</w:t>
      </w:r>
      <w:r w:rsidRPr="00466CE7">
        <w:rPr>
          <w:lang w:val="fr-FR"/>
        </w:rPr>
        <w:t xml:space="preserve">une réunion du Conseil économique </w:t>
      </w:r>
      <w:r>
        <w:rPr>
          <w:lang w:val="fr-FR"/>
        </w:rPr>
        <w:t xml:space="preserve">eurasiatique </w:t>
      </w:r>
      <w:r w:rsidRPr="00466CE7">
        <w:rPr>
          <w:lang w:val="fr-FR"/>
        </w:rPr>
        <w:t xml:space="preserve">suprême </w:t>
      </w:r>
      <w:r>
        <w:rPr>
          <w:lang w:val="fr-FR"/>
        </w:rPr>
        <w:t xml:space="preserve">tenue à </w:t>
      </w:r>
      <w:r w:rsidRPr="00466CE7">
        <w:rPr>
          <w:lang w:val="fr-FR"/>
        </w:rPr>
        <w:t>Saint-Pétersbourg, les chefs des États membres de l</w:t>
      </w:r>
      <w:r>
        <w:rPr>
          <w:lang w:val="fr-FR"/>
        </w:rPr>
        <w:t>’</w:t>
      </w:r>
      <w:r w:rsidRPr="00466CE7">
        <w:rPr>
          <w:lang w:val="fr-FR"/>
        </w:rPr>
        <w:t>Union économique eurasi</w:t>
      </w:r>
      <w:r>
        <w:rPr>
          <w:lang w:val="fr-FR"/>
        </w:rPr>
        <w:t>atique</w:t>
      </w:r>
      <w:r w:rsidRPr="00466CE7">
        <w:rPr>
          <w:lang w:val="fr-FR"/>
        </w:rPr>
        <w:t xml:space="preserve"> ont </w:t>
      </w:r>
      <w:r>
        <w:rPr>
          <w:lang w:val="fr-FR"/>
        </w:rPr>
        <w:t xml:space="preserve">conclu </w:t>
      </w:r>
      <w:r w:rsidRPr="00466CE7">
        <w:rPr>
          <w:lang w:val="fr-FR"/>
        </w:rPr>
        <w:t xml:space="preserve">un accord sur </w:t>
      </w:r>
      <w:r>
        <w:rPr>
          <w:lang w:val="fr-FR"/>
        </w:rPr>
        <w:t xml:space="preserve">les droits à pension des personnes travaillant dans les </w:t>
      </w:r>
      <w:r w:rsidRPr="00466CE7">
        <w:rPr>
          <w:lang w:val="fr-FR"/>
        </w:rPr>
        <w:t>États membres de l</w:t>
      </w:r>
      <w:r>
        <w:rPr>
          <w:lang w:val="fr-FR"/>
        </w:rPr>
        <w:t>’</w:t>
      </w:r>
      <w:r w:rsidRPr="00466CE7">
        <w:rPr>
          <w:lang w:val="fr-FR"/>
        </w:rPr>
        <w:t>U</w:t>
      </w:r>
      <w:r>
        <w:rPr>
          <w:lang w:val="fr-FR"/>
        </w:rPr>
        <w:t>nion</w:t>
      </w:r>
      <w:r w:rsidRPr="00466CE7">
        <w:rPr>
          <w:lang w:val="fr-FR"/>
        </w:rPr>
        <w:t xml:space="preserve">. </w:t>
      </w:r>
      <w:r>
        <w:rPr>
          <w:lang w:val="fr-FR"/>
        </w:rPr>
        <w:t xml:space="preserve">Il s’agit principalement </w:t>
      </w:r>
      <w:r w:rsidRPr="00466CE7">
        <w:rPr>
          <w:lang w:val="fr-FR"/>
        </w:rPr>
        <w:t>de garantir l</w:t>
      </w:r>
      <w:r>
        <w:rPr>
          <w:lang w:val="fr-FR"/>
        </w:rPr>
        <w:t>’</w:t>
      </w:r>
      <w:r w:rsidRPr="00466CE7">
        <w:rPr>
          <w:lang w:val="fr-FR"/>
        </w:rPr>
        <w:t xml:space="preserve">égalité des droits </w:t>
      </w:r>
      <w:r>
        <w:rPr>
          <w:lang w:val="fr-FR"/>
        </w:rPr>
        <w:t>en matière de pension</w:t>
      </w:r>
      <w:r w:rsidRPr="00466CE7">
        <w:rPr>
          <w:lang w:val="fr-FR"/>
        </w:rPr>
        <w:t xml:space="preserve"> et de protéger les droits à pension acquis par les </w:t>
      </w:r>
      <w:r>
        <w:rPr>
          <w:lang w:val="fr-FR"/>
        </w:rPr>
        <w:t>travailleurs sur le territoire</w:t>
      </w:r>
      <w:r w:rsidRPr="00466CE7">
        <w:rPr>
          <w:lang w:val="fr-FR"/>
        </w:rPr>
        <w:t xml:space="preserve"> des États membres de l</w:t>
      </w:r>
      <w:r>
        <w:rPr>
          <w:lang w:val="fr-FR"/>
        </w:rPr>
        <w:t>’Union</w:t>
      </w:r>
      <w:r w:rsidRPr="00466CE7">
        <w:rPr>
          <w:lang w:val="fr-FR"/>
        </w:rPr>
        <w:t>.</w:t>
      </w:r>
    </w:p>
    <w:p w14:paraId="44498E8A" w14:textId="77777777" w:rsidR="009C6834" w:rsidRPr="00466CE7" w:rsidRDefault="009C6834" w:rsidP="009C6834">
      <w:pPr>
        <w:pStyle w:val="SingleTxtG"/>
        <w:rPr>
          <w:lang w:val="fr-FR"/>
        </w:rPr>
      </w:pPr>
      <w:r w:rsidRPr="00466CE7">
        <w:rPr>
          <w:lang w:val="fr-FR"/>
        </w:rPr>
        <w:t>124.</w:t>
      </w:r>
      <w:r w:rsidRPr="00466CE7">
        <w:rPr>
          <w:lang w:val="fr-FR"/>
        </w:rPr>
        <w:tab/>
        <w:t>L</w:t>
      </w:r>
      <w:r>
        <w:rPr>
          <w:lang w:val="fr-FR"/>
        </w:rPr>
        <w:t>’</w:t>
      </w:r>
      <w:r w:rsidRPr="00466CE7">
        <w:rPr>
          <w:lang w:val="fr-FR"/>
        </w:rPr>
        <w:t xml:space="preserve">accord entrera en vigueur </w:t>
      </w:r>
      <w:r>
        <w:rPr>
          <w:lang w:val="fr-FR"/>
        </w:rPr>
        <w:t xml:space="preserve">une fois qu’il aura été ratifié </w:t>
      </w:r>
      <w:r w:rsidRPr="00466CE7">
        <w:rPr>
          <w:lang w:val="fr-FR"/>
        </w:rPr>
        <w:t>p</w:t>
      </w:r>
      <w:r>
        <w:rPr>
          <w:lang w:val="fr-FR"/>
        </w:rPr>
        <w:t>ar tous les États membres de l’Union économique eurasiatique</w:t>
      </w:r>
      <w:r w:rsidRPr="00466CE7">
        <w:rPr>
          <w:lang w:val="fr-FR"/>
        </w:rPr>
        <w:t>.</w:t>
      </w:r>
    </w:p>
    <w:p w14:paraId="54EE1CEC" w14:textId="6A241050" w:rsidR="009C6834" w:rsidRPr="00466CE7" w:rsidRDefault="009C6834" w:rsidP="009C6834">
      <w:pPr>
        <w:pStyle w:val="SingleTxtG"/>
        <w:rPr>
          <w:lang w:val="fr-FR"/>
        </w:rPr>
      </w:pPr>
      <w:r w:rsidRPr="00466CE7">
        <w:rPr>
          <w:lang w:val="fr-FR"/>
        </w:rPr>
        <w:t>125.</w:t>
      </w:r>
      <w:r w:rsidRPr="00466CE7">
        <w:rPr>
          <w:lang w:val="fr-FR"/>
        </w:rPr>
        <w:tab/>
        <w:t xml:space="preserve">Par ailleurs, </w:t>
      </w:r>
      <w:r>
        <w:rPr>
          <w:lang w:val="fr-FR"/>
        </w:rPr>
        <w:t xml:space="preserve">un </w:t>
      </w:r>
      <w:r w:rsidRPr="00466CE7">
        <w:rPr>
          <w:lang w:val="fr-FR"/>
        </w:rPr>
        <w:t xml:space="preserve">accord </w:t>
      </w:r>
      <w:r>
        <w:rPr>
          <w:lang w:val="fr-FR"/>
        </w:rPr>
        <w:t xml:space="preserve">sur la </w:t>
      </w:r>
      <w:r w:rsidRPr="00466CE7">
        <w:rPr>
          <w:lang w:val="fr-FR"/>
        </w:rPr>
        <w:t>sécurité sociale signé à Ankara le 9</w:t>
      </w:r>
      <w:r w:rsidR="002C42F4">
        <w:rPr>
          <w:lang w:val="fr-FR"/>
        </w:rPr>
        <w:t> </w:t>
      </w:r>
      <w:r w:rsidRPr="00466CE7">
        <w:rPr>
          <w:lang w:val="fr-FR"/>
        </w:rPr>
        <w:t>avril 2018</w:t>
      </w:r>
      <w:r>
        <w:rPr>
          <w:lang w:val="fr-FR"/>
        </w:rPr>
        <w:t xml:space="preserve"> </w:t>
      </w:r>
      <w:r w:rsidRPr="00466CE7">
        <w:rPr>
          <w:lang w:val="fr-FR"/>
        </w:rPr>
        <w:t xml:space="preserve">entre le </w:t>
      </w:r>
      <w:r>
        <w:rPr>
          <w:lang w:val="fr-FR"/>
        </w:rPr>
        <w:t>G</w:t>
      </w:r>
      <w:r w:rsidRPr="00466CE7">
        <w:rPr>
          <w:lang w:val="fr-FR"/>
        </w:rPr>
        <w:t xml:space="preserve">ouvernement kirghize et le </w:t>
      </w:r>
      <w:r>
        <w:rPr>
          <w:lang w:val="fr-FR"/>
        </w:rPr>
        <w:t>G</w:t>
      </w:r>
      <w:r w:rsidRPr="00466CE7">
        <w:rPr>
          <w:lang w:val="fr-FR"/>
        </w:rPr>
        <w:t xml:space="preserve">ouvernement </w:t>
      </w:r>
      <w:r>
        <w:rPr>
          <w:lang w:val="fr-FR"/>
        </w:rPr>
        <w:t>turc</w:t>
      </w:r>
      <w:r w:rsidRPr="00466CE7">
        <w:rPr>
          <w:lang w:val="fr-FR"/>
        </w:rPr>
        <w:t xml:space="preserve"> est entré en vigueur le 1</w:t>
      </w:r>
      <w:r w:rsidRPr="002C42F4">
        <w:rPr>
          <w:vertAlign w:val="superscript"/>
          <w:lang w:val="fr-FR"/>
        </w:rPr>
        <w:t>er</w:t>
      </w:r>
      <w:r w:rsidR="002C42F4">
        <w:rPr>
          <w:lang w:val="fr-FR"/>
        </w:rPr>
        <w:t> </w:t>
      </w:r>
      <w:r w:rsidRPr="00466CE7">
        <w:rPr>
          <w:lang w:val="fr-FR"/>
        </w:rPr>
        <w:t>novembre 2020.</w:t>
      </w:r>
    </w:p>
    <w:p w14:paraId="4DD86CF0" w14:textId="0B390527" w:rsidR="009C6834" w:rsidRPr="00466CE7" w:rsidRDefault="009C6834" w:rsidP="009C6834">
      <w:pPr>
        <w:pStyle w:val="SingleTxtG"/>
        <w:rPr>
          <w:lang w:val="fr-FR"/>
        </w:rPr>
      </w:pPr>
      <w:r w:rsidRPr="00466CE7">
        <w:rPr>
          <w:lang w:val="fr-FR"/>
        </w:rPr>
        <w:t>126.</w:t>
      </w:r>
      <w:r w:rsidRPr="00466CE7">
        <w:rPr>
          <w:lang w:val="fr-FR"/>
        </w:rPr>
        <w:tab/>
        <w:t xml:space="preserve">Le Fonds social coopère </w:t>
      </w:r>
      <w:r>
        <w:rPr>
          <w:lang w:val="fr-FR"/>
        </w:rPr>
        <w:t xml:space="preserve">par ailleurs </w:t>
      </w:r>
      <w:r w:rsidRPr="00466CE7">
        <w:rPr>
          <w:lang w:val="fr-FR"/>
        </w:rPr>
        <w:t xml:space="preserve">étroitement avec le Service national des pensions de la République </w:t>
      </w:r>
      <w:r>
        <w:rPr>
          <w:lang w:val="fr-FR"/>
        </w:rPr>
        <w:t>de Corée</w:t>
      </w:r>
      <w:r w:rsidRPr="00466CE7">
        <w:rPr>
          <w:lang w:val="fr-FR"/>
        </w:rPr>
        <w:t xml:space="preserve"> dans le cadre du Mémorandum de coopération sur les prestations de retraite </w:t>
      </w:r>
      <w:r>
        <w:rPr>
          <w:lang w:val="fr-FR"/>
        </w:rPr>
        <w:t xml:space="preserve">versées par le </w:t>
      </w:r>
      <w:r w:rsidRPr="00466CE7">
        <w:rPr>
          <w:lang w:val="fr-FR"/>
        </w:rPr>
        <w:t xml:space="preserve">Service national des pensions de la République </w:t>
      </w:r>
      <w:r>
        <w:rPr>
          <w:lang w:val="fr-FR"/>
        </w:rPr>
        <w:t>de Corée</w:t>
      </w:r>
      <w:r w:rsidRPr="00466CE7">
        <w:rPr>
          <w:lang w:val="fr-FR"/>
        </w:rPr>
        <w:t>, signé le 30</w:t>
      </w:r>
      <w:r w:rsidR="002C42F4">
        <w:rPr>
          <w:lang w:val="fr-FR"/>
        </w:rPr>
        <w:t> </w:t>
      </w:r>
      <w:r w:rsidRPr="00466CE7">
        <w:rPr>
          <w:lang w:val="fr-FR"/>
        </w:rPr>
        <w:t xml:space="preserve">juillet 2015 à Bichkek. </w:t>
      </w:r>
    </w:p>
    <w:p w14:paraId="02D81FEA" w14:textId="77777777" w:rsidR="009C6834" w:rsidRPr="00466CE7" w:rsidRDefault="009C6834" w:rsidP="002C42F4">
      <w:pPr>
        <w:pStyle w:val="H23G"/>
        <w:rPr>
          <w:lang w:val="fr-FR"/>
        </w:rPr>
      </w:pPr>
      <w:r w:rsidRPr="00466CE7">
        <w:rPr>
          <w:lang w:val="fr-FR"/>
        </w:rPr>
        <w:tab/>
      </w:r>
      <w:r w:rsidRPr="00466CE7">
        <w:rPr>
          <w:lang w:val="fr-FR"/>
        </w:rPr>
        <w:tab/>
      </w:r>
      <w:r>
        <w:rPr>
          <w:lang w:val="fr-FR"/>
        </w:rPr>
        <w:t>Rémunération équitable du travail et sécurité au travail</w:t>
      </w:r>
    </w:p>
    <w:p w14:paraId="384CF6A0" w14:textId="4B6052F0" w:rsidR="009C6834" w:rsidRPr="00466CE7" w:rsidRDefault="009C6834" w:rsidP="009C6834">
      <w:pPr>
        <w:pStyle w:val="SingleTxtG"/>
        <w:rPr>
          <w:lang w:val="fr-FR"/>
        </w:rPr>
      </w:pPr>
      <w:r w:rsidRPr="00466CE7">
        <w:rPr>
          <w:lang w:val="fr-FR"/>
        </w:rPr>
        <w:t>127.</w:t>
      </w:r>
      <w:r w:rsidRPr="00466CE7">
        <w:rPr>
          <w:lang w:val="fr-FR"/>
        </w:rPr>
        <w:tab/>
      </w:r>
      <w:r>
        <w:rPr>
          <w:lang w:val="fr-FR"/>
        </w:rPr>
        <w:t>Un bureau du S</w:t>
      </w:r>
      <w:r w:rsidRPr="00466CE7">
        <w:rPr>
          <w:lang w:val="fr-FR"/>
        </w:rPr>
        <w:t xml:space="preserve">ervice national des migrations relevant du </w:t>
      </w:r>
      <w:r w:rsidR="000479B3" w:rsidRPr="00466CE7">
        <w:rPr>
          <w:lang w:val="fr-FR"/>
        </w:rPr>
        <w:t xml:space="preserve">Gouvernement </w:t>
      </w:r>
      <w:r w:rsidRPr="00466CE7">
        <w:rPr>
          <w:lang w:val="fr-FR"/>
        </w:rPr>
        <w:t xml:space="preserve">kirghize a été ouvert </w:t>
      </w:r>
      <w:r>
        <w:rPr>
          <w:lang w:val="fr-FR"/>
        </w:rPr>
        <w:t>e</w:t>
      </w:r>
      <w:r w:rsidRPr="00466CE7">
        <w:rPr>
          <w:lang w:val="fr-FR"/>
        </w:rPr>
        <w:t>n 2016</w:t>
      </w:r>
      <w:r>
        <w:rPr>
          <w:lang w:val="fr-FR"/>
        </w:rPr>
        <w:t xml:space="preserve"> </w:t>
      </w:r>
      <w:r w:rsidRPr="00466CE7">
        <w:rPr>
          <w:lang w:val="fr-FR"/>
        </w:rPr>
        <w:t xml:space="preserve">dans la Fédération de Russie. </w:t>
      </w:r>
      <w:r>
        <w:rPr>
          <w:lang w:val="fr-FR"/>
        </w:rPr>
        <w:t>C</w:t>
      </w:r>
      <w:r w:rsidRPr="00466CE7">
        <w:rPr>
          <w:lang w:val="fr-FR"/>
        </w:rPr>
        <w:t xml:space="preserve">onformément aux fonctions qui lui </w:t>
      </w:r>
      <w:r>
        <w:rPr>
          <w:lang w:val="fr-FR"/>
        </w:rPr>
        <w:t>ont été assignées</w:t>
      </w:r>
      <w:r w:rsidRPr="00466CE7">
        <w:rPr>
          <w:lang w:val="fr-FR"/>
        </w:rPr>
        <w:t xml:space="preserve">, </w:t>
      </w:r>
      <w:r>
        <w:rPr>
          <w:lang w:val="fr-FR"/>
        </w:rPr>
        <w:t xml:space="preserve">ce bureau </w:t>
      </w:r>
      <w:r w:rsidRPr="00466CE7">
        <w:rPr>
          <w:lang w:val="fr-FR"/>
        </w:rPr>
        <w:t>aide les</w:t>
      </w:r>
      <w:r>
        <w:rPr>
          <w:lang w:val="fr-FR"/>
        </w:rPr>
        <w:t xml:space="preserve"> ressortissants kirghizes travaillant </w:t>
      </w:r>
      <w:r w:rsidRPr="00466CE7">
        <w:rPr>
          <w:lang w:val="fr-FR"/>
        </w:rPr>
        <w:t xml:space="preserve">en Russie à exercer leurs droits en matière de travail et à </w:t>
      </w:r>
      <w:r>
        <w:rPr>
          <w:lang w:val="fr-FR"/>
        </w:rPr>
        <w:t>défendre</w:t>
      </w:r>
      <w:r w:rsidRPr="00466CE7">
        <w:rPr>
          <w:lang w:val="fr-FR"/>
        </w:rPr>
        <w:t xml:space="preserve"> leurs intérêts. </w:t>
      </w:r>
      <w:r>
        <w:rPr>
          <w:lang w:val="fr-FR"/>
        </w:rPr>
        <w:t xml:space="preserve">Il </w:t>
      </w:r>
      <w:r w:rsidRPr="00466CE7">
        <w:rPr>
          <w:lang w:val="fr-FR"/>
        </w:rPr>
        <w:t xml:space="preserve">fournit une </w:t>
      </w:r>
      <w:r>
        <w:rPr>
          <w:lang w:val="fr-FR"/>
        </w:rPr>
        <w:t xml:space="preserve">assistance </w:t>
      </w:r>
      <w:r w:rsidRPr="00466CE7">
        <w:rPr>
          <w:lang w:val="fr-FR"/>
        </w:rPr>
        <w:t xml:space="preserve">pour </w:t>
      </w:r>
      <w:r>
        <w:rPr>
          <w:lang w:val="fr-FR"/>
        </w:rPr>
        <w:t xml:space="preserve">la recherche d’un </w:t>
      </w:r>
      <w:r w:rsidRPr="00466CE7">
        <w:rPr>
          <w:lang w:val="fr-FR"/>
        </w:rPr>
        <w:t xml:space="preserve">emploi, </w:t>
      </w:r>
      <w:r>
        <w:rPr>
          <w:lang w:val="fr-FR"/>
        </w:rPr>
        <w:t xml:space="preserve">dispense </w:t>
      </w:r>
      <w:r w:rsidRPr="00466CE7">
        <w:rPr>
          <w:lang w:val="fr-FR"/>
        </w:rPr>
        <w:t xml:space="preserve">des conseils sur </w:t>
      </w:r>
      <w:r>
        <w:rPr>
          <w:lang w:val="fr-FR"/>
        </w:rPr>
        <w:t>d</w:t>
      </w:r>
      <w:r w:rsidRPr="00466CE7">
        <w:rPr>
          <w:lang w:val="fr-FR"/>
        </w:rPr>
        <w:t xml:space="preserve">es questions de travail et </w:t>
      </w:r>
      <w:r>
        <w:rPr>
          <w:lang w:val="fr-FR"/>
        </w:rPr>
        <w:t xml:space="preserve">aide au règlement des </w:t>
      </w:r>
      <w:r w:rsidRPr="00466CE7">
        <w:rPr>
          <w:lang w:val="fr-FR"/>
        </w:rPr>
        <w:t>conflits du travail. En 2019, 66,2</w:t>
      </w:r>
      <w:r w:rsidR="002C42F4">
        <w:rPr>
          <w:lang w:val="fr-FR"/>
        </w:rPr>
        <w:t> </w:t>
      </w:r>
      <w:r w:rsidRPr="00466CE7">
        <w:rPr>
          <w:lang w:val="fr-FR"/>
        </w:rPr>
        <w:t xml:space="preserve">millions de roubles </w:t>
      </w:r>
      <w:r>
        <w:rPr>
          <w:lang w:val="fr-FR"/>
        </w:rPr>
        <w:t xml:space="preserve">ont été versés au total à des ressortissants </w:t>
      </w:r>
      <w:r w:rsidRPr="00466CE7">
        <w:rPr>
          <w:lang w:val="fr-FR"/>
        </w:rPr>
        <w:t xml:space="preserve">kirghizes </w:t>
      </w:r>
      <w:r>
        <w:rPr>
          <w:lang w:val="fr-FR"/>
        </w:rPr>
        <w:t xml:space="preserve">travaillant dans la </w:t>
      </w:r>
      <w:r w:rsidRPr="00466CE7">
        <w:rPr>
          <w:lang w:val="fr-FR"/>
        </w:rPr>
        <w:t xml:space="preserve">Fédération de Russie </w:t>
      </w:r>
      <w:r>
        <w:rPr>
          <w:lang w:val="fr-FR"/>
        </w:rPr>
        <w:t>au titre d’arriérés</w:t>
      </w:r>
      <w:r w:rsidRPr="00466CE7">
        <w:rPr>
          <w:lang w:val="fr-FR"/>
        </w:rPr>
        <w:t xml:space="preserve"> de salaire </w:t>
      </w:r>
      <w:r>
        <w:rPr>
          <w:lang w:val="fr-FR"/>
        </w:rPr>
        <w:t xml:space="preserve">dus par leurs </w:t>
      </w:r>
      <w:r w:rsidRPr="00466CE7">
        <w:rPr>
          <w:lang w:val="fr-FR"/>
        </w:rPr>
        <w:t>employeurs.</w:t>
      </w:r>
    </w:p>
    <w:p w14:paraId="7B9E2ED1" w14:textId="0BE90507" w:rsidR="009C6834" w:rsidRPr="00466CE7" w:rsidRDefault="009C6834" w:rsidP="009C6834">
      <w:pPr>
        <w:pStyle w:val="SingleTxtG"/>
        <w:rPr>
          <w:lang w:val="fr-FR"/>
        </w:rPr>
      </w:pPr>
      <w:r w:rsidRPr="00466CE7">
        <w:rPr>
          <w:lang w:val="fr-FR"/>
        </w:rPr>
        <w:t>128.</w:t>
      </w:r>
      <w:r w:rsidRPr="00466CE7">
        <w:rPr>
          <w:lang w:val="fr-FR"/>
        </w:rPr>
        <w:tab/>
      </w:r>
      <w:r>
        <w:rPr>
          <w:lang w:val="fr-FR"/>
        </w:rPr>
        <w:t>U</w:t>
      </w:r>
      <w:r w:rsidRPr="00466CE7">
        <w:rPr>
          <w:lang w:val="fr-FR"/>
        </w:rPr>
        <w:t>n accord</w:t>
      </w:r>
      <w:r w:rsidRPr="006E54C6">
        <w:rPr>
          <w:lang w:val="fr-FR"/>
        </w:rPr>
        <w:t xml:space="preserve"> </w:t>
      </w:r>
      <w:r w:rsidRPr="00466CE7">
        <w:rPr>
          <w:lang w:val="fr-FR"/>
        </w:rPr>
        <w:t xml:space="preserve">signé à Minsk </w:t>
      </w:r>
      <w:r>
        <w:rPr>
          <w:lang w:val="fr-FR"/>
        </w:rPr>
        <w:t>l</w:t>
      </w:r>
      <w:r w:rsidRPr="00466CE7">
        <w:rPr>
          <w:lang w:val="fr-FR"/>
        </w:rPr>
        <w:t>e 31</w:t>
      </w:r>
      <w:r w:rsidR="002C42F4">
        <w:rPr>
          <w:lang w:val="fr-FR"/>
        </w:rPr>
        <w:t> </w:t>
      </w:r>
      <w:r w:rsidRPr="00466CE7">
        <w:rPr>
          <w:lang w:val="fr-FR"/>
        </w:rPr>
        <w:t>mai 2013</w:t>
      </w:r>
      <w:r>
        <w:rPr>
          <w:lang w:val="fr-FR"/>
        </w:rPr>
        <w:t xml:space="preserve"> établit </w:t>
      </w:r>
      <w:r w:rsidRPr="00466CE7">
        <w:rPr>
          <w:lang w:val="fr-FR"/>
        </w:rPr>
        <w:t>la procédure d</w:t>
      </w:r>
      <w:r>
        <w:rPr>
          <w:lang w:val="fr-FR"/>
        </w:rPr>
        <w:t>’</w:t>
      </w:r>
      <w:r w:rsidRPr="00466CE7">
        <w:rPr>
          <w:lang w:val="fr-FR"/>
        </w:rPr>
        <w:t xml:space="preserve">enquête </w:t>
      </w:r>
      <w:r>
        <w:rPr>
          <w:lang w:val="fr-FR"/>
        </w:rPr>
        <w:t xml:space="preserve">concernant </w:t>
      </w:r>
      <w:r w:rsidRPr="00466CE7">
        <w:rPr>
          <w:lang w:val="fr-FR"/>
        </w:rPr>
        <w:t>les accidents</w:t>
      </w:r>
      <w:r>
        <w:rPr>
          <w:lang w:val="fr-FR"/>
        </w:rPr>
        <w:t xml:space="preserve"> du travail</w:t>
      </w:r>
      <w:r w:rsidRPr="00466CE7">
        <w:rPr>
          <w:lang w:val="fr-FR"/>
        </w:rPr>
        <w:t xml:space="preserve"> impliquant des ressortissants d</w:t>
      </w:r>
      <w:r>
        <w:rPr>
          <w:lang w:val="fr-FR"/>
        </w:rPr>
        <w:t>’</w:t>
      </w:r>
      <w:r w:rsidRPr="00466CE7">
        <w:rPr>
          <w:lang w:val="fr-FR"/>
        </w:rPr>
        <w:t xml:space="preserve">un État membre de </w:t>
      </w:r>
      <w:r>
        <w:rPr>
          <w:lang w:val="fr-FR"/>
        </w:rPr>
        <w:t>l’Union</w:t>
      </w:r>
      <w:r w:rsidRPr="00466CE7">
        <w:rPr>
          <w:lang w:val="fr-FR"/>
        </w:rPr>
        <w:t xml:space="preserve"> économique eurasi</w:t>
      </w:r>
      <w:r>
        <w:rPr>
          <w:lang w:val="fr-FR"/>
        </w:rPr>
        <w:t xml:space="preserve">atique exerçant une activité professionnelle </w:t>
      </w:r>
      <w:r w:rsidRPr="00466CE7">
        <w:rPr>
          <w:lang w:val="fr-FR"/>
        </w:rPr>
        <w:t>sur le territoire d</w:t>
      </w:r>
      <w:r>
        <w:rPr>
          <w:lang w:val="fr-FR"/>
        </w:rPr>
        <w:t>’</w:t>
      </w:r>
      <w:r w:rsidRPr="00466CE7">
        <w:rPr>
          <w:lang w:val="fr-FR"/>
        </w:rPr>
        <w:t xml:space="preserve">un autre État membre de </w:t>
      </w:r>
      <w:r>
        <w:rPr>
          <w:lang w:val="fr-FR"/>
        </w:rPr>
        <w:t>l’Union</w:t>
      </w:r>
      <w:r w:rsidRPr="00466CE7">
        <w:rPr>
          <w:lang w:val="fr-FR"/>
        </w:rPr>
        <w:t xml:space="preserve">. </w:t>
      </w:r>
    </w:p>
    <w:p w14:paraId="7E76FED5" w14:textId="18DBAB5A" w:rsidR="009C6834" w:rsidRPr="00466CE7" w:rsidRDefault="009C6834" w:rsidP="00E1792A">
      <w:pPr>
        <w:pStyle w:val="SingleTxtG"/>
        <w:keepLines/>
        <w:rPr>
          <w:lang w:val="fr-FR"/>
        </w:rPr>
      </w:pPr>
      <w:r w:rsidRPr="00466CE7">
        <w:rPr>
          <w:lang w:val="fr-FR"/>
        </w:rPr>
        <w:lastRenderedPageBreak/>
        <w:t>129.</w:t>
      </w:r>
      <w:r w:rsidRPr="00466CE7">
        <w:rPr>
          <w:lang w:val="fr-FR"/>
        </w:rPr>
        <w:tab/>
        <w:t>Le 22</w:t>
      </w:r>
      <w:r w:rsidR="002C42F4">
        <w:rPr>
          <w:lang w:val="fr-FR"/>
        </w:rPr>
        <w:t> </w:t>
      </w:r>
      <w:r w:rsidRPr="00466CE7">
        <w:rPr>
          <w:lang w:val="fr-FR"/>
        </w:rPr>
        <w:t>mars 2018, le départ</w:t>
      </w:r>
      <w:r>
        <w:rPr>
          <w:lang w:val="fr-FR"/>
        </w:rPr>
        <w:t>ement du service consulaire du Ministère des a</w:t>
      </w:r>
      <w:r w:rsidRPr="00466CE7">
        <w:rPr>
          <w:lang w:val="fr-FR"/>
        </w:rPr>
        <w:t xml:space="preserve">ffaires étrangères et le bureau </w:t>
      </w:r>
      <w:r>
        <w:rPr>
          <w:lang w:val="fr-FR"/>
        </w:rPr>
        <w:t>de l’Organisation internationale pour les migrations (OIM)</w:t>
      </w:r>
      <w:r w:rsidRPr="00466CE7">
        <w:rPr>
          <w:lang w:val="fr-FR"/>
        </w:rPr>
        <w:t xml:space="preserve"> </w:t>
      </w:r>
      <w:r>
        <w:rPr>
          <w:lang w:val="fr-FR"/>
        </w:rPr>
        <w:t>au Kirghizistan</w:t>
      </w:r>
      <w:r w:rsidRPr="00466CE7">
        <w:rPr>
          <w:lang w:val="fr-FR"/>
        </w:rPr>
        <w:t xml:space="preserve"> </w:t>
      </w:r>
      <w:r>
        <w:rPr>
          <w:lang w:val="fr-FR"/>
        </w:rPr>
        <w:t>ont signé un</w:t>
      </w:r>
      <w:r w:rsidRPr="00466CE7">
        <w:rPr>
          <w:lang w:val="fr-FR"/>
        </w:rPr>
        <w:t xml:space="preserve"> programme de coopération </w:t>
      </w:r>
      <w:r>
        <w:rPr>
          <w:lang w:val="fr-FR"/>
        </w:rPr>
        <w:t xml:space="preserve">pour la période </w:t>
      </w:r>
      <w:r w:rsidRPr="00466CE7">
        <w:rPr>
          <w:lang w:val="fr-FR"/>
        </w:rPr>
        <w:t>2018-2020</w:t>
      </w:r>
      <w:r>
        <w:rPr>
          <w:lang w:val="fr-FR"/>
        </w:rPr>
        <w:t xml:space="preserve"> prévoyant la fourniture d’une </w:t>
      </w:r>
      <w:r w:rsidRPr="00466CE7">
        <w:rPr>
          <w:lang w:val="fr-FR"/>
        </w:rPr>
        <w:t>assistance pratique aux ressortissants</w:t>
      </w:r>
      <w:r>
        <w:rPr>
          <w:lang w:val="fr-FR"/>
        </w:rPr>
        <w:t xml:space="preserve"> kirghizes à l’étranger</w:t>
      </w:r>
      <w:r w:rsidRPr="00466CE7">
        <w:rPr>
          <w:lang w:val="fr-FR"/>
        </w:rPr>
        <w:t xml:space="preserve">. </w:t>
      </w:r>
      <w:r>
        <w:rPr>
          <w:lang w:val="fr-FR"/>
        </w:rPr>
        <w:t xml:space="preserve">Conformément à </w:t>
      </w:r>
      <w:r w:rsidRPr="00466CE7">
        <w:rPr>
          <w:lang w:val="fr-FR"/>
        </w:rPr>
        <w:t>ce programme, l</w:t>
      </w:r>
      <w:r>
        <w:rPr>
          <w:lang w:val="fr-FR"/>
        </w:rPr>
        <w:t>’OIM</w:t>
      </w:r>
      <w:r w:rsidRPr="00466CE7">
        <w:rPr>
          <w:lang w:val="fr-FR"/>
        </w:rPr>
        <w:t xml:space="preserve"> aide </w:t>
      </w:r>
      <w:r>
        <w:rPr>
          <w:lang w:val="fr-FR"/>
        </w:rPr>
        <w:t xml:space="preserve">à rentrer au Kirghizistan les </w:t>
      </w:r>
      <w:r w:rsidRPr="00466CE7">
        <w:rPr>
          <w:lang w:val="fr-FR"/>
        </w:rPr>
        <w:t>personnes qui ont été victimes</w:t>
      </w:r>
      <w:r>
        <w:rPr>
          <w:lang w:val="fr-FR"/>
        </w:rPr>
        <w:t>,</w:t>
      </w:r>
      <w:r w:rsidRPr="00917223">
        <w:rPr>
          <w:lang w:val="fr-FR"/>
        </w:rPr>
        <w:t xml:space="preserve"> </w:t>
      </w:r>
      <w:r>
        <w:rPr>
          <w:lang w:val="fr-FR"/>
        </w:rPr>
        <w:t>dans le cadre de la migration,</w:t>
      </w:r>
      <w:r w:rsidRPr="00466CE7">
        <w:rPr>
          <w:lang w:val="fr-FR"/>
        </w:rPr>
        <w:t xml:space="preserve"> </w:t>
      </w:r>
      <w:r>
        <w:rPr>
          <w:lang w:val="fr-FR"/>
        </w:rPr>
        <w:t xml:space="preserve">d’actes </w:t>
      </w:r>
      <w:r w:rsidRPr="00466CE7">
        <w:rPr>
          <w:lang w:val="fr-FR"/>
        </w:rPr>
        <w:t xml:space="preserve">de traite des êtres humains </w:t>
      </w:r>
      <w:r>
        <w:rPr>
          <w:lang w:val="fr-FR"/>
        </w:rPr>
        <w:t>ou d’</w:t>
      </w:r>
      <w:r w:rsidRPr="00466CE7">
        <w:rPr>
          <w:lang w:val="fr-FR"/>
        </w:rPr>
        <w:t xml:space="preserve">exploitation du travail. Les </w:t>
      </w:r>
      <w:r>
        <w:rPr>
          <w:lang w:val="fr-FR"/>
        </w:rPr>
        <w:t>représentations du Kirghizistan à l’étranger</w:t>
      </w:r>
      <w:r w:rsidRPr="00466CE7">
        <w:rPr>
          <w:lang w:val="fr-FR"/>
        </w:rPr>
        <w:t>, en coopération avec les</w:t>
      </w:r>
      <w:r>
        <w:rPr>
          <w:lang w:val="fr-FR"/>
        </w:rPr>
        <w:t xml:space="preserve"> services de l’OIM</w:t>
      </w:r>
      <w:r w:rsidRPr="00466CE7">
        <w:rPr>
          <w:lang w:val="fr-FR"/>
        </w:rPr>
        <w:t xml:space="preserve">, fournissent une assistance pour </w:t>
      </w:r>
      <w:r>
        <w:rPr>
          <w:lang w:val="fr-FR"/>
        </w:rPr>
        <w:t xml:space="preserve">l’établissement </w:t>
      </w:r>
      <w:r w:rsidRPr="00466CE7">
        <w:rPr>
          <w:lang w:val="fr-FR"/>
        </w:rPr>
        <w:t>de</w:t>
      </w:r>
      <w:r>
        <w:rPr>
          <w:lang w:val="fr-FR"/>
        </w:rPr>
        <w:t>s</w:t>
      </w:r>
      <w:r w:rsidRPr="00466CE7">
        <w:rPr>
          <w:lang w:val="fr-FR"/>
        </w:rPr>
        <w:t xml:space="preserve"> documents de voyage. Il convient de noter </w:t>
      </w:r>
      <w:r>
        <w:rPr>
          <w:lang w:val="fr-FR"/>
        </w:rPr>
        <w:t>que de tels actes restent rares</w:t>
      </w:r>
      <w:r w:rsidRPr="00466CE7">
        <w:rPr>
          <w:lang w:val="fr-FR"/>
        </w:rPr>
        <w:t>.</w:t>
      </w:r>
    </w:p>
    <w:p w14:paraId="361B3BC6" w14:textId="1DF356B6" w:rsidR="009C6834" w:rsidRPr="00466CE7" w:rsidRDefault="009C6834" w:rsidP="009C6834">
      <w:pPr>
        <w:pStyle w:val="SingleTxtG"/>
        <w:rPr>
          <w:lang w:val="fr-FR"/>
        </w:rPr>
      </w:pPr>
      <w:r w:rsidRPr="00466CE7">
        <w:rPr>
          <w:lang w:val="fr-FR"/>
        </w:rPr>
        <w:t>130.</w:t>
      </w:r>
      <w:r w:rsidRPr="00466CE7">
        <w:rPr>
          <w:lang w:val="fr-FR"/>
        </w:rPr>
        <w:tab/>
        <w:t xml:space="preserve">Protection des droits des enfants de migrants. </w:t>
      </w:r>
      <w:r>
        <w:rPr>
          <w:lang w:val="fr-FR"/>
        </w:rPr>
        <w:t xml:space="preserve">Au titre </w:t>
      </w:r>
      <w:r w:rsidRPr="00466CE7">
        <w:rPr>
          <w:lang w:val="fr-FR"/>
        </w:rPr>
        <w:t xml:space="preserve">de la protection des migrants </w:t>
      </w:r>
      <w:r>
        <w:rPr>
          <w:lang w:val="fr-FR"/>
        </w:rPr>
        <w:t>mineurs privés de protection parentale</w:t>
      </w:r>
      <w:r w:rsidRPr="00466CE7">
        <w:rPr>
          <w:lang w:val="fr-FR"/>
        </w:rPr>
        <w:t>, 13</w:t>
      </w:r>
      <w:r w:rsidR="002C42F4">
        <w:rPr>
          <w:lang w:val="fr-FR"/>
        </w:rPr>
        <w:t> </w:t>
      </w:r>
      <w:r w:rsidRPr="00466CE7">
        <w:rPr>
          <w:lang w:val="fr-FR"/>
        </w:rPr>
        <w:t>enfants ont été rapatriés de Fédération de Russie en 2017</w:t>
      </w:r>
      <w:r>
        <w:rPr>
          <w:lang w:val="fr-FR"/>
        </w:rPr>
        <w:t>,</w:t>
      </w:r>
      <w:r w:rsidRPr="00466CE7">
        <w:rPr>
          <w:lang w:val="fr-FR"/>
        </w:rPr>
        <w:t xml:space="preserve"> 21 en 2018 et 14 au premier semestre 2019. </w:t>
      </w:r>
    </w:p>
    <w:p w14:paraId="4DD0E149" w14:textId="55795252" w:rsidR="009C6834" w:rsidRPr="00466CE7" w:rsidRDefault="009C6834" w:rsidP="009C6834">
      <w:pPr>
        <w:pStyle w:val="SingleTxtG"/>
        <w:rPr>
          <w:lang w:val="fr-FR"/>
        </w:rPr>
      </w:pPr>
      <w:r w:rsidRPr="00466CE7">
        <w:rPr>
          <w:lang w:val="fr-FR"/>
        </w:rPr>
        <w:t>131.</w:t>
      </w:r>
      <w:r w:rsidRPr="00466CE7">
        <w:rPr>
          <w:lang w:val="fr-FR"/>
        </w:rPr>
        <w:tab/>
        <w:t xml:space="preserve">Fin 2019, </w:t>
      </w:r>
      <w:r>
        <w:rPr>
          <w:lang w:val="fr-FR"/>
        </w:rPr>
        <w:t xml:space="preserve">on comptait </w:t>
      </w:r>
      <w:r w:rsidRPr="00466CE7">
        <w:rPr>
          <w:lang w:val="fr-FR"/>
        </w:rPr>
        <w:t>au Kirghizistan 106</w:t>
      </w:r>
      <w:r w:rsidR="002C42F4">
        <w:rPr>
          <w:lang w:val="fr-FR"/>
        </w:rPr>
        <w:t> </w:t>
      </w:r>
      <w:r w:rsidRPr="00466CE7">
        <w:rPr>
          <w:lang w:val="fr-FR"/>
        </w:rPr>
        <w:t>985</w:t>
      </w:r>
      <w:r w:rsidR="002C42F4">
        <w:rPr>
          <w:lang w:val="fr-FR"/>
        </w:rPr>
        <w:t> </w:t>
      </w:r>
      <w:r w:rsidRPr="00466CE7">
        <w:rPr>
          <w:lang w:val="fr-FR"/>
        </w:rPr>
        <w:t xml:space="preserve">enfants de parents migrants </w:t>
      </w:r>
      <w:r>
        <w:rPr>
          <w:lang w:val="fr-FR"/>
        </w:rPr>
        <w:t xml:space="preserve">se trouvant sous la garde de </w:t>
      </w:r>
      <w:r w:rsidRPr="00466CE7">
        <w:rPr>
          <w:lang w:val="fr-FR"/>
        </w:rPr>
        <w:t>proches ou d</w:t>
      </w:r>
      <w:r>
        <w:rPr>
          <w:lang w:val="fr-FR"/>
        </w:rPr>
        <w:t>’</w:t>
      </w:r>
      <w:r w:rsidRPr="00466CE7">
        <w:rPr>
          <w:lang w:val="fr-FR"/>
        </w:rPr>
        <w:t>autres personnes, dont 89</w:t>
      </w:r>
      <w:r w:rsidR="002C42F4">
        <w:rPr>
          <w:lang w:val="fr-FR"/>
        </w:rPr>
        <w:t> </w:t>
      </w:r>
      <w:r w:rsidRPr="00466CE7">
        <w:rPr>
          <w:lang w:val="fr-FR"/>
        </w:rPr>
        <w:t>544</w:t>
      </w:r>
      <w:r w:rsidR="002C42F4">
        <w:rPr>
          <w:lang w:val="fr-FR"/>
        </w:rPr>
        <w:t> </w:t>
      </w:r>
      <w:r w:rsidRPr="00466CE7">
        <w:rPr>
          <w:lang w:val="fr-FR"/>
        </w:rPr>
        <w:t>enfants de migrants externes et 17</w:t>
      </w:r>
      <w:r w:rsidR="002C42F4">
        <w:rPr>
          <w:lang w:val="fr-FR"/>
        </w:rPr>
        <w:t> </w:t>
      </w:r>
      <w:r w:rsidRPr="00466CE7">
        <w:rPr>
          <w:lang w:val="fr-FR"/>
        </w:rPr>
        <w:t>441</w:t>
      </w:r>
      <w:r w:rsidR="002C42F4">
        <w:rPr>
          <w:lang w:val="fr-FR"/>
        </w:rPr>
        <w:t> </w:t>
      </w:r>
      <w:r w:rsidRPr="00466CE7">
        <w:rPr>
          <w:lang w:val="fr-FR"/>
        </w:rPr>
        <w:t xml:space="preserve">enfants de migrants internes. </w:t>
      </w:r>
    </w:p>
    <w:p w14:paraId="615F9CDC" w14:textId="09F38EC9" w:rsidR="009C6834" w:rsidRPr="00466CE7" w:rsidRDefault="009C6834" w:rsidP="009C6834">
      <w:pPr>
        <w:pStyle w:val="SingleTxtG"/>
        <w:rPr>
          <w:lang w:val="fr-FR"/>
        </w:rPr>
      </w:pPr>
      <w:r w:rsidRPr="00466CE7">
        <w:rPr>
          <w:lang w:val="fr-FR"/>
        </w:rPr>
        <w:t>132.</w:t>
      </w:r>
      <w:r w:rsidRPr="00466CE7">
        <w:rPr>
          <w:lang w:val="fr-FR"/>
        </w:rPr>
        <w:tab/>
        <w:t>En décembre 2018, 528</w:t>
      </w:r>
      <w:r w:rsidR="002C42F4">
        <w:rPr>
          <w:lang w:val="fr-FR"/>
        </w:rPr>
        <w:t> </w:t>
      </w:r>
      <w:r>
        <w:rPr>
          <w:lang w:val="fr-FR"/>
        </w:rPr>
        <w:t xml:space="preserve">commissions ont repris dans les districts </w:t>
      </w:r>
      <w:r w:rsidRPr="00466CE7">
        <w:rPr>
          <w:lang w:val="fr-FR"/>
        </w:rPr>
        <w:t>leur</w:t>
      </w:r>
      <w:r>
        <w:rPr>
          <w:lang w:val="fr-FR"/>
        </w:rPr>
        <w:t xml:space="preserve"> activité de détection et de prévention des mauvais traitements </w:t>
      </w:r>
      <w:r w:rsidRPr="00466CE7">
        <w:rPr>
          <w:lang w:val="fr-FR"/>
        </w:rPr>
        <w:t xml:space="preserve">et </w:t>
      </w:r>
      <w:r>
        <w:rPr>
          <w:lang w:val="fr-FR"/>
        </w:rPr>
        <w:t xml:space="preserve">des </w:t>
      </w:r>
      <w:r w:rsidRPr="00466CE7">
        <w:rPr>
          <w:lang w:val="fr-FR"/>
        </w:rPr>
        <w:t xml:space="preserve">violences </w:t>
      </w:r>
      <w:r>
        <w:rPr>
          <w:lang w:val="fr-FR"/>
        </w:rPr>
        <w:t xml:space="preserve">à l’égard des </w:t>
      </w:r>
      <w:r w:rsidRPr="00466CE7">
        <w:rPr>
          <w:lang w:val="fr-FR"/>
        </w:rPr>
        <w:t xml:space="preserve">enfants </w:t>
      </w:r>
      <w:r>
        <w:rPr>
          <w:lang w:val="fr-FR"/>
        </w:rPr>
        <w:t xml:space="preserve">vivant </w:t>
      </w:r>
      <w:r w:rsidRPr="00466CE7">
        <w:rPr>
          <w:lang w:val="fr-FR"/>
        </w:rPr>
        <w:t xml:space="preserve">dans </w:t>
      </w:r>
      <w:r>
        <w:rPr>
          <w:lang w:val="fr-FR"/>
        </w:rPr>
        <w:t>d</w:t>
      </w:r>
      <w:r w:rsidRPr="00466CE7">
        <w:rPr>
          <w:lang w:val="fr-FR"/>
        </w:rPr>
        <w:t>es familles de travailleurs mi</w:t>
      </w:r>
      <w:r>
        <w:rPr>
          <w:lang w:val="fr-FR"/>
        </w:rPr>
        <w:t>grants et d</w:t>
      </w:r>
      <w:r w:rsidRPr="00466CE7">
        <w:rPr>
          <w:lang w:val="fr-FR"/>
        </w:rPr>
        <w:t xml:space="preserve">es enfants </w:t>
      </w:r>
      <w:r>
        <w:rPr>
          <w:lang w:val="fr-FR"/>
        </w:rPr>
        <w:t xml:space="preserve">en situation </w:t>
      </w:r>
      <w:r w:rsidRPr="00466CE7">
        <w:rPr>
          <w:lang w:val="fr-FR"/>
        </w:rPr>
        <w:t xml:space="preserve">difficile. </w:t>
      </w:r>
      <w:r>
        <w:rPr>
          <w:lang w:val="fr-FR"/>
        </w:rPr>
        <w:t xml:space="preserve">Ces commissions se composent de professionnels de la santé et </w:t>
      </w:r>
      <w:r w:rsidRPr="00466CE7">
        <w:rPr>
          <w:lang w:val="fr-FR"/>
        </w:rPr>
        <w:t>de l</w:t>
      </w:r>
      <w:r>
        <w:rPr>
          <w:lang w:val="fr-FR"/>
        </w:rPr>
        <w:t>’</w:t>
      </w:r>
      <w:r w:rsidRPr="00466CE7">
        <w:rPr>
          <w:lang w:val="fr-FR"/>
        </w:rPr>
        <w:t xml:space="preserve">éducation, </w:t>
      </w:r>
      <w:r>
        <w:rPr>
          <w:lang w:val="fr-FR"/>
        </w:rPr>
        <w:t xml:space="preserve">de représentants </w:t>
      </w:r>
      <w:r w:rsidRPr="00466CE7">
        <w:rPr>
          <w:lang w:val="fr-FR"/>
        </w:rPr>
        <w:t xml:space="preserve">du </w:t>
      </w:r>
      <w:r>
        <w:rPr>
          <w:lang w:val="fr-FR"/>
        </w:rPr>
        <w:t>M</w:t>
      </w:r>
      <w:r w:rsidRPr="00466CE7">
        <w:rPr>
          <w:lang w:val="fr-FR"/>
        </w:rPr>
        <w:t>inistère de l</w:t>
      </w:r>
      <w:r>
        <w:rPr>
          <w:lang w:val="fr-FR"/>
        </w:rPr>
        <w:t>’</w:t>
      </w:r>
      <w:r w:rsidRPr="00466CE7">
        <w:rPr>
          <w:lang w:val="fr-FR"/>
        </w:rPr>
        <w:t xml:space="preserve">intérieur, </w:t>
      </w:r>
      <w:r>
        <w:rPr>
          <w:lang w:val="fr-FR"/>
        </w:rPr>
        <w:t xml:space="preserve">de travailleurs sociaux et de représentants </w:t>
      </w:r>
      <w:r w:rsidRPr="00466CE7">
        <w:rPr>
          <w:lang w:val="fr-FR"/>
        </w:rPr>
        <w:t xml:space="preserve">des autorités locales. </w:t>
      </w:r>
    </w:p>
    <w:p w14:paraId="2C11A0FB" w14:textId="66E4E211" w:rsidR="009C6834" w:rsidRPr="00466CE7" w:rsidRDefault="009C6834" w:rsidP="009C6834">
      <w:pPr>
        <w:pStyle w:val="SingleTxtG"/>
        <w:rPr>
          <w:lang w:val="fr-FR"/>
        </w:rPr>
      </w:pPr>
      <w:r w:rsidRPr="00466CE7">
        <w:rPr>
          <w:lang w:val="fr-FR"/>
        </w:rPr>
        <w:t>133.</w:t>
      </w:r>
      <w:r w:rsidRPr="00466CE7">
        <w:rPr>
          <w:lang w:val="fr-FR"/>
        </w:rPr>
        <w:tab/>
        <w:t>Assistance consulaire aux migrants. Des consultations sont régulièrement</w:t>
      </w:r>
      <w:r w:rsidRPr="00407C4E">
        <w:rPr>
          <w:lang w:val="fr-FR"/>
        </w:rPr>
        <w:t xml:space="preserve"> </w:t>
      </w:r>
      <w:r w:rsidRPr="00466CE7">
        <w:rPr>
          <w:lang w:val="fr-FR"/>
        </w:rPr>
        <w:t>organisées</w:t>
      </w:r>
      <w:r w:rsidR="002C42F4">
        <w:rPr>
          <w:lang w:val="fr-FR"/>
        </w:rPr>
        <w:t xml:space="preserve"> </w:t>
      </w:r>
      <w:r>
        <w:rPr>
          <w:lang w:val="fr-FR"/>
        </w:rPr>
        <w:t>avec les représentations consulaires d’États</w:t>
      </w:r>
      <w:r w:rsidRPr="00466CE7">
        <w:rPr>
          <w:lang w:val="fr-FR"/>
        </w:rPr>
        <w:t xml:space="preserve"> étrangers </w:t>
      </w:r>
      <w:r>
        <w:rPr>
          <w:lang w:val="fr-FR"/>
        </w:rPr>
        <w:t>(</w:t>
      </w:r>
      <w:r w:rsidRPr="00466CE7">
        <w:rPr>
          <w:lang w:val="fr-FR"/>
        </w:rPr>
        <w:t>avec l</w:t>
      </w:r>
      <w:r>
        <w:rPr>
          <w:lang w:val="fr-FR"/>
        </w:rPr>
        <w:t>’</w:t>
      </w:r>
      <w:r w:rsidRPr="00466CE7">
        <w:rPr>
          <w:lang w:val="fr-FR"/>
        </w:rPr>
        <w:t>Ouzbékistan, la Russie</w:t>
      </w:r>
      <w:r>
        <w:rPr>
          <w:lang w:val="fr-FR"/>
        </w:rPr>
        <w:t xml:space="preserve"> et </w:t>
      </w:r>
      <w:r w:rsidRPr="00466CE7">
        <w:rPr>
          <w:lang w:val="fr-FR"/>
        </w:rPr>
        <w:t>l</w:t>
      </w:r>
      <w:r>
        <w:rPr>
          <w:lang w:val="fr-FR"/>
        </w:rPr>
        <w:t>’</w:t>
      </w:r>
      <w:r w:rsidRPr="00466CE7">
        <w:rPr>
          <w:lang w:val="fr-FR"/>
        </w:rPr>
        <w:t>Iran en 2017</w:t>
      </w:r>
      <w:r>
        <w:rPr>
          <w:lang w:val="fr-FR"/>
        </w:rPr>
        <w:t> ;</w:t>
      </w:r>
      <w:r w:rsidRPr="00466CE7">
        <w:rPr>
          <w:lang w:val="fr-FR"/>
        </w:rPr>
        <w:t xml:space="preserve"> avec la Turquie,</w:t>
      </w:r>
      <w:r>
        <w:rPr>
          <w:lang w:val="fr-FR"/>
        </w:rPr>
        <w:t xml:space="preserve"> la Russie, l’Arménie, la Chine et</w:t>
      </w:r>
      <w:r w:rsidRPr="00466CE7">
        <w:rPr>
          <w:lang w:val="fr-FR"/>
        </w:rPr>
        <w:t xml:space="preserve"> le Tadjikistan en 2018</w:t>
      </w:r>
      <w:r>
        <w:rPr>
          <w:lang w:val="fr-FR"/>
        </w:rPr>
        <w:t> ; a</w:t>
      </w:r>
      <w:r w:rsidRPr="00466CE7">
        <w:rPr>
          <w:lang w:val="fr-FR"/>
        </w:rPr>
        <w:t>vec le Kazakhstan et la Turquie</w:t>
      </w:r>
      <w:r w:rsidRPr="00407C4E">
        <w:rPr>
          <w:lang w:val="fr-FR"/>
        </w:rPr>
        <w:t xml:space="preserve"> </w:t>
      </w:r>
      <w:r>
        <w:rPr>
          <w:lang w:val="fr-FR"/>
        </w:rPr>
        <w:t xml:space="preserve">en 2019) pour traiter des problèmes que rencontrent les ressortissants </w:t>
      </w:r>
      <w:r w:rsidRPr="00466CE7">
        <w:rPr>
          <w:lang w:val="fr-FR"/>
        </w:rPr>
        <w:t xml:space="preserve">kirghizes </w:t>
      </w:r>
      <w:r>
        <w:rPr>
          <w:lang w:val="fr-FR"/>
        </w:rPr>
        <w:t xml:space="preserve">séjournant </w:t>
      </w:r>
      <w:r w:rsidRPr="00466CE7">
        <w:rPr>
          <w:lang w:val="fr-FR"/>
        </w:rPr>
        <w:t xml:space="preserve">dans </w:t>
      </w:r>
      <w:r>
        <w:rPr>
          <w:lang w:val="fr-FR"/>
        </w:rPr>
        <w:t>ces États</w:t>
      </w:r>
      <w:r w:rsidRPr="00466CE7">
        <w:rPr>
          <w:lang w:val="fr-FR"/>
        </w:rPr>
        <w:t>.</w:t>
      </w:r>
    </w:p>
    <w:p w14:paraId="3B5976BB" w14:textId="57A1557B" w:rsidR="009C6834" w:rsidRPr="00466CE7" w:rsidRDefault="009C6834" w:rsidP="009C6834">
      <w:pPr>
        <w:pStyle w:val="SingleTxtG"/>
        <w:rPr>
          <w:lang w:val="fr-FR"/>
        </w:rPr>
      </w:pPr>
      <w:r w:rsidRPr="00466CE7">
        <w:rPr>
          <w:lang w:val="fr-FR"/>
        </w:rPr>
        <w:t>134.</w:t>
      </w:r>
      <w:r w:rsidRPr="00466CE7">
        <w:rPr>
          <w:lang w:val="fr-FR"/>
        </w:rPr>
        <w:tab/>
        <w:t xml:space="preserve">Des </w:t>
      </w:r>
      <w:r>
        <w:rPr>
          <w:lang w:val="fr-FR"/>
        </w:rPr>
        <w:t xml:space="preserve">dispositions ont été prises </w:t>
      </w:r>
      <w:r w:rsidRPr="00466CE7">
        <w:rPr>
          <w:lang w:val="fr-FR"/>
        </w:rPr>
        <w:t xml:space="preserve">pour établir et </w:t>
      </w:r>
      <w:r>
        <w:rPr>
          <w:lang w:val="fr-FR"/>
        </w:rPr>
        <w:t xml:space="preserve">maintenir </w:t>
      </w:r>
      <w:r w:rsidRPr="00466CE7">
        <w:rPr>
          <w:lang w:val="fr-FR"/>
        </w:rPr>
        <w:t xml:space="preserve">des contacts entre les </w:t>
      </w:r>
      <w:r>
        <w:rPr>
          <w:lang w:val="fr-FR"/>
        </w:rPr>
        <w:t xml:space="preserve">représentations </w:t>
      </w:r>
      <w:r w:rsidRPr="00466CE7">
        <w:rPr>
          <w:lang w:val="fr-FR"/>
        </w:rPr>
        <w:t xml:space="preserve">consulaires du </w:t>
      </w:r>
      <w:r w:rsidR="000479B3">
        <w:rPr>
          <w:lang w:val="fr-FR"/>
        </w:rPr>
        <w:t>Kirghizistan</w:t>
      </w:r>
      <w:r w:rsidRPr="00466CE7">
        <w:rPr>
          <w:lang w:val="fr-FR"/>
        </w:rPr>
        <w:t xml:space="preserve"> et </w:t>
      </w:r>
      <w:r>
        <w:rPr>
          <w:lang w:val="fr-FR"/>
        </w:rPr>
        <w:t>d</w:t>
      </w:r>
      <w:r w:rsidRPr="00466CE7">
        <w:rPr>
          <w:lang w:val="fr-FR"/>
        </w:rPr>
        <w:t xml:space="preserve">es avocats </w:t>
      </w:r>
      <w:r>
        <w:rPr>
          <w:lang w:val="fr-FR"/>
        </w:rPr>
        <w:t>à l’étranger </w:t>
      </w:r>
      <w:r w:rsidRPr="00466CE7">
        <w:rPr>
          <w:lang w:val="fr-FR"/>
        </w:rPr>
        <w:t xml:space="preserve">; une liste </w:t>
      </w:r>
      <w:r>
        <w:rPr>
          <w:lang w:val="fr-FR"/>
        </w:rPr>
        <w:t>d’</w:t>
      </w:r>
      <w:r w:rsidRPr="00466CE7">
        <w:rPr>
          <w:lang w:val="fr-FR"/>
        </w:rPr>
        <w:t xml:space="preserve">avocats </w:t>
      </w:r>
      <w:r>
        <w:rPr>
          <w:lang w:val="fr-FR"/>
        </w:rPr>
        <w:t xml:space="preserve">de pays étrangers </w:t>
      </w:r>
      <w:r w:rsidRPr="00466CE7">
        <w:rPr>
          <w:lang w:val="fr-FR"/>
        </w:rPr>
        <w:t>a été</w:t>
      </w:r>
      <w:r>
        <w:rPr>
          <w:lang w:val="fr-FR"/>
        </w:rPr>
        <w:t xml:space="preserve"> établie</w:t>
      </w:r>
      <w:r w:rsidRPr="00466CE7">
        <w:rPr>
          <w:lang w:val="fr-FR"/>
        </w:rPr>
        <w:t>.</w:t>
      </w:r>
    </w:p>
    <w:p w14:paraId="722CAA97" w14:textId="1C83DDAD" w:rsidR="009C6834" w:rsidRPr="00466CE7" w:rsidRDefault="009C6834" w:rsidP="009C6834">
      <w:pPr>
        <w:pStyle w:val="SingleTxtG"/>
        <w:rPr>
          <w:lang w:val="fr-FR"/>
        </w:rPr>
      </w:pPr>
      <w:r>
        <w:rPr>
          <w:lang w:val="fr-FR"/>
        </w:rPr>
        <w:t>135.</w:t>
      </w:r>
      <w:r>
        <w:rPr>
          <w:lang w:val="fr-FR"/>
        </w:rPr>
        <w:tab/>
        <w:t>Les représentations du Kirghizistan à l’étranger disposent d’u</w:t>
      </w:r>
      <w:r w:rsidRPr="00466CE7">
        <w:rPr>
          <w:lang w:val="fr-FR"/>
        </w:rPr>
        <w:t xml:space="preserve">ne </w:t>
      </w:r>
      <w:r>
        <w:rPr>
          <w:lang w:val="fr-FR"/>
        </w:rPr>
        <w:t xml:space="preserve">permanence </w:t>
      </w:r>
      <w:r w:rsidRPr="00466CE7">
        <w:rPr>
          <w:lang w:val="fr-FR"/>
        </w:rPr>
        <w:t xml:space="preserve">téléphonique </w:t>
      </w:r>
      <w:r>
        <w:rPr>
          <w:lang w:val="fr-FR"/>
        </w:rPr>
        <w:t xml:space="preserve">fonctionnant </w:t>
      </w:r>
      <w:r w:rsidRPr="00466CE7">
        <w:rPr>
          <w:lang w:val="fr-FR"/>
        </w:rPr>
        <w:t>24</w:t>
      </w:r>
      <w:r w:rsidR="002C42F4">
        <w:rPr>
          <w:lang w:val="fr-FR"/>
        </w:rPr>
        <w:t> </w:t>
      </w:r>
      <w:r w:rsidRPr="00466CE7">
        <w:rPr>
          <w:lang w:val="fr-FR"/>
        </w:rPr>
        <w:t xml:space="preserve">heures sur 24 </w:t>
      </w:r>
      <w:r>
        <w:rPr>
          <w:lang w:val="fr-FR"/>
        </w:rPr>
        <w:t xml:space="preserve">que les ressortissants kirghizes peuvent appeler </w:t>
      </w:r>
      <w:r w:rsidRPr="00466CE7">
        <w:rPr>
          <w:lang w:val="fr-FR"/>
        </w:rPr>
        <w:t>en cas d</w:t>
      </w:r>
      <w:r>
        <w:rPr>
          <w:lang w:val="fr-FR"/>
        </w:rPr>
        <w:t>’</w:t>
      </w:r>
      <w:r w:rsidRPr="00466CE7">
        <w:rPr>
          <w:lang w:val="fr-FR"/>
        </w:rPr>
        <w:t>urgence</w:t>
      </w:r>
      <w:r>
        <w:rPr>
          <w:lang w:val="fr-FR"/>
        </w:rPr>
        <w:t> ;</w:t>
      </w:r>
      <w:r w:rsidRPr="00466CE7">
        <w:rPr>
          <w:lang w:val="fr-FR"/>
        </w:rPr>
        <w:t xml:space="preserve"> </w:t>
      </w:r>
      <w:r>
        <w:rPr>
          <w:lang w:val="fr-FR"/>
        </w:rPr>
        <w:t>on trouve des renseignements à ce sujet sur leur site officiel</w:t>
      </w:r>
      <w:r w:rsidRPr="00466CE7">
        <w:rPr>
          <w:lang w:val="fr-FR"/>
        </w:rPr>
        <w:t>.</w:t>
      </w:r>
    </w:p>
    <w:p w14:paraId="369947B6" w14:textId="52FDE162" w:rsidR="009C6834" w:rsidRPr="00466CE7" w:rsidRDefault="009C6834" w:rsidP="009C6834">
      <w:pPr>
        <w:pStyle w:val="SingleTxtG"/>
        <w:rPr>
          <w:lang w:val="fr-FR"/>
        </w:rPr>
      </w:pPr>
      <w:r w:rsidRPr="00466CE7">
        <w:rPr>
          <w:lang w:val="fr-FR"/>
        </w:rPr>
        <w:t>136.</w:t>
      </w:r>
      <w:r w:rsidRPr="00466CE7">
        <w:rPr>
          <w:lang w:val="fr-FR"/>
        </w:rPr>
        <w:tab/>
      </w:r>
      <w:r>
        <w:rPr>
          <w:lang w:val="fr-FR"/>
        </w:rPr>
        <w:t>La question de la connexion du M</w:t>
      </w:r>
      <w:r w:rsidRPr="00466CE7">
        <w:rPr>
          <w:lang w:val="fr-FR"/>
        </w:rPr>
        <w:t xml:space="preserve">inistère des affaires étrangères et des </w:t>
      </w:r>
      <w:r>
        <w:rPr>
          <w:lang w:val="fr-FR"/>
        </w:rPr>
        <w:t xml:space="preserve">services </w:t>
      </w:r>
      <w:r w:rsidRPr="00466CE7">
        <w:rPr>
          <w:lang w:val="fr-FR"/>
        </w:rPr>
        <w:t xml:space="preserve">diplomatiques et consulaires de la République kirghize aux systèmes </w:t>
      </w:r>
      <w:r>
        <w:rPr>
          <w:lang w:val="fr-FR"/>
        </w:rPr>
        <w:t>informatiques « </w:t>
      </w:r>
      <w:r w:rsidRPr="00466CE7">
        <w:rPr>
          <w:lang w:val="fr-FR"/>
        </w:rPr>
        <w:t>Passeport</w:t>
      </w:r>
      <w:r>
        <w:rPr>
          <w:lang w:val="fr-FR"/>
        </w:rPr>
        <w:t>s »</w:t>
      </w:r>
      <w:r w:rsidRPr="00466CE7">
        <w:rPr>
          <w:lang w:val="fr-FR"/>
        </w:rPr>
        <w:t xml:space="preserve">, </w:t>
      </w:r>
      <w:r>
        <w:rPr>
          <w:lang w:val="fr-FR"/>
        </w:rPr>
        <w:t>« État civil »</w:t>
      </w:r>
      <w:r w:rsidRPr="00466CE7">
        <w:rPr>
          <w:lang w:val="fr-FR"/>
        </w:rPr>
        <w:t xml:space="preserve"> et </w:t>
      </w:r>
      <w:r>
        <w:rPr>
          <w:lang w:val="fr-FR"/>
        </w:rPr>
        <w:t>« Nationalité »</w:t>
      </w:r>
      <w:r w:rsidRPr="00466CE7">
        <w:rPr>
          <w:lang w:val="fr-FR"/>
        </w:rPr>
        <w:t xml:space="preserve"> a été réglée, ce qui a permis de réduire considérablement l</w:t>
      </w:r>
      <w:r>
        <w:rPr>
          <w:lang w:val="fr-FR"/>
        </w:rPr>
        <w:t xml:space="preserve">a durée de </w:t>
      </w:r>
      <w:r w:rsidRPr="00466CE7">
        <w:rPr>
          <w:lang w:val="fr-FR"/>
        </w:rPr>
        <w:t>traitement des documents des</w:t>
      </w:r>
      <w:r>
        <w:rPr>
          <w:lang w:val="fr-FR"/>
        </w:rPr>
        <w:t xml:space="preserve"> ressortissants</w:t>
      </w:r>
      <w:r w:rsidRPr="00466CE7">
        <w:rPr>
          <w:lang w:val="fr-FR"/>
        </w:rPr>
        <w:t xml:space="preserve"> kirghizes à l</w:t>
      </w:r>
      <w:r>
        <w:rPr>
          <w:lang w:val="fr-FR"/>
        </w:rPr>
        <w:t>’</w:t>
      </w:r>
      <w:r w:rsidRPr="00466CE7">
        <w:rPr>
          <w:lang w:val="fr-FR"/>
        </w:rPr>
        <w:t xml:space="preserve">étranger. </w:t>
      </w:r>
      <w:r>
        <w:rPr>
          <w:lang w:val="fr-FR"/>
        </w:rPr>
        <w:t xml:space="preserve">Un </w:t>
      </w:r>
      <w:r w:rsidRPr="00466CE7">
        <w:rPr>
          <w:lang w:val="fr-FR"/>
        </w:rPr>
        <w:t xml:space="preserve">programme </w:t>
      </w:r>
      <w:r>
        <w:rPr>
          <w:lang w:val="fr-FR"/>
        </w:rPr>
        <w:t>d’e</w:t>
      </w:r>
      <w:r w:rsidRPr="00466CE7">
        <w:rPr>
          <w:lang w:val="fr-FR"/>
        </w:rPr>
        <w:t xml:space="preserve">nregistrement </w:t>
      </w:r>
      <w:r>
        <w:rPr>
          <w:lang w:val="fr-FR"/>
        </w:rPr>
        <w:t xml:space="preserve">consulaire </w:t>
      </w:r>
      <w:r w:rsidRPr="00466CE7">
        <w:rPr>
          <w:lang w:val="fr-FR"/>
        </w:rPr>
        <w:t xml:space="preserve">a été </w:t>
      </w:r>
      <w:r>
        <w:rPr>
          <w:lang w:val="fr-FR"/>
        </w:rPr>
        <w:t xml:space="preserve">mis au point </w:t>
      </w:r>
      <w:r w:rsidRPr="00466CE7">
        <w:rPr>
          <w:lang w:val="fr-FR"/>
        </w:rPr>
        <w:t xml:space="preserve">qui permettra </w:t>
      </w:r>
      <w:r>
        <w:rPr>
          <w:lang w:val="fr-FR"/>
        </w:rPr>
        <w:t>de s’</w:t>
      </w:r>
      <w:r w:rsidRPr="00466CE7">
        <w:rPr>
          <w:lang w:val="fr-FR"/>
        </w:rPr>
        <w:t xml:space="preserve">enregistrer en ligne </w:t>
      </w:r>
      <w:r>
        <w:rPr>
          <w:lang w:val="fr-FR"/>
        </w:rPr>
        <w:t xml:space="preserve">depuis son </w:t>
      </w:r>
      <w:r w:rsidRPr="00466CE7">
        <w:rPr>
          <w:lang w:val="fr-FR"/>
        </w:rPr>
        <w:t xml:space="preserve">lieu </w:t>
      </w:r>
      <w:r>
        <w:rPr>
          <w:lang w:val="fr-FR"/>
        </w:rPr>
        <w:t xml:space="preserve">de </w:t>
      </w:r>
      <w:r w:rsidRPr="00466CE7">
        <w:rPr>
          <w:lang w:val="fr-FR"/>
        </w:rPr>
        <w:t>résidence à l</w:t>
      </w:r>
      <w:r>
        <w:rPr>
          <w:lang w:val="fr-FR"/>
        </w:rPr>
        <w:t>’</w:t>
      </w:r>
      <w:r w:rsidRPr="00466CE7">
        <w:rPr>
          <w:lang w:val="fr-FR"/>
        </w:rPr>
        <w:t xml:space="preserve">étranger. </w:t>
      </w:r>
      <w:r>
        <w:rPr>
          <w:lang w:val="fr-FR"/>
        </w:rPr>
        <w:t xml:space="preserve">Selon une décision du </w:t>
      </w:r>
      <w:r w:rsidR="000479B3">
        <w:rPr>
          <w:lang w:val="fr-FR"/>
        </w:rPr>
        <w:t>Gouvernement</w:t>
      </w:r>
      <w:r>
        <w:rPr>
          <w:lang w:val="fr-FR"/>
        </w:rPr>
        <w:t xml:space="preserve">, le </w:t>
      </w:r>
      <w:r w:rsidRPr="00466CE7">
        <w:rPr>
          <w:lang w:val="fr-FR"/>
        </w:rPr>
        <w:t xml:space="preserve">service public </w:t>
      </w:r>
      <w:r>
        <w:rPr>
          <w:lang w:val="fr-FR"/>
        </w:rPr>
        <w:t>d’</w:t>
      </w:r>
      <w:r w:rsidRPr="00466CE7">
        <w:rPr>
          <w:lang w:val="fr-FR"/>
        </w:rPr>
        <w:t>enregistrement consulaire</w:t>
      </w:r>
      <w:r>
        <w:rPr>
          <w:lang w:val="fr-FR"/>
        </w:rPr>
        <w:t xml:space="preserve"> sera gratuit</w:t>
      </w:r>
      <w:r w:rsidRPr="00466CE7">
        <w:rPr>
          <w:lang w:val="fr-FR"/>
        </w:rPr>
        <w:t xml:space="preserve">. </w:t>
      </w:r>
    </w:p>
    <w:p w14:paraId="3160D77A" w14:textId="77777777" w:rsidR="009C6834" w:rsidRPr="00466CE7" w:rsidRDefault="009C6834" w:rsidP="009C6834">
      <w:pPr>
        <w:pStyle w:val="SingleTxtG"/>
        <w:rPr>
          <w:lang w:val="fr-FR"/>
        </w:rPr>
      </w:pPr>
      <w:r>
        <w:rPr>
          <w:lang w:val="fr-FR"/>
        </w:rPr>
        <w:t>137.</w:t>
      </w:r>
      <w:r>
        <w:rPr>
          <w:lang w:val="fr-FR"/>
        </w:rPr>
        <w:tab/>
        <w:t>L’</w:t>
      </w:r>
      <w:r w:rsidRPr="00466CE7">
        <w:rPr>
          <w:lang w:val="fr-FR"/>
        </w:rPr>
        <w:t xml:space="preserve">application mobile </w:t>
      </w:r>
      <w:r>
        <w:rPr>
          <w:lang w:val="fr-FR"/>
        </w:rPr>
        <w:t>« </w:t>
      </w:r>
      <w:r w:rsidRPr="00466CE7">
        <w:rPr>
          <w:lang w:val="fr-FR"/>
        </w:rPr>
        <w:t>Consul</w:t>
      </w:r>
      <w:r>
        <w:rPr>
          <w:lang w:val="fr-FR"/>
        </w:rPr>
        <w:t> kirghize », qui doit permettre aux ressortissants kirghizes d’</w:t>
      </w:r>
      <w:r w:rsidRPr="00466CE7">
        <w:rPr>
          <w:lang w:val="fr-FR"/>
        </w:rPr>
        <w:t xml:space="preserve">obtenir des informations et des conseils en ligne sur diverses questions </w:t>
      </w:r>
      <w:r>
        <w:rPr>
          <w:lang w:val="fr-FR"/>
        </w:rPr>
        <w:t xml:space="preserve">de droit, </w:t>
      </w:r>
      <w:r w:rsidRPr="00466CE7">
        <w:rPr>
          <w:lang w:val="fr-FR"/>
        </w:rPr>
        <w:t>est en cours</w:t>
      </w:r>
      <w:r>
        <w:rPr>
          <w:lang w:val="fr-FR"/>
        </w:rPr>
        <w:t xml:space="preserve"> de développement</w:t>
      </w:r>
      <w:r w:rsidRPr="00466CE7">
        <w:rPr>
          <w:lang w:val="fr-FR"/>
        </w:rPr>
        <w:t>.</w:t>
      </w:r>
    </w:p>
    <w:p w14:paraId="6B372C4C" w14:textId="594A3082" w:rsidR="009C6834" w:rsidRPr="00466CE7" w:rsidRDefault="009C6834" w:rsidP="009C6834">
      <w:pPr>
        <w:pStyle w:val="SingleTxtG"/>
        <w:rPr>
          <w:lang w:val="fr-FR"/>
        </w:rPr>
      </w:pPr>
      <w:r w:rsidRPr="00466CE7">
        <w:rPr>
          <w:lang w:val="fr-FR"/>
        </w:rPr>
        <w:t>138.</w:t>
      </w:r>
      <w:r w:rsidRPr="00466CE7">
        <w:rPr>
          <w:lang w:val="fr-FR"/>
        </w:rPr>
        <w:tab/>
      </w:r>
      <w:r>
        <w:rPr>
          <w:lang w:val="fr-FR"/>
        </w:rPr>
        <w:t>Le M</w:t>
      </w:r>
      <w:r w:rsidRPr="00466CE7">
        <w:rPr>
          <w:lang w:val="fr-FR"/>
        </w:rPr>
        <w:t xml:space="preserve">inistère des </w:t>
      </w:r>
      <w:r>
        <w:rPr>
          <w:lang w:val="fr-FR"/>
        </w:rPr>
        <w:t>a</w:t>
      </w:r>
      <w:r w:rsidRPr="00466CE7">
        <w:rPr>
          <w:lang w:val="fr-FR"/>
        </w:rPr>
        <w:t xml:space="preserve">ffaires étrangères </w:t>
      </w:r>
      <w:r>
        <w:rPr>
          <w:lang w:val="fr-FR"/>
        </w:rPr>
        <w:t>dispose d</w:t>
      </w:r>
      <w:r w:rsidRPr="00466CE7">
        <w:rPr>
          <w:lang w:val="fr-FR"/>
        </w:rPr>
        <w:t xml:space="preserve">epuis 2019 </w:t>
      </w:r>
      <w:r>
        <w:rPr>
          <w:lang w:val="fr-FR"/>
        </w:rPr>
        <w:t>d’</w:t>
      </w:r>
      <w:r w:rsidRPr="00466CE7">
        <w:rPr>
          <w:lang w:val="fr-FR"/>
        </w:rPr>
        <w:t>un canal de communication (WhatsApp,</w:t>
      </w:r>
      <w:r>
        <w:rPr>
          <w:lang w:val="fr-FR"/>
        </w:rPr>
        <w:t xml:space="preserve"> Viber, SMS) fonctionnant 24</w:t>
      </w:r>
      <w:r w:rsidR="002C42F4">
        <w:rPr>
          <w:lang w:val="fr-FR"/>
        </w:rPr>
        <w:t> </w:t>
      </w:r>
      <w:r>
        <w:rPr>
          <w:lang w:val="fr-FR"/>
        </w:rPr>
        <w:t xml:space="preserve">heures sur </w:t>
      </w:r>
      <w:r w:rsidRPr="00466CE7">
        <w:rPr>
          <w:lang w:val="fr-FR"/>
        </w:rPr>
        <w:t>24</w:t>
      </w:r>
      <w:r>
        <w:rPr>
          <w:lang w:val="fr-FR"/>
        </w:rPr>
        <w:t xml:space="preserve"> qui propose </w:t>
      </w:r>
      <w:r w:rsidRPr="00466CE7">
        <w:rPr>
          <w:lang w:val="fr-FR"/>
        </w:rPr>
        <w:t xml:space="preserve">une assistance sous </w:t>
      </w:r>
      <w:r>
        <w:rPr>
          <w:lang w:val="fr-FR"/>
        </w:rPr>
        <w:t xml:space="preserve">la </w:t>
      </w:r>
      <w:r w:rsidRPr="00466CE7">
        <w:rPr>
          <w:lang w:val="fr-FR"/>
        </w:rPr>
        <w:t>forme de conseils et, dans certains cas</w:t>
      </w:r>
      <w:r>
        <w:rPr>
          <w:lang w:val="fr-FR"/>
        </w:rPr>
        <w:t xml:space="preserve"> urgents</w:t>
      </w:r>
      <w:r w:rsidRPr="00466CE7">
        <w:rPr>
          <w:lang w:val="fr-FR"/>
        </w:rPr>
        <w:t xml:space="preserve">, </w:t>
      </w:r>
      <w:r>
        <w:rPr>
          <w:lang w:val="fr-FR"/>
        </w:rPr>
        <w:t>de mesures d’intervention concrètes</w:t>
      </w:r>
      <w:r w:rsidRPr="00466CE7">
        <w:rPr>
          <w:lang w:val="fr-FR"/>
        </w:rPr>
        <w:t>.</w:t>
      </w:r>
    </w:p>
    <w:p w14:paraId="3EAB5CAA" w14:textId="4A0C1E69" w:rsidR="009C6834" w:rsidRPr="00466CE7" w:rsidRDefault="009C6834" w:rsidP="002C42F4">
      <w:pPr>
        <w:pStyle w:val="H1G"/>
        <w:rPr>
          <w:lang w:val="fr-FR"/>
        </w:rPr>
      </w:pPr>
      <w:r w:rsidRPr="00466CE7">
        <w:rPr>
          <w:lang w:val="fr-FR"/>
        </w:rPr>
        <w:tab/>
      </w:r>
      <w:r w:rsidRPr="00466CE7">
        <w:rPr>
          <w:lang w:val="fr-FR"/>
        </w:rPr>
        <w:tab/>
      </w:r>
      <w:r w:rsidR="00CB4ECD">
        <w:rPr>
          <w:lang w:val="fr-FR"/>
        </w:rPr>
        <w:t>Article </w:t>
      </w:r>
      <w:r w:rsidRPr="00466CE7">
        <w:rPr>
          <w:lang w:val="fr-FR"/>
        </w:rPr>
        <w:t>14</w:t>
      </w:r>
      <w:r w:rsidRPr="00466CE7">
        <w:rPr>
          <w:lang w:val="fr-FR"/>
        </w:rPr>
        <w:br/>
      </w:r>
      <w:r>
        <w:rPr>
          <w:lang w:val="fr-FR"/>
        </w:rPr>
        <w:t>Exploitation économique</w:t>
      </w:r>
    </w:p>
    <w:p w14:paraId="4F0EC5BE" w14:textId="2D86DFC0" w:rsidR="009C6834" w:rsidRPr="00466CE7" w:rsidRDefault="009C6834" w:rsidP="009C6834">
      <w:pPr>
        <w:pStyle w:val="SingleTxtG"/>
        <w:rPr>
          <w:lang w:val="fr-FR"/>
        </w:rPr>
      </w:pPr>
      <w:r w:rsidRPr="00466CE7">
        <w:rPr>
          <w:lang w:val="fr-FR"/>
        </w:rPr>
        <w:t>139.</w:t>
      </w:r>
      <w:r w:rsidRPr="00466CE7">
        <w:rPr>
          <w:lang w:val="fr-FR"/>
        </w:rPr>
        <w:tab/>
        <w:t>L</w:t>
      </w:r>
      <w:r>
        <w:rPr>
          <w:lang w:val="fr-FR"/>
        </w:rPr>
        <w:t>’</w:t>
      </w:r>
      <w:r w:rsidR="00CB4ECD">
        <w:rPr>
          <w:lang w:val="fr-FR"/>
        </w:rPr>
        <w:t>article </w:t>
      </w:r>
      <w:r w:rsidRPr="00466CE7">
        <w:rPr>
          <w:lang w:val="fr-FR"/>
        </w:rPr>
        <w:t xml:space="preserve">23 de la Constitution </w:t>
      </w:r>
      <w:r>
        <w:rPr>
          <w:lang w:val="fr-FR"/>
        </w:rPr>
        <w:t xml:space="preserve">proscrit </w:t>
      </w:r>
      <w:r w:rsidRPr="00466CE7">
        <w:rPr>
          <w:lang w:val="fr-FR"/>
        </w:rPr>
        <w:t>l</w:t>
      </w:r>
      <w:r>
        <w:rPr>
          <w:lang w:val="fr-FR"/>
        </w:rPr>
        <w:t>’</w:t>
      </w:r>
      <w:r w:rsidRPr="00466CE7">
        <w:rPr>
          <w:lang w:val="fr-FR"/>
        </w:rPr>
        <w:t>esclavage et la traite des</w:t>
      </w:r>
      <w:r>
        <w:rPr>
          <w:lang w:val="fr-FR"/>
        </w:rPr>
        <w:t xml:space="preserve"> personnes</w:t>
      </w:r>
      <w:r w:rsidRPr="00466CE7">
        <w:rPr>
          <w:lang w:val="fr-FR"/>
        </w:rPr>
        <w:t>. L</w:t>
      </w:r>
      <w:r>
        <w:rPr>
          <w:lang w:val="fr-FR"/>
        </w:rPr>
        <w:t>’</w:t>
      </w:r>
      <w:r w:rsidRPr="00466CE7">
        <w:rPr>
          <w:lang w:val="fr-FR"/>
        </w:rPr>
        <w:t xml:space="preserve">exploitation du travail des enfants est interdite. Le travail forcé est interdit, sauf en cas de guerre, </w:t>
      </w:r>
      <w:r>
        <w:rPr>
          <w:lang w:val="fr-FR"/>
        </w:rPr>
        <w:t>en cas de catastrophe naturelle</w:t>
      </w:r>
      <w:r w:rsidRPr="00466CE7">
        <w:rPr>
          <w:lang w:val="fr-FR"/>
        </w:rPr>
        <w:t xml:space="preserve"> et </w:t>
      </w:r>
      <w:r>
        <w:rPr>
          <w:lang w:val="fr-FR"/>
        </w:rPr>
        <w:t>d’</w:t>
      </w:r>
      <w:r w:rsidRPr="00466CE7">
        <w:rPr>
          <w:lang w:val="fr-FR"/>
        </w:rPr>
        <w:t xml:space="preserve">autres </w:t>
      </w:r>
      <w:r>
        <w:rPr>
          <w:lang w:val="fr-FR"/>
        </w:rPr>
        <w:t xml:space="preserve">circonstances exceptionnelles, </w:t>
      </w:r>
      <w:r w:rsidRPr="00466CE7">
        <w:rPr>
          <w:lang w:val="fr-FR"/>
        </w:rPr>
        <w:t>et en exécution d</w:t>
      </w:r>
      <w:r>
        <w:rPr>
          <w:lang w:val="fr-FR"/>
        </w:rPr>
        <w:t>’</w:t>
      </w:r>
      <w:r w:rsidRPr="00466CE7">
        <w:rPr>
          <w:lang w:val="fr-FR"/>
        </w:rPr>
        <w:t xml:space="preserve">une décision de justice. </w:t>
      </w:r>
    </w:p>
    <w:p w14:paraId="04C4D7A7" w14:textId="1F656B2F" w:rsidR="009C6834" w:rsidRPr="00466CE7" w:rsidRDefault="009C6834" w:rsidP="009C6834">
      <w:pPr>
        <w:pStyle w:val="SingleTxtG"/>
        <w:rPr>
          <w:lang w:val="fr-FR"/>
        </w:rPr>
      </w:pPr>
      <w:r>
        <w:rPr>
          <w:lang w:val="fr-FR"/>
        </w:rPr>
        <w:lastRenderedPageBreak/>
        <w:t>140.</w:t>
      </w:r>
      <w:r>
        <w:rPr>
          <w:lang w:val="fr-FR"/>
        </w:rPr>
        <w:tab/>
        <w:t>L’</w:t>
      </w:r>
      <w:r w:rsidR="00CB4ECD">
        <w:rPr>
          <w:lang w:val="fr-FR"/>
        </w:rPr>
        <w:t>article </w:t>
      </w:r>
      <w:r>
        <w:rPr>
          <w:lang w:val="fr-FR"/>
        </w:rPr>
        <w:t xml:space="preserve">2 du </w:t>
      </w:r>
      <w:r w:rsidR="009603CF">
        <w:rPr>
          <w:lang w:val="fr-FR"/>
        </w:rPr>
        <w:t>Code du travail</w:t>
      </w:r>
      <w:r w:rsidRPr="00466CE7">
        <w:rPr>
          <w:lang w:val="fr-FR"/>
        </w:rPr>
        <w:t xml:space="preserve"> établit les principes de la réglementation juridique </w:t>
      </w:r>
      <w:r>
        <w:rPr>
          <w:lang w:val="fr-FR"/>
        </w:rPr>
        <w:t xml:space="preserve">des relations de </w:t>
      </w:r>
      <w:r w:rsidRPr="00466CE7">
        <w:rPr>
          <w:lang w:val="fr-FR"/>
        </w:rPr>
        <w:t xml:space="preserve">travail et des relations </w:t>
      </w:r>
      <w:r>
        <w:rPr>
          <w:lang w:val="fr-FR"/>
        </w:rPr>
        <w:t>connexes directes</w:t>
      </w:r>
      <w:r w:rsidRPr="00466CE7">
        <w:rPr>
          <w:lang w:val="fr-FR"/>
        </w:rPr>
        <w:t>, notamment l</w:t>
      </w:r>
      <w:r>
        <w:rPr>
          <w:lang w:val="fr-FR"/>
        </w:rPr>
        <w:t>’</w:t>
      </w:r>
      <w:r w:rsidRPr="00466CE7">
        <w:rPr>
          <w:lang w:val="fr-FR"/>
        </w:rPr>
        <w:t>interdiction du travail forcé et de la discrimination dans les relations de travail et l</w:t>
      </w:r>
      <w:r>
        <w:rPr>
          <w:lang w:val="fr-FR"/>
        </w:rPr>
        <w:t>’</w:t>
      </w:r>
      <w:r w:rsidRPr="00466CE7">
        <w:rPr>
          <w:lang w:val="fr-FR"/>
        </w:rPr>
        <w:t xml:space="preserve">interdiction </w:t>
      </w:r>
      <w:r>
        <w:rPr>
          <w:lang w:val="fr-FR"/>
        </w:rPr>
        <w:t xml:space="preserve">des </w:t>
      </w:r>
      <w:r w:rsidRPr="00466CE7">
        <w:rPr>
          <w:lang w:val="fr-FR"/>
        </w:rPr>
        <w:t>pires formes</w:t>
      </w:r>
      <w:r w:rsidRPr="00D9420A">
        <w:rPr>
          <w:lang w:val="fr-FR"/>
        </w:rPr>
        <w:t xml:space="preserve"> </w:t>
      </w:r>
      <w:r>
        <w:rPr>
          <w:lang w:val="fr-FR"/>
        </w:rPr>
        <w:t xml:space="preserve">de </w:t>
      </w:r>
      <w:r w:rsidRPr="00466CE7">
        <w:rPr>
          <w:lang w:val="fr-FR"/>
        </w:rPr>
        <w:t>travail des enfants.</w:t>
      </w:r>
    </w:p>
    <w:p w14:paraId="0E91DC0A" w14:textId="64805EE5" w:rsidR="009C6834" w:rsidRPr="00466CE7" w:rsidRDefault="009C6834" w:rsidP="009C6834">
      <w:pPr>
        <w:pStyle w:val="SingleTxtG"/>
        <w:rPr>
          <w:lang w:val="fr-FR"/>
        </w:rPr>
      </w:pPr>
      <w:r>
        <w:rPr>
          <w:lang w:val="fr-FR"/>
        </w:rPr>
        <w:t>141.</w:t>
      </w:r>
      <w:r>
        <w:rPr>
          <w:lang w:val="fr-FR"/>
        </w:rPr>
        <w:tab/>
        <w:t>L’</w:t>
      </w:r>
      <w:r w:rsidR="00CB4ECD">
        <w:rPr>
          <w:lang w:val="fr-FR"/>
        </w:rPr>
        <w:t>article </w:t>
      </w:r>
      <w:r>
        <w:rPr>
          <w:lang w:val="fr-FR"/>
        </w:rPr>
        <w:t xml:space="preserve">57 du </w:t>
      </w:r>
      <w:r w:rsidR="009603CF">
        <w:rPr>
          <w:lang w:val="fr-FR"/>
        </w:rPr>
        <w:t>C</w:t>
      </w:r>
      <w:r>
        <w:rPr>
          <w:lang w:val="fr-FR"/>
        </w:rPr>
        <w:t>ode</w:t>
      </w:r>
      <w:r w:rsidRPr="00466CE7">
        <w:rPr>
          <w:lang w:val="fr-FR"/>
        </w:rPr>
        <w:t xml:space="preserve"> des </w:t>
      </w:r>
      <w:r>
        <w:rPr>
          <w:lang w:val="fr-FR"/>
        </w:rPr>
        <w:t xml:space="preserve">infractions réprime les atteintes à </w:t>
      </w:r>
      <w:r w:rsidRPr="00466CE7">
        <w:rPr>
          <w:lang w:val="fr-FR"/>
        </w:rPr>
        <w:t>la loi</w:t>
      </w:r>
      <w:r>
        <w:rPr>
          <w:lang w:val="fr-FR"/>
        </w:rPr>
        <w:t xml:space="preserve"> relative à </w:t>
      </w:r>
      <w:r w:rsidRPr="00466CE7">
        <w:rPr>
          <w:lang w:val="fr-FR"/>
        </w:rPr>
        <w:t>la protection du travail.</w:t>
      </w:r>
    </w:p>
    <w:p w14:paraId="0CB33238" w14:textId="17835C53" w:rsidR="009C6834" w:rsidRPr="00466CE7" w:rsidRDefault="009C6834" w:rsidP="009C6834">
      <w:pPr>
        <w:pStyle w:val="SingleTxtG"/>
        <w:rPr>
          <w:lang w:val="fr-FR"/>
        </w:rPr>
      </w:pPr>
      <w:r w:rsidRPr="00466CE7">
        <w:rPr>
          <w:lang w:val="fr-FR"/>
        </w:rPr>
        <w:t>142.</w:t>
      </w:r>
      <w:r w:rsidRPr="00466CE7">
        <w:rPr>
          <w:lang w:val="fr-FR"/>
        </w:rPr>
        <w:tab/>
        <w:t>L</w:t>
      </w:r>
      <w:r>
        <w:rPr>
          <w:lang w:val="fr-FR"/>
        </w:rPr>
        <w:t>’</w:t>
      </w:r>
      <w:r w:rsidR="00CB4ECD">
        <w:rPr>
          <w:lang w:val="fr-FR"/>
        </w:rPr>
        <w:t>article </w:t>
      </w:r>
      <w:r w:rsidRPr="00466CE7">
        <w:rPr>
          <w:lang w:val="fr-FR"/>
        </w:rPr>
        <w:t xml:space="preserve">171 du </w:t>
      </w:r>
      <w:r w:rsidR="000479B3">
        <w:rPr>
          <w:lang w:val="fr-FR"/>
        </w:rPr>
        <w:t>Code pénal</w:t>
      </w:r>
      <w:r w:rsidRPr="00466CE7">
        <w:rPr>
          <w:lang w:val="fr-FR"/>
        </w:rPr>
        <w:t xml:space="preserve"> </w:t>
      </w:r>
      <w:r>
        <w:rPr>
          <w:lang w:val="fr-FR"/>
        </w:rPr>
        <w:t xml:space="preserve">réprime </w:t>
      </w:r>
      <w:r w:rsidRPr="00466CE7">
        <w:rPr>
          <w:lang w:val="fr-FR"/>
        </w:rPr>
        <w:t>la traite des personnes.</w:t>
      </w:r>
    </w:p>
    <w:p w14:paraId="519A45DD" w14:textId="47A3F5D4" w:rsidR="009C6834" w:rsidRPr="00466CE7" w:rsidRDefault="009C6834" w:rsidP="009C6834">
      <w:pPr>
        <w:pStyle w:val="SingleTxtG"/>
        <w:rPr>
          <w:lang w:val="fr-FR"/>
        </w:rPr>
      </w:pPr>
      <w:r w:rsidRPr="00466CE7">
        <w:rPr>
          <w:lang w:val="fr-FR"/>
        </w:rPr>
        <w:t>143.</w:t>
      </w:r>
      <w:r w:rsidRPr="00466CE7">
        <w:rPr>
          <w:lang w:val="fr-FR"/>
        </w:rPr>
        <w:tab/>
        <w:t>L</w:t>
      </w:r>
      <w:r>
        <w:rPr>
          <w:lang w:val="fr-FR"/>
        </w:rPr>
        <w:t>’</w:t>
      </w:r>
      <w:r w:rsidR="00CB4ECD">
        <w:rPr>
          <w:lang w:val="fr-FR"/>
        </w:rPr>
        <w:t>article </w:t>
      </w:r>
      <w:r w:rsidRPr="00466CE7">
        <w:rPr>
          <w:lang w:val="fr-FR"/>
        </w:rPr>
        <w:t>171, par</w:t>
      </w:r>
      <w:r>
        <w:rPr>
          <w:lang w:val="fr-FR"/>
        </w:rPr>
        <w:t>tie</w:t>
      </w:r>
      <w:r w:rsidRPr="00466CE7">
        <w:rPr>
          <w:lang w:val="fr-FR"/>
        </w:rPr>
        <w:t xml:space="preserve"> 1, du </w:t>
      </w:r>
      <w:r w:rsidR="000479B3">
        <w:rPr>
          <w:lang w:val="fr-FR"/>
        </w:rPr>
        <w:t>Code pénal</w:t>
      </w:r>
      <w:r w:rsidRPr="00466CE7">
        <w:rPr>
          <w:lang w:val="fr-FR"/>
        </w:rPr>
        <w:t xml:space="preserve"> définit la traite des personnes comme </w:t>
      </w:r>
      <w:r>
        <w:rPr>
          <w:lang w:val="fr-FR"/>
        </w:rPr>
        <w:t xml:space="preserve">étant </w:t>
      </w:r>
      <w:r w:rsidRPr="00466CE7">
        <w:rPr>
          <w:lang w:val="fr-FR"/>
        </w:rPr>
        <w:t>le recrutemen</w:t>
      </w:r>
      <w:r>
        <w:rPr>
          <w:lang w:val="fr-FR"/>
        </w:rPr>
        <w:t xml:space="preserve">t, le transport, l’hébergement, </w:t>
      </w:r>
      <w:r w:rsidRPr="00466CE7">
        <w:rPr>
          <w:lang w:val="fr-FR"/>
        </w:rPr>
        <w:t>l</w:t>
      </w:r>
      <w:r>
        <w:rPr>
          <w:lang w:val="fr-FR"/>
        </w:rPr>
        <w:t>’</w:t>
      </w:r>
      <w:r w:rsidRPr="00466CE7">
        <w:rPr>
          <w:lang w:val="fr-FR"/>
        </w:rPr>
        <w:t xml:space="preserve">accueil </w:t>
      </w:r>
      <w:r>
        <w:rPr>
          <w:lang w:val="fr-FR"/>
        </w:rPr>
        <w:t xml:space="preserve">ou le transfert de personnes, </w:t>
      </w:r>
      <w:r w:rsidRPr="00466CE7">
        <w:rPr>
          <w:lang w:val="fr-FR"/>
        </w:rPr>
        <w:t>avec ou sans leur consentement, par la menace</w:t>
      </w:r>
      <w:r>
        <w:rPr>
          <w:lang w:val="fr-FR"/>
        </w:rPr>
        <w:t xml:space="preserve"> de recours ou le</w:t>
      </w:r>
      <w:r w:rsidRPr="00466CE7">
        <w:rPr>
          <w:lang w:val="fr-FR"/>
        </w:rPr>
        <w:t xml:space="preserve"> recours à la force ou </w:t>
      </w:r>
      <w:r>
        <w:rPr>
          <w:lang w:val="fr-FR"/>
        </w:rPr>
        <w:t xml:space="preserve">à </w:t>
      </w:r>
      <w:r w:rsidRPr="00466CE7">
        <w:rPr>
          <w:lang w:val="fr-FR"/>
        </w:rPr>
        <w:t>d</w:t>
      </w:r>
      <w:r>
        <w:rPr>
          <w:lang w:val="fr-FR"/>
        </w:rPr>
        <w:t>’</w:t>
      </w:r>
      <w:r w:rsidRPr="00466CE7">
        <w:rPr>
          <w:lang w:val="fr-FR"/>
        </w:rPr>
        <w:t xml:space="preserve">autres formes de contrainte, </w:t>
      </w:r>
      <w:r>
        <w:rPr>
          <w:lang w:val="fr-FR"/>
        </w:rPr>
        <w:t xml:space="preserve">par </w:t>
      </w:r>
      <w:r w:rsidRPr="00466CE7">
        <w:rPr>
          <w:lang w:val="fr-FR"/>
        </w:rPr>
        <w:t xml:space="preserve">chantage, enlèvement, fraude, tromperie, </w:t>
      </w:r>
      <w:r>
        <w:rPr>
          <w:lang w:val="fr-FR"/>
        </w:rPr>
        <w:t xml:space="preserve">aux fins ou non </w:t>
      </w:r>
      <w:r w:rsidRPr="00466CE7">
        <w:rPr>
          <w:lang w:val="fr-FR"/>
        </w:rPr>
        <w:t>d</w:t>
      </w:r>
      <w:r>
        <w:rPr>
          <w:lang w:val="fr-FR"/>
        </w:rPr>
        <w:t>’</w:t>
      </w:r>
      <w:r w:rsidRPr="00466CE7">
        <w:rPr>
          <w:lang w:val="fr-FR"/>
        </w:rPr>
        <w:t xml:space="preserve">exploitation ou </w:t>
      </w:r>
      <w:r>
        <w:rPr>
          <w:lang w:val="fr-FR"/>
        </w:rPr>
        <w:t>de l’obtention d’autres avantages</w:t>
      </w:r>
      <w:r w:rsidRPr="00466CE7">
        <w:rPr>
          <w:lang w:val="fr-FR"/>
        </w:rPr>
        <w:t>.</w:t>
      </w:r>
    </w:p>
    <w:p w14:paraId="26771FFB" w14:textId="2E907BF5" w:rsidR="009C6834" w:rsidRPr="00466CE7" w:rsidRDefault="009C6834" w:rsidP="009C6834">
      <w:pPr>
        <w:pStyle w:val="SingleTxtG"/>
        <w:rPr>
          <w:lang w:val="fr-FR"/>
        </w:rPr>
      </w:pPr>
      <w:r w:rsidRPr="00466CE7">
        <w:rPr>
          <w:lang w:val="fr-FR"/>
        </w:rPr>
        <w:t>144.</w:t>
      </w:r>
      <w:r w:rsidRPr="00466CE7">
        <w:rPr>
          <w:lang w:val="fr-FR"/>
        </w:rPr>
        <w:tab/>
      </w:r>
      <w:r>
        <w:rPr>
          <w:lang w:val="fr-FR"/>
        </w:rPr>
        <w:t>L’</w:t>
      </w:r>
      <w:r w:rsidR="00CB4ECD">
        <w:rPr>
          <w:lang w:val="fr-FR"/>
        </w:rPr>
        <w:t>article </w:t>
      </w:r>
      <w:r w:rsidRPr="00466CE7">
        <w:rPr>
          <w:lang w:val="fr-FR"/>
        </w:rPr>
        <w:t xml:space="preserve">171 </w:t>
      </w:r>
      <w:r>
        <w:rPr>
          <w:lang w:val="fr-FR"/>
        </w:rPr>
        <w:t>(partie</w:t>
      </w:r>
      <w:r w:rsidR="00BF2869">
        <w:rPr>
          <w:lang w:val="fr-FR"/>
        </w:rPr>
        <w:t> </w:t>
      </w:r>
      <w:r>
        <w:rPr>
          <w:lang w:val="fr-FR"/>
        </w:rPr>
        <w:t>4, par.</w:t>
      </w:r>
      <w:r w:rsidR="00BF2869">
        <w:rPr>
          <w:lang w:val="fr-FR"/>
        </w:rPr>
        <w:t> </w:t>
      </w:r>
      <w:r>
        <w:rPr>
          <w:lang w:val="fr-FR"/>
        </w:rPr>
        <w:t xml:space="preserve">4) </w:t>
      </w:r>
      <w:r w:rsidRPr="00466CE7">
        <w:rPr>
          <w:lang w:val="fr-FR"/>
        </w:rPr>
        <w:t xml:space="preserve">du </w:t>
      </w:r>
      <w:r w:rsidR="000479B3">
        <w:rPr>
          <w:lang w:val="fr-FR"/>
        </w:rPr>
        <w:t>Code pénal</w:t>
      </w:r>
      <w:r>
        <w:rPr>
          <w:lang w:val="fr-FR"/>
        </w:rPr>
        <w:t xml:space="preserve"> définit </w:t>
      </w:r>
      <w:r w:rsidRPr="00466CE7">
        <w:rPr>
          <w:lang w:val="fr-FR"/>
        </w:rPr>
        <w:t>l</w:t>
      </w:r>
      <w:r>
        <w:rPr>
          <w:lang w:val="fr-FR"/>
        </w:rPr>
        <w:t>’</w:t>
      </w:r>
      <w:r w:rsidRPr="00466CE7">
        <w:rPr>
          <w:lang w:val="fr-FR"/>
        </w:rPr>
        <w:t xml:space="preserve">exploitation </w:t>
      </w:r>
      <w:r>
        <w:rPr>
          <w:lang w:val="fr-FR"/>
        </w:rPr>
        <w:t xml:space="preserve">notamment </w:t>
      </w:r>
      <w:r w:rsidRPr="00466CE7">
        <w:rPr>
          <w:lang w:val="fr-FR"/>
        </w:rPr>
        <w:t xml:space="preserve">comme </w:t>
      </w:r>
      <w:r>
        <w:rPr>
          <w:lang w:val="fr-FR"/>
        </w:rPr>
        <w:t xml:space="preserve">le fait de contraindre une personne à un </w:t>
      </w:r>
      <w:r w:rsidRPr="00466CE7">
        <w:rPr>
          <w:lang w:val="fr-FR"/>
        </w:rPr>
        <w:t>travail forcé.</w:t>
      </w:r>
    </w:p>
    <w:p w14:paraId="43129ADA" w14:textId="12418390" w:rsidR="009C6834" w:rsidRPr="00466CE7" w:rsidRDefault="009C6834" w:rsidP="009C6834">
      <w:pPr>
        <w:pStyle w:val="SingleTxtG"/>
        <w:rPr>
          <w:lang w:val="fr-FR"/>
        </w:rPr>
      </w:pPr>
      <w:r w:rsidRPr="00466CE7">
        <w:rPr>
          <w:lang w:val="fr-FR"/>
        </w:rPr>
        <w:t>145.</w:t>
      </w:r>
      <w:r w:rsidRPr="00466CE7">
        <w:rPr>
          <w:lang w:val="fr-FR"/>
        </w:rPr>
        <w:tab/>
      </w:r>
      <w:r>
        <w:rPr>
          <w:lang w:val="fr-FR"/>
        </w:rPr>
        <w:t xml:space="preserve">Le </w:t>
      </w:r>
      <w:r w:rsidR="009603CF">
        <w:rPr>
          <w:lang w:val="fr-FR"/>
        </w:rPr>
        <w:t xml:space="preserve">Code </w:t>
      </w:r>
      <w:r w:rsidRPr="00466CE7">
        <w:rPr>
          <w:lang w:val="fr-FR"/>
        </w:rPr>
        <w:t>de l</w:t>
      </w:r>
      <w:r>
        <w:rPr>
          <w:lang w:val="fr-FR"/>
        </w:rPr>
        <w:t>’</w:t>
      </w:r>
      <w:r w:rsidRPr="00466CE7">
        <w:rPr>
          <w:lang w:val="fr-FR"/>
        </w:rPr>
        <w:t xml:space="preserve">enfance interdit </w:t>
      </w:r>
      <w:r>
        <w:rPr>
          <w:lang w:val="fr-FR"/>
        </w:rPr>
        <w:t xml:space="preserve">d’admettre ou de recruter </w:t>
      </w:r>
      <w:r w:rsidRPr="00466CE7">
        <w:rPr>
          <w:lang w:val="fr-FR"/>
        </w:rPr>
        <w:t xml:space="preserve">un enfant </w:t>
      </w:r>
      <w:r>
        <w:rPr>
          <w:lang w:val="fr-FR"/>
        </w:rPr>
        <w:t xml:space="preserve">pour l’accomplissement de tout travail pouvant présenter un danger pour sa santé ou l’empêcher de recevoir une éducation, </w:t>
      </w:r>
      <w:r w:rsidRPr="00466CE7">
        <w:rPr>
          <w:lang w:val="fr-FR"/>
        </w:rPr>
        <w:t>ou</w:t>
      </w:r>
      <w:r>
        <w:rPr>
          <w:lang w:val="fr-FR"/>
        </w:rPr>
        <w:t xml:space="preserve"> susceptible de nuire à sa santé et à son </w:t>
      </w:r>
      <w:r w:rsidRPr="00466CE7">
        <w:rPr>
          <w:lang w:val="fr-FR"/>
        </w:rPr>
        <w:t xml:space="preserve">développement physique, </w:t>
      </w:r>
      <w:r>
        <w:rPr>
          <w:lang w:val="fr-FR"/>
        </w:rPr>
        <w:t>intellectuel</w:t>
      </w:r>
      <w:r w:rsidRPr="00466CE7">
        <w:rPr>
          <w:lang w:val="fr-FR"/>
        </w:rPr>
        <w:t>, spirituel, moral ou social.</w:t>
      </w:r>
    </w:p>
    <w:p w14:paraId="3BCB7FA7" w14:textId="77777777" w:rsidR="009C6834" w:rsidRPr="00466CE7" w:rsidRDefault="009C6834" w:rsidP="009C6834">
      <w:pPr>
        <w:pStyle w:val="SingleTxtG"/>
        <w:rPr>
          <w:lang w:val="fr-FR"/>
        </w:rPr>
      </w:pPr>
      <w:r w:rsidRPr="00466CE7">
        <w:rPr>
          <w:lang w:val="fr-FR"/>
        </w:rPr>
        <w:t>146.</w:t>
      </w:r>
      <w:r w:rsidRPr="00466CE7">
        <w:rPr>
          <w:lang w:val="fr-FR"/>
        </w:rPr>
        <w:tab/>
      </w:r>
      <w:r>
        <w:rPr>
          <w:lang w:val="fr-FR"/>
        </w:rPr>
        <w:t xml:space="preserve">Pour </w:t>
      </w:r>
      <w:r w:rsidRPr="00466CE7">
        <w:rPr>
          <w:lang w:val="fr-FR"/>
        </w:rPr>
        <w:t xml:space="preserve">prévenir les pires formes de travail des enfants, </w:t>
      </w:r>
      <w:r>
        <w:rPr>
          <w:lang w:val="fr-FR"/>
        </w:rPr>
        <w:t>u</w:t>
      </w:r>
      <w:r w:rsidRPr="00466CE7">
        <w:rPr>
          <w:lang w:val="fr-FR"/>
        </w:rPr>
        <w:t xml:space="preserve">n </w:t>
      </w:r>
      <w:r>
        <w:rPr>
          <w:lang w:val="fr-FR"/>
        </w:rPr>
        <w:t>p</w:t>
      </w:r>
      <w:r w:rsidRPr="00466CE7">
        <w:rPr>
          <w:lang w:val="fr-FR"/>
        </w:rPr>
        <w:t>lan interministériel pour la prévention de l</w:t>
      </w:r>
      <w:r>
        <w:rPr>
          <w:lang w:val="fr-FR"/>
        </w:rPr>
        <w:t>’</w:t>
      </w:r>
      <w:r w:rsidRPr="00466CE7">
        <w:rPr>
          <w:lang w:val="fr-FR"/>
        </w:rPr>
        <w:t xml:space="preserve">implication des enfants dans les pires formes de travail des enfants </w:t>
      </w:r>
      <w:r>
        <w:rPr>
          <w:lang w:val="fr-FR"/>
        </w:rPr>
        <w:t xml:space="preserve">pour la période </w:t>
      </w:r>
      <w:r w:rsidRPr="00466CE7">
        <w:rPr>
          <w:lang w:val="fr-FR"/>
        </w:rPr>
        <w:t xml:space="preserve">2016-2018 a été </w:t>
      </w:r>
      <w:r>
        <w:rPr>
          <w:lang w:val="fr-FR"/>
        </w:rPr>
        <w:t xml:space="preserve">adopté en 2016 par </w:t>
      </w:r>
      <w:r w:rsidRPr="00466CE7">
        <w:rPr>
          <w:lang w:val="fr-FR"/>
        </w:rPr>
        <w:t xml:space="preserve">les ministères et </w:t>
      </w:r>
      <w:r>
        <w:rPr>
          <w:lang w:val="fr-FR"/>
        </w:rPr>
        <w:t xml:space="preserve">administrations </w:t>
      </w:r>
      <w:r w:rsidRPr="00466CE7">
        <w:rPr>
          <w:lang w:val="fr-FR"/>
        </w:rPr>
        <w:t>concernés.</w:t>
      </w:r>
    </w:p>
    <w:p w14:paraId="08ECF713" w14:textId="154701F7" w:rsidR="009C6834" w:rsidRPr="00466CE7" w:rsidRDefault="009C6834" w:rsidP="009C6834">
      <w:pPr>
        <w:pStyle w:val="SingleTxtG"/>
        <w:rPr>
          <w:lang w:val="fr-FR"/>
        </w:rPr>
      </w:pPr>
      <w:r w:rsidRPr="00466CE7">
        <w:rPr>
          <w:lang w:val="fr-FR"/>
        </w:rPr>
        <w:t>147.</w:t>
      </w:r>
      <w:r w:rsidRPr="00466CE7">
        <w:rPr>
          <w:lang w:val="fr-FR"/>
        </w:rPr>
        <w:tab/>
      </w:r>
      <w:r>
        <w:rPr>
          <w:lang w:val="fr-FR"/>
        </w:rPr>
        <w:t xml:space="preserve">Le </w:t>
      </w:r>
      <w:r w:rsidR="00470956">
        <w:rPr>
          <w:lang w:val="fr-FR"/>
        </w:rPr>
        <w:t xml:space="preserve">Gouvernement </w:t>
      </w:r>
      <w:r>
        <w:rPr>
          <w:lang w:val="fr-FR"/>
        </w:rPr>
        <w:t xml:space="preserve">a par ailleurs modifié, par </w:t>
      </w:r>
      <w:r w:rsidRPr="00466CE7">
        <w:rPr>
          <w:lang w:val="fr-FR"/>
        </w:rPr>
        <w:t xml:space="preserve">une </w:t>
      </w:r>
      <w:r>
        <w:rPr>
          <w:lang w:val="fr-FR"/>
        </w:rPr>
        <w:t xml:space="preserve">décision </w:t>
      </w:r>
      <w:r w:rsidRPr="00466CE7">
        <w:rPr>
          <w:lang w:val="fr-FR"/>
        </w:rPr>
        <w:t>du 13</w:t>
      </w:r>
      <w:r w:rsidR="00BF2869">
        <w:rPr>
          <w:lang w:val="fr-FR"/>
        </w:rPr>
        <w:t> </w:t>
      </w:r>
      <w:r>
        <w:rPr>
          <w:lang w:val="fr-FR"/>
        </w:rPr>
        <w:t xml:space="preserve">novembre </w:t>
      </w:r>
      <w:r w:rsidRPr="00466CE7">
        <w:rPr>
          <w:lang w:val="fr-FR"/>
        </w:rPr>
        <w:t>2020</w:t>
      </w:r>
      <w:r>
        <w:rPr>
          <w:lang w:val="fr-FR"/>
        </w:rPr>
        <w:t>,</w:t>
      </w:r>
      <w:r w:rsidRPr="00466CE7">
        <w:rPr>
          <w:lang w:val="fr-FR"/>
        </w:rPr>
        <w:t xml:space="preserve"> la liste des industries, professions et emplois présentant des condi</w:t>
      </w:r>
      <w:r>
        <w:rPr>
          <w:lang w:val="fr-FR"/>
        </w:rPr>
        <w:t xml:space="preserve">tions de travail pénibles et nuisibles pour lesquels il est interdit d’employer des </w:t>
      </w:r>
      <w:r w:rsidRPr="00466CE7">
        <w:rPr>
          <w:lang w:val="fr-FR"/>
        </w:rPr>
        <w:t xml:space="preserve">personnes de moins de </w:t>
      </w:r>
      <w:r w:rsidR="00470956">
        <w:rPr>
          <w:lang w:val="fr-FR"/>
        </w:rPr>
        <w:t>18 </w:t>
      </w:r>
      <w:r w:rsidRPr="00466CE7">
        <w:rPr>
          <w:lang w:val="fr-FR"/>
        </w:rPr>
        <w:t>ans.</w:t>
      </w:r>
    </w:p>
    <w:p w14:paraId="05CF395F" w14:textId="334E0568" w:rsidR="009C6834" w:rsidRPr="00466CE7" w:rsidRDefault="009C6834" w:rsidP="00BF2869">
      <w:pPr>
        <w:pStyle w:val="SingleTxtG"/>
        <w:keepNext/>
        <w:rPr>
          <w:lang w:val="fr-FR"/>
        </w:rPr>
      </w:pPr>
      <w:r w:rsidRPr="00466CE7">
        <w:rPr>
          <w:lang w:val="fr-FR"/>
        </w:rPr>
        <w:t>148.</w:t>
      </w:r>
      <w:r w:rsidRPr="00466CE7">
        <w:rPr>
          <w:lang w:val="fr-FR"/>
        </w:rPr>
        <w:tab/>
        <w:t>La République kirghize est partie à deux conventions de l</w:t>
      </w:r>
      <w:r>
        <w:rPr>
          <w:lang w:val="fr-FR"/>
        </w:rPr>
        <w:t>’Organisation internationale du T</w:t>
      </w:r>
      <w:r w:rsidRPr="00466CE7">
        <w:rPr>
          <w:lang w:val="fr-FR"/>
        </w:rPr>
        <w:t>ravail concernant le travail des enfants</w:t>
      </w:r>
      <w:r>
        <w:rPr>
          <w:lang w:val="fr-FR"/>
        </w:rPr>
        <w:t> :</w:t>
      </w:r>
      <w:r w:rsidRPr="00466CE7">
        <w:rPr>
          <w:lang w:val="fr-FR"/>
        </w:rPr>
        <w:t xml:space="preserve"> </w:t>
      </w:r>
    </w:p>
    <w:p w14:paraId="79D89E17" w14:textId="64531ED5" w:rsidR="009C6834" w:rsidRPr="00984613" w:rsidRDefault="009C6834" w:rsidP="00BF2869">
      <w:pPr>
        <w:pStyle w:val="Bullet1G"/>
        <w:rPr>
          <w:lang w:val="fr-FR"/>
        </w:rPr>
      </w:pPr>
      <w:r>
        <w:rPr>
          <w:lang w:val="fr-FR"/>
        </w:rPr>
        <w:t xml:space="preserve">La </w:t>
      </w:r>
      <w:r w:rsidRPr="00984613">
        <w:rPr>
          <w:lang w:val="fr-FR"/>
        </w:rPr>
        <w:t>Convention n</w:t>
      </w:r>
      <w:r w:rsidR="00BF2869" w:rsidRPr="00BF2869">
        <w:rPr>
          <w:vertAlign w:val="superscript"/>
          <w:lang w:val="fr-FR"/>
        </w:rPr>
        <w:t>o</w:t>
      </w:r>
      <w:r w:rsidR="00BF2869">
        <w:rPr>
          <w:lang w:val="fr-FR"/>
        </w:rPr>
        <w:t> </w:t>
      </w:r>
      <w:r w:rsidRPr="00984613">
        <w:rPr>
          <w:lang w:val="fr-FR"/>
        </w:rPr>
        <w:t>138 concernant l</w:t>
      </w:r>
      <w:r>
        <w:rPr>
          <w:lang w:val="fr-FR"/>
        </w:rPr>
        <w:t>’</w:t>
      </w:r>
      <w:r w:rsidRPr="00984613">
        <w:rPr>
          <w:lang w:val="fr-FR"/>
        </w:rPr>
        <w:t>âge minimum d</w:t>
      </w:r>
      <w:r>
        <w:rPr>
          <w:lang w:val="fr-FR"/>
        </w:rPr>
        <w:t>’</w:t>
      </w:r>
      <w:r w:rsidRPr="00984613">
        <w:rPr>
          <w:lang w:val="fr-FR"/>
        </w:rPr>
        <w:t>admission à l</w:t>
      </w:r>
      <w:r>
        <w:rPr>
          <w:lang w:val="fr-FR"/>
        </w:rPr>
        <w:t>’</w:t>
      </w:r>
      <w:r w:rsidRPr="00984613">
        <w:rPr>
          <w:lang w:val="fr-FR"/>
        </w:rPr>
        <w:t>emploi. En adhérant à l</w:t>
      </w:r>
      <w:r>
        <w:rPr>
          <w:lang w:val="fr-FR"/>
        </w:rPr>
        <w:t>’</w:t>
      </w:r>
      <w:r w:rsidRPr="00984613">
        <w:rPr>
          <w:lang w:val="fr-FR"/>
        </w:rPr>
        <w:t>OIT, la République kirghize a confirmé que les conventions de l</w:t>
      </w:r>
      <w:r>
        <w:rPr>
          <w:lang w:val="fr-FR"/>
        </w:rPr>
        <w:t>’</w:t>
      </w:r>
      <w:r w:rsidRPr="00984613">
        <w:rPr>
          <w:lang w:val="fr-FR"/>
        </w:rPr>
        <w:t>OIT ratifiées par l</w:t>
      </w:r>
      <w:r>
        <w:rPr>
          <w:lang w:val="fr-FR"/>
        </w:rPr>
        <w:t>’</w:t>
      </w:r>
      <w:r w:rsidRPr="00984613">
        <w:rPr>
          <w:lang w:val="fr-FR"/>
        </w:rPr>
        <w:t>ex-URSS rest</w:t>
      </w:r>
      <w:r>
        <w:rPr>
          <w:lang w:val="fr-FR"/>
        </w:rPr>
        <w:t>ai</w:t>
      </w:r>
      <w:r w:rsidRPr="00984613">
        <w:rPr>
          <w:lang w:val="fr-FR"/>
        </w:rPr>
        <w:t>ent en vigueur sur son territoire</w:t>
      </w:r>
      <w:r w:rsidR="00BF2869">
        <w:rPr>
          <w:lang w:val="fr-FR"/>
        </w:rPr>
        <w:t> </w:t>
      </w:r>
      <w:r w:rsidRPr="00984613">
        <w:rPr>
          <w:lang w:val="fr-FR"/>
        </w:rPr>
        <w:t xml:space="preserve">; </w:t>
      </w:r>
    </w:p>
    <w:p w14:paraId="0635DB7C" w14:textId="51171EAF" w:rsidR="009C6834" w:rsidRPr="00984613" w:rsidRDefault="009C6834" w:rsidP="00BF2869">
      <w:pPr>
        <w:pStyle w:val="Bullet1G"/>
        <w:rPr>
          <w:lang w:val="fr-FR"/>
        </w:rPr>
      </w:pPr>
      <w:r>
        <w:rPr>
          <w:lang w:val="fr-FR"/>
        </w:rPr>
        <w:t xml:space="preserve">La </w:t>
      </w:r>
      <w:r w:rsidRPr="00984613">
        <w:rPr>
          <w:lang w:val="fr-FR"/>
        </w:rPr>
        <w:t>Convention n</w:t>
      </w:r>
      <w:r w:rsidR="00BF2869" w:rsidRPr="00BF2869">
        <w:rPr>
          <w:vertAlign w:val="superscript"/>
          <w:lang w:val="fr-FR"/>
        </w:rPr>
        <w:t>o</w:t>
      </w:r>
      <w:r w:rsidR="00BF2869">
        <w:rPr>
          <w:lang w:val="fr-FR"/>
        </w:rPr>
        <w:t> </w:t>
      </w:r>
      <w:r w:rsidRPr="00984613">
        <w:rPr>
          <w:lang w:val="fr-FR"/>
        </w:rPr>
        <w:t>182 concernant l</w:t>
      </w:r>
      <w:r>
        <w:rPr>
          <w:lang w:val="fr-FR"/>
        </w:rPr>
        <w:t>’</w:t>
      </w:r>
      <w:r w:rsidRPr="00984613">
        <w:rPr>
          <w:lang w:val="fr-FR"/>
        </w:rPr>
        <w:t>interdiction des pires formes de travail des enfants et l</w:t>
      </w:r>
      <w:r>
        <w:rPr>
          <w:lang w:val="fr-FR"/>
        </w:rPr>
        <w:t>’</w:t>
      </w:r>
      <w:r w:rsidRPr="00984613">
        <w:rPr>
          <w:lang w:val="fr-FR"/>
        </w:rPr>
        <w:t xml:space="preserve">action immédiate en vue de leur élimination. </w:t>
      </w:r>
    </w:p>
    <w:p w14:paraId="5B31D2BA" w14:textId="2649BAA3" w:rsidR="009C6834" w:rsidRPr="00466CE7" w:rsidRDefault="009C6834" w:rsidP="009C6834">
      <w:pPr>
        <w:pStyle w:val="SingleTxtG"/>
        <w:rPr>
          <w:lang w:val="fr-FR"/>
        </w:rPr>
      </w:pPr>
      <w:r w:rsidRPr="00466CE7">
        <w:rPr>
          <w:lang w:val="fr-FR"/>
        </w:rPr>
        <w:t>149.</w:t>
      </w:r>
      <w:r w:rsidRPr="00466CE7">
        <w:rPr>
          <w:lang w:val="fr-FR"/>
        </w:rPr>
        <w:tab/>
      </w:r>
      <w:r>
        <w:rPr>
          <w:lang w:val="fr-FR"/>
        </w:rPr>
        <w:t xml:space="preserve">D’après les données du </w:t>
      </w:r>
      <w:r w:rsidRPr="00466CE7">
        <w:rPr>
          <w:lang w:val="fr-FR"/>
        </w:rPr>
        <w:t>COMP, 26,7</w:t>
      </w:r>
      <w:r w:rsidR="00CB4ECD">
        <w:rPr>
          <w:lang w:val="fr-FR"/>
        </w:rPr>
        <w:t> %</w:t>
      </w:r>
      <w:r w:rsidRPr="00466CE7">
        <w:rPr>
          <w:lang w:val="fr-FR"/>
        </w:rPr>
        <w:t xml:space="preserve"> des enfants âgés de 5 à 17</w:t>
      </w:r>
      <w:r w:rsidR="00BF2869">
        <w:rPr>
          <w:lang w:val="fr-FR"/>
        </w:rPr>
        <w:t> </w:t>
      </w:r>
      <w:r w:rsidRPr="00466CE7">
        <w:rPr>
          <w:lang w:val="fr-FR"/>
        </w:rPr>
        <w:t xml:space="preserve">ans </w:t>
      </w:r>
      <w:r>
        <w:rPr>
          <w:lang w:val="fr-FR"/>
        </w:rPr>
        <w:t xml:space="preserve">travaillaient en </w:t>
      </w:r>
      <w:r w:rsidRPr="00466CE7">
        <w:rPr>
          <w:lang w:val="fr-FR"/>
        </w:rPr>
        <w:t>2018, dont 11,7</w:t>
      </w:r>
      <w:r w:rsidR="00CB4ECD">
        <w:rPr>
          <w:lang w:val="fr-FR"/>
        </w:rPr>
        <w:t> %</w:t>
      </w:r>
      <w:r w:rsidRPr="00466CE7">
        <w:rPr>
          <w:lang w:val="fr-FR"/>
        </w:rPr>
        <w:t xml:space="preserve"> dans des conditions dangereuses. </w:t>
      </w:r>
    </w:p>
    <w:p w14:paraId="216E09A1" w14:textId="3F063D0F" w:rsidR="009C6834" w:rsidRPr="00466CE7" w:rsidRDefault="009C6834" w:rsidP="009C6834">
      <w:pPr>
        <w:pStyle w:val="SingleTxtG"/>
        <w:rPr>
          <w:lang w:val="fr-FR"/>
        </w:rPr>
      </w:pPr>
      <w:r w:rsidRPr="00466CE7">
        <w:rPr>
          <w:lang w:val="fr-FR"/>
        </w:rPr>
        <w:t>150.</w:t>
      </w:r>
      <w:r w:rsidRPr="00466CE7">
        <w:rPr>
          <w:lang w:val="fr-FR"/>
        </w:rPr>
        <w:tab/>
      </w:r>
      <w:r>
        <w:rPr>
          <w:lang w:val="fr-FR"/>
        </w:rPr>
        <w:t>D’une manière générale</w:t>
      </w:r>
      <w:r w:rsidRPr="00466CE7">
        <w:rPr>
          <w:lang w:val="fr-FR"/>
        </w:rPr>
        <w:t xml:space="preserve">, les garçons sont </w:t>
      </w:r>
      <w:r>
        <w:rPr>
          <w:lang w:val="fr-FR"/>
        </w:rPr>
        <w:t>relativement</w:t>
      </w:r>
      <w:r w:rsidRPr="00466CE7">
        <w:rPr>
          <w:lang w:val="fr-FR"/>
        </w:rPr>
        <w:t xml:space="preserve"> plus </w:t>
      </w:r>
      <w:r>
        <w:rPr>
          <w:lang w:val="fr-FR"/>
        </w:rPr>
        <w:t xml:space="preserve">nombreux à travailler </w:t>
      </w:r>
      <w:r w:rsidRPr="00466CE7">
        <w:rPr>
          <w:lang w:val="fr-FR"/>
        </w:rPr>
        <w:t>que les filles (33,6</w:t>
      </w:r>
      <w:r w:rsidR="00CB4ECD">
        <w:rPr>
          <w:lang w:val="fr-FR"/>
        </w:rPr>
        <w:t> %</w:t>
      </w:r>
      <w:r w:rsidRPr="00466CE7">
        <w:rPr>
          <w:lang w:val="fr-FR"/>
        </w:rPr>
        <w:t xml:space="preserve"> contre 19</w:t>
      </w:r>
      <w:r w:rsidR="00CB4ECD">
        <w:rPr>
          <w:lang w:val="fr-FR"/>
        </w:rPr>
        <w:t> %</w:t>
      </w:r>
      <w:r w:rsidRPr="00466CE7">
        <w:rPr>
          <w:lang w:val="fr-FR"/>
        </w:rPr>
        <w:t xml:space="preserve">). La proportion </w:t>
      </w:r>
      <w:r>
        <w:rPr>
          <w:lang w:val="fr-FR"/>
        </w:rPr>
        <w:t xml:space="preserve">des </w:t>
      </w:r>
      <w:r w:rsidRPr="00466CE7">
        <w:rPr>
          <w:lang w:val="fr-FR"/>
        </w:rPr>
        <w:t xml:space="preserve">enfants </w:t>
      </w:r>
      <w:r>
        <w:rPr>
          <w:lang w:val="fr-FR"/>
        </w:rPr>
        <w:t xml:space="preserve">qui travaillent </w:t>
      </w:r>
      <w:r w:rsidRPr="00466CE7">
        <w:rPr>
          <w:lang w:val="fr-FR"/>
        </w:rPr>
        <w:t>est 2,8</w:t>
      </w:r>
      <w:r w:rsidR="00BF2869">
        <w:rPr>
          <w:lang w:val="fr-FR"/>
        </w:rPr>
        <w:t> </w:t>
      </w:r>
      <w:r w:rsidRPr="00466CE7">
        <w:rPr>
          <w:lang w:val="fr-FR"/>
        </w:rPr>
        <w:t>fois plus élevée dans les zones rurales que dans les zones urbaines (33,6</w:t>
      </w:r>
      <w:r w:rsidR="00CB4ECD">
        <w:rPr>
          <w:lang w:val="fr-FR"/>
        </w:rPr>
        <w:t> %</w:t>
      </w:r>
      <w:r>
        <w:rPr>
          <w:lang w:val="fr-FR"/>
        </w:rPr>
        <w:t xml:space="preserve">, contre </w:t>
      </w:r>
      <w:r w:rsidRPr="00466CE7">
        <w:rPr>
          <w:lang w:val="fr-FR"/>
        </w:rPr>
        <w:t>11,9</w:t>
      </w:r>
      <w:r w:rsidR="00CB4ECD">
        <w:rPr>
          <w:lang w:val="fr-FR"/>
        </w:rPr>
        <w:t> %</w:t>
      </w:r>
      <w:r w:rsidRPr="00466CE7">
        <w:rPr>
          <w:lang w:val="fr-FR"/>
        </w:rPr>
        <w:t xml:space="preserve">). </w:t>
      </w:r>
    </w:p>
    <w:p w14:paraId="15743A16" w14:textId="59E57F0F" w:rsidR="009C6834" w:rsidRPr="00466CE7" w:rsidRDefault="009C6834" w:rsidP="009C6834">
      <w:pPr>
        <w:pStyle w:val="SingleTxtG"/>
        <w:rPr>
          <w:lang w:val="fr-FR"/>
        </w:rPr>
      </w:pPr>
      <w:r w:rsidRPr="00466CE7">
        <w:rPr>
          <w:lang w:val="fr-FR"/>
        </w:rPr>
        <w:t>151.</w:t>
      </w:r>
      <w:r w:rsidRPr="00466CE7">
        <w:rPr>
          <w:lang w:val="fr-FR"/>
        </w:rPr>
        <w:tab/>
        <w:t xml:space="preserve">Les taux les plus élevés de travail des enfants se trouvent dans les </w:t>
      </w:r>
      <w:r>
        <w:rPr>
          <w:lang w:val="fr-FR"/>
        </w:rPr>
        <w:t xml:space="preserve">régions </w:t>
      </w:r>
      <w:r w:rsidRPr="00466CE7">
        <w:rPr>
          <w:lang w:val="fr-FR"/>
        </w:rPr>
        <w:t>de Naryn (40,5</w:t>
      </w:r>
      <w:r w:rsidR="00CB4ECD">
        <w:rPr>
          <w:lang w:val="fr-FR"/>
        </w:rPr>
        <w:t> %</w:t>
      </w:r>
      <w:r w:rsidRPr="00466CE7">
        <w:rPr>
          <w:lang w:val="fr-FR"/>
        </w:rPr>
        <w:t>) et de Talas (36,1</w:t>
      </w:r>
      <w:r w:rsidR="00CB4ECD">
        <w:rPr>
          <w:lang w:val="fr-FR"/>
        </w:rPr>
        <w:t> %</w:t>
      </w:r>
      <w:r w:rsidRPr="00466CE7">
        <w:rPr>
          <w:lang w:val="fr-FR"/>
        </w:rPr>
        <w:t>)</w:t>
      </w:r>
      <w:r>
        <w:rPr>
          <w:lang w:val="fr-FR"/>
        </w:rPr>
        <w:t>,</w:t>
      </w:r>
      <w:r w:rsidRPr="00466CE7">
        <w:rPr>
          <w:lang w:val="fr-FR"/>
        </w:rPr>
        <w:t xml:space="preserve"> et les plus </w:t>
      </w:r>
      <w:r>
        <w:rPr>
          <w:lang w:val="fr-FR"/>
        </w:rPr>
        <w:t xml:space="preserve">faibles </w:t>
      </w:r>
      <w:r w:rsidRPr="00466CE7">
        <w:rPr>
          <w:lang w:val="fr-FR"/>
        </w:rPr>
        <w:t>à O</w:t>
      </w:r>
      <w:r>
        <w:rPr>
          <w:lang w:val="fr-FR"/>
        </w:rPr>
        <w:t>c</w:t>
      </w:r>
      <w:r w:rsidRPr="00466CE7">
        <w:rPr>
          <w:lang w:val="fr-FR"/>
        </w:rPr>
        <w:t>h (6,1</w:t>
      </w:r>
      <w:r w:rsidR="00CB4ECD">
        <w:rPr>
          <w:lang w:val="fr-FR"/>
        </w:rPr>
        <w:t> %</w:t>
      </w:r>
      <w:r w:rsidRPr="00466CE7">
        <w:rPr>
          <w:lang w:val="fr-FR"/>
        </w:rPr>
        <w:t>). Le pourcentage d</w:t>
      </w:r>
      <w:r>
        <w:rPr>
          <w:lang w:val="fr-FR"/>
        </w:rPr>
        <w:t xml:space="preserve">es </w:t>
      </w:r>
      <w:r w:rsidRPr="00466CE7">
        <w:rPr>
          <w:lang w:val="fr-FR"/>
        </w:rPr>
        <w:t xml:space="preserve">enfants </w:t>
      </w:r>
      <w:r>
        <w:rPr>
          <w:lang w:val="fr-FR"/>
        </w:rPr>
        <w:t>qui travaille</w:t>
      </w:r>
      <w:r w:rsidRPr="00466CE7">
        <w:rPr>
          <w:lang w:val="fr-FR"/>
        </w:rPr>
        <w:t>nt dans des conditions dangereuses augmente avec l</w:t>
      </w:r>
      <w:r>
        <w:rPr>
          <w:lang w:val="fr-FR"/>
        </w:rPr>
        <w:t>’</w:t>
      </w:r>
      <w:r w:rsidRPr="00466CE7">
        <w:rPr>
          <w:lang w:val="fr-FR"/>
        </w:rPr>
        <w:t>âge de l</w:t>
      </w:r>
      <w:r>
        <w:rPr>
          <w:lang w:val="fr-FR"/>
        </w:rPr>
        <w:t>’</w:t>
      </w:r>
      <w:r w:rsidRPr="00466CE7">
        <w:rPr>
          <w:lang w:val="fr-FR"/>
        </w:rPr>
        <w:t>enfant. L</w:t>
      </w:r>
      <w:r>
        <w:rPr>
          <w:lang w:val="fr-FR"/>
        </w:rPr>
        <w:t>a probabilité que les</w:t>
      </w:r>
      <w:r w:rsidRPr="00466CE7">
        <w:rPr>
          <w:lang w:val="fr-FR"/>
        </w:rPr>
        <w:t xml:space="preserve"> enfants scolarisés </w:t>
      </w:r>
      <w:r>
        <w:rPr>
          <w:lang w:val="fr-FR"/>
        </w:rPr>
        <w:t>travaillent est importante</w:t>
      </w:r>
      <w:r w:rsidRPr="00466CE7">
        <w:rPr>
          <w:lang w:val="fr-FR"/>
        </w:rPr>
        <w:t>.</w:t>
      </w:r>
    </w:p>
    <w:p w14:paraId="26E5143E" w14:textId="77777777" w:rsidR="009C6834" w:rsidRPr="00466CE7" w:rsidRDefault="009C6834" w:rsidP="009C6834">
      <w:pPr>
        <w:pStyle w:val="SingleTxtG"/>
        <w:rPr>
          <w:lang w:val="fr-FR"/>
        </w:rPr>
      </w:pPr>
      <w:r w:rsidRPr="00466CE7">
        <w:rPr>
          <w:lang w:val="fr-FR"/>
        </w:rPr>
        <w:t>152.</w:t>
      </w:r>
      <w:r w:rsidRPr="00466CE7">
        <w:rPr>
          <w:lang w:val="fr-FR"/>
        </w:rPr>
        <w:tab/>
        <w:t xml:space="preserve">Le </w:t>
      </w:r>
      <w:r>
        <w:rPr>
          <w:lang w:val="fr-FR"/>
        </w:rPr>
        <w:t>Comité national de statistique</w:t>
      </w:r>
      <w:r w:rsidRPr="00466CE7">
        <w:rPr>
          <w:lang w:val="fr-FR"/>
        </w:rPr>
        <w:t xml:space="preserve"> réalise chaque année une enquête intégrée par sondage sur l</w:t>
      </w:r>
      <w:r>
        <w:rPr>
          <w:lang w:val="fr-FR"/>
        </w:rPr>
        <w:t>e budget des ménages et la main-</w:t>
      </w:r>
      <w:r w:rsidRPr="00466CE7">
        <w:rPr>
          <w:lang w:val="fr-FR"/>
        </w:rPr>
        <w:t>d</w:t>
      </w:r>
      <w:r>
        <w:rPr>
          <w:lang w:val="fr-FR"/>
        </w:rPr>
        <w:t>’</w:t>
      </w:r>
      <w:r w:rsidRPr="00466CE7">
        <w:rPr>
          <w:lang w:val="fr-FR"/>
        </w:rPr>
        <w:t xml:space="preserve">œuvre. </w:t>
      </w:r>
    </w:p>
    <w:p w14:paraId="3D46557B" w14:textId="58CCC07C" w:rsidR="009C6834" w:rsidRPr="00466CE7" w:rsidRDefault="009C6834" w:rsidP="009C6834">
      <w:pPr>
        <w:pStyle w:val="SingleTxtG"/>
        <w:rPr>
          <w:lang w:val="fr-FR"/>
        </w:rPr>
      </w:pPr>
      <w:r w:rsidRPr="00466CE7">
        <w:rPr>
          <w:lang w:val="fr-FR"/>
        </w:rPr>
        <w:t>153.</w:t>
      </w:r>
      <w:r w:rsidRPr="00466CE7">
        <w:rPr>
          <w:lang w:val="fr-FR"/>
        </w:rPr>
        <w:tab/>
      </w:r>
      <w:r>
        <w:rPr>
          <w:lang w:val="fr-FR"/>
        </w:rPr>
        <w:t>E</w:t>
      </w:r>
      <w:r w:rsidRPr="00466CE7">
        <w:rPr>
          <w:lang w:val="fr-FR"/>
        </w:rPr>
        <w:t xml:space="preserve">n 2019, </w:t>
      </w:r>
      <w:r>
        <w:rPr>
          <w:lang w:val="fr-FR"/>
        </w:rPr>
        <w:t>32</w:t>
      </w:r>
      <w:r w:rsidR="00BF2869">
        <w:rPr>
          <w:lang w:val="fr-FR"/>
        </w:rPr>
        <w:t> </w:t>
      </w:r>
      <w:r w:rsidRPr="00466CE7">
        <w:rPr>
          <w:lang w:val="fr-FR"/>
        </w:rPr>
        <w:t>800</w:t>
      </w:r>
      <w:r w:rsidR="00BF2869">
        <w:rPr>
          <w:lang w:val="fr-FR"/>
        </w:rPr>
        <w:t> </w:t>
      </w:r>
      <w:r>
        <w:rPr>
          <w:lang w:val="fr-FR"/>
        </w:rPr>
        <w:t>e</w:t>
      </w:r>
      <w:r w:rsidRPr="00466CE7">
        <w:rPr>
          <w:lang w:val="fr-FR"/>
        </w:rPr>
        <w:t>nfants âgés de 15 à 17</w:t>
      </w:r>
      <w:r w:rsidR="00BF2869">
        <w:rPr>
          <w:lang w:val="fr-FR"/>
        </w:rPr>
        <w:t> </w:t>
      </w:r>
      <w:r w:rsidRPr="00466CE7">
        <w:rPr>
          <w:lang w:val="fr-FR"/>
        </w:rPr>
        <w:t>a</w:t>
      </w:r>
      <w:r>
        <w:rPr>
          <w:lang w:val="fr-FR"/>
        </w:rPr>
        <w:t>ns avaient un emploi</w:t>
      </w:r>
      <w:r w:rsidRPr="00466CE7">
        <w:rPr>
          <w:lang w:val="fr-FR"/>
        </w:rPr>
        <w:t>.</w:t>
      </w:r>
    </w:p>
    <w:tbl>
      <w:tblPr>
        <w:tblW w:w="7370" w:type="dxa"/>
        <w:tblInd w:w="1134" w:type="dxa"/>
        <w:tblLayout w:type="fixed"/>
        <w:tblCellMar>
          <w:left w:w="0" w:type="dxa"/>
          <w:right w:w="0" w:type="dxa"/>
        </w:tblCellMar>
        <w:tblLook w:val="0400" w:firstRow="0" w:lastRow="0" w:firstColumn="0" w:lastColumn="0" w:noHBand="0" w:noVBand="1"/>
      </w:tblPr>
      <w:tblGrid>
        <w:gridCol w:w="5786"/>
        <w:gridCol w:w="1584"/>
      </w:tblGrid>
      <w:tr w:rsidR="009C6834" w:rsidRPr="00BF2869" w14:paraId="6698ECA2" w14:textId="77777777" w:rsidTr="00BF2869">
        <w:trPr>
          <w:tblHeader/>
        </w:trPr>
        <w:tc>
          <w:tcPr>
            <w:tcW w:w="5786" w:type="dxa"/>
            <w:tcBorders>
              <w:top w:val="single" w:sz="4" w:space="0" w:color="auto"/>
              <w:bottom w:val="single" w:sz="12" w:space="0" w:color="auto"/>
            </w:tcBorders>
            <w:shd w:val="clear" w:color="auto" w:fill="auto"/>
            <w:tcMar>
              <w:left w:w="28" w:type="dxa"/>
              <w:right w:w="28" w:type="dxa"/>
            </w:tcMar>
            <w:vAlign w:val="bottom"/>
          </w:tcPr>
          <w:p w14:paraId="0E3BEA73" w14:textId="77777777" w:rsidR="009C6834" w:rsidRPr="00BF2869" w:rsidRDefault="009C6834" w:rsidP="00E1792A">
            <w:pPr>
              <w:keepNext/>
              <w:keepLines/>
              <w:suppressAutoHyphens w:val="0"/>
              <w:spacing w:before="80" w:after="80" w:line="200" w:lineRule="exact"/>
              <w:rPr>
                <w:i/>
                <w:sz w:val="16"/>
                <w:lang w:val="fr-FR"/>
              </w:rPr>
            </w:pPr>
            <w:r w:rsidRPr="00BF2869">
              <w:rPr>
                <w:i/>
                <w:sz w:val="16"/>
                <w:lang w:val="fr-FR"/>
              </w:rPr>
              <w:lastRenderedPageBreak/>
              <w:t>Personnes âgées de 15 à 17 ans ayant un emploi</w:t>
            </w:r>
          </w:p>
        </w:tc>
        <w:tc>
          <w:tcPr>
            <w:tcW w:w="1584" w:type="dxa"/>
            <w:tcBorders>
              <w:top w:val="single" w:sz="4" w:space="0" w:color="auto"/>
              <w:bottom w:val="single" w:sz="12" w:space="0" w:color="auto"/>
            </w:tcBorders>
            <w:shd w:val="clear" w:color="auto" w:fill="auto"/>
            <w:tcMar>
              <w:left w:w="28" w:type="dxa"/>
              <w:right w:w="28" w:type="dxa"/>
            </w:tcMar>
            <w:vAlign w:val="bottom"/>
          </w:tcPr>
          <w:p w14:paraId="2B9DFA52" w14:textId="77777777" w:rsidR="009C6834" w:rsidRPr="00BF2869" w:rsidRDefault="009C6834" w:rsidP="00E1792A">
            <w:pPr>
              <w:keepNext/>
              <w:keepLines/>
              <w:suppressAutoHyphens w:val="0"/>
              <w:spacing w:before="80" w:after="80" w:line="200" w:lineRule="exact"/>
              <w:jc w:val="right"/>
              <w:rPr>
                <w:b/>
                <w:bCs/>
                <w:i/>
                <w:sz w:val="16"/>
                <w:lang w:val="fr-FR"/>
              </w:rPr>
            </w:pPr>
            <w:r w:rsidRPr="00BF2869">
              <w:rPr>
                <w:b/>
                <w:bCs/>
                <w:i/>
                <w:sz w:val="16"/>
                <w:lang w:val="fr-FR"/>
              </w:rPr>
              <w:t xml:space="preserve">2019 </w:t>
            </w:r>
          </w:p>
        </w:tc>
      </w:tr>
      <w:tr w:rsidR="009C6834" w:rsidRPr="00BF2869" w14:paraId="4AFD376A" w14:textId="77777777" w:rsidTr="00BF2869">
        <w:tc>
          <w:tcPr>
            <w:tcW w:w="5786" w:type="dxa"/>
            <w:tcBorders>
              <w:top w:val="single" w:sz="12" w:space="0" w:color="auto"/>
            </w:tcBorders>
            <w:shd w:val="clear" w:color="auto" w:fill="auto"/>
            <w:tcMar>
              <w:left w:w="28" w:type="dxa"/>
              <w:right w:w="28" w:type="dxa"/>
            </w:tcMar>
          </w:tcPr>
          <w:p w14:paraId="13BB02AF" w14:textId="77777777" w:rsidR="009C6834" w:rsidRPr="00BF2869" w:rsidRDefault="009C6834" w:rsidP="00E1792A">
            <w:pPr>
              <w:keepNext/>
              <w:keepLines/>
              <w:suppressAutoHyphens w:val="0"/>
              <w:spacing w:before="40" w:after="40" w:line="220" w:lineRule="exact"/>
              <w:rPr>
                <w:sz w:val="18"/>
                <w:lang w:val="fr-FR"/>
              </w:rPr>
            </w:pPr>
            <w:r w:rsidRPr="00BF2869">
              <w:rPr>
                <w:sz w:val="18"/>
                <w:lang w:val="fr-FR"/>
              </w:rPr>
              <w:t xml:space="preserve">Nombre de personnes employées, en milliers </w:t>
            </w:r>
          </w:p>
        </w:tc>
        <w:tc>
          <w:tcPr>
            <w:tcW w:w="1584" w:type="dxa"/>
            <w:tcBorders>
              <w:top w:val="single" w:sz="12" w:space="0" w:color="auto"/>
            </w:tcBorders>
            <w:shd w:val="clear" w:color="auto" w:fill="auto"/>
            <w:tcMar>
              <w:left w:w="28" w:type="dxa"/>
              <w:right w:w="28" w:type="dxa"/>
            </w:tcMar>
            <w:vAlign w:val="bottom"/>
          </w:tcPr>
          <w:p w14:paraId="0862A268"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 xml:space="preserve">32,8 </w:t>
            </w:r>
          </w:p>
        </w:tc>
      </w:tr>
      <w:tr w:rsidR="009C6834" w:rsidRPr="00BF2869" w14:paraId="2F40C296" w14:textId="77777777" w:rsidTr="00BF2869">
        <w:tc>
          <w:tcPr>
            <w:tcW w:w="5786" w:type="dxa"/>
            <w:shd w:val="clear" w:color="auto" w:fill="auto"/>
            <w:tcMar>
              <w:left w:w="28" w:type="dxa"/>
              <w:right w:w="28" w:type="dxa"/>
            </w:tcMar>
          </w:tcPr>
          <w:p w14:paraId="6F43A9DB" w14:textId="48565769" w:rsidR="009C6834" w:rsidRPr="00BF2869" w:rsidRDefault="009C6834" w:rsidP="00E1792A">
            <w:pPr>
              <w:keepNext/>
              <w:keepLines/>
              <w:suppressAutoHyphens w:val="0"/>
              <w:spacing w:before="40" w:after="40" w:line="220" w:lineRule="exact"/>
              <w:rPr>
                <w:sz w:val="18"/>
                <w:lang w:val="fr-FR"/>
              </w:rPr>
            </w:pPr>
            <w:r w:rsidRPr="00BF2869">
              <w:rPr>
                <w:sz w:val="18"/>
                <w:lang w:val="fr-FR"/>
              </w:rPr>
              <w:t>par sexe :</w:t>
            </w:r>
          </w:p>
        </w:tc>
        <w:tc>
          <w:tcPr>
            <w:tcW w:w="1584" w:type="dxa"/>
            <w:shd w:val="clear" w:color="auto" w:fill="auto"/>
            <w:tcMar>
              <w:left w:w="28" w:type="dxa"/>
              <w:right w:w="28" w:type="dxa"/>
            </w:tcMar>
            <w:vAlign w:val="bottom"/>
          </w:tcPr>
          <w:p w14:paraId="11D83A49" w14:textId="77777777" w:rsidR="009C6834" w:rsidRPr="00BF2869" w:rsidRDefault="009C6834" w:rsidP="00E1792A">
            <w:pPr>
              <w:keepNext/>
              <w:keepLines/>
              <w:suppressAutoHyphens w:val="0"/>
              <w:spacing w:before="40" w:after="40" w:line="220" w:lineRule="exact"/>
              <w:jc w:val="right"/>
              <w:rPr>
                <w:sz w:val="18"/>
                <w:lang w:val="fr-FR"/>
              </w:rPr>
            </w:pPr>
          </w:p>
        </w:tc>
      </w:tr>
      <w:tr w:rsidR="009C6834" w:rsidRPr="00BF2869" w14:paraId="6FE1A3A5" w14:textId="77777777" w:rsidTr="00BF2869">
        <w:tc>
          <w:tcPr>
            <w:tcW w:w="5786" w:type="dxa"/>
            <w:shd w:val="clear" w:color="auto" w:fill="auto"/>
            <w:tcMar>
              <w:left w:w="28" w:type="dxa"/>
              <w:right w:w="28" w:type="dxa"/>
            </w:tcMar>
          </w:tcPr>
          <w:p w14:paraId="6275B394" w14:textId="77777777" w:rsidR="009C6834" w:rsidRPr="00BF2869" w:rsidRDefault="009C6834" w:rsidP="00E1792A">
            <w:pPr>
              <w:keepNext/>
              <w:keepLines/>
              <w:suppressAutoHyphens w:val="0"/>
              <w:spacing w:before="40" w:after="40" w:line="220" w:lineRule="exact"/>
              <w:rPr>
                <w:sz w:val="18"/>
                <w:lang w:val="fr-FR"/>
              </w:rPr>
            </w:pPr>
            <w:r w:rsidRPr="00BF2869">
              <w:rPr>
                <w:sz w:val="18"/>
                <w:lang w:val="fr-FR"/>
              </w:rPr>
              <w:tab/>
              <w:t>garçons</w:t>
            </w:r>
          </w:p>
        </w:tc>
        <w:tc>
          <w:tcPr>
            <w:tcW w:w="1584" w:type="dxa"/>
            <w:shd w:val="clear" w:color="auto" w:fill="auto"/>
            <w:tcMar>
              <w:left w:w="28" w:type="dxa"/>
              <w:right w:w="28" w:type="dxa"/>
            </w:tcMar>
            <w:vAlign w:val="bottom"/>
          </w:tcPr>
          <w:p w14:paraId="587732B8"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20,8</w:t>
            </w:r>
          </w:p>
        </w:tc>
      </w:tr>
      <w:tr w:rsidR="009C6834" w:rsidRPr="00BF2869" w14:paraId="641FF7F7" w14:textId="77777777" w:rsidTr="00BF2869">
        <w:tc>
          <w:tcPr>
            <w:tcW w:w="5786" w:type="dxa"/>
            <w:shd w:val="clear" w:color="auto" w:fill="auto"/>
            <w:tcMar>
              <w:left w:w="28" w:type="dxa"/>
              <w:right w:w="28" w:type="dxa"/>
            </w:tcMar>
          </w:tcPr>
          <w:p w14:paraId="3E4FD2E0" w14:textId="77777777" w:rsidR="009C6834" w:rsidRPr="00BF2869" w:rsidRDefault="009C6834" w:rsidP="00E1792A">
            <w:pPr>
              <w:keepNext/>
              <w:keepLines/>
              <w:suppressAutoHyphens w:val="0"/>
              <w:spacing w:before="40" w:after="40" w:line="220" w:lineRule="exact"/>
              <w:rPr>
                <w:sz w:val="18"/>
                <w:lang w:val="fr-FR"/>
              </w:rPr>
            </w:pPr>
            <w:r w:rsidRPr="00BF2869">
              <w:rPr>
                <w:sz w:val="18"/>
                <w:lang w:val="fr-FR"/>
              </w:rPr>
              <w:tab/>
              <w:t>filles</w:t>
            </w:r>
          </w:p>
        </w:tc>
        <w:tc>
          <w:tcPr>
            <w:tcW w:w="1584" w:type="dxa"/>
            <w:shd w:val="clear" w:color="auto" w:fill="auto"/>
            <w:tcMar>
              <w:left w:w="28" w:type="dxa"/>
              <w:right w:w="28" w:type="dxa"/>
            </w:tcMar>
            <w:vAlign w:val="bottom"/>
          </w:tcPr>
          <w:p w14:paraId="17599E70"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12,0</w:t>
            </w:r>
          </w:p>
        </w:tc>
      </w:tr>
      <w:tr w:rsidR="009C6834" w:rsidRPr="00BF2869" w14:paraId="53DAA16D" w14:textId="77777777" w:rsidTr="00BF2869">
        <w:tc>
          <w:tcPr>
            <w:tcW w:w="5786" w:type="dxa"/>
            <w:shd w:val="clear" w:color="auto" w:fill="auto"/>
            <w:tcMar>
              <w:left w:w="28" w:type="dxa"/>
              <w:right w:w="28" w:type="dxa"/>
            </w:tcMar>
          </w:tcPr>
          <w:p w14:paraId="3978B14C" w14:textId="25422A86" w:rsidR="009C6834" w:rsidRPr="00BF2869" w:rsidRDefault="009C6834" w:rsidP="00E1792A">
            <w:pPr>
              <w:keepNext/>
              <w:keepLines/>
              <w:suppressAutoHyphens w:val="0"/>
              <w:spacing w:before="40" w:after="40" w:line="220" w:lineRule="exact"/>
              <w:rPr>
                <w:sz w:val="18"/>
                <w:lang w:val="fr-FR"/>
              </w:rPr>
            </w:pPr>
            <w:r w:rsidRPr="00BF2869">
              <w:rPr>
                <w:sz w:val="18"/>
                <w:lang w:val="fr-FR"/>
              </w:rPr>
              <w:t>par lieu de résidence :</w:t>
            </w:r>
          </w:p>
        </w:tc>
        <w:tc>
          <w:tcPr>
            <w:tcW w:w="1584" w:type="dxa"/>
            <w:shd w:val="clear" w:color="auto" w:fill="auto"/>
            <w:tcMar>
              <w:left w:w="28" w:type="dxa"/>
              <w:right w:w="28" w:type="dxa"/>
            </w:tcMar>
            <w:vAlign w:val="bottom"/>
          </w:tcPr>
          <w:p w14:paraId="66368008" w14:textId="77777777" w:rsidR="009C6834" w:rsidRPr="00BF2869" w:rsidRDefault="009C6834" w:rsidP="00E1792A">
            <w:pPr>
              <w:keepNext/>
              <w:keepLines/>
              <w:suppressAutoHyphens w:val="0"/>
              <w:spacing w:before="40" w:after="40" w:line="220" w:lineRule="exact"/>
              <w:jc w:val="right"/>
              <w:rPr>
                <w:sz w:val="18"/>
                <w:lang w:val="fr-FR"/>
              </w:rPr>
            </w:pPr>
          </w:p>
        </w:tc>
      </w:tr>
      <w:tr w:rsidR="009C6834" w:rsidRPr="00BF2869" w14:paraId="3B1AAB4B" w14:textId="77777777" w:rsidTr="00BF2869">
        <w:tc>
          <w:tcPr>
            <w:tcW w:w="5786" w:type="dxa"/>
            <w:shd w:val="clear" w:color="auto" w:fill="auto"/>
            <w:tcMar>
              <w:left w:w="28" w:type="dxa"/>
              <w:right w:w="28" w:type="dxa"/>
            </w:tcMar>
          </w:tcPr>
          <w:p w14:paraId="056FA95E" w14:textId="77777777" w:rsidR="009C6834" w:rsidRPr="00BF2869" w:rsidRDefault="009C6834" w:rsidP="00E1792A">
            <w:pPr>
              <w:keepNext/>
              <w:keepLines/>
              <w:suppressAutoHyphens w:val="0"/>
              <w:spacing w:before="40" w:after="40" w:line="220" w:lineRule="exact"/>
              <w:rPr>
                <w:sz w:val="18"/>
                <w:lang w:val="fr-FR"/>
              </w:rPr>
            </w:pPr>
            <w:r w:rsidRPr="00BF2869">
              <w:rPr>
                <w:sz w:val="18"/>
                <w:lang w:val="fr-FR"/>
              </w:rPr>
              <w:tab/>
              <w:t>ville</w:t>
            </w:r>
          </w:p>
        </w:tc>
        <w:tc>
          <w:tcPr>
            <w:tcW w:w="1584" w:type="dxa"/>
            <w:shd w:val="clear" w:color="auto" w:fill="auto"/>
            <w:tcMar>
              <w:left w:w="28" w:type="dxa"/>
              <w:right w:w="28" w:type="dxa"/>
            </w:tcMar>
            <w:vAlign w:val="bottom"/>
          </w:tcPr>
          <w:p w14:paraId="27C13BAA"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3,5</w:t>
            </w:r>
          </w:p>
        </w:tc>
      </w:tr>
      <w:tr w:rsidR="009C6834" w:rsidRPr="00BF2869" w14:paraId="74202186" w14:textId="77777777" w:rsidTr="00BF2869">
        <w:tc>
          <w:tcPr>
            <w:tcW w:w="5786" w:type="dxa"/>
            <w:shd w:val="clear" w:color="auto" w:fill="auto"/>
            <w:tcMar>
              <w:left w:w="28" w:type="dxa"/>
              <w:right w:w="28" w:type="dxa"/>
            </w:tcMar>
          </w:tcPr>
          <w:p w14:paraId="092A417A" w14:textId="77777777" w:rsidR="009C6834" w:rsidRPr="00BF2869" w:rsidRDefault="009C6834" w:rsidP="00E1792A">
            <w:pPr>
              <w:keepNext/>
              <w:keepLines/>
              <w:suppressAutoHyphens w:val="0"/>
              <w:spacing w:before="40" w:after="40" w:line="220" w:lineRule="exact"/>
              <w:rPr>
                <w:sz w:val="18"/>
                <w:lang w:val="fr-FR"/>
              </w:rPr>
            </w:pPr>
            <w:r w:rsidRPr="00BF2869">
              <w:rPr>
                <w:sz w:val="18"/>
                <w:lang w:val="fr-FR"/>
              </w:rPr>
              <w:tab/>
              <w:t>campagne</w:t>
            </w:r>
          </w:p>
        </w:tc>
        <w:tc>
          <w:tcPr>
            <w:tcW w:w="1584" w:type="dxa"/>
            <w:shd w:val="clear" w:color="auto" w:fill="auto"/>
            <w:tcMar>
              <w:left w:w="28" w:type="dxa"/>
              <w:right w:w="28" w:type="dxa"/>
            </w:tcMar>
            <w:vAlign w:val="bottom"/>
          </w:tcPr>
          <w:p w14:paraId="351EA802"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29,3</w:t>
            </w:r>
          </w:p>
        </w:tc>
      </w:tr>
      <w:tr w:rsidR="009C6834" w:rsidRPr="00BF2869" w14:paraId="2ED3E927" w14:textId="77777777" w:rsidTr="00BF2869">
        <w:tc>
          <w:tcPr>
            <w:tcW w:w="5786" w:type="dxa"/>
            <w:shd w:val="clear" w:color="auto" w:fill="auto"/>
            <w:tcMar>
              <w:left w:w="28" w:type="dxa"/>
              <w:right w:w="28" w:type="dxa"/>
            </w:tcMar>
          </w:tcPr>
          <w:p w14:paraId="0FB318DB" w14:textId="3B6C56B4" w:rsidR="009C6834" w:rsidRPr="00BF2869" w:rsidRDefault="009C6834" w:rsidP="00E1792A">
            <w:pPr>
              <w:keepNext/>
              <w:keepLines/>
              <w:suppressAutoHyphens w:val="0"/>
              <w:spacing w:before="40" w:after="40" w:line="220" w:lineRule="exact"/>
              <w:rPr>
                <w:sz w:val="18"/>
                <w:lang w:val="fr-FR"/>
              </w:rPr>
            </w:pPr>
            <w:r w:rsidRPr="00BF2869">
              <w:rPr>
                <w:sz w:val="18"/>
                <w:lang w:val="fr-FR"/>
              </w:rPr>
              <w:t>En pourcentage de la population totale des 15</w:t>
            </w:r>
            <w:r w:rsidR="00470956">
              <w:rPr>
                <w:sz w:val="18"/>
                <w:lang w:val="fr-FR"/>
              </w:rPr>
              <w:noBreakHyphen/>
            </w:r>
            <w:r w:rsidRPr="00BF2869">
              <w:rPr>
                <w:sz w:val="18"/>
                <w:lang w:val="fr-FR"/>
              </w:rPr>
              <w:t>17 ans :</w:t>
            </w:r>
          </w:p>
        </w:tc>
        <w:tc>
          <w:tcPr>
            <w:tcW w:w="1584" w:type="dxa"/>
            <w:shd w:val="clear" w:color="auto" w:fill="auto"/>
            <w:tcMar>
              <w:left w:w="28" w:type="dxa"/>
              <w:right w:w="28" w:type="dxa"/>
            </w:tcMar>
            <w:vAlign w:val="bottom"/>
          </w:tcPr>
          <w:p w14:paraId="64CD30BF"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10,8</w:t>
            </w:r>
          </w:p>
        </w:tc>
      </w:tr>
      <w:tr w:rsidR="009C6834" w:rsidRPr="00BF2869" w14:paraId="3E07C988" w14:textId="77777777" w:rsidTr="00BF2869">
        <w:tc>
          <w:tcPr>
            <w:tcW w:w="5786" w:type="dxa"/>
            <w:shd w:val="clear" w:color="auto" w:fill="auto"/>
            <w:tcMar>
              <w:left w:w="28" w:type="dxa"/>
              <w:right w:w="28" w:type="dxa"/>
            </w:tcMar>
          </w:tcPr>
          <w:p w14:paraId="12A447E0" w14:textId="77777777" w:rsidR="009C6834" w:rsidRPr="00BF2869" w:rsidRDefault="009C6834" w:rsidP="00E1792A">
            <w:pPr>
              <w:keepNext/>
              <w:keepLines/>
              <w:suppressAutoHyphens w:val="0"/>
              <w:spacing w:before="40" w:after="40" w:line="220" w:lineRule="exact"/>
              <w:rPr>
                <w:sz w:val="18"/>
                <w:lang w:val="fr-FR"/>
              </w:rPr>
            </w:pPr>
            <w:r w:rsidRPr="00BF2869">
              <w:rPr>
                <w:sz w:val="18"/>
                <w:lang w:val="fr-FR"/>
              </w:rPr>
              <w:tab/>
              <w:t>garçons</w:t>
            </w:r>
          </w:p>
        </w:tc>
        <w:tc>
          <w:tcPr>
            <w:tcW w:w="1584" w:type="dxa"/>
            <w:shd w:val="clear" w:color="auto" w:fill="auto"/>
            <w:tcMar>
              <w:left w:w="28" w:type="dxa"/>
              <w:right w:w="28" w:type="dxa"/>
            </w:tcMar>
            <w:vAlign w:val="bottom"/>
          </w:tcPr>
          <w:p w14:paraId="43661386"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13,4</w:t>
            </w:r>
          </w:p>
        </w:tc>
      </w:tr>
      <w:tr w:rsidR="009C6834" w:rsidRPr="00BF2869" w14:paraId="54112EC1" w14:textId="77777777" w:rsidTr="00BF2869">
        <w:tc>
          <w:tcPr>
            <w:tcW w:w="5786" w:type="dxa"/>
            <w:tcBorders>
              <w:bottom w:val="single" w:sz="12" w:space="0" w:color="auto"/>
            </w:tcBorders>
            <w:shd w:val="clear" w:color="auto" w:fill="auto"/>
            <w:tcMar>
              <w:left w:w="28" w:type="dxa"/>
              <w:right w:w="28" w:type="dxa"/>
            </w:tcMar>
          </w:tcPr>
          <w:p w14:paraId="4BCB35AE" w14:textId="77777777" w:rsidR="009C6834" w:rsidRPr="00BF2869" w:rsidRDefault="009C6834" w:rsidP="00E1792A">
            <w:pPr>
              <w:keepNext/>
              <w:keepLines/>
              <w:suppressAutoHyphens w:val="0"/>
              <w:spacing w:before="40" w:after="40" w:line="220" w:lineRule="exact"/>
              <w:rPr>
                <w:sz w:val="18"/>
                <w:lang w:val="fr-FR"/>
              </w:rPr>
            </w:pPr>
            <w:r w:rsidRPr="00BF2869">
              <w:rPr>
                <w:sz w:val="18"/>
                <w:lang w:val="fr-FR"/>
              </w:rPr>
              <w:tab/>
              <w:t>filles</w:t>
            </w:r>
          </w:p>
        </w:tc>
        <w:tc>
          <w:tcPr>
            <w:tcW w:w="1584" w:type="dxa"/>
            <w:tcBorders>
              <w:bottom w:val="single" w:sz="12" w:space="0" w:color="auto"/>
            </w:tcBorders>
            <w:shd w:val="clear" w:color="auto" w:fill="auto"/>
            <w:tcMar>
              <w:left w:w="28" w:type="dxa"/>
              <w:right w:w="28" w:type="dxa"/>
            </w:tcMar>
            <w:vAlign w:val="bottom"/>
          </w:tcPr>
          <w:p w14:paraId="4DD734CB" w14:textId="77777777" w:rsidR="009C6834" w:rsidRPr="00BF2869" w:rsidRDefault="009C6834" w:rsidP="00E1792A">
            <w:pPr>
              <w:keepNext/>
              <w:keepLines/>
              <w:suppressAutoHyphens w:val="0"/>
              <w:spacing w:before="40" w:after="40" w:line="220" w:lineRule="exact"/>
              <w:jc w:val="right"/>
              <w:rPr>
                <w:sz w:val="18"/>
                <w:lang w:val="fr-FR"/>
              </w:rPr>
            </w:pPr>
            <w:r w:rsidRPr="00BF2869">
              <w:rPr>
                <w:sz w:val="18"/>
                <w:lang w:val="fr-FR"/>
              </w:rPr>
              <w:t>8,1</w:t>
            </w:r>
          </w:p>
        </w:tc>
      </w:tr>
    </w:tbl>
    <w:p w14:paraId="30E67C1B" w14:textId="1D0A4D0D" w:rsidR="009C6834" w:rsidRPr="00466CE7" w:rsidRDefault="009C6834" w:rsidP="00BF2869">
      <w:pPr>
        <w:pStyle w:val="SingleTxtG"/>
        <w:spacing w:before="240"/>
        <w:rPr>
          <w:lang w:val="fr-FR"/>
        </w:rPr>
      </w:pPr>
      <w:r w:rsidRPr="00466CE7">
        <w:rPr>
          <w:lang w:val="fr-FR"/>
        </w:rPr>
        <w:t>154.</w:t>
      </w:r>
      <w:r w:rsidRPr="00466CE7">
        <w:rPr>
          <w:lang w:val="fr-FR"/>
        </w:rPr>
        <w:tab/>
        <w:t xml:space="preserve">En 2019, </w:t>
      </w:r>
      <w:r>
        <w:rPr>
          <w:lang w:val="fr-FR"/>
        </w:rPr>
        <w:t xml:space="preserve">on a dénombré </w:t>
      </w:r>
      <w:r w:rsidRPr="00466CE7">
        <w:rPr>
          <w:lang w:val="fr-FR"/>
        </w:rPr>
        <w:t>20</w:t>
      </w:r>
      <w:r w:rsidR="00BF2869">
        <w:rPr>
          <w:lang w:val="fr-FR"/>
        </w:rPr>
        <w:t> </w:t>
      </w:r>
      <w:r w:rsidRPr="00466CE7">
        <w:rPr>
          <w:lang w:val="fr-FR"/>
        </w:rPr>
        <w:t xml:space="preserve">enfants </w:t>
      </w:r>
      <w:r>
        <w:rPr>
          <w:lang w:val="fr-FR"/>
        </w:rPr>
        <w:t xml:space="preserve">exerçant </w:t>
      </w:r>
      <w:r w:rsidRPr="00466CE7">
        <w:rPr>
          <w:lang w:val="fr-FR"/>
        </w:rPr>
        <w:t xml:space="preserve">à Bichkek </w:t>
      </w:r>
      <w:r>
        <w:rPr>
          <w:lang w:val="fr-FR"/>
        </w:rPr>
        <w:t xml:space="preserve">une des </w:t>
      </w:r>
      <w:r w:rsidRPr="00466CE7">
        <w:rPr>
          <w:lang w:val="fr-FR"/>
        </w:rPr>
        <w:t>pires formes de travail</w:t>
      </w:r>
      <w:r>
        <w:rPr>
          <w:lang w:val="fr-FR"/>
        </w:rPr>
        <w:t xml:space="preserve"> des enfants</w:t>
      </w:r>
      <w:r w:rsidRPr="00466CE7">
        <w:rPr>
          <w:lang w:val="fr-FR"/>
        </w:rPr>
        <w:t xml:space="preserve">. </w:t>
      </w:r>
      <w:r>
        <w:rPr>
          <w:lang w:val="fr-FR"/>
        </w:rPr>
        <w:t xml:space="preserve">Pour </w:t>
      </w:r>
      <w:r w:rsidRPr="00466CE7">
        <w:rPr>
          <w:lang w:val="fr-FR"/>
        </w:rPr>
        <w:t xml:space="preserve">chaque </w:t>
      </w:r>
      <w:r>
        <w:rPr>
          <w:lang w:val="fr-FR"/>
        </w:rPr>
        <w:t>cas détecté</w:t>
      </w:r>
      <w:r w:rsidRPr="00466CE7">
        <w:rPr>
          <w:lang w:val="fr-FR"/>
        </w:rPr>
        <w:t xml:space="preserve">, les informations </w:t>
      </w:r>
      <w:r>
        <w:rPr>
          <w:lang w:val="fr-FR"/>
        </w:rPr>
        <w:t xml:space="preserve">utiles </w:t>
      </w:r>
      <w:r w:rsidRPr="00466CE7">
        <w:rPr>
          <w:lang w:val="fr-FR"/>
        </w:rPr>
        <w:t xml:space="preserve">sont </w:t>
      </w:r>
      <w:r>
        <w:rPr>
          <w:lang w:val="fr-FR"/>
        </w:rPr>
        <w:t xml:space="preserve">transmises </w:t>
      </w:r>
      <w:r w:rsidRPr="00466CE7">
        <w:rPr>
          <w:lang w:val="fr-FR"/>
        </w:rPr>
        <w:t xml:space="preserve">aux organes territoriaux </w:t>
      </w:r>
      <w:r>
        <w:rPr>
          <w:lang w:val="fr-FR"/>
        </w:rPr>
        <w:t xml:space="preserve">compétents en matière de </w:t>
      </w:r>
      <w:r w:rsidRPr="00466CE7">
        <w:rPr>
          <w:lang w:val="fr-FR"/>
        </w:rPr>
        <w:t>protection des droits de l</w:t>
      </w:r>
      <w:r>
        <w:rPr>
          <w:lang w:val="fr-FR"/>
        </w:rPr>
        <w:t>’</w:t>
      </w:r>
      <w:r w:rsidRPr="00466CE7">
        <w:rPr>
          <w:lang w:val="fr-FR"/>
        </w:rPr>
        <w:t>enfant.</w:t>
      </w:r>
    </w:p>
    <w:p w14:paraId="1533D986" w14:textId="5A1D4913" w:rsidR="009C6834" w:rsidRPr="00466CE7" w:rsidRDefault="009C6834" w:rsidP="009C6834">
      <w:pPr>
        <w:pStyle w:val="SingleTxtG"/>
        <w:rPr>
          <w:lang w:val="fr-FR"/>
        </w:rPr>
      </w:pPr>
      <w:r w:rsidRPr="00466CE7">
        <w:rPr>
          <w:lang w:val="fr-FR"/>
        </w:rPr>
        <w:t>155.</w:t>
      </w:r>
      <w:r w:rsidRPr="00466CE7">
        <w:rPr>
          <w:lang w:val="fr-FR"/>
        </w:rPr>
        <w:tab/>
      </w:r>
      <w:r>
        <w:rPr>
          <w:lang w:val="fr-FR"/>
        </w:rPr>
        <w:t>Au total, 515</w:t>
      </w:r>
      <w:r w:rsidR="00BF2869">
        <w:rPr>
          <w:lang w:val="fr-FR"/>
        </w:rPr>
        <w:t> </w:t>
      </w:r>
      <w:r>
        <w:rPr>
          <w:lang w:val="fr-FR"/>
        </w:rPr>
        <w:t>commissions chargées de la question d</w:t>
      </w:r>
      <w:r w:rsidRPr="00466CE7">
        <w:rPr>
          <w:lang w:val="fr-FR"/>
        </w:rPr>
        <w:t xml:space="preserve">es enfants </w:t>
      </w:r>
      <w:r>
        <w:rPr>
          <w:lang w:val="fr-FR"/>
        </w:rPr>
        <w:t>laissés sans protection parentale</w:t>
      </w:r>
      <w:r w:rsidRPr="00466CE7">
        <w:rPr>
          <w:lang w:val="fr-FR"/>
        </w:rPr>
        <w:t xml:space="preserve"> et </w:t>
      </w:r>
      <w:r>
        <w:rPr>
          <w:lang w:val="fr-FR"/>
        </w:rPr>
        <w:t>d</w:t>
      </w:r>
      <w:r w:rsidRPr="00466CE7">
        <w:rPr>
          <w:lang w:val="fr-FR"/>
        </w:rPr>
        <w:t xml:space="preserve">es enfants </w:t>
      </w:r>
      <w:r>
        <w:rPr>
          <w:lang w:val="fr-FR"/>
        </w:rPr>
        <w:t xml:space="preserve">de </w:t>
      </w:r>
      <w:r w:rsidRPr="00466CE7">
        <w:rPr>
          <w:lang w:val="fr-FR"/>
        </w:rPr>
        <w:t>migrants externes et internes</w:t>
      </w:r>
      <w:r w:rsidRPr="00341A52">
        <w:rPr>
          <w:lang w:val="fr-FR"/>
        </w:rPr>
        <w:t xml:space="preserve"> </w:t>
      </w:r>
      <w:r>
        <w:rPr>
          <w:lang w:val="fr-FR"/>
        </w:rPr>
        <w:t>ont été établies</w:t>
      </w:r>
      <w:r w:rsidRPr="00466CE7">
        <w:rPr>
          <w:lang w:val="fr-FR"/>
        </w:rPr>
        <w:t xml:space="preserve">, dont 63 au niveau </w:t>
      </w:r>
      <w:r>
        <w:rPr>
          <w:lang w:val="fr-FR"/>
        </w:rPr>
        <w:t>des districts et des villes</w:t>
      </w:r>
      <w:r w:rsidRPr="00466CE7">
        <w:rPr>
          <w:lang w:val="fr-FR"/>
        </w:rPr>
        <w:t xml:space="preserve"> et 447 au niveau </w:t>
      </w:r>
      <w:r>
        <w:rPr>
          <w:lang w:val="fr-FR"/>
        </w:rPr>
        <w:t xml:space="preserve">des </w:t>
      </w:r>
      <w:proofErr w:type="spellStart"/>
      <w:r w:rsidRPr="006F6002">
        <w:rPr>
          <w:lang w:val="fr-FR"/>
        </w:rPr>
        <w:t>aïyl</w:t>
      </w:r>
      <w:proofErr w:type="spellEnd"/>
      <w:r w:rsidRPr="006F6002">
        <w:rPr>
          <w:lang w:val="fr-FR"/>
        </w:rPr>
        <w:t xml:space="preserve"> </w:t>
      </w:r>
      <w:proofErr w:type="spellStart"/>
      <w:r w:rsidRPr="006F6002">
        <w:rPr>
          <w:lang w:val="fr-FR"/>
        </w:rPr>
        <w:t>okmotou</w:t>
      </w:r>
      <w:proofErr w:type="spellEnd"/>
      <w:r w:rsidR="00BF2869">
        <w:rPr>
          <w:lang w:val="fr-FR"/>
        </w:rPr>
        <w:t> </w:t>
      </w:r>
      <w:r w:rsidRPr="00466CE7">
        <w:rPr>
          <w:lang w:val="fr-FR"/>
        </w:rPr>
        <w:t xml:space="preserve">; </w:t>
      </w:r>
      <w:r>
        <w:rPr>
          <w:lang w:val="fr-FR"/>
        </w:rPr>
        <w:t>ces commissions ont un effectif global de 3</w:t>
      </w:r>
      <w:r w:rsidR="00BF2869">
        <w:rPr>
          <w:lang w:val="fr-FR"/>
        </w:rPr>
        <w:t> </w:t>
      </w:r>
      <w:r>
        <w:rPr>
          <w:lang w:val="fr-FR"/>
        </w:rPr>
        <w:t>450</w:t>
      </w:r>
      <w:r w:rsidR="00BF2869">
        <w:rPr>
          <w:lang w:val="fr-FR"/>
        </w:rPr>
        <w:t> </w:t>
      </w:r>
      <w:r>
        <w:rPr>
          <w:lang w:val="fr-FR"/>
        </w:rPr>
        <w:t xml:space="preserve">personnes, dont 454 sont des </w:t>
      </w:r>
      <w:r w:rsidRPr="00466CE7">
        <w:rPr>
          <w:lang w:val="fr-FR"/>
        </w:rPr>
        <w:t xml:space="preserve">agents </w:t>
      </w:r>
      <w:r>
        <w:rPr>
          <w:lang w:val="fr-FR"/>
        </w:rPr>
        <w:t>de l’Inspection pour les affaires des mineurs du Ministère de l’intérieur</w:t>
      </w:r>
      <w:r w:rsidRPr="00466CE7">
        <w:rPr>
          <w:lang w:val="fr-FR"/>
        </w:rPr>
        <w:t xml:space="preserve">. </w:t>
      </w:r>
      <w:r>
        <w:rPr>
          <w:lang w:val="fr-FR"/>
        </w:rPr>
        <w:t xml:space="preserve">Elles </w:t>
      </w:r>
      <w:r w:rsidRPr="00466CE7">
        <w:rPr>
          <w:lang w:val="fr-FR"/>
        </w:rPr>
        <w:t>ont effectué 238</w:t>
      </w:r>
      <w:r w:rsidR="00BF2869">
        <w:rPr>
          <w:lang w:val="fr-FR"/>
        </w:rPr>
        <w:t> </w:t>
      </w:r>
      <w:r w:rsidRPr="00466CE7">
        <w:rPr>
          <w:lang w:val="fr-FR"/>
        </w:rPr>
        <w:t>339</w:t>
      </w:r>
      <w:r w:rsidR="00BF2869">
        <w:rPr>
          <w:lang w:val="fr-FR"/>
        </w:rPr>
        <w:t> </w:t>
      </w:r>
      <w:r w:rsidRPr="00466CE7">
        <w:rPr>
          <w:lang w:val="fr-FR"/>
        </w:rPr>
        <w:t xml:space="preserve">visites de porte à porte </w:t>
      </w:r>
      <w:r>
        <w:rPr>
          <w:lang w:val="fr-FR"/>
        </w:rPr>
        <w:t xml:space="preserve">pour </w:t>
      </w:r>
      <w:r w:rsidRPr="00466CE7">
        <w:rPr>
          <w:lang w:val="fr-FR"/>
        </w:rPr>
        <w:t xml:space="preserve">identifier les parents partis travailler </w:t>
      </w:r>
      <w:r>
        <w:rPr>
          <w:lang w:val="fr-FR"/>
        </w:rPr>
        <w:t xml:space="preserve">dans des pays </w:t>
      </w:r>
      <w:r w:rsidRPr="00466CE7">
        <w:rPr>
          <w:lang w:val="fr-FR"/>
        </w:rPr>
        <w:t>étranger</w:t>
      </w:r>
      <w:r>
        <w:rPr>
          <w:lang w:val="fr-FR"/>
        </w:rPr>
        <w:t>s proches ou plus lointains</w:t>
      </w:r>
      <w:r w:rsidRPr="00466CE7">
        <w:rPr>
          <w:lang w:val="fr-FR"/>
        </w:rPr>
        <w:t>.</w:t>
      </w:r>
    </w:p>
    <w:p w14:paraId="012CA8A0" w14:textId="4B42368D" w:rsidR="009C6834" w:rsidRPr="00466CE7" w:rsidRDefault="009C6834" w:rsidP="009C6834">
      <w:pPr>
        <w:pStyle w:val="SingleTxtG"/>
        <w:rPr>
          <w:lang w:val="fr-FR"/>
        </w:rPr>
      </w:pPr>
      <w:r w:rsidRPr="00466CE7">
        <w:rPr>
          <w:lang w:val="fr-FR"/>
        </w:rPr>
        <w:t>156.</w:t>
      </w:r>
      <w:r w:rsidRPr="00466CE7">
        <w:rPr>
          <w:lang w:val="fr-FR"/>
        </w:rPr>
        <w:tab/>
      </w:r>
      <w:r>
        <w:rPr>
          <w:lang w:val="fr-FR"/>
        </w:rPr>
        <w:t xml:space="preserve">Dans le souci </w:t>
      </w:r>
      <w:r w:rsidRPr="00466CE7">
        <w:rPr>
          <w:lang w:val="fr-FR"/>
        </w:rPr>
        <w:t xml:space="preserve">de renforcer </w:t>
      </w:r>
      <w:r>
        <w:rPr>
          <w:lang w:val="fr-FR"/>
        </w:rPr>
        <w:t xml:space="preserve">l’action </w:t>
      </w:r>
      <w:r w:rsidRPr="00466CE7">
        <w:rPr>
          <w:lang w:val="fr-FR"/>
        </w:rPr>
        <w:t xml:space="preserve">de prévention des </w:t>
      </w:r>
      <w:r>
        <w:rPr>
          <w:lang w:val="fr-FR"/>
        </w:rPr>
        <w:t>organes du Ministère de l’intérieur</w:t>
      </w:r>
      <w:r w:rsidRPr="00466CE7">
        <w:rPr>
          <w:lang w:val="fr-FR"/>
        </w:rPr>
        <w:t>, 110</w:t>
      </w:r>
      <w:r w:rsidR="00BF2869">
        <w:rPr>
          <w:lang w:val="fr-FR"/>
        </w:rPr>
        <w:t> </w:t>
      </w:r>
      <w:r w:rsidRPr="00466CE7">
        <w:rPr>
          <w:lang w:val="fr-FR"/>
        </w:rPr>
        <w:t xml:space="preserve">inspecteurs des affaires </w:t>
      </w:r>
      <w:r>
        <w:rPr>
          <w:lang w:val="fr-FR"/>
        </w:rPr>
        <w:t xml:space="preserve">des mineurs ont été affectés dans </w:t>
      </w:r>
      <w:r w:rsidRPr="00466CE7">
        <w:rPr>
          <w:lang w:val="fr-FR"/>
        </w:rPr>
        <w:t>117</w:t>
      </w:r>
      <w:r w:rsidR="00BF2869">
        <w:rPr>
          <w:lang w:val="fr-FR"/>
        </w:rPr>
        <w:t> </w:t>
      </w:r>
      <w:r>
        <w:rPr>
          <w:lang w:val="fr-FR"/>
        </w:rPr>
        <w:t xml:space="preserve">foyers </w:t>
      </w:r>
      <w:r w:rsidRPr="00466CE7">
        <w:rPr>
          <w:lang w:val="fr-FR"/>
        </w:rPr>
        <w:t xml:space="preserve">et internats </w:t>
      </w:r>
      <w:r>
        <w:rPr>
          <w:lang w:val="fr-FR"/>
        </w:rPr>
        <w:t>pour enfants</w:t>
      </w:r>
      <w:r w:rsidRPr="00466CE7">
        <w:rPr>
          <w:lang w:val="fr-FR"/>
        </w:rPr>
        <w:t xml:space="preserve"> </w:t>
      </w:r>
      <w:r>
        <w:rPr>
          <w:lang w:val="fr-FR"/>
        </w:rPr>
        <w:t>(</w:t>
      </w:r>
      <w:r w:rsidRPr="00466CE7">
        <w:rPr>
          <w:lang w:val="fr-FR"/>
        </w:rPr>
        <w:t>84</w:t>
      </w:r>
      <w:r w:rsidR="00BF2869">
        <w:rPr>
          <w:lang w:val="fr-FR"/>
        </w:rPr>
        <w:t> </w:t>
      </w:r>
      <w:r w:rsidRPr="00466CE7">
        <w:rPr>
          <w:lang w:val="fr-FR"/>
        </w:rPr>
        <w:t>publics et 33</w:t>
      </w:r>
      <w:r w:rsidR="00BF2869">
        <w:rPr>
          <w:lang w:val="fr-FR"/>
        </w:rPr>
        <w:t> </w:t>
      </w:r>
      <w:r w:rsidRPr="00466CE7">
        <w:rPr>
          <w:lang w:val="fr-FR"/>
        </w:rPr>
        <w:t>privés</w:t>
      </w:r>
      <w:r>
        <w:rPr>
          <w:lang w:val="fr-FR"/>
        </w:rPr>
        <w:t>)</w:t>
      </w:r>
      <w:r w:rsidRPr="00466CE7">
        <w:rPr>
          <w:lang w:val="fr-FR"/>
        </w:rPr>
        <w:t xml:space="preserve"> </w:t>
      </w:r>
      <w:r>
        <w:rPr>
          <w:lang w:val="fr-FR"/>
        </w:rPr>
        <w:t xml:space="preserve">accueillant au total </w:t>
      </w:r>
      <w:r w:rsidRPr="00466CE7">
        <w:rPr>
          <w:lang w:val="fr-FR"/>
        </w:rPr>
        <w:t>10</w:t>
      </w:r>
      <w:r w:rsidR="00BF2869">
        <w:rPr>
          <w:lang w:val="fr-FR"/>
        </w:rPr>
        <w:t> </w:t>
      </w:r>
      <w:r w:rsidRPr="00466CE7">
        <w:rPr>
          <w:lang w:val="fr-FR"/>
        </w:rPr>
        <w:t>355</w:t>
      </w:r>
      <w:r w:rsidR="00BF2869">
        <w:rPr>
          <w:lang w:val="fr-FR"/>
        </w:rPr>
        <w:t> </w:t>
      </w:r>
      <w:r w:rsidRPr="00466CE7">
        <w:rPr>
          <w:lang w:val="fr-FR"/>
        </w:rPr>
        <w:t xml:space="preserve">enfants. Conformément à </w:t>
      </w:r>
      <w:r>
        <w:rPr>
          <w:lang w:val="fr-FR"/>
        </w:rPr>
        <w:t xml:space="preserve">l’ordonnance </w:t>
      </w:r>
      <w:proofErr w:type="spellStart"/>
      <w:r>
        <w:rPr>
          <w:lang w:val="fr-FR"/>
        </w:rPr>
        <w:t>interinstitutions</w:t>
      </w:r>
      <w:proofErr w:type="spellEnd"/>
      <w:r>
        <w:rPr>
          <w:lang w:val="fr-FR"/>
        </w:rPr>
        <w:t xml:space="preserve"> </w:t>
      </w:r>
      <w:r w:rsidRPr="00466CE7">
        <w:rPr>
          <w:lang w:val="fr-FR"/>
        </w:rPr>
        <w:t xml:space="preserve">du </w:t>
      </w:r>
      <w:r>
        <w:rPr>
          <w:lang w:val="fr-FR"/>
        </w:rPr>
        <w:t>M</w:t>
      </w:r>
      <w:r w:rsidRPr="00466CE7">
        <w:rPr>
          <w:lang w:val="fr-FR"/>
        </w:rPr>
        <w:t>inistère de l</w:t>
      </w:r>
      <w:r>
        <w:rPr>
          <w:lang w:val="fr-FR"/>
        </w:rPr>
        <w:t>’i</w:t>
      </w:r>
      <w:r w:rsidRPr="00466CE7">
        <w:rPr>
          <w:lang w:val="fr-FR"/>
        </w:rPr>
        <w:t xml:space="preserve">ntérieur (2019) </w:t>
      </w:r>
      <w:r>
        <w:rPr>
          <w:lang w:val="fr-FR"/>
        </w:rPr>
        <w:t xml:space="preserve">relative au </w:t>
      </w:r>
      <w:r w:rsidRPr="00466CE7">
        <w:rPr>
          <w:lang w:val="fr-FR"/>
        </w:rPr>
        <w:t xml:space="preserve">renforcement de la coopération </w:t>
      </w:r>
      <w:proofErr w:type="spellStart"/>
      <w:r>
        <w:rPr>
          <w:lang w:val="fr-FR"/>
        </w:rPr>
        <w:t>interinstitutions</w:t>
      </w:r>
      <w:proofErr w:type="spellEnd"/>
      <w:r>
        <w:rPr>
          <w:lang w:val="fr-FR"/>
        </w:rPr>
        <w:t xml:space="preserve"> en </w:t>
      </w:r>
      <w:r w:rsidRPr="00466CE7">
        <w:rPr>
          <w:lang w:val="fr-FR"/>
        </w:rPr>
        <w:t xml:space="preserve">matière de prévention de la délinquance et de la criminalité chez les jeunes et les mineurs pour </w:t>
      </w:r>
      <w:r>
        <w:rPr>
          <w:lang w:val="fr-FR"/>
        </w:rPr>
        <w:t>la période 2019-2020</w:t>
      </w:r>
      <w:r w:rsidRPr="00466CE7">
        <w:rPr>
          <w:lang w:val="fr-FR"/>
        </w:rPr>
        <w:t xml:space="preserve">, les agents </w:t>
      </w:r>
      <w:r>
        <w:rPr>
          <w:lang w:val="fr-FR"/>
        </w:rPr>
        <w:t xml:space="preserve">des organes du Ministère de l’intérieur mènent avec les unités de </w:t>
      </w:r>
      <w:r w:rsidRPr="00466CE7">
        <w:rPr>
          <w:lang w:val="fr-FR"/>
        </w:rPr>
        <w:t xml:space="preserve">prévention des activités préventives dans les </w:t>
      </w:r>
      <w:r>
        <w:rPr>
          <w:lang w:val="fr-FR"/>
        </w:rPr>
        <w:t xml:space="preserve">établissements d’enseignement général du pays, </w:t>
      </w:r>
      <w:r w:rsidRPr="00466CE7">
        <w:rPr>
          <w:lang w:val="fr-FR"/>
        </w:rPr>
        <w:t xml:space="preserve">y compris </w:t>
      </w:r>
      <w:r>
        <w:rPr>
          <w:lang w:val="fr-FR"/>
        </w:rPr>
        <w:t>les foyers et internats pour enfants</w:t>
      </w:r>
      <w:r w:rsidRPr="00466CE7">
        <w:rPr>
          <w:lang w:val="fr-FR"/>
        </w:rPr>
        <w:t>. Au total, 2</w:t>
      </w:r>
      <w:r w:rsidR="00BF2869">
        <w:rPr>
          <w:lang w:val="fr-FR"/>
        </w:rPr>
        <w:t> </w:t>
      </w:r>
      <w:r w:rsidRPr="00466CE7">
        <w:rPr>
          <w:lang w:val="fr-FR"/>
        </w:rPr>
        <w:t>055</w:t>
      </w:r>
      <w:r w:rsidR="00BF2869">
        <w:rPr>
          <w:lang w:val="fr-FR"/>
        </w:rPr>
        <w:t> </w:t>
      </w:r>
      <w:r w:rsidRPr="00466CE7">
        <w:rPr>
          <w:lang w:val="fr-FR"/>
        </w:rPr>
        <w:t>conférences, 99</w:t>
      </w:r>
      <w:r w:rsidR="00BF2869">
        <w:rPr>
          <w:lang w:val="fr-FR"/>
        </w:rPr>
        <w:t> </w:t>
      </w:r>
      <w:r>
        <w:rPr>
          <w:lang w:val="fr-FR"/>
        </w:rPr>
        <w:t>débats,</w:t>
      </w:r>
      <w:r w:rsidRPr="00466CE7">
        <w:rPr>
          <w:lang w:val="fr-FR"/>
        </w:rPr>
        <w:t xml:space="preserve"> 109</w:t>
      </w:r>
      <w:r w:rsidR="00BF2869">
        <w:rPr>
          <w:lang w:val="fr-FR"/>
        </w:rPr>
        <w:t> </w:t>
      </w:r>
      <w:r w:rsidRPr="00466CE7">
        <w:rPr>
          <w:lang w:val="fr-FR"/>
        </w:rPr>
        <w:t>séminaires, 70</w:t>
      </w:r>
      <w:r w:rsidR="00BF2869">
        <w:rPr>
          <w:lang w:val="fr-FR"/>
        </w:rPr>
        <w:t> </w:t>
      </w:r>
      <w:r w:rsidRPr="00466CE7">
        <w:rPr>
          <w:lang w:val="fr-FR"/>
        </w:rPr>
        <w:t>tables rondes, 7</w:t>
      </w:r>
      <w:r w:rsidR="00BF2869">
        <w:rPr>
          <w:lang w:val="fr-FR"/>
        </w:rPr>
        <w:t> </w:t>
      </w:r>
      <w:r w:rsidRPr="00466CE7">
        <w:rPr>
          <w:lang w:val="fr-FR"/>
        </w:rPr>
        <w:t>quiz, 45</w:t>
      </w:r>
      <w:r w:rsidR="00BF2869">
        <w:rPr>
          <w:lang w:val="fr-FR"/>
        </w:rPr>
        <w:t> </w:t>
      </w:r>
      <w:r>
        <w:rPr>
          <w:lang w:val="fr-FR"/>
        </w:rPr>
        <w:t xml:space="preserve">manifestations sportives </w:t>
      </w:r>
      <w:r w:rsidRPr="00466CE7">
        <w:rPr>
          <w:lang w:val="fr-FR"/>
        </w:rPr>
        <w:t>et 47</w:t>
      </w:r>
      <w:r w:rsidR="00BF2869">
        <w:rPr>
          <w:lang w:val="fr-FR"/>
        </w:rPr>
        <w:t> </w:t>
      </w:r>
      <w:r w:rsidRPr="00466CE7">
        <w:rPr>
          <w:lang w:val="fr-FR"/>
        </w:rPr>
        <w:t>autres événements</w:t>
      </w:r>
      <w:r>
        <w:rPr>
          <w:lang w:val="fr-FR"/>
        </w:rPr>
        <w:t xml:space="preserve"> ont été organisés</w:t>
      </w:r>
      <w:r w:rsidRPr="00466CE7">
        <w:rPr>
          <w:lang w:val="fr-FR"/>
        </w:rPr>
        <w:t xml:space="preserve">. </w:t>
      </w:r>
    </w:p>
    <w:p w14:paraId="294DA56B" w14:textId="3814331B" w:rsidR="009C6834" w:rsidRPr="00466CE7" w:rsidRDefault="009C6834" w:rsidP="009C6834">
      <w:pPr>
        <w:pStyle w:val="SingleTxtG"/>
        <w:rPr>
          <w:lang w:val="fr-FR"/>
        </w:rPr>
      </w:pPr>
      <w:r w:rsidRPr="00466CE7">
        <w:rPr>
          <w:lang w:val="fr-FR"/>
        </w:rPr>
        <w:t>157.</w:t>
      </w:r>
      <w:r w:rsidRPr="00466CE7">
        <w:rPr>
          <w:lang w:val="fr-FR"/>
        </w:rPr>
        <w:tab/>
      </w:r>
      <w:r>
        <w:rPr>
          <w:lang w:val="fr-FR"/>
        </w:rPr>
        <w:t>Pour prévenir le recrutement d’</w:t>
      </w:r>
      <w:r w:rsidRPr="00466CE7">
        <w:rPr>
          <w:lang w:val="fr-FR"/>
        </w:rPr>
        <w:t xml:space="preserve">enfants dans les plantations de tabac </w:t>
      </w:r>
      <w:r>
        <w:rPr>
          <w:lang w:val="fr-FR"/>
        </w:rPr>
        <w:t>au Kirghizistan</w:t>
      </w:r>
      <w:r w:rsidRPr="00466CE7">
        <w:rPr>
          <w:lang w:val="fr-FR"/>
        </w:rPr>
        <w:t xml:space="preserve">, des recommandations sur la structure des </w:t>
      </w:r>
      <w:r>
        <w:rPr>
          <w:lang w:val="fr-FR"/>
        </w:rPr>
        <w:t>surfaces cultivées</w:t>
      </w:r>
      <w:r w:rsidRPr="00341A52">
        <w:rPr>
          <w:lang w:val="fr-FR"/>
        </w:rPr>
        <w:t xml:space="preserve"> </w:t>
      </w:r>
      <w:r w:rsidRPr="00466CE7">
        <w:rPr>
          <w:lang w:val="fr-FR"/>
        </w:rPr>
        <w:t xml:space="preserve">ont été </w:t>
      </w:r>
      <w:r>
        <w:rPr>
          <w:lang w:val="fr-FR"/>
        </w:rPr>
        <w:t xml:space="preserve">formulées qui ont </w:t>
      </w:r>
      <w:r w:rsidRPr="00466CE7">
        <w:rPr>
          <w:lang w:val="fr-FR"/>
        </w:rPr>
        <w:t xml:space="preserve">permis de réduire la production de tabac et </w:t>
      </w:r>
      <w:r>
        <w:rPr>
          <w:lang w:val="fr-FR"/>
        </w:rPr>
        <w:t>la superficie des plantations de tabac</w:t>
      </w:r>
      <w:r w:rsidRPr="00466CE7">
        <w:rPr>
          <w:lang w:val="fr-FR"/>
        </w:rPr>
        <w:t xml:space="preserve">. </w:t>
      </w:r>
      <w:r>
        <w:rPr>
          <w:lang w:val="fr-FR"/>
        </w:rPr>
        <w:t xml:space="preserve">La culture du </w:t>
      </w:r>
      <w:r w:rsidRPr="00466CE7">
        <w:rPr>
          <w:lang w:val="fr-FR"/>
        </w:rPr>
        <w:t>tabac</w:t>
      </w:r>
      <w:r>
        <w:rPr>
          <w:lang w:val="fr-FR"/>
        </w:rPr>
        <w:t>, qui</w:t>
      </w:r>
      <w:r w:rsidRPr="00466CE7">
        <w:rPr>
          <w:lang w:val="fr-FR"/>
        </w:rPr>
        <w:t xml:space="preserve"> </w:t>
      </w:r>
      <w:r>
        <w:rPr>
          <w:lang w:val="fr-FR"/>
        </w:rPr>
        <w:t xml:space="preserve">occupait </w:t>
      </w:r>
      <w:r w:rsidRPr="00466CE7">
        <w:rPr>
          <w:lang w:val="fr-FR"/>
        </w:rPr>
        <w:t>2</w:t>
      </w:r>
      <w:r w:rsidR="00BF2869">
        <w:rPr>
          <w:lang w:val="fr-FR"/>
        </w:rPr>
        <w:t> </w:t>
      </w:r>
      <w:r>
        <w:rPr>
          <w:lang w:val="fr-FR"/>
        </w:rPr>
        <w:t>000</w:t>
      </w:r>
      <w:r w:rsidR="00BF2869">
        <w:rPr>
          <w:lang w:val="fr-FR"/>
        </w:rPr>
        <w:t> </w:t>
      </w:r>
      <w:r w:rsidRPr="00466CE7">
        <w:rPr>
          <w:lang w:val="fr-FR"/>
        </w:rPr>
        <w:t>h</w:t>
      </w:r>
      <w:r>
        <w:rPr>
          <w:lang w:val="fr-FR"/>
        </w:rPr>
        <w:t>ectares en 2014</w:t>
      </w:r>
      <w:r w:rsidRPr="00466CE7">
        <w:rPr>
          <w:lang w:val="fr-FR"/>
        </w:rPr>
        <w:t xml:space="preserve">, </w:t>
      </w:r>
      <w:r>
        <w:rPr>
          <w:lang w:val="fr-FR"/>
        </w:rPr>
        <w:t>ne représentait plus que 700</w:t>
      </w:r>
      <w:r w:rsidR="00BF2869">
        <w:rPr>
          <w:lang w:val="fr-FR"/>
        </w:rPr>
        <w:t> </w:t>
      </w:r>
      <w:r>
        <w:rPr>
          <w:lang w:val="fr-FR"/>
        </w:rPr>
        <w:t xml:space="preserve">hectares </w:t>
      </w:r>
      <w:r w:rsidRPr="00466CE7">
        <w:rPr>
          <w:lang w:val="fr-FR"/>
        </w:rPr>
        <w:t>en 2018 et</w:t>
      </w:r>
      <w:r>
        <w:rPr>
          <w:lang w:val="fr-FR"/>
        </w:rPr>
        <w:t xml:space="preserve"> 400</w:t>
      </w:r>
      <w:r w:rsidR="00BF2869">
        <w:rPr>
          <w:lang w:val="fr-FR"/>
        </w:rPr>
        <w:t> </w:t>
      </w:r>
      <w:r w:rsidRPr="00466CE7">
        <w:rPr>
          <w:lang w:val="fr-FR"/>
        </w:rPr>
        <w:t>h</w:t>
      </w:r>
      <w:r>
        <w:rPr>
          <w:lang w:val="fr-FR"/>
        </w:rPr>
        <w:t>ectares seulement</w:t>
      </w:r>
      <w:r w:rsidRPr="00613C98">
        <w:rPr>
          <w:lang w:val="fr-FR"/>
        </w:rPr>
        <w:t xml:space="preserve"> </w:t>
      </w:r>
      <w:r w:rsidRPr="00466CE7">
        <w:rPr>
          <w:lang w:val="fr-FR"/>
        </w:rPr>
        <w:t>en 2019.</w:t>
      </w:r>
    </w:p>
    <w:p w14:paraId="22CFC28E" w14:textId="158EE0EC" w:rsidR="009C6834" w:rsidRPr="00466CE7" w:rsidRDefault="009C6834" w:rsidP="009C6834">
      <w:pPr>
        <w:pStyle w:val="SingleTxtG"/>
        <w:rPr>
          <w:lang w:val="fr-FR"/>
        </w:rPr>
      </w:pPr>
      <w:r w:rsidRPr="00466CE7">
        <w:rPr>
          <w:lang w:val="fr-FR"/>
        </w:rPr>
        <w:t>158.</w:t>
      </w:r>
      <w:r w:rsidRPr="00466CE7">
        <w:rPr>
          <w:lang w:val="fr-FR"/>
        </w:rPr>
        <w:tab/>
      </w:r>
      <w:r>
        <w:rPr>
          <w:lang w:val="fr-FR"/>
        </w:rPr>
        <w:t>Parallèlement</w:t>
      </w:r>
      <w:r w:rsidRPr="00466CE7">
        <w:rPr>
          <w:lang w:val="fr-FR"/>
        </w:rPr>
        <w:t xml:space="preserve">, </w:t>
      </w:r>
      <w:r>
        <w:rPr>
          <w:lang w:val="fr-FR"/>
        </w:rPr>
        <w:t xml:space="preserve">du fait </w:t>
      </w:r>
      <w:r w:rsidRPr="00466CE7">
        <w:rPr>
          <w:lang w:val="fr-FR"/>
        </w:rPr>
        <w:t xml:space="preserve">de </w:t>
      </w:r>
      <w:r>
        <w:rPr>
          <w:lang w:val="fr-FR"/>
        </w:rPr>
        <w:t xml:space="preserve">la mécanisation de </w:t>
      </w:r>
      <w:r w:rsidRPr="00466CE7">
        <w:rPr>
          <w:lang w:val="fr-FR"/>
        </w:rPr>
        <w:t>l</w:t>
      </w:r>
      <w:r>
        <w:rPr>
          <w:lang w:val="fr-FR"/>
        </w:rPr>
        <w:t>’</w:t>
      </w:r>
      <w:r w:rsidRPr="00466CE7">
        <w:rPr>
          <w:lang w:val="fr-FR"/>
        </w:rPr>
        <w:t>agriculture (</w:t>
      </w:r>
      <w:r>
        <w:rPr>
          <w:lang w:val="fr-FR"/>
        </w:rPr>
        <w:t xml:space="preserve">acquisition de machines </w:t>
      </w:r>
      <w:r w:rsidRPr="00466CE7">
        <w:rPr>
          <w:lang w:val="fr-FR"/>
        </w:rPr>
        <w:t xml:space="preserve">agricoles </w:t>
      </w:r>
      <w:r>
        <w:rPr>
          <w:lang w:val="fr-FR"/>
        </w:rPr>
        <w:t xml:space="preserve">et d’équipements de transformation grâce au </w:t>
      </w:r>
      <w:r w:rsidRPr="00466CE7">
        <w:rPr>
          <w:lang w:val="fr-FR"/>
        </w:rPr>
        <w:t>crédit-bail</w:t>
      </w:r>
      <w:r>
        <w:rPr>
          <w:lang w:val="fr-FR"/>
        </w:rPr>
        <w:t xml:space="preserve">), la part de l’emploi agricole est passée de </w:t>
      </w:r>
      <w:r w:rsidRPr="00466CE7">
        <w:rPr>
          <w:lang w:val="fr-FR"/>
        </w:rPr>
        <w:t>23</w:t>
      </w:r>
      <w:r w:rsidR="00CB4ECD">
        <w:rPr>
          <w:lang w:val="fr-FR"/>
        </w:rPr>
        <w:t> %</w:t>
      </w:r>
      <w:r>
        <w:rPr>
          <w:lang w:val="fr-FR"/>
        </w:rPr>
        <w:t xml:space="preserve"> à </w:t>
      </w:r>
      <w:r w:rsidRPr="00466CE7">
        <w:rPr>
          <w:lang w:val="fr-FR"/>
        </w:rPr>
        <w:t>20,3</w:t>
      </w:r>
      <w:r w:rsidR="00CB4ECD">
        <w:rPr>
          <w:lang w:val="fr-FR"/>
        </w:rPr>
        <w:t> %</w:t>
      </w:r>
      <w:r>
        <w:rPr>
          <w:lang w:val="fr-FR"/>
        </w:rPr>
        <w:t xml:space="preserve"> de l’emploi total entre 2018 et 2019</w:t>
      </w:r>
      <w:r w:rsidRPr="00466CE7">
        <w:rPr>
          <w:lang w:val="fr-FR"/>
        </w:rPr>
        <w:t xml:space="preserve">. Cela a permis de réduire </w:t>
      </w:r>
      <w:r>
        <w:rPr>
          <w:lang w:val="fr-FR"/>
        </w:rPr>
        <w:t>l’utilisation de main-d’œuvre</w:t>
      </w:r>
      <w:r w:rsidRPr="00466CE7">
        <w:rPr>
          <w:lang w:val="fr-FR"/>
        </w:rPr>
        <w:t xml:space="preserve"> </w:t>
      </w:r>
      <w:r>
        <w:rPr>
          <w:lang w:val="fr-FR"/>
        </w:rPr>
        <w:t xml:space="preserve">dans ce secteur, </w:t>
      </w:r>
      <w:r w:rsidRPr="00466CE7">
        <w:rPr>
          <w:lang w:val="fr-FR"/>
        </w:rPr>
        <w:t>et</w:t>
      </w:r>
      <w:r>
        <w:rPr>
          <w:lang w:val="fr-FR"/>
        </w:rPr>
        <w:t xml:space="preserve"> donc le risque de recours au </w:t>
      </w:r>
      <w:r w:rsidRPr="00466CE7">
        <w:rPr>
          <w:lang w:val="fr-FR"/>
        </w:rPr>
        <w:t>travail des enfants.</w:t>
      </w:r>
    </w:p>
    <w:p w14:paraId="176787E9" w14:textId="365CA2AD" w:rsidR="009C6834" w:rsidRPr="00466CE7" w:rsidRDefault="009C6834" w:rsidP="009C6834">
      <w:pPr>
        <w:pStyle w:val="SingleTxtG"/>
        <w:rPr>
          <w:lang w:val="fr-FR"/>
        </w:rPr>
      </w:pPr>
      <w:r w:rsidRPr="00466CE7">
        <w:rPr>
          <w:lang w:val="fr-FR"/>
        </w:rPr>
        <w:t>159.</w:t>
      </w:r>
      <w:r w:rsidRPr="00466CE7">
        <w:rPr>
          <w:lang w:val="fr-FR"/>
        </w:rPr>
        <w:tab/>
      </w:r>
      <w:r>
        <w:rPr>
          <w:lang w:val="fr-FR"/>
        </w:rPr>
        <w:t xml:space="preserve">Pour garantir l’application des normes </w:t>
      </w:r>
      <w:r w:rsidRPr="00466CE7">
        <w:rPr>
          <w:lang w:val="fr-FR"/>
        </w:rPr>
        <w:t>de la Convention de l</w:t>
      </w:r>
      <w:r>
        <w:rPr>
          <w:lang w:val="fr-FR"/>
        </w:rPr>
        <w:t>’</w:t>
      </w:r>
      <w:r w:rsidRPr="00466CE7">
        <w:rPr>
          <w:lang w:val="fr-FR"/>
        </w:rPr>
        <w:t>O</w:t>
      </w:r>
      <w:r>
        <w:rPr>
          <w:lang w:val="fr-FR"/>
        </w:rPr>
        <w:t xml:space="preserve">IT sur l’inspection du travail et des dispositions </w:t>
      </w:r>
      <w:r w:rsidRPr="00466CE7">
        <w:rPr>
          <w:lang w:val="fr-FR"/>
        </w:rPr>
        <w:t xml:space="preserve">du </w:t>
      </w:r>
      <w:r w:rsidR="009603CF">
        <w:rPr>
          <w:lang w:val="fr-FR"/>
        </w:rPr>
        <w:t>Code du travail</w:t>
      </w:r>
      <w:r w:rsidRPr="00466CE7">
        <w:rPr>
          <w:lang w:val="fr-FR"/>
        </w:rPr>
        <w:t xml:space="preserve"> et d</w:t>
      </w:r>
      <w:r>
        <w:rPr>
          <w:lang w:val="fr-FR"/>
        </w:rPr>
        <w:t>’</w:t>
      </w:r>
      <w:r w:rsidRPr="00466CE7">
        <w:rPr>
          <w:lang w:val="fr-FR"/>
        </w:rPr>
        <w:t xml:space="preserve">autres </w:t>
      </w:r>
      <w:r>
        <w:rPr>
          <w:lang w:val="fr-FR"/>
        </w:rPr>
        <w:t>textes de loi</w:t>
      </w:r>
      <w:r w:rsidRPr="00466CE7">
        <w:rPr>
          <w:lang w:val="fr-FR"/>
        </w:rPr>
        <w:t xml:space="preserve"> </w:t>
      </w:r>
      <w:r>
        <w:rPr>
          <w:lang w:val="fr-FR"/>
        </w:rPr>
        <w:t xml:space="preserve">ainsi que </w:t>
      </w:r>
      <w:r w:rsidRPr="00466CE7">
        <w:rPr>
          <w:lang w:val="fr-FR"/>
        </w:rPr>
        <w:t xml:space="preserve">la protection des droits du travail, </w:t>
      </w:r>
      <w:r>
        <w:rPr>
          <w:lang w:val="fr-FR"/>
        </w:rPr>
        <w:t xml:space="preserve">notamment du </w:t>
      </w:r>
      <w:r w:rsidRPr="00466CE7">
        <w:rPr>
          <w:lang w:val="fr-FR"/>
        </w:rPr>
        <w:t xml:space="preserve">droit à des conditions de travail sûres, les inspecteurs du travail ont </w:t>
      </w:r>
      <w:r>
        <w:rPr>
          <w:lang w:val="fr-FR"/>
        </w:rPr>
        <w:t xml:space="preserve">contrôlé systématiquement le </w:t>
      </w:r>
      <w:r w:rsidRPr="00466CE7">
        <w:rPr>
          <w:lang w:val="fr-FR"/>
        </w:rPr>
        <w:t xml:space="preserve">respect de la législation du travail au cours des neuf </w:t>
      </w:r>
      <w:r>
        <w:rPr>
          <w:lang w:val="fr-FR"/>
        </w:rPr>
        <w:t xml:space="preserve">premiers </w:t>
      </w:r>
      <w:r w:rsidRPr="00466CE7">
        <w:rPr>
          <w:lang w:val="fr-FR"/>
        </w:rPr>
        <w:t>mois de 2019.</w:t>
      </w:r>
    </w:p>
    <w:p w14:paraId="79D5A7F5" w14:textId="6F657E03" w:rsidR="009C6834" w:rsidRPr="00466CE7" w:rsidRDefault="009C6834" w:rsidP="009C6834">
      <w:pPr>
        <w:pStyle w:val="SingleTxtG"/>
        <w:rPr>
          <w:lang w:val="fr-FR"/>
        </w:rPr>
      </w:pPr>
      <w:r w:rsidRPr="00466CE7">
        <w:rPr>
          <w:lang w:val="fr-FR"/>
        </w:rPr>
        <w:t>160.</w:t>
      </w:r>
      <w:r w:rsidRPr="00466CE7">
        <w:rPr>
          <w:lang w:val="fr-FR"/>
        </w:rPr>
        <w:tab/>
      </w:r>
      <w:r>
        <w:rPr>
          <w:lang w:val="fr-FR"/>
        </w:rPr>
        <w:t xml:space="preserve">Ils ont procédé au </w:t>
      </w:r>
      <w:r w:rsidRPr="00466CE7">
        <w:rPr>
          <w:lang w:val="fr-FR"/>
        </w:rPr>
        <w:t>total</w:t>
      </w:r>
      <w:r>
        <w:rPr>
          <w:lang w:val="fr-FR"/>
        </w:rPr>
        <w:t xml:space="preserve"> à </w:t>
      </w:r>
      <w:r w:rsidRPr="00466CE7">
        <w:rPr>
          <w:lang w:val="fr-FR"/>
        </w:rPr>
        <w:t>504</w:t>
      </w:r>
      <w:r w:rsidR="00BF2869">
        <w:rPr>
          <w:lang w:val="fr-FR"/>
        </w:rPr>
        <w:t> </w:t>
      </w:r>
      <w:r w:rsidRPr="00466CE7">
        <w:rPr>
          <w:lang w:val="fr-FR"/>
        </w:rPr>
        <w:t xml:space="preserve">inspections, dont 117 </w:t>
      </w:r>
      <w:r>
        <w:rPr>
          <w:lang w:val="fr-FR"/>
        </w:rPr>
        <w:t xml:space="preserve">dans des </w:t>
      </w:r>
      <w:r w:rsidRPr="00466CE7">
        <w:rPr>
          <w:lang w:val="fr-FR"/>
        </w:rPr>
        <w:t xml:space="preserve">entreprises et </w:t>
      </w:r>
      <w:r>
        <w:rPr>
          <w:lang w:val="fr-FR"/>
        </w:rPr>
        <w:t xml:space="preserve">des </w:t>
      </w:r>
      <w:r w:rsidRPr="00466CE7">
        <w:rPr>
          <w:lang w:val="fr-FR"/>
        </w:rPr>
        <w:t xml:space="preserve">organisations </w:t>
      </w:r>
      <w:r>
        <w:rPr>
          <w:lang w:val="fr-FR"/>
        </w:rPr>
        <w:t xml:space="preserve">privées, </w:t>
      </w:r>
      <w:r w:rsidRPr="00466CE7">
        <w:rPr>
          <w:lang w:val="fr-FR"/>
        </w:rPr>
        <w:t xml:space="preserve">361 </w:t>
      </w:r>
      <w:r>
        <w:rPr>
          <w:lang w:val="fr-FR"/>
        </w:rPr>
        <w:t>dans des structures publiques</w:t>
      </w:r>
      <w:r w:rsidRPr="00466CE7">
        <w:rPr>
          <w:lang w:val="fr-FR"/>
        </w:rPr>
        <w:t xml:space="preserve"> et </w:t>
      </w:r>
      <w:r>
        <w:rPr>
          <w:lang w:val="fr-FR"/>
        </w:rPr>
        <w:t>22 auprès de personnes physiques</w:t>
      </w:r>
      <w:r w:rsidRPr="00466CE7">
        <w:rPr>
          <w:lang w:val="fr-FR"/>
        </w:rPr>
        <w:t xml:space="preserve">. </w:t>
      </w:r>
    </w:p>
    <w:p w14:paraId="14994DF1" w14:textId="50CEF184" w:rsidR="009C6834" w:rsidRPr="00466CE7" w:rsidRDefault="009C6834" w:rsidP="00E1792A">
      <w:pPr>
        <w:pStyle w:val="SingleTxtG"/>
        <w:keepNext/>
        <w:keepLines/>
        <w:rPr>
          <w:lang w:val="fr-FR"/>
        </w:rPr>
      </w:pPr>
      <w:r w:rsidRPr="00466CE7">
        <w:rPr>
          <w:lang w:val="fr-FR"/>
        </w:rPr>
        <w:lastRenderedPageBreak/>
        <w:t>161.</w:t>
      </w:r>
      <w:r w:rsidRPr="00466CE7">
        <w:rPr>
          <w:lang w:val="fr-FR"/>
        </w:rPr>
        <w:tab/>
        <w:t>Afin d</w:t>
      </w:r>
      <w:r>
        <w:rPr>
          <w:lang w:val="fr-FR"/>
        </w:rPr>
        <w:t>’</w:t>
      </w:r>
      <w:r w:rsidRPr="00466CE7">
        <w:rPr>
          <w:lang w:val="fr-FR"/>
        </w:rPr>
        <w:t xml:space="preserve">éliminer et de </w:t>
      </w:r>
      <w:r>
        <w:rPr>
          <w:lang w:val="fr-FR"/>
        </w:rPr>
        <w:t>sanctionner</w:t>
      </w:r>
      <w:r w:rsidRPr="00466CE7">
        <w:rPr>
          <w:lang w:val="fr-FR"/>
        </w:rPr>
        <w:t xml:space="preserve"> les </w:t>
      </w:r>
      <w:r>
        <w:rPr>
          <w:lang w:val="fr-FR"/>
        </w:rPr>
        <w:t xml:space="preserve">infractions à </w:t>
      </w:r>
      <w:r w:rsidRPr="00466CE7">
        <w:rPr>
          <w:lang w:val="fr-FR"/>
        </w:rPr>
        <w:t xml:space="preserve">la législation du travail </w:t>
      </w:r>
      <w:r>
        <w:rPr>
          <w:lang w:val="fr-FR"/>
        </w:rPr>
        <w:t>constatées au cours de ces inspections</w:t>
      </w:r>
      <w:r w:rsidRPr="00466CE7">
        <w:rPr>
          <w:lang w:val="fr-FR"/>
        </w:rPr>
        <w:t xml:space="preserve"> et de prévenir les infractions </w:t>
      </w:r>
      <w:r>
        <w:rPr>
          <w:lang w:val="fr-FR"/>
        </w:rPr>
        <w:t>les plus courantes</w:t>
      </w:r>
      <w:r w:rsidRPr="00466CE7">
        <w:rPr>
          <w:lang w:val="fr-FR"/>
        </w:rPr>
        <w:t>, les inspecteurs du travail de l</w:t>
      </w:r>
      <w:r>
        <w:rPr>
          <w:lang w:val="fr-FR"/>
        </w:rPr>
        <w:t>’</w:t>
      </w:r>
      <w:r w:rsidRPr="00466CE7">
        <w:rPr>
          <w:lang w:val="fr-FR"/>
        </w:rPr>
        <w:t xml:space="preserve">État ont </w:t>
      </w:r>
      <w:r>
        <w:rPr>
          <w:lang w:val="fr-FR"/>
        </w:rPr>
        <w:t xml:space="preserve">adressé </w:t>
      </w:r>
      <w:r w:rsidRPr="00466CE7">
        <w:rPr>
          <w:lang w:val="fr-FR"/>
        </w:rPr>
        <w:t>259</w:t>
      </w:r>
      <w:r w:rsidR="00BF2869">
        <w:rPr>
          <w:lang w:val="fr-FR"/>
        </w:rPr>
        <w:t> </w:t>
      </w:r>
      <w:r>
        <w:rPr>
          <w:lang w:val="fr-FR"/>
        </w:rPr>
        <w:t>injonctions</w:t>
      </w:r>
      <w:r w:rsidRPr="00466CE7">
        <w:rPr>
          <w:lang w:val="fr-FR"/>
        </w:rPr>
        <w:t xml:space="preserve"> aux employeurs au cours des neuf premiers mois de 2019.</w:t>
      </w:r>
    </w:p>
    <w:p w14:paraId="584FD005" w14:textId="77777777" w:rsidR="009C6834" w:rsidRPr="00466CE7" w:rsidRDefault="009C6834" w:rsidP="009C6834">
      <w:pPr>
        <w:pStyle w:val="SingleTxtG"/>
        <w:rPr>
          <w:lang w:val="fr-FR"/>
        </w:rPr>
      </w:pPr>
      <w:r w:rsidRPr="00466CE7">
        <w:rPr>
          <w:lang w:val="fr-FR"/>
        </w:rPr>
        <w:t>162.</w:t>
      </w:r>
      <w:r w:rsidRPr="00466CE7">
        <w:rPr>
          <w:lang w:val="fr-FR"/>
        </w:rPr>
        <w:tab/>
      </w:r>
      <w:r>
        <w:rPr>
          <w:lang w:val="fr-FR"/>
        </w:rPr>
        <w:t xml:space="preserve">C’est surtout </w:t>
      </w:r>
      <w:r w:rsidRPr="00466CE7">
        <w:rPr>
          <w:lang w:val="fr-FR"/>
        </w:rPr>
        <w:t>pendant la période estivale (période de</w:t>
      </w:r>
      <w:r>
        <w:rPr>
          <w:lang w:val="fr-FR"/>
        </w:rPr>
        <w:t>s</w:t>
      </w:r>
      <w:r w:rsidRPr="00466CE7">
        <w:rPr>
          <w:lang w:val="fr-FR"/>
        </w:rPr>
        <w:t xml:space="preserve"> vacances)</w:t>
      </w:r>
      <w:r>
        <w:rPr>
          <w:lang w:val="fr-FR"/>
        </w:rPr>
        <w:t xml:space="preserve"> que l’on recourt à la main-d’œuvre des mineurs</w:t>
      </w:r>
      <w:r w:rsidRPr="00466CE7">
        <w:rPr>
          <w:lang w:val="fr-FR"/>
        </w:rPr>
        <w:t xml:space="preserve">, </w:t>
      </w:r>
      <w:r>
        <w:rPr>
          <w:lang w:val="fr-FR"/>
        </w:rPr>
        <w:t xml:space="preserve">qui sont recrutés </w:t>
      </w:r>
      <w:r w:rsidRPr="00466CE7">
        <w:rPr>
          <w:lang w:val="fr-FR"/>
        </w:rPr>
        <w:t xml:space="preserve">principalement </w:t>
      </w:r>
      <w:r>
        <w:rPr>
          <w:lang w:val="fr-FR"/>
        </w:rPr>
        <w:t xml:space="preserve">pour </w:t>
      </w:r>
      <w:r w:rsidRPr="00466CE7">
        <w:rPr>
          <w:lang w:val="fr-FR"/>
        </w:rPr>
        <w:t>le nett</w:t>
      </w:r>
      <w:r>
        <w:rPr>
          <w:lang w:val="fr-FR"/>
        </w:rPr>
        <w:t xml:space="preserve">oyage et l’aménagement de zones et de </w:t>
      </w:r>
      <w:r w:rsidRPr="00466CE7">
        <w:rPr>
          <w:lang w:val="fr-FR"/>
        </w:rPr>
        <w:t>parcs, dans l</w:t>
      </w:r>
      <w:r>
        <w:rPr>
          <w:lang w:val="fr-FR"/>
        </w:rPr>
        <w:t>’</w:t>
      </w:r>
      <w:r w:rsidRPr="00466CE7">
        <w:rPr>
          <w:lang w:val="fr-FR"/>
        </w:rPr>
        <w:t>agriculture (</w:t>
      </w:r>
      <w:r>
        <w:rPr>
          <w:lang w:val="fr-FR"/>
        </w:rPr>
        <w:t xml:space="preserve">quelles que soient la forme de </w:t>
      </w:r>
      <w:r w:rsidRPr="00466CE7">
        <w:rPr>
          <w:lang w:val="fr-FR"/>
        </w:rPr>
        <w:t>propriété</w:t>
      </w:r>
      <w:r>
        <w:rPr>
          <w:lang w:val="fr-FR"/>
        </w:rPr>
        <w:t xml:space="preserve"> de l’exploitation</w:t>
      </w:r>
      <w:r w:rsidRPr="00466CE7">
        <w:rPr>
          <w:lang w:val="fr-FR"/>
        </w:rPr>
        <w:t xml:space="preserve"> et la saison) </w:t>
      </w:r>
      <w:r>
        <w:rPr>
          <w:lang w:val="fr-FR"/>
        </w:rPr>
        <w:t>comme main-d’œuvre d’appoint</w:t>
      </w:r>
      <w:r w:rsidRPr="00466CE7">
        <w:rPr>
          <w:lang w:val="fr-FR"/>
        </w:rPr>
        <w:t xml:space="preserve">, </w:t>
      </w:r>
      <w:r>
        <w:rPr>
          <w:lang w:val="fr-FR"/>
        </w:rPr>
        <w:t xml:space="preserve">pour vendre au marché et dans </w:t>
      </w:r>
      <w:r w:rsidRPr="00466CE7">
        <w:rPr>
          <w:lang w:val="fr-FR"/>
        </w:rPr>
        <w:t xml:space="preserve">les bazars, </w:t>
      </w:r>
      <w:r>
        <w:rPr>
          <w:lang w:val="fr-FR"/>
        </w:rPr>
        <w:t xml:space="preserve">pour servir dans les cafés, ou comme </w:t>
      </w:r>
      <w:r w:rsidRPr="00466CE7">
        <w:rPr>
          <w:lang w:val="fr-FR"/>
        </w:rPr>
        <w:t>coursiers. C</w:t>
      </w:r>
      <w:r>
        <w:rPr>
          <w:lang w:val="fr-FR"/>
        </w:rPr>
        <w:t>’</w:t>
      </w:r>
      <w:r w:rsidRPr="00466CE7">
        <w:rPr>
          <w:lang w:val="fr-FR"/>
        </w:rPr>
        <w:t xml:space="preserve">est </w:t>
      </w:r>
      <w:r>
        <w:rPr>
          <w:lang w:val="fr-FR"/>
        </w:rPr>
        <w:t xml:space="preserve">précisément la raison pour laquelle </w:t>
      </w:r>
      <w:r w:rsidRPr="00466CE7">
        <w:rPr>
          <w:lang w:val="fr-FR"/>
        </w:rPr>
        <w:t>les employeurs n</w:t>
      </w:r>
      <w:r>
        <w:rPr>
          <w:lang w:val="fr-FR"/>
        </w:rPr>
        <w:t>’</w:t>
      </w:r>
      <w:r w:rsidRPr="00466CE7">
        <w:rPr>
          <w:lang w:val="fr-FR"/>
        </w:rPr>
        <w:t xml:space="preserve">établissent pas </w:t>
      </w:r>
      <w:r>
        <w:rPr>
          <w:lang w:val="fr-FR"/>
        </w:rPr>
        <w:t xml:space="preserve">tous </w:t>
      </w:r>
      <w:r w:rsidRPr="00466CE7">
        <w:rPr>
          <w:lang w:val="fr-FR"/>
        </w:rPr>
        <w:t xml:space="preserve">de </w:t>
      </w:r>
      <w:r>
        <w:rPr>
          <w:lang w:val="fr-FR"/>
        </w:rPr>
        <w:t xml:space="preserve">contrat écrit et </w:t>
      </w:r>
      <w:r w:rsidRPr="00466CE7">
        <w:rPr>
          <w:lang w:val="fr-FR"/>
        </w:rPr>
        <w:t xml:space="preserve">se </w:t>
      </w:r>
      <w:r>
        <w:rPr>
          <w:lang w:val="fr-FR"/>
        </w:rPr>
        <w:t>contentent d’un accord verbal</w:t>
      </w:r>
      <w:r w:rsidRPr="00466CE7">
        <w:rPr>
          <w:lang w:val="fr-FR"/>
        </w:rPr>
        <w:t>, ce qui n</w:t>
      </w:r>
      <w:r>
        <w:rPr>
          <w:lang w:val="fr-FR"/>
        </w:rPr>
        <w:t>’</w:t>
      </w:r>
      <w:r w:rsidRPr="00466CE7">
        <w:rPr>
          <w:lang w:val="fr-FR"/>
        </w:rPr>
        <w:t xml:space="preserve">est pas toujours </w:t>
      </w:r>
      <w:r>
        <w:rPr>
          <w:lang w:val="fr-FR"/>
        </w:rPr>
        <w:t>licite à l’égard d’</w:t>
      </w:r>
      <w:r w:rsidRPr="00466CE7">
        <w:rPr>
          <w:lang w:val="fr-FR"/>
        </w:rPr>
        <w:t>adolescents qui n</w:t>
      </w:r>
      <w:r>
        <w:rPr>
          <w:lang w:val="fr-FR"/>
        </w:rPr>
        <w:t>’</w:t>
      </w:r>
      <w:r w:rsidRPr="00466CE7">
        <w:rPr>
          <w:lang w:val="fr-FR"/>
        </w:rPr>
        <w:t xml:space="preserve">ont pas de </w:t>
      </w:r>
      <w:r>
        <w:rPr>
          <w:lang w:val="fr-FR"/>
        </w:rPr>
        <w:t xml:space="preserve">livret </w:t>
      </w:r>
      <w:r w:rsidRPr="00466CE7">
        <w:rPr>
          <w:lang w:val="fr-FR"/>
        </w:rPr>
        <w:t xml:space="preserve">de travail et </w:t>
      </w:r>
      <w:r>
        <w:rPr>
          <w:lang w:val="fr-FR"/>
        </w:rPr>
        <w:t xml:space="preserve">ignorent </w:t>
      </w:r>
      <w:r w:rsidRPr="00466CE7">
        <w:rPr>
          <w:lang w:val="fr-FR"/>
        </w:rPr>
        <w:t>le droit du travail, c</w:t>
      </w:r>
      <w:r>
        <w:rPr>
          <w:lang w:val="fr-FR"/>
        </w:rPr>
        <w:t>’</w:t>
      </w:r>
      <w:r w:rsidRPr="00466CE7">
        <w:rPr>
          <w:lang w:val="fr-FR"/>
        </w:rPr>
        <w:t>est-à-dire leurs droits.</w:t>
      </w:r>
    </w:p>
    <w:p w14:paraId="08EC35DF" w14:textId="77777777" w:rsidR="009C6834" w:rsidRPr="00466CE7" w:rsidRDefault="009C6834" w:rsidP="009C6834">
      <w:pPr>
        <w:pStyle w:val="SingleTxtG"/>
        <w:rPr>
          <w:lang w:val="fr-FR"/>
        </w:rPr>
      </w:pPr>
      <w:r w:rsidRPr="00466CE7">
        <w:rPr>
          <w:lang w:val="fr-FR"/>
        </w:rPr>
        <w:t>163.</w:t>
      </w:r>
      <w:r w:rsidRPr="00466CE7">
        <w:rPr>
          <w:lang w:val="fr-FR"/>
        </w:rPr>
        <w:tab/>
      </w:r>
      <w:r>
        <w:rPr>
          <w:lang w:val="fr-FR"/>
        </w:rPr>
        <w:t xml:space="preserve">La </w:t>
      </w:r>
      <w:r w:rsidRPr="00466CE7">
        <w:rPr>
          <w:lang w:val="fr-FR"/>
        </w:rPr>
        <w:t>réglementation</w:t>
      </w:r>
      <w:r>
        <w:rPr>
          <w:lang w:val="fr-FR"/>
        </w:rPr>
        <w:t xml:space="preserve"> ne permet pas aux </w:t>
      </w:r>
      <w:r w:rsidRPr="00466CE7">
        <w:rPr>
          <w:lang w:val="fr-FR"/>
        </w:rPr>
        <w:t>inspecteur</w:t>
      </w:r>
      <w:r>
        <w:rPr>
          <w:lang w:val="fr-FR"/>
        </w:rPr>
        <w:t>s</w:t>
      </w:r>
      <w:r w:rsidRPr="00466CE7">
        <w:rPr>
          <w:lang w:val="fr-FR"/>
        </w:rPr>
        <w:t xml:space="preserve"> du travail </w:t>
      </w:r>
      <w:r>
        <w:rPr>
          <w:lang w:val="fr-FR"/>
        </w:rPr>
        <w:t xml:space="preserve">de l’État de </w:t>
      </w:r>
      <w:r w:rsidRPr="00466CE7">
        <w:rPr>
          <w:lang w:val="fr-FR"/>
        </w:rPr>
        <w:t xml:space="preserve">procéder à </w:t>
      </w:r>
      <w:r>
        <w:rPr>
          <w:lang w:val="fr-FR"/>
        </w:rPr>
        <w:t xml:space="preserve">des </w:t>
      </w:r>
      <w:r w:rsidRPr="00466CE7">
        <w:rPr>
          <w:lang w:val="fr-FR"/>
        </w:rPr>
        <w:t>inspection</w:t>
      </w:r>
      <w:r>
        <w:rPr>
          <w:lang w:val="fr-FR"/>
        </w:rPr>
        <w:t>s</w:t>
      </w:r>
      <w:r w:rsidRPr="00466CE7">
        <w:rPr>
          <w:lang w:val="fr-FR"/>
        </w:rPr>
        <w:t xml:space="preserve"> inopinée</w:t>
      </w:r>
      <w:r>
        <w:rPr>
          <w:lang w:val="fr-FR"/>
        </w:rPr>
        <w:t xml:space="preserve">s chez des </w:t>
      </w:r>
      <w:r w:rsidRPr="00466CE7">
        <w:rPr>
          <w:lang w:val="fr-FR"/>
        </w:rPr>
        <w:t>employeur</w:t>
      </w:r>
      <w:r>
        <w:rPr>
          <w:lang w:val="fr-FR"/>
        </w:rPr>
        <w:t>s</w:t>
      </w:r>
      <w:r w:rsidRPr="00466CE7">
        <w:rPr>
          <w:lang w:val="fr-FR"/>
        </w:rPr>
        <w:t xml:space="preserve"> qui viole</w:t>
      </w:r>
      <w:r>
        <w:rPr>
          <w:lang w:val="fr-FR"/>
        </w:rPr>
        <w:t>nt</w:t>
      </w:r>
      <w:r w:rsidRPr="00466CE7">
        <w:rPr>
          <w:lang w:val="fr-FR"/>
        </w:rPr>
        <w:t xml:space="preserve"> intentionnellement les droits d</w:t>
      </w:r>
      <w:r>
        <w:rPr>
          <w:lang w:val="fr-FR"/>
        </w:rPr>
        <w:t>’</w:t>
      </w:r>
      <w:r w:rsidRPr="00466CE7">
        <w:rPr>
          <w:lang w:val="fr-FR"/>
        </w:rPr>
        <w:t>adolescent</w:t>
      </w:r>
      <w:r>
        <w:rPr>
          <w:lang w:val="fr-FR"/>
        </w:rPr>
        <w:t xml:space="preserve">s puisque les </w:t>
      </w:r>
      <w:r w:rsidRPr="00466CE7">
        <w:rPr>
          <w:lang w:val="fr-FR"/>
        </w:rPr>
        <w:t>employeur</w:t>
      </w:r>
      <w:r>
        <w:rPr>
          <w:lang w:val="fr-FR"/>
        </w:rPr>
        <w:t>s</w:t>
      </w:r>
      <w:r w:rsidRPr="00466CE7">
        <w:rPr>
          <w:lang w:val="fr-FR"/>
        </w:rPr>
        <w:t xml:space="preserve"> </w:t>
      </w:r>
      <w:r>
        <w:rPr>
          <w:lang w:val="fr-FR"/>
        </w:rPr>
        <w:t xml:space="preserve">doivent </w:t>
      </w:r>
      <w:r w:rsidRPr="00466CE7">
        <w:rPr>
          <w:lang w:val="fr-FR"/>
        </w:rPr>
        <w:t xml:space="preserve">être </w:t>
      </w:r>
      <w:r>
        <w:rPr>
          <w:lang w:val="fr-FR"/>
        </w:rPr>
        <w:t xml:space="preserve">avertis </w:t>
      </w:r>
      <w:r w:rsidRPr="00466CE7">
        <w:rPr>
          <w:lang w:val="fr-FR"/>
        </w:rPr>
        <w:t xml:space="preserve">par écrit </w:t>
      </w:r>
      <w:r>
        <w:rPr>
          <w:lang w:val="fr-FR"/>
        </w:rPr>
        <w:t xml:space="preserve">des inspections </w:t>
      </w:r>
      <w:r w:rsidRPr="00466CE7">
        <w:rPr>
          <w:lang w:val="fr-FR"/>
        </w:rPr>
        <w:t xml:space="preserve">au moins </w:t>
      </w:r>
      <w:r>
        <w:rPr>
          <w:lang w:val="fr-FR"/>
        </w:rPr>
        <w:t xml:space="preserve">dix </w:t>
      </w:r>
      <w:r w:rsidRPr="00466CE7">
        <w:rPr>
          <w:lang w:val="fr-FR"/>
        </w:rPr>
        <w:t xml:space="preserve">jours </w:t>
      </w:r>
      <w:r>
        <w:rPr>
          <w:lang w:val="fr-FR"/>
        </w:rPr>
        <w:t xml:space="preserve">ouvrables </w:t>
      </w:r>
      <w:r w:rsidRPr="00466CE7">
        <w:rPr>
          <w:lang w:val="fr-FR"/>
        </w:rPr>
        <w:t>avant, c</w:t>
      </w:r>
      <w:r>
        <w:rPr>
          <w:lang w:val="fr-FR"/>
        </w:rPr>
        <w:t>’</w:t>
      </w:r>
      <w:r w:rsidRPr="00466CE7">
        <w:rPr>
          <w:lang w:val="fr-FR"/>
        </w:rPr>
        <w:t xml:space="preserve">est-à-dire que même </w:t>
      </w:r>
      <w:r>
        <w:rPr>
          <w:lang w:val="fr-FR"/>
        </w:rPr>
        <w:t>s’ils recourent à une main-d’œuvre mineure</w:t>
      </w:r>
      <w:r w:rsidRPr="00466CE7">
        <w:rPr>
          <w:lang w:val="fr-FR"/>
        </w:rPr>
        <w:t xml:space="preserve">, il est pratiquement impossible </w:t>
      </w:r>
      <w:r>
        <w:rPr>
          <w:lang w:val="fr-FR"/>
        </w:rPr>
        <w:t xml:space="preserve">d’établir les faits lors de </w:t>
      </w:r>
      <w:r w:rsidRPr="00466CE7">
        <w:rPr>
          <w:lang w:val="fr-FR"/>
        </w:rPr>
        <w:t>l</w:t>
      </w:r>
      <w:r>
        <w:rPr>
          <w:lang w:val="fr-FR"/>
        </w:rPr>
        <w:t>’</w:t>
      </w:r>
      <w:r w:rsidRPr="00466CE7">
        <w:rPr>
          <w:lang w:val="fr-FR"/>
        </w:rPr>
        <w:t>inspection.</w:t>
      </w:r>
    </w:p>
    <w:p w14:paraId="68DB6E9F" w14:textId="27AADD36" w:rsidR="009C6834" w:rsidRPr="00466CE7" w:rsidRDefault="009C6834" w:rsidP="009C6834">
      <w:pPr>
        <w:pStyle w:val="SingleTxtG"/>
        <w:rPr>
          <w:lang w:val="fr-FR"/>
        </w:rPr>
      </w:pPr>
      <w:r w:rsidRPr="00466CE7">
        <w:rPr>
          <w:lang w:val="fr-FR"/>
        </w:rPr>
        <w:t>164.</w:t>
      </w:r>
      <w:r w:rsidRPr="00466CE7">
        <w:rPr>
          <w:lang w:val="fr-FR"/>
        </w:rPr>
        <w:tab/>
        <w:t xml:space="preserve">Au cours des neuf premiers mois de 2019, les inspecteurs du travail, lors des contrôles </w:t>
      </w:r>
      <w:r>
        <w:rPr>
          <w:lang w:val="fr-FR"/>
        </w:rPr>
        <w:t xml:space="preserve">qu’ils ont effectués </w:t>
      </w:r>
      <w:r w:rsidRPr="00466CE7">
        <w:rPr>
          <w:lang w:val="fr-FR"/>
        </w:rPr>
        <w:t>et des 64</w:t>
      </w:r>
      <w:r w:rsidR="00BF2869">
        <w:rPr>
          <w:lang w:val="fr-FR"/>
        </w:rPr>
        <w:t> </w:t>
      </w:r>
      <w:r w:rsidRPr="00466CE7">
        <w:rPr>
          <w:lang w:val="fr-FR"/>
        </w:rPr>
        <w:t xml:space="preserve">descentes </w:t>
      </w:r>
      <w:r>
        <w:rPr>
          <w:lang w:val="fr-FR"/>
        </w:rPr>
        <w:t xml:space="preserve">qu’ils ont menées conjointement avec </w:t>
      </w:r>
      <w:r w:rsidRPr="00466CE7">
        <w:rPr>
          <w:lang w:val="fr-FR"/>
        </w:rPr>
        <w:t>les forces de l</w:t>
      </w:r>
      <w:r>
        <w:rPr>
          <w:lang w:val="fr-FR"/>
        </w:rPr>
        <w:t>’</w:t>
      </w:r>
      <w:r w:rsidRPr="00466CE7">
        <w:rPr>
          <w:lang w:val="fr-FR"/>
        </w:rPr>
        <w:t>ordre et les services sociaux, ont identifié 229</w:t>
      </w:r>
      <w:r w:rsidR="00BF2869">
        <w:rPr>
          <w:lang w:val="fr-FR"/>
        </w:rPr>
        <w:t> </w:t>
      </w:r>
      <w:r w:rsidRPr="00466CE7">
        <w:rPr>
          <w:lang w:val="fr-FR"/>
        </w:rPr>
        <w:t>personnes de moins de 18</w:t>
      </w:r>
      <w:r w:rsidR="00BF2869">
        <w:rPr>
          <w:lang w:val="fr-FR"/>
        </w:rPr>
        <w:t> </w:t>
      </w:r>
      <w:r w:rsidRPr="00466CE7">
        <w:rPr>
          <w:lang w:val="fr-FR"/>
        </w:rPr>
        <w:t>ans</w:t>
      </w:r>
      <w:r>
        <w:rPr>
          <w:lang w:val="fr-FR"/>
        </w:rPr>
        <w:t xml:space="preserve"> qui</w:t>
      </w:r>
      <w:r w:rsidRPr="00466CE7">
        <w:rPr>
          <w:lang w:val="fr-FR"/>
        </w:rPr>
        <w:t xml:space="preserve"> </w:t>
      </w:r>
      <w:r>
        <w:rPr>
          <w:lang w:val="fr-FR"/>
        </w:rPr>
        <w:t xml:space="preserve">travaillaient </w:t>
      </w:r>
      <w:r w:rsidRPr="00466CE7">
        <w:rPr>
          <w:lang w:val="fr-FR"/>
        </w:rPr>
        <w:t xml:space="preserve">dans des conditions nocives et </w:t>
      </w:r>
      <w:r>
        <w:rPr>
          <w:lang w:val="fr-FR"/>
        </w:rPr>
        <w:t>pénibles</w:t>
      </w:r>
      <w:r w:rsidRPr="00466CE7">
        <w:rPr>
          <w:lang w:val="fr-FR"/>
        </w:rPr>
        <w:t xml:space="preserve"> </w:t>
      </w:r>
      <w:r>
        <w:rPr>
          <w:lang w:val="fr-FR"/>
        </w:rPr>
        <w:t xml:space="preserve">susceptibles de </w:t>
      </w:r>
      <w:r w:rsidRPr="00466CE7">
        <w:rPr>
          <w:lang w:val="fr-FR"/>
        </w:rPr>
        <w:t xml:space="preserve">nuire à leur santé </w:t>
      </w:r>
      <w:r>
        <w:rPr>
          <w:lang w:val="fr-FR"/>
        </w:rPr>
        <w:t xml:space="preserve">et à leur développement moral, dont </w:t>
      </w:r>
      <w:r w:rsidRPr="00466CE7">
        <w:rPr>
          <w:lang w:val="fr-FR"/>
        </w:rPr>
        <w:t>6</w:t>
      </w:r>
      <w:r w:rsidR="00BF2869">
        <w:rPr>
          <w:lang w:val="fr-FR"/>
        </w:rPr>
        <w:t> </w:t>
      </w:r>
      <w:r w:rsidRPr="00466CE7">
        <w:rPr>
          <w:lang w:val="fr-FR"/>
        </w:rPr>
        <w:t xml:space="preserve">garçons </w:t>
      </w:r>
      <w:r>
        <w:rPr>
          <w:lang w:val="fr-FR"/>
        </w:rPr>
        <w:t xml:space="preserve">(et aucune fille) </w:t>
      </w:r>
      <w:r w:rsidRPr="00466CE7">
        <w:rPr>
          <w:lang w:val="fr-FR"/>
        </w:rPr>
        <w:t>de moins de 14</w:t>
      </w:r>
      <w:r w:rsidR="00BF2869">
        <w:rPr>
          <w:lang w:val="fr-FR"/>
        </w:rPr>
        <w:t> </w:t>
      </w:r>
      <w:r w:rsidRPr="00466CE7">
        <w:rPr>
          <w:lang w:val="fr-FR"/>
        </w:rPr>
        <w:t>ans</w:t>
      </w:r>
      <w:r>
        <w:rPr>
          <w:lang w:val="fr-FR"/>
        </w:rPr>
        <w:t xml:space="preserve">, et </w:t>
      </w:r>
      <w:r w:rsidRPr="00466CE7">
        <w:rPr>
          <w:lang w:val="fr-FR"/>
        </w:rPr>
        <w:t>203</w:t>
      </w:r>
      <w:r w:rsidR="00BF2869">
        <w:rPr>
          <w:lang w:val="fr-FR"/>
        </w:rPr>
        <w:t> </w:t>
      </w:r>
      <w:r>
        <w:rPr>
          <w:lang w:val="fr-FR"/>
        </w:rPr>
        <w:t xml:space="preserve">garçons et </w:t>
      </w:r>
      <w:r w:rsidRPr="00466CE7">
        <w:rPr>
          <w:lang w:val="fr-FR"/>
        </w:rPr>
        <w:t>20</w:t>
      </w:r>
      <w:r w:rsidR="00BF2869">
        <w:rPr>
          <w:lang w:val="fr-FR"/>
        </w:rPr>
        <w:t> </w:t>
      </w:r>
      <w:r>
        <w:rPr>
          <w:lang w:val="fr-FR"/>
        </w:rPr>
        <w:t xml:space="preserve">filles </w:t>
      </w:r>
      <w:r w:rsidRPr="00466CE7">
        <w:rPr>
          <w:lang w:val="fr-FR"/>
        </w:rPr>
        <w:t>de plus de 14</w:t>
      </w:r>
      <w:r w:rsidR="00BF2869">
        <w:rPr>
          <w:lang w:val="fr-FR"/>
        </w:rPr>
        <w:t> </w:t>
      </w:r>
      <w:r w:rsidRPr="00466CE7">
        <w:rPr>
          <w:lang w:val="fr-FR"/>
        </w:rPr>
        <w:t>ans.</w:t>
      </w:r>
    </w:p>
    <w:p w14:paraId="452FB5F5" w14:textId="2BFE2271" w:rsidR="009C6834" w:rsidRPr="00466CE7" w:rsidRDefault="009C6834" w:rsidP="009C6834">
      <w:pPr>
        <w:pStyle w:val="SingleTxtG"/>
        <w:rPr>
          <w:lang w:val="fr-FR"/>
        </w:rPr>
      </w:pPr>
      <w:r w:rsidRPr="00466CE7">
        <w:rPr>
          <w:lang w:val="fr-FR"/>
        </w:rPr>
        <w:t>165.</w:t>
      </w:r>
      <w:r w:rsidRPr="00466CE7">
        <w:rPr>
          <w:lang w:val="fr-FR"/>
        </w:rPr>
        <w:tab/>
        <w:t xml:space="preserve">Au cours des neuf premiers mois de 2019, </w:t>
      </w:r>
      <w:r>
        <w:rPr>
          <w:lang w:val="fr-FR"/>
        </w:rPr>
        <w:t xml:space="preserve">l’Inspection nationale de la sécurité écologique et technique relevant du </w:t>
      </w:r>
      <w:r w:rsidR="009250F6">
        <w:rPr>
          <w:lang w:val="fr-FR"/>
        </w:rPr>
        <w:t>Gouvernement</w:t>
      </w:r>
      <w:r w:rsidR="009250F6" w:rsidRPr="00466CE7">
        <w:rPr>
          <w:lang w:val="fr-FR"/>
        </w:rPr>
        <w:t xml:space="preserve"> </w:t>
      </w:r>
      <w:r w:rsidRPr="00466CE7">
        <w:rPr>
          <w:lang w:val="fr-FR"/>
        </w:rPr>
        <w:t>n</w:t>
      </w:r>
      <w:r>
        <w:rPr>
          <w:lang w:val="fr-FR"/>
        </w:rPr>
        <w:t>’</w:t>
      </w:r>
      <w:r w:rsidRPr="00466CE7">
        <w:rPr>
          <w:lang w:val="fr-FR"/>
        </w:rPr>
        <w:t xml:space="preserve">a </w:t>
      </w:r>
      <w:r>
        <w:rPr>
          <w:lang w:val="fr-FR"/>
        </w:rPr>
        <w:t xml:space="preserve">constaté aucun </w:t>
      </w:r>
      <w:r w:rsidRPr="00466CE7">
        <w:rPr>
          <w:lang w:val="fr-FR"/>
        </w:rPr>
        <w:t xml:space="preserve">cas de travail forcé </w:t>
      </w:r>
      <w:r>
        <w:rPr>
          <w:lang w:val="fr-FR"/>
        </w:rPr>
        <w:t xml:space="preserve">impliquant des personnes </w:t>
      </w:r>
      <w:r w:rsidRPr="00466CE7">
        <w:rPr>
          <w:lang w:val="fr-FR"/>
        </w:rPr>
        <w:t>de moins de 18</w:t>
      </w:r>
      <w:r w:rsidR="00BF2869">
        <w:rPr>
          <w:lang w:val="fr-FR"/>
        </w:rPr>
        <w:t> </w:t>
      </w:r>
      <w:r w:rsidRPr="00466CE7">
        <w:rPr>
          <w:lang w:val="fr-FR"/>
        </w:rPr>
        <w:t>ans.</w:t>
      </w:r>
    </w:p>
    <w:p w14:paraId="52645CEE" w14:textId="02FD8AAF" w:rsidR="009C6834" w:rsidRPr="00466CE7" w:rsidRDefault="009C6834" w:rsidP="00BF2869">
      <w:pPr>
        <w:pStyle w:val="H1G"/>
        <w:rPr>
          <w:lang w:val="fr-FR"/>
        </w:rPr>
      </w:pPr>
      <w:r w:rsidRPr="00466CE7">
        <w:rPr>
          <w:lang w:val="fr-FR"/>
        </w:rPr>
        <w:tab/>
      </w:r>
      <w:r w:rsidRPr="00466CE7">
        <w:rPr>
          <w:lang w:val="fr-FR"/>
        </w:rPr>
        <w:tab/>
      </w:r>
      <w:r w:rsidR="00CB4ECD">
        <w:rPr>
          <w:lang w:val="fr-FR"/>
        </w:rPr>
        <w:t>Article </w:t>
      </w:r>
      <w:r>
        <w:rPr>
          <w:lang w:val="fr-FR"/>
        </w:rPr>
        <w:t>15</w:t>
      </w:r>
      <w:r>
        <w:rPr>
          <w:lang w:val="fr-FR"/>
        </w:rPr>
        <w:br/>
        <w:t>Accès à la sécurité sociale</w:t>
      </w:r>
    </w:p>
    <w:p w14:paraId="6F4E09FF" w14:textId="77777777" w:rsidR="009C6834" w:rsidRPr="00466CE7" w:rsidRDefault="009C6834" w:rsidP="009C6834">
      <w:pPr>
        <w:pStyle w:val="SingleTxtG"/>
        <w:rPr>
          <w:lang w:val="fr-FR"/>
        </w:rPr>
      </w:pPr>
      <w:r w:rsidRPr="00466CE7">
        <w:rPr>
          <w:lang w:val="fr-FR"/>
        </w:rPr>
        <w:t>166.</w:t>
      </w:r>
      <w:r w:rsidRPr="00466CE7">
        <w:rPr>
          <w:lang w:val="fr-FR"/>
        </w:rPr>
        <w:tab/>
        <w:t xml:space="preserve">Conformément à la législation </w:t>
      </w:r>
      <w:r>
        <w:rPr>
          <w:lang w:val="fr-FR"/>
        </w:rPr>
        <w:t xml:space="preserve">relative aux </w:t>
      </w:r>
      <w:r w:rsidRPr="00466CE7">
        <w:rPr>
          <w:lang w:val="fr-FR"/>
        </w:rPr>
        <w:t>pension</w:t>
      </w:r>
      <w:r>
        <w:rPr>
          <w:lang w:val="fr-FR"/>
        </w:rPr>
        <w:t>s</w:t>
      </w:r>
      <w:r w:rsidRPr="00466CE7">
        <w:rPr>
          <w:lang w:val="fr-FR"/>
        </w:rPr>
        <w:t xml:space="preserve">, les </w:t>
      </w:r>
      <w:r>
        <w:rPr>
          <w:lang w:val="fr-FR"/>
        </w:rPr>
        <w:t xml:space="preserve">ressortissants kirghizes, les </w:t>
      </w:r>
      <w:r w:rsidRPr="00466CE7">
        <w:rPr>
          <w:lang w:val="fr-FR"/>
        </w:rPr>
        <w:t xml:space="preserve">étrangers et les apatrides résidant dans la République </w:t>
      </w:r>
      <w:r>
        <w:rPr>
          <w:lang w:val="fr-FR"/>
        </w:rPr>
        <w:t xml:space="preserve">kirghize </w:t>
      </w:r>
      <w:r w:rsidRPr="00466CE7">
        <w:rPr>
          <w:lang w:val="fr-FR"/>
        </w:rPr>
        <w:t>et</w:t>
      </w:r>
      <w:r>
        <w:rPr>
          <w:lang w:val="fr-FR"/>
        </w:rPr>
        <w:t xml:space="preserve"> cotisant au régime </w:t>
      </w:r>
      <w:r w:rsidRPr="00466CE7">
        <w:rPr>
          <w:lang w:val="fr-FR"/>
        </w:rPr>
        <w:t>d</w:t>
      </w:r>
      <w:r>
        <w:rPr>
          <w:lang w:val="fr-FR"/>
        </w:rPr>
        <w:t>’</w:t>
      </w:r>
      <w:r w:rsidRPr="00466CE7">
        <w:rPr>
          <w:lang w:val="fr-FR"/>
        </w:rPr>
        <w:t xml:space="preserve">assurance </w:t>
      </w:r>
      <w:r>
        <w:rPr>
          <w:lang w:val="fr-FR"/>
        </w:rPr>
        <w:t xml:space="preserve">vieillesse </w:t>
      </w:r>
      <w:r w:rsidRPr="00466CE7">
        <w:rPr>
          <w:lang w:val="fr-FR"/>
        </w:rPr>
        <w:t>ont droit à une pension.</w:t>
      </w:r>
    </w:p>
    <w:p w14:paraId="1FE27F4A" w14:textId="64CCBF1B" w:rsidR="009C6834" w:rsidRPr="00466CE7" w:rsidRDefault="009C6834" w:rsidP="009C6834">
      <w:pPr>
        <w:pStyle w:val="SingleTxtG"/>
        <w:rPr>
          <w:lang w:val="fr-FR"/>
        </w:rPr>
      </w:pPr>
      <w:r w:rsidRPr="00466CE7">
        <w:rPr>
          <w:lang w:val="fr-FR"/>
        </w:rPr>
        <w:t>167.</w:t>
      </w:r>
      <w:r w:rsidRPr="00466CE7">
        <w:rPr>
          <w:lang w:val="fr-FR"/>
        </w:rPr>
        <w:tab/>
        <w:t xml:space="preserve">Le </w:t>
      </w:r>
      <w:r w:rsidR="009250F6" w:rsidRPr="00466CE7">
        <w:rPr>
          <w:lang w:val="fr-FR"/>
        </w:rPr>
        <w:t xml:space="preserve">Gouvernement </w:t>
      </w:r>
      <w:r w:rsidRPr="00466CE7">
        <w:rPr>
          <w:lang w:val="fr-FR"/>
        </w:rPr>
        <w:t xml:space="preserve">a adopté et mis en œuvre un programme </w:t>
      </w:r>
      <w:r>
        <w:rPr>
          <w:lang w:val="fr-FR"/>
        </w:rPr>
        <w:t>pour le</w:t>
      </w:r>
      <w:r w:rsidRPr="00466CE7">
        <w:rPr>
          <w:lang w:val="fr-FR"/>
        </w:rPr>
        <w:t xml:space="preserve"> développement de la protection sociale de la population pour</w:t>
      </w:r>
      <w:r>
        <w:rPr>
          <w:lang w:val="fr-FR"/>
        </w:rPr>
        <w:t xml:space="preserve"> la période</w:t>
      </w:r>
      <w:r w:rsidRPr="00466CE7">
        <w:rPr>
          <w:lang w:val="fr-FR"/>
        </w:rPr>
        <w:t xml:space="preserve"> 2015-2017.</w:t>
      </w:r>
    </w:p>
    <w:p w14:paraId="4F39F2E7" w14:textId="452DAA62" w:rsidR="009C6834" w:rsidRPr="00466CE7" w:rsidRDefault="009C6834" w:rsidP="009C6834">
      <w:pPr>
        <w:pStyle w:val="SingleTxtG"/>
        <w:rPr>
          <w:lang w:val="fr-FR"/>
        </w:rPr>
      </w:pPr>
      <w:r w:rsidRPr="00466CE7">
        <w:rPr>
          <w:lang w:val="fr-FR"/>
        </w:rPr>
        <w:t>168.</w:t>
      </w:r>
      <w:r w:rsidRPr="00466CE7">
        <w:rPr>
          <w:lang w:val="fr-FR"/>
        </w:rPr>
        <w:tab/>
        <w:t>Le programme gouvernemental de soutien aux familles et de protection de</w:t>
      </w:r>
      <w:r>
        <w:rPr>
          <w:lang w:val="fr-FR"/>
        </w:rPr>
        <w:t>s enfants</w:t>
      </w:r>
      <w:r w:rsidRPr="00466CE7">
        <w:rPr>
          <w:lang w:val="fr-FR"/>
        </w:rPr>
        <w:t xml:space="preserve"> pour </w:t>
      </w:r>
      <w:r>
        <w:rPr>
          <w:lang w:val="fr-FR"/>
        </w:rPr>
        <w:t xml:space="preserve">la période </w:t>
      </w:r>
      <w:r w:rsidRPr="00466CE7">
        <w:rPr>
          <w:lang w:val="fr-FR"/>
        </w:rPr>
        <w:t xml:space="preserve">2018-2028 a été approuvé par </w:t>
      </w:r>
      <w:r>
        <w:rPr>
          <w:lang w:val="fr-FR"/>
        </w:rPr>
        <w:t>une décision</w:t>
      </w:r>
      <w:r w:rsidRPr="00466CE7">
        <w:rPr>
          <w:lang w:val="fr-FR"/>
        </w:rPr>
        <w:t xml:space="preserve"> </w:t>
      </w:r>
      <w:r>
        <w:rPr>
          <w:lang w:val="fr-FR"/>
        </w:rPr>
        <w:t xml:space="preserve">du </w:t>
      </w:r>
      <w:r w:rsidR="009250F6">
        <w:rPr>
          <w:lang w:val="fr-FR"/>
        </w:rPr>
        <w:t xml:space="preserve">Gouvernement </w:t>
      </w:r>
      <w:r>
        <w:rPr>
          <w:lang w:val="fr-FR"/>
        </w:rPr>
        <w:t xml:space="preserve">en </w:t>
      </w:r>
      <w:r w:rsidRPr="00466CE7">
        <w:rPr>
          <w:lang w:val="fr-FR"/>
        </w:rPr>
        <w:t>2017.</w:t>
      </w:r>
    </w:p>
    <w:p w14:paraId="7D286A85" w14:textId="39C6CF27" w:rsidR="009C6834" w:rsidRDefault="009C6834" w:rsidP="009C6834">
      <w:pPr>
        <w:pStyle w:val="SingleTxtG"/>
        <w:rPr>
          <w:lang w:val="fr-FR"/>
        </w:rPr>
      </w:pPr>
      <w:r w:rsidRPr="00466CE7">
        <w:rPr>
          <w:lang w:val="fr-FR"/>
        </w:rPr>
        <w:t>169.</w:t>
      </w:r>
      <w:r w:rsidRPr="00466CE7">
        <w:rPr>
          <w:lang w:val="fr-FR"/>
        </w:rPr>
        <w:tab/>
        <w:t xml:space="preserve">Conformément à la loi </w:t>
      </w:r>
      <w:r>
        <w:rPr>
          <w:lang w:val="fr-FR"/>
        </w:rPr>
        <w:t>relative à la commande publique</w:t>
      </w:r>
      <w:r w:rsidRPr="00466CE7">
        <w:rPr>
          <w:lang w:val="fr-FR"/>
        </w:rPr>
        <w:t xml:space="preserve">, </w:t>
      </w:r>
      <w:r>
        <w:rPr>
          <w:lang w:val="fr-FR"/>
        </w:rPr>
        <w:t>21</w:t>
      </w:r>
      <w:r w:rsidR="00BF2869">
        <w:rPr>
          <w:lang w:val="fr-FR"/>
        </w:rPr>
        <w:t> </w:t>
      </w:r>
      <w:r>
        <w:rPr>
          <w:lang w:val="fr-FR"/>
        </w:rPr>
        <w:t>c</w:t>
      </w:r>
      <w:r w:rsidRPr="00466CE7">
        <w:rPr>
          <w:lang w:val="fr-FR"/>
        </w:rPr>
        <w:t xml:space="preserve">entres de services sociaux </w:t>
      </w:r>
      <w:r>
        <w:rPr>
          <w:lang w:val="fr-FR"/>
        </w:rPr>
        <w:t xml:space="preserve">pour les </w:t>
      </w:r>
      <w:r w:rsidRPr="00466CE7">
        <w:rPr>
          <w:lang w:val="fr-FR"/>
        </w:rPr>
        <w:t xml:space="preserve">familles et </w:t>
      </w:r>
      <w:r>
        <w:rPr>
          <w:lang w:val="fr-FR"/>
        </w:rPr>
        <w:t xml:space="preserve">les </w:t>
      </w:r>
      <w:r w:rsidRPr="00466CE7">
        <w:rPr>
          <w:lang w:val="fr-FR"/>
        </w:rPr>
        <w:t xml:space="preserve">enfants </w:t>
      </w:r>
      <w:r>
        <w:rPr>
          <w:lang w:val="fr-FR"/>
        </w:rPr>
        <w:t xml:space="preserve">vivant dans des conditions </w:t>
      </w:r>
      <w:r w:rsidRPr="00466CE7">
        <w:rPr>
          <w:lang w:val="fr-FR"/>
        </w:rPr>
        <w:t>difficile</w:t>
      </w:r>
      <w:r>
        <w:rPr>
          <w:lang w:val="fr-FR"/>
        </w:rPr>
        <w:t>s</w:t>
      </w:r>
      <w:r w:rsidRPr="00466CE7">
        <w:rPr>
          <w:lang w:val="fr-FR"/>
        </w:rPr>
        <w:t xml:space="preserve"> ont été créés </w:t>
      </w:r>
      <w:r>
        <w:rPr>
          <w:lang w:val="fr-FR"/>
        </w:rPr>
        <w:t xml:space="preserve">au cours de la période </w:t>
      </w:r>
      <w:r w:rsidRPr="00466CE7">
        <w:rPr>
          <w:lang w:val="fr-FR"/>
        </w:rPr>
        <w:t>2014</w:t>
      </w:r>
      <w:r>
        <w:rPr>
          <w:lang w:val="fr-FR"/>
        </w:rPr>
        <w:t>-</w:t>
      </w:r>
      <w:r w:rsidRPr="00466CE7">
        <w:rPr>
          <w:lang w:val="fr-FR"/>
        </w:rPr>
        <w:t>2016</w:t>
      </w:r>
      <w:r>
        <w:rPr>
          <w:lang w:val="fr-FR"/>
        </w:rPr>
        <w:t> ;</w:t>
      </w:r>
      <w:r w:rsidRPr="00466CE7">
        <w:rPr>
          <w:lang w:val="fr-FR"/>
        </w:rPr>
        <w:t xml:space="preserve"> 11</w:t>
      </w:r>
      <w:r w:rsidR="00BF2869">
        <w:rPr>
          <w:lang w:val="fr-FR"/>
        </w:rPr>
        <w:t> </w:t>
      </w:r>
      <w:r w:rsidRPr="00466CE7">
        <w:rPr>
          <w:lang w:val="fr-FR"/>
        </w:rPr>
        <w:t>460</w:t>
      </w:r>
      <w:r w:rsidR="00BF2869">
        <w:rPr>
          <w:lang w:val="fr-FR"/>
        </w:rPr>
        <w:t> </w:t>
      </w:r>
      <w:r w:rsidRPr="00466CE7">
        <w:rPr>
          <w:lang w:val="fr-FR"/>
        </w:rPr>
        <w:t xml:space="preserve">personnes ont bénéficié de </w:t>
      </w:r>
      <w:r>
        <w:rPr>
          <w:lang w:val="fr-FR"/>
        </w:rPr>
        <w:t xml:space="preserve">leurs </w:t>
      </w:r>
      <w:r w:rsidRPr="00466CE7">
        <w:rPr>
          <w:lang w:val="fr-FR"/>
        </w:rPr>
        <w:t>services.</w:t>
      </w:r>
    </w:p>
    <w:p w14:paraId="128B7205" w14:textId="4AFBBD3C" w:rsidR="009C6834" w:rsidRPr="00466CE7" w:rsidRDefault="009C6834" w:rsidP="00BF2869">
      <w:pPr>
        <w:pStyle w:val="SingleTxtG"/>
        <w:keepNext/>
        <w:rPr>
          <w:lang w:val="fr-FR"/>
        </w:rPr>
      </w:pPr>
      <w:r w:rsidRPr="00466CE7">
        <w:rPr>
          <w:lang w:val="fr-FR"/>
        </w:rPr>
        <w:t>170.</w:t>
      </w:r>
      <w:r w:rsidRPr="00466CE7">
        <w:rPr>
          <w:lang w:val="fr-FR"/>
        </w:rPr>
        <w:tab/>
      </w:r>
      <w:r>
        <w:rPr>
          <w:lang w:val="fr-FR"/>
        </w:rPr>
        <w:t xml:space="preserve">Au </w:t>
      </w:r>
      <w:r w:rsidRPr="00466CE7">
        <w:rPr>
          <w:lang w:val="fr-FR"/>
        </w:rPr>
        <w:t>1</w:t>
      </w:r>
      <w:r w:rsidRPr="00BF2869">
        <w:rPr>
          <w:vertAlign w:val="superscript"/>
          <w:lang w:val="fr-FR"/>
        </w:rPr>
        <w:t>er</w:t>
      </w:r>
      <w:r w:rsidR="00BF2869">
        <w:rPr>
          <w:lang w:val="fr-FR"/>
        </w:rPr>
        <w:t> </w:t>
      </w:r>
      <w:r w:rsidRPr="00466CE7">
        <w:rPr>
          <w:lang w:val="fr-FR"/>
        </w:rPr>
        <w:t>janvier 2020</w:t>
      </w:r>
      <w:r>
        <w:rPr>
          <w:lang w:val="fr-FR"/>
        </w:rPr>
        <w:t> :</w:t>
      </w:r>
    </w:p>
    <w:p w14:paraId="0AA1ED7B" w14:textId="6410C163" w:rsidR="009C6834" w:rsidRPr="005D0263" w:rsidRDefault="00BF2869" w:rsidP="00BF2869">
      <w:pPr>
        <w:pStyle w:val="Bullet1G"/>
        <w:rPr>
          <w:lang w:val="fr-FR"/>
        </w:rPr>
      </w:pPr>
      <w:r>
        <w:rPr>
          <w:lang w:val="fr-FR"/>
        </w:rPr>
        <w:t>L</w:t>
      </w:r>
      <w:r w:rsidRPr="005D0263">
        <w:rPr>
          <w:lang w:val="fr-FR"/>
        </w:rPr>
        <w:t xml:space="preserve">e </w:t>
      </w:r>
      <w:r w:rsidR="009C6834" w:rsidRPr="005D0263">
        <w:rPr>
          <w:lang w:val="fr-FR"/>
        </w:rPr>
        <w:t xml:space="preserve">nombre de retraités </w:t>
      </w:r>
      <w:r w:rsidR="009C6834">
        <w:rPr>
          <w:lang w:val="fr-FR"/>
        </w:rPr>
        <w:t xml:space="preserve">s’élevait à </w:t>
      </w:r>
      <w:r w:rsidR="009C6834" w:rsidRPr="005D0263">
        <w:rPr>
          <w:lang w:val="fr-FR"/>
        </w:rPr>
        <w:t>670</w:t>
      </w:r>
      <w:r>
        <w:rPr>
          <w:lang w:val="fr-FR"/>
        </w:rPr>
        <w:t> </w:t>
      </w:r>
      <w:r w:rsidR="009C6834" w:rsidRPr="005D0263">
        <w:rPr>
          <w:lang w:val="fr-FR"/>
        </w:rPr>
        <w:t>400, soit 19</w:t>
      </w:r>
      <w:r>
        <w:rPr>
          <w:lang w:val="fr-FR"/>
        </w:rPr>
        <w:t> </w:t>
      </w:r>
      <w:r w:rsidR="009C6834" w:rsidRPr="005D0263">
        <w:rPr>
          <w:lang w:val="fr-FR"/>
        </w:rPr>
        <w:t>200 de plus (3</w:t>
      </w:r>
      <w:r w:rsidR="00CB4ECD">
        <w:rPr>
          <w:lang w:val="fr-FR"/>
        </w:rPr>
        <w:t> %</w:t>
      </w:r>
      <w:r w:rsidR="009C6834" w:rsidRPr="005D0263">
        <w:rPr>
          <w:lang w:val="fr-FR"/>
        </w:rPr>
        <w:t>) qu</w:t>
      </w:r>
      <w:r w:rsidR="009C6834">
        <w:rPr>
          <w:lang w:val="fr-FR"/>
        </w:rPr>
        <w:t>’</w:t>
      </w:r>
      <w:r w:rsidR="009C6834" w:rsidRPr="005D0263">
        <w:rPr>
          <w:lang w:val="fr-FR"/>
        </w:rPr>
        <w:t>en 2018 (651 200)</w:t>
      </w:r>
      <w:r>
        <w:rPr>
          <w:lang w:val="fr-FR"/>
        </w:rPr>
        <w:t> </w:t>
      </w:r>
      <w:r w:rsidR="009C6834" w:rsidRPr="005D0263">
        <w:rPr>
          <w:lang w:val="fr-FR"/>
        </w:rPr>
        <w:t>;</w:t>
      </w:r>
    </w:p>
    <w:p w14:paraId="01203BFD" w14:textId="48180277" w:rsidR="009C6834" w:rsidRPr="005D0263" w:rsidRDefault="00BF2869" w:rsidP="00BF2869">
      <w:pPr>
        <w:pStyle w:val="Bullet1G"/>
        <w:rPr>
          <w:lang w:val="fr-FR"/>
        </w:rPr>
      </w:pPr>
      <w:r>
        <w:rPr>
          <w:lang w:val="fr-FR"/>
        </w:rPr>
        <w:t>L</w:t>
      </w:r>
      <w:r w:rsidRPr="005D0263">
        <w:rPr>
          <w:lang w:val="fr-FR"/>
        </w:rPr>
        <w:t xml:space="preserve">a </w:t>
      </w:r>
      <w:r w:rsidR="009C6834" w:rsidRPr="005D0263">
        <w:rPr>
          <w:lang w:val="fr-FR"/>
        </w:rPr>
        <w:t>pension moyenne était de 5</w:t>
      </w:r>
      <w:r>
        <w:rPr>
          <w:lang w:val="fr-FR"/>
        </w:rPr>
        <w:t> </w:t>
      </w:r>
      <w:r w:rsidR="009C6834" w:rsidRPr="005D0263">
        <w:rPr>
          <w:lang w:val="fr-FR"/>
        </w:rPr>
        <w:t>786</w:t>
      </w:r>
      <w:r>
        <w:rPr>
          <w:lang w:val="fr-FR"/>
        </w:rPr>
        <w:t> </w:t>
      </w:r>
      <w:proofErr w:type="spellStart"/>
      <w:r w:rsidR="009C6834" w:rsidRPr="005D0263">
        <w:rPr>
          <w:lang w:val="fr-FR"/>
        </w:rPr>
        <w:t>soms</w:t>
      </w:r>
      <w:proofErr w:type="spellEnd"/>
      <w:r w:rsidR="009C6834" w:rsidRPr="005D0263">
        <w:rPr>
          <w:lang w:val="fr-FR"/>
        </w:rPr>
        <w:t>, soit 135</w:t>
      </w:r>
      <w:r w:rsidR="00CB4ECD">
        <w:rPr>
          <w:lang w:val="fr-FR"/>
        </w:rPr>
        <w:t> %</w:t>
      </w:r>
      <w:r w:rsidR="009C6834" w:rsidRPr="005D0263">
        <w:rPr>
          <w:lang w:val="fr-FR"/>
        </w:rPr>
        <w:t xml:space="preserve"> du minimum vital </w:t>
      </w:r>
      <w:r w:rsidR="009C6834">
        <w:rPr>
          <w:lang w:val="fr-FR"/>
        </w:rPr>
        <w:t xml:space="preserve">des </w:t>
      </w:r>
      <w:r w:rsidR="009C6834" w:rsidRPr="005D0263">
        <w:rPr>
          <w:lang w:val="fr-FR"/>
        </w:rPr>
        <w:t>retraité</w:t>
      </w:r>
      <w:r w:rsidR="009C6834">
        <w:rPr>
          <w:lang w:val="fr-FR"/>
        </w:rPr>
        <w:t>s</w:t>
      </w:r>
      <w:r w:rsidR="009C6834" w:rsidRPr="005D0263">
        <w:rPr>
          <w:lang w:val="fr-FR"/>
        </w:rPr>
        <w:t>, ce qui représente une augmentation de 3,2</w:t>
      </w:r>
      <w:r w:rsidR="00CB4ECD">
        <w:rPr>
          <w:lang w:val="fr-FR"/>
        </w:rPr>
        <w:t> %</w:t>
      </w:r>
      <w:r w:rsidR="009C6834" w:rsidRPr="005D0263">
        <w:rPr>
          <w:lang w:val="fr-FR"/>
        </w:rPr>
        <w:t xml:space="preserve"> par rapport au chiffre du 1</w:t>
      </w:r>
      <w:r w:rsidR="009C6834" w:rsidRPr="00BF2869">
        <w:rPr>
          <w:vertAlign w:val="superscript"/>
          <w:lang w:val="fr-FR"/>
        </w:rPr>
        <w:t>er</w:t>
      </w:r>
      <w:r>
        <w:rPr>
          <w:lang w:val="fr-FR"/>
        </w:rPr>
        <w:t> </w:t>
      </w:r>
      <w:r w:rsidR="009C6834" w:rsidRPr="005D0263">
        <w:rPr>
          <w:lang w:val="fr-FR"/>
        </w:rPr>
        <w:t>janvier 2019</w:t>
      </w:r>
      <w:r>
        <w:rPr>
          <w:lang w:val="fr-FR"/>
        </w:rPr>
        <w:t> </w:t>
      </w:r>
      <w:r w:rsidR="009C6834" w:rsidRPr="005D0263">
        <w:rPr>
          <w:lang w:val="fr-FR"/>
        </w:rPr>
        <w:t>;</w:t>
      </w:r>
    </w:p>
    <w:p w14:paraId="4CAA0425" w14:textId="5485B497" w:rsidR="009C6834" w:rsidRPr="005D0263" w:rsidRDefault="00BF2869" w:rsidP="00BF2869">
      <w:pPr>
        <w:pStyle w:val="Bullet1G"/>
        <w:rPr>
          <w:lang w:val="fr-FR"/>
        </w:rPr>
      </w:pPr>
      <w:r>
        <w:rPr>
          <w:lang w:val="fr-FR"/>
        </w:rPr>
        <w:t>L</w:t>
      </w:r>
      <w:r w:rsidRPr="005D0263">
        <w:rPr>
          <w:lang w:val="fr-FR"/>
        </w:rPr>
        <w:t xml:space="preserve">e </w:t>
      </w:r>
      <w:r w:rsidR="009C6834" w:rsidRPr="005D0263">
        <w:rPr>
          <w:lang w:val="fr-FR"/>
        </w:rPr>
        <w:t>nombre de femmes retraitées enregistrées auprès du Fonds social s</w:t>
      </w:r>
      <w:r w:rsidR="009C6834">
        <w:rPr>
          <w:lang w:val="fr-FR"/>
        </w:rPr>
        <w:t>’</w:t>
      </w:r>
      <w:r w:rsidR="009C6834" w:rsidRPr="005D0263">
        <w:rPr>
          <w:lang w:val="fr-FR"/>
        </w:rPr>
        <w:t>élevait à 449</w:t>
      </w:r>
      <w:r>
        <w:rPr>
          <w:lang w:val="fr-FR"/>
        </w:rPr>
        <w:t> </w:t>
      </w:r>
      <w:r w:rsidR="009C6834" w:rsidRPr="005D0263">
        <w:rPr>
          <w:lang w:val="fr-FR"/>
        </w:rPr>
        <w:t>600, soit 67,1</w:t>
      </w:r>
      <w:r w:rsidR="00CB4ECD">
        <w:rPr>
          <w:lang w:val="fr-FR"/>
        </w:rPr>
        <w:t> %</w:t>
      </w:r>
      <w:r w:rsidR="009C6834" w:rsidRPr="005D0263">
        <w:rPr>
          <w:lang w:val="fr-FR"/>
        </w:rPr>
        <w:t xml:space="preserve"> du nombre total de retraités.</w:t>
      </w:r>
    </w:p>
    <w:p w14:paraId="316DD1DD" w14:textId="58C82A19" w:rsidR="009C6834" w:rsidRPr="00466CE7" w:rsidRDefault="009C6834" w:rsidP="00E1792A">
      <w:pPr>
        <w:pStyle w:val="SingleTxtG"/>
        <w:keepLines/>
        <w:rPr>
          <w:lang w:val="fr-FR"/>
        </w:rPr>
      </w:pPr>
      <w:r w:rsidRPr="00466CE7">
        <w:rPr>
          <w:lang w:val="fr-FR"/>
        </w:rPr>
        <w:lastRenderedPageBreak/>
        <w:t>171.</w:t>
      </w:r>
      <w:r w:rsidRPr="00466CE7">
        <w:rPr>
          <w:lang w:val="fr-FR"/>
        </w:rPr>
        <w:tab/>
        <w:t xml:space="preserve">Afin </w:t>
      </w:r>
      <w:r>
        <w:rPr>
          <w:lang w:val="fr-FR"/>
        </w:rPr>
        <w:t xml:space="preserve">de continuer à soutenir le </w:t>
      </w:r>
      <w:r w:rsidRPr="00466CE7">
        <w:rPr>
          <w:lang w:val="fr-FR"/>
        </w:rPr>
        <w:t xml:space="preserve">niveau de vie des retraités, le </w:t>
      </w:r>
      <w:r w:rsidR="009250F6" w:rsidRPr="00466CE7">
        <w:rPr>
          <w:lang w:val="fr-FR"/>
        </w:rPr>
        <w:t xml:space="preserve">Gouvernement </w:t>
      </w:r>
      <w:r w:rsidRPr="00466CE7">
        <w:rPr>
          <w:lang w:val="fr-FR"/>
        </w:rPr>
        <w:t xml:space="preserve">a adopté </w:t>
      </w:r>
      <w:r>
        <w:rPr>
          <w:lang w:val="fr-FR"/>
        </w:rPr>
        <w:t xml:space="preserve">en 2019 </w:t>
      </w:r>
      <w:r w:rsidRPr="00466CE7">
        <w:rPr>
          <w:lang w:val="fr-FR"/>
        </w:rPr>
        <w:t>un</w:t>
      </w:r>
      <w:r>
        <w:rPr>
          <w:lang w:val="fr-FR"/>
        </w:rPr>
        <w:t>e décision</w:t>
      </w:r>
      <w:r w:rsidRPr="00466CE7">
        <w:rPr>
          <w:lang w:val="fr-FR"/>
        </w:rPr>
        <w:t xml:space="preserve"> </w:t>
      </w:r>
      <w:r>
        <w:rPr>
          <w:lang w:val="fr-FR"/>
        </w:rPr>
        <w:t xml:space="preserve">relative </w:t>
      </w:r>
      <w:r w:rsidRPr="00466CE7">
        <w:rPr>
          <w:lang w:val="fr-FR"/>
        </w:rPr>
        <w:t>à l</w:t>
      </w:r>
      <w:r>
        <w:rPr>
          <w:lang w:val="fr-FR"/>
        </w:rPr>
        <w:t>’</w:t>
      </w:r>
      <w:r w:rsidRPr="00466CE7">
        <w:rPr>
          <w:lang w:val="fr-FR"/>
        </w:rPr>
        <w:t xml:space="preserve">indexation </w:t>
      </w:r>
      <w:r>
        <w:rPr>
          <w:lang w:val="fr-FR"/>
        </w:rPr>
        <w:t xml:space="preserve">de la partie </w:t>
      </w:r>
      <w:r w:rsidRPr="00466CE7">
        <w:rPr>
          <w:lang w:val="fr-FR"/>
        </w:rPr>
        <w:t xml:space="preserve">de base </w:t>
      </w:r>
      <w:r>
        <w:rPr>
          <w:lang w:val="fr-FR"/>
        </w:rPr>
        <w:t xml:space="preserve">des </w:t>
      </w:r>
      <w:r w:rsidRPr="00466CE7">
        <w:rPr>
          <w:lang w:val="fr-FR"/>
        </w:rPr>
        <w:t>pension</w:t>
      </w:r>
      <w:r>
        <w:rPr>
          <w:lang w:val="fr-FR"/>
        </w:rPr>
        <w:t>s</w:t>
      </w:r>
      <w:r w:rsidRPr="00466CE7">
        <w:rPr>
          <w:lang w:val="fr-FR"/>
        </w:rPr>
        <w:t xml:space="preserve"> dont le montant total est inférieur au minimum vital </w:t>
      </w:r>
      <w:r>
        <w:rPr>
          <w:lang w:val="fr-FR"/>
        </w:rPr>
        <w:t xml:space="preserve">des </w:t>
      </w:r>
      <w:r w:rsidRPr="00466CE7">
        <w:rPr>
          <w:lang w:val="fr-FR"/>
        </w:rPr>
        <w:t>retraité</w:t>
      </w:r>
      <w:r>
        <w:rPr>
          <w:lang w:val="fr-FR"/>
        </w:rPr>
        <w:t>s</w:t>
      </w:r>
      <w:r w:rsidRPr="00466CE7">
        <w:rPr>
          <w:lang w:val="fr-FR"/>
        </w:rPr>
        <w:t xml:space="preserve"> pour l</w:t>
      </w:r>
      <w:r>
        <w:rPr>
          <w:lang w:val="fr-FR"/>
        </w:rPr>
        <w:t>’</w:t>
      </w:r>
      <w:r w:rsidRPr="00466CE7">
        <w:rPr>
          <w:lang w:val="fr-FR"/>
        </w:rPr>
        <w:t>année précédente,</w:t>
      </w:r>
      <w:r>
        <w:rPr>
          <w:lang w:val="fr-FR"/>
        </w:rPr>
        <w:t xml:space="preserve"> avec effet au 1</w:t>
      </w:r>
      <w:r w:rsidRPr="009250F6">
        <w:rPr>
          <w:vertAlign w:val="superscript"/>
          <w:lang w:val="fr-FR"/>
        </w:rPr>
        <w:t>er</w:t>
      </w:r>
      <w:r w:rsidR="009250F6">
        <w:rPr>
          <w:lang w:val="fr-FR"/>
        </w:rPr>
        <w:t> </w:t>
      </w:r>
      <w:r>
        <w:rPr>
          <w:lang w:val="fr-FR"/>
        </w:rPr>
        <w:t>octobre 2019,</w:t>
      </w:r>
      <w:r w:rsidRPr="00466CE7">
        <w:rPr>
          <w:lang w:val="fr-FR"/>
        </w:rPr>
        <w:t xml:space="preserve"> </w:t>
      </w:r>
      <w:r>
        <w:rPr>
          <w:lang w:val="fr-FR"/>
        </w:rPr>
        <w:t xml:space="preserve">ainsi qu’une décision relative à </w:t>
      </w:r>
      <w:r w:rsidRPr="00466CE7">
        <w:rPr>
          <w:lang w:val="fr-FR"/>
        </w:rPr>
        <w:t>l</w:t>
      </w:r>
      <w:r>
        <w:rPr>
          <w:lang w:val="fr-FR"/>
        </w:rPr>
        <w:t>’</w:t>
      </w:r>
      <w:r w:rsidRPr="00466CE7">
        <w:rPr>
          <w:lang w:val="fr-FR"/>
        </w:rPr>
        <w:t xml:space="preserve">indexation </w:t>
      </w:r>
      <w:r>
        <w:rPr>
          <w:lang w:val="fr-FR"/>
        </w:rPr>
        <w:t xml:space="preserve">de la partie </w:t>
      </w:r>
      <w:r w:rsidRPr="00466CE7">
        <w:rPr>
          <w:lang w:val="fr-FR"/>
        </w:rPr>
        <w:t xml:space="preserve">assurance </w:t>
      </w:r>
      <w:r>
        <w:rPr>
          <w:lang w:val="fr-FR"/>
        </w:rPr>
        <w:t>des pensions</w:t>
      </w:r>
      <w:r w:rsidRPr="00466CE7">
        <w:rPr>
          <w:lang w:val="fr-FR"/>
        </w:rPr>
        <w:t xml:space="preserve"> </w:t>
      </w:r>
      <w:r>
        <w:rPr>
          <w:lang w:val="fr-FR"/>
        </w:rPr>
        <w:t>avec effet au</w:t>
      </w:r>
      <w:r w:rsidRPr="00466CE7">
        <w:rPr>
          <w:lang w:val="fr-FR"/>
        </w:rPr>
        <w:t xml:space="preserve"> 1</w:t>
      </w:r>
      <w:r w:rsidRPr="00BF2869">
        <w:rPr>
          <w:vertAlign w:val="superscript"/>
          <w:lang w:val="fr-FR"/>
        </w:rPr>
        <w:t>er</w:t>
      </w:r>
      <w:r w:rsidR="00BF2869">
        <w:rPr>
          <w:lang w:val="fr-FR"/>
        </w:rPr>
        <w:t> </w:t>
      </w:r>
      <w:r w:rsidRPr="00466CE7">
        <w:rPr>
          <w:lang w:val="fr-FR"/>
        </w:rPr>
        <w:t>octobre 2019</w:t>
      </w:r>
      <w:r>
        <w:rPr>
          <w:lang w:val="fr-FR"/>
        </w:rPr>
        <w:t>. E</w:t>
      </w:r>
      <w:r w:rsidRPr="00466CE7">
        <w:rPr>
          <w:lang w:val="fr-FR"/>
        </w:rPr>
        <w:t xml:space="preserve">n vertu </w:t>
      </w:r>
      <w:r>
        <w:rPr>
          <w:lang w:val="fr-FR"/>
        </w:rPr>
        <w:t>de ces décisions</w:t>
      </w:r>
      <w:r w:rsidR="009250F6">
        <w:rPr>
          <w:lang w:val="fr-FR"/>
        </w:rPr>
        <w:t> :</w:t>
      </w:r>
    </w:p>
    <w:p w14:paraId="5D18E918" w14:textId="38E6E1ED" w:rsidR="009C6834" w:rsidRPr="00466CE7" w:rsidRDefault="009C6834" w:rsidP="009C6834">
      <w:pPr>
        <w:pStyle w:val="SingleTxtG"/>
        <w:rPr>
          <w:lang w:val="fr-FR"/>
        </w:rPr>
      </w:pPr>
      <w:r w:rsidRPr="00466CE7">
        <w:rPr>
          <w:lang w:val="fr-FR"/>
        </w:rPr>
        <w:t>172.</w:t>
      </w:r>
      <w:r w:rsidR="009250F6">
        <w:rPr>
          <w:lang w:val="fr-FR"/>
        </w:rPr>
        <w:tab/>
      </w:r>
      <w:r>
        <w:rPr>
          <w:lang w:val="fr-FR"/>
        </w:rPr>
        <w:t xml:space="preserve">La </w:t>
      </w:r>
      <w:r w:rsidRPr="00466CE7">
        <w:rPr>
          <w:lang w:val="fr-FR"/>
        </w:rPr>
        <w:t xml:space="preserve">partie de base de la pension </w:t>
      </w:r>
      <w:r>
        <w:rPr>
          <w:lang w:val="fr-FR"/>
        </w:rPr>
        <w:t>a été revalorisée</w:t>
      </w:r>
      <w:r w:rsidR="00BF2869">
        <w:rPr>
          <w:lang w:val="fr-FR"/>
        </w:rPr>
        <w:t xml:space="preserve"> </w:t>
      </w:r>
      <w:r w:rsidRPr="00466CE7">
        <w:rPr>
          <w:lang w:val="fr-FR"/>
        </w:rPr>
        <w:t>de 105</w:t>
      </w:r>
      <w:r w:rsidR="00CB4ECD">
        <w:rPr>
          <w:lang w:val="fr-FR"/>
        </w:rPr>
        <w:t> %</w:t>
      </w:r>
      <w:r w:rsidRPr="00466CE7">
        <w:rPr>
          <w:lang w:val="fr-FR"/>
        </w:rPr>
        <w:t>, soit 100</w:t>
      </w:r>
      <w:r w:rsidR="00BF2869">
        <w:rPr>
          <w:lang w:val="fr-FR"/>
        </w:rPr>
        <w:t> </w:t>
      </w:r>
      <w:proofErr w:type="spellStart"/>
      <w:r w:rsidRPr="00466CE7">
        <w:rPr>
          <w:lang w:val="fr-FR"/>
        </w:rPr>
        <w:t>soms</w:t>
      </w:r>
      <w:proofErr w:type="spellEnd"/>
      <w:r w:rsidRPr="00466CE7">
        <w:rPr>
          <w:lang w:val="fr-FR"/>
        </w:rPr>
        <w:t>.</w:t>
      </w:r>
      <w:r>
        <w:rPr>
          <w:lang w:val="fr-FR"/>
        </w:rPr>
        <w:t xml:space="preserve"> Lorsque </w:t>
      </w:r>
      <w:r w:rsidRPr="00466CE7">
        <w:rPr>
          <w:lang w:val="fr-FR"/>
        </w:rPr>
        <w:t xml:space="preserve">le montant total de la pension </w:t>
      </w:r>
      <w:r>
        <w:rPr>
          <w:lang w:val="fr-FR"/>
        </w:rPr>
        <w:t xml:space="preserve">était </w:t>
      </w:r>
      <w:r w:rsidRPr="00466CE7">
        <w:rPr>
          <w:lang w:val="fr-FR"/>
        </w:rPr>
        <w:t xml:space="preserve">inférieur au minimum vital </w:t>
      </w:r>
      <w:r>
        <w:rPr>
          <w:lang w:val="fr-FR"/>
        </w:rPr>
        <w:t xml:space="preserve">des retraités </w:t>
      </w:r>
      <w:r w:rsidRPr="00466CE7">
        <w:rPr>
          <w:lang w:val="fr-FR"/>
        </w:rPr>
        <w:t>pour l</w:t>
      </w:r>
      <w:r>
        <w:rPr>
          <w:lang w:val="fr-FR"/>
        </w:rPr>
        <w:t>’</w:t>
      </w:r>
      <w:r w:rsidRPr="00466CE7">
        <w:rPr>
          <w:lang w:val="fr-FR"/>
        </w:rPr>
        <w:t>année précédente</w:t>
      </w:r>
      <w:r>
        <w:rPr>
          <w:lang w:val="fr-FR"/>
        </w:rPr>
        <w:t>,</w:t>
      </w:r>
      <w:r w:rsidRPr="009475C0">
        <w:rPr>
          <w:lang w:val="fr-FR"/>
        </w:rPr>
        <w:t xml:space="preserve"> </w:t>
      </w:r>
      <w:r w:rsidRPr="00466CE7">
        <w:rPr>
          <w:lang w:val="fr-FR"/>
        </w:rPr>
        <w:t>la partie de base de la pension</w:t>
      </w:r>
      <w:r w:rsidRPr="00D34CD5">
        <w:rPr>
          <w:lang w:val="fr-FR"/>
        </w:rPr>
        <w:t xml:space="preserve"> </w:t>
      </w:r>
      <w:r>
        <w:rPr>
          <w:lang w:val="fr-FR"/>
        </w:rPr>
        <w:t xml:space="preserve">a été portée à </w:t>
      </w:r>
      <w:r w:rsidRPr="00466CE7">
        <w:rPr>
          <w:lang w:val="fr-FR"/>
        </w:rPr>
        <w:t>4</w:t>
      </w:r>
      <w:r w:rsidR="00BF2869">
        <w:rPr>
          <w:lang w:val="fr-FR"/>
        </w:rPr>
        <w:t> </w:t>
      </w:r>
      <w:r w:rsidRPr="00466CE7">
        <w:rPr>
          <w:lang w:val="fr-FR"/>
        </w:rPr>
        <w:t>283</w:t>
      </w:r>
      <w:r w:rsidR="00BF2869">
        <w:rPr>
          <w:lang w:val="fr-FR"/>
        </w:rPr>
        <w:t> </w:t>
      </w:r>
      <w:proofErr w:type="spellStart"/>
      <w:r w:rsidRPr="00466CE7">
        <w:rPr>
          <w:lang w:val="fr-FR"/>
        </w:rPr>
        <w:t>soms</w:t>
      </w:r>
      <w:proofErr w:type="spellEnd"/>
      <w:r w:rsidRPr="00466CE7">
        <w:rPr>
          <w:lang w:val="fr-FR"/>
        </w:rPr>
        <w:t xml:space="preserve">. </w:t>
      </w:r>
      <w:r>
        <w:rPr>
          <w:lang w:val="fr-FR"/>
        </w:rPr>
        <w:t>Trente-huit pour cent</w:t>
      </w:r>
      <w:r w:rsidRPr="00466CE7">
        <w:rPr>
          <w:lang w:val="fr-FR"/>
        </w:rPr>
        <w:t xml:space="preserve"> des </w:t>
      </w:r>
      <w:r>
        <w:rPr>
          <w:lang w:val="fr-FR"/>
        </w:rPr>
        <w:t>retraités,</w:t>
      </w:r>
      <w:r w:rsidRPr="00D34CD5">
        <w:rPr>
          <w:lang w:val="fr-FR"/>
        </w:rPr>
        <w:t xml:space="preserve"> </w:t>
      </w:r>
      <w:r w:rsidRPr="00466CE7">
        <w:rPr>
          <w:lang w:val="fr-FR"/>
        </w:rPr>
        <w:t>soit 241</w:t>
      </w:r>
      <w:r w:rsidR="00BF2869">
        <w:rPr>
          <w:lang w:val="fr-FR"/>
        </w:rPr>
        <w:t> </w:t>
      </w:r>
      <w:r w:rsidRPr="00466CE7">
        <w:rPr>
          <w:lang w:val="fr-FR"/>
        </w:rPr>
        <w:t>500</w:t>
      </w:r>
      <w:r w:rsidR="00BF2869">
        <w:rPr>
          <w:lang w:val="fr-FR"/>
        </w:rPr>
        <w:t> </w:t>
      </w:r>
      <w:r w:rsidRPr="00466CE7">
        <w:rPr>
          <w:lang w:val="fr-FR"/>
        </w:rPr>
        <w:t>personnes</w:t>
      </w:r>
      <w:r>
        <w:rPr>
          <w:lang w:val="fr-FR"/>
        </w:rPr>
        <w:t>, ont bénéficié d’une augmentation.</w:t>
      </w:r>
    </w:p>
    <w:p w14:paraId="1FB32772" w14:textId="269BA166" w:rsidR="009C6834" w:rsidRPr="00466CE7" w:rsidRDefault="009C6834" w:rsidP="009C6834">
      <w:pPr>
        <w:pStyle w:val="SingleTxtG"/>
        <w:rPr>
          <w:lang w:val="fr-FR"/>
        </w:rPr>
      </w:pPr>
      <w:r w:rsidRPr="00466CE7">
        <w:rPr>
          <w:lang w:val="fr-FR"/>
        </w:rPr>
        <w:t>173.</w:t>
      </w:r>
      <w:r w:rsidR="009250F6">
        <w:rPr>
          <w:lang w:val="fr-FR"/>
        </w:rPr>
        <w:tab/>
      </w:r>
      <w:r>
        <w:rPr>
          <w:lang w:val="fr-FR"/>
        </w:rPr>
        <w:t>L</w:t>
      </w:r>
      <w:r w:rsidRPr="00466CE7">
        <w:rPr>
          <w:lang w:val="fr-FR"/>
        </w:rPr>
        <w:t>a partie assurance de</w:t>
      </w:r>
      <w:r>
        <w:rPr>
          <w:lang w:val="fr-FR"/>
        </w:rPr>
        <w:t xml:space="preserve"> la pension a été revalorisée par un coefficient de 1,05, la hausse ne devant pas être inférieure à </w:t>
      </w:r>
      <w:r w:rsidRPr="00466CE7">
        <w:rPr>
          <w:lang w:val="fr-FR"/>
        </w:rPr>
        <w:t>200</w:t>
      </w:r>
      <w:r w:rsidR="00BF2869">
        <w:rPr>
          <w:lang w:val="fr-FR"/>
        </w:rPr>
        <w:t> </w:t>
      </w:r>
      <w:proofErr w:type="spellStart"/>
      <w:r>
        <w:rPr>
          <w:lang w:val="fr-FR"/>
        </w:rPr>
        <w:t>soms</w:t>
      </w:r>
      <w:proofErr w:type="spellEnd"/>
      <w:r w:rsidRPr="00466CE7">
        <w:rPr>
          <w:lang w:val="fr-FR"/>
        </w:rPr>
        <w:t xml:space="preserve"> pour les pensions </w:t>
      </w:r>
      <w:r>
        <w:rPr>
          <w:lang w:val="fr-FR"/>
        </w:rPr>
        <w:t xml:space="preserve">dont le montant total ne dépassait pas </w:t>
      </w:r>
      <w:r w:rsidRPr="00466CE7">
        <w:rPr>
          <w:lang w:val="fr-FR"/>
        </w:rPr>
        <w:t>4</w:t>
      </w:r>
      <w:r w:rsidR="00BF2869">
        <w:rPr>
          <w:lang w:val="fr-FR"/>
        </w:rPr>
        <w:t> </w:t>
      </w:r>
      <w:r w:rsidRPr="00466CE7">
        <w:rPr>
          <w:lang w:val="fr-FR"/>
        </w:rPr>
        <w:t>283</w:t>
      </w:r>
      <w:r w:rsidR="00BF2869">
        <w:rPr>
          <w:lang w:val="fr-FR"/>
        </w:rPr>
        <w:t> </w:t>
      </w:r>
      <w:proofErr w:type="spellStart"/>
      <w:r w:rsidRPr="00466CE7">
        <w:rPr>
          <w:lang w:val="fr-FR"/>
        </w:rPr>
        <w:t>soms</w:t>
      </w:r>
      <w:proofErr w:type="spellEnd"/>
      <w:r>
        <w:rPr>
          <w:lang w:val="fr-FR"/>
        </w:rPr>
        <w:t>,</w:t>
      </w:r>
      <w:r w:rsidRPr="00466CE7">
        <w:rPr>
          <w:lang w:val="fr-FR"/>
        </w:rPr>
        <w:t xml:space="preserve"> et </w:t>
      </w:r>
      <w:r>
        <w:rPr>
          <w:lang w:val="fr-FR"/>
        </w:rPr>
        <w:t xml:space="preserve">à </w:t>
      </w:r>
      <w:r w:rsidRPr="00466CE7">
        <w:rPr>
          <w:lang w:val="fr-FR"/>
        </w:rPr>
        <w:t>320</w:t>
      </w:r>
      <w:r w:rsidR="00BF2869">
        <w:rPr>
          <w:lang w:val="fr-FR"/>
        </w:rPr>
        <w:t> </w:t>
      </w:r>
      <w:proofErr w:type="spellStart"/>
      <w:r>
        <w:rPr>
          <w:lang w:val="fr-FR"/>
        </w:rPr>
        <w:t>soms</w:t>
      </w:r>
      <w:proofErr w:type="spellEnd"/>
      <w:r>
        <w:rPr>
          <w:lang w:val="fr-FR"/>
        </w:rPr>
        <w:t xml:space="preserve"> pour </w:t>
      </w:r>
      <w:r w:rsidRPr="00466CE7">
        <w:rPr>
          <w:lang w:val="fr-FR"/>
        </w:rPr>
        <w:t xml:space="preserve">les pensions </w:t>
      </w:r>
      <w:r>
        <w:rPr>
          <w:lang w:val="fr-FR"/>
        </w:rPr>
        <w:t xml:space="preserve">dont le montant total était égal ou supérieur à </w:t>
      </w:r>
      <w:r w:rsidRPr="00466CE7">
        <w:rPr>
          <w:lang w:val="fr-FR"/>
        </w:rPr>
        <w:t>4</w:t>
      </w:r>
      <w:r w:rsidR="00BF2869">
        <w:rPr>
          <w:lang w:val="fr-FR"/>
        </w:rPr>
        <w:t> </w:t>
      </w:r>
      <w:r w:rsidRPr="00466CE7">
        <w:rPr>
          <w:lang w:val="fr-FR"/>
        </w:rPr>
        <w:t>283</w:t>
      </w:r>
      <w:r w:rsidR="00BF2869">
        <w:rPr>
          <w:lang w:val="fr-FR"/>
        </w:rPr>
        <w:t> </w:t>
      </w:r>
      <w:proofErr w:type="spellStart"/>
      <w:r w:rsidRPr="00466CE7">
        <w:rPr>
          <w:lang w:val="fr-FR"/>
        </w:rPr>
        <w:t>soms</w:t>
      </w:r>
      <w:proofErr w:type="spellEnd"/>
      <w:r w:rsidRPr="00466CE7">
        <w:rPr>
          <w:lang w:val="fr-FR"/>
        </w:rPr>
        <w:t xml:space="preserve">. </w:t>
      </w:r>
    </w:p>
    <w:p w14:paraId="36FCFF34" w14:textId="227FE62D" w:rsidR="009C6834" w:rsidRPr="00466CE7" w:rsidRDefault="009C6834" w:rsidP="009C6834">
      <w:pPr>
        <w:pStyle w:val="SingleTxtG"/>
        <w:rPr>
          <w:lang w:val="fr-FR"/>
        </w:rPr>
      </w:pPr>
      <w:r w:rsidRPr="00466CE7">
        <w:rPr>
          <w:lang w:val="fr-FR"/>
        </w:rPr>
        <w:t>174.</w:t>
      </w:r>
      <w:r w:rsidRPr="00466CE7">
        <w:rPr>
          <w:lang w:val="fr-FR"/>
        </w:rPr>
        <w:tab/>
        <w:t xml:space="preserve">En 2010, le </w:t>
      </w:r>
      <w:r>
        <w:rPr>
          <w:lang w:val="fr-FR"/>
        </w:rPr>
        <w:t>ratio</w:t>
      </w:r>
      <w:r w:rsidRPr="00466CE7">
        <w:rPr>
          <w:lang w:val="fr-FR"/>
        </w:rPr>
        <w:t xml:space="preserve"> </w:t>
      </w:r>
      <w:r>
        <w:rPr>
          <w:lang w:val="fr-FR"/>
        </w:rPr>
        <w:t xml:space="preserve">du </w:t>
      </w:r>
      <w:r w:rsidRPr="00466CE7">
        <w:rPr>
          <w:lang w:val="fr-FR"/>
        </w:rPr>
        <w:t xml:space="preserve">montant moyen de la pension </w:t>
      </w:r>
      <w:r>
        <w:rPr>
          <w:lang w:val="fr-FR"/>
        </w:rPr>
        <w:t xml:space="preserve">sur </w:t>
      </w:r>
      <w:r w:rsidRPr="00466CE7">
        <w:rPr>
          <w:lang w:val="fr-FR"/>
        </w:rPr>
        <w:t xml:space="preserve">le </w:t>
      </w:r>
      <w:r>
        <w:rPr>
          <w:lang w:val="fr-FR"/>
        </w:rPr>
        <w:t xml:space="preserve">minimum vital des retraités </w:t>
      </w:r>
      <w:r w:rsidRPr="00466CE7">
        <w:rPr>
          <w:lang w:val="fr-FR"/>
        </w:rPr>
        <w:t>était d</w:t>
      </w:r>
      <w:r>
        <w:rPr>
          <w:lang w:val="fr-FR"/>
        </w:rPr>
        <w:t>’</w:t>
      </w:r>
      <w:r w:rsidRPr="00466CE7">
        <w:rPr>
          <w:lang w:val="fr-FR"/>
        </w:rPr>
        <w:t>environ 89</w:t>
      </w:r>
      <w:r w:rsidR="00CB4ECD">
        <w:rPr>
          <w:lang w:val="fr-FR"/>
        </w:rPr>
        <w:t> %</w:t>
      </w:r>
      <w:r w:rsidRPr="00466CE7">
        <w:rPr>
          <w:lang w:val="fr-FR"/>
        </w:rPr>
        <w:t>.</w:t>
      </w:r>
    </w:p>
    <w:p w14:paraId="22D74FF9" w14:textId="1D689AC4" w:rsidR="009C6834" w:rsidRPr="00466CE7" w:rsidRDefault="009C6834" w:rsidP="009C6834">
      <w:pPr>
        <w:pStyle w:val="SingleTxtG"/>
        <w:rPr>
          <w:lang w:val="fr-FR"/>
        </w:rPr>
      </w:pPr>
      <w:r w:rsidRPr="00466CE7">
        <w:rPr>
          <w:lang w:val="fr-FR"/>
        </w:rPr>
        <w:t>175.</w:t>
      </w:r>
      <w:r w:rsidRPr="00466CE7">
        <w:rPr>
          <w:lang w:val="fr-FR"/>
        </w:rPr>
        <w:tab/>
      </w:r>
      <w:r>
        <w:rPr>
          <w:lang w:val="fr-FR"/>
        </w:rPr>
        <w:t>S’agissant de la situation relative des femmes et des hommes</w:t>
      </w:r>
      <w:r w:rsidRPr="00466CE7">
        <w:rPr>
          <w:lang w:val="fr-FR"/>
        </w:rPr>
        <w:t xml:space="preserve">, </w:t>
      </w:r>
      <w:r>
        <w:rPr>
          <w:lang w:val="fr-FR"/>
        </w:rPr>
        <w:t xml:space="preserve">les premières touchent leur </w:t>
      </w:r>
      <w:r w:rsidRPr="00466CE7">
        <w:rPr>
          <w:lang w:val="fr-FR"/>
        </w:rPr>
        <w:t xml:space="preserve">pension </w:t>
      </w:r>
      <w:r>
        <w:rPr>
          <w:lang w:val="fr-FR"/>
        </w:rPr>
        <w:t>quand elles atteignent 58</w:t>
      </w:r>
      <w:r w:rsidR="00BF2869">
        <w:rPr>
          <w:lang w:val="fr-FR"/>
        </w:rPr>
        <w:t> </w:t>
      </w:r>
      <w:r>
        <w:rPr>
          <w:lang w:val="fr-FR"/>
        </w:rPr>
        <w:t xml:space="preserve">ans et ont cotisé </w:t>
      </w:r>
      <w:r w:rsidR="00BF2869">
        <w:rPr>
          <w:lang w:val="fr-FR"/>
        </w:rPr>
        <w:t>vingt</w:t>
      </w:r>
      <w:r>
        <w:rPr>
          <w:lang w:val="fr-FR"/>
        </w:rPr>
        <w:t xml:space="preserve"> ans au régime des retraites.</w:t>
      </w:r>
      <w:r w:rsidRPr="00466CE7">
        <w:rPr>
          <w:lang w:val="fr-FR"/>
        </w:rPr>
        <w:t xml:space="preserve"> </w:t>
      </w:r>
      <w:r>
        <w:rPr>
          <w:lang w:val="fr-FR"/>
        </w:rPr>
        <w:t>P</w:t>
      </w:r>
      <w:r w:rsidRPr="00466CE7">
        <w:rPr>
          <w:lang w:val="fr-FR"/>
        </w:rPr>
        <w:t>our les hommes, l</w:t>
      </w:r>
      <w:r>
        <w:rPr>
          <w:lang w:val="fr-FR"/>
        </w:rPr>
        <w:t>’</w:t>
      </w:r>
      <w:r w:rsidRPr="00466CE7">
        <w:rPr>
          <w:lang w:val="fr-FR"/>
        </w:rPr>
        <w:t xml:space="preserve">âge et </w:t>
      </w:r>
      <w:r>
        <w:rPr>
          <w:lang w:val="fr-FR"/>
        </w:rPr>
        <w:t xml:space="preserve">le nombre d’années de cotisation </w:t>
      </w:r>
      <w:r w:rsidRPr="00466CE7">
        <w:rPr>
          <w:lang w:val="fr-FR"/>
        </w:rPr>
        <w:t xml:space="preserve">sont </w:t>
      </w:r>
      <w:r>
        <w:rPr>
          <w:lang w:val="fr-FR"/>
        </w:rPr>
        <w:t xml:space="preserve">augmentés chacun </w:t>
      </w:r>
      <w:r w:rsidRPr="00466CE7">
        <w:rPr>
          <w:lang w:val="fr-FR"/>
        </w:rPr>
        <w:t>de cinq ans (</w:t>
      </w:r>
      <w:r>
        <w:rPr>
          <w:lang w:val="fr-FR"/>
        </w:rPr>
        <w:t xml:space="preserve">ce qui donne respectivement </w:t>
      </w:r>
      <w:r w:rsidRPr="00466CE7">
        <w:rPr>
          <w:lang w:val="fr-FR"/>
        </w:rPr>
        <w:t>63</w:t>
      </w:r>
      <w:r w:rsidR="00BF2869">
        <w:rPr>
          <w:lang w:val="fr-FR"/>
        </w:rPr>
        <w:t> </w:t>
      </w:r>
      <w:r w:rsidRPr="00466CE7">
        <w:rPr>
          <w:lang w:val="fr-FR"/>
        </w:rPr>
        <w:t xml:space="preserve">ans et </w:t>
      </w:r>
      <w:r w:rsidR="00BF2869">
        <w:rPr>
          <w:lang w:val="fr-FR"/>
        </w:rPr>
        <w:t>vingt</w:t>
      </w:r>
      <w:r w:rsidR="00BF2869">
        <w:rPr>
          <w:lang w:val="fr-FR"/>
        </w:rPr>
        <w:noBreakHyphen/>
        <w:t>cinq</w:t>
      </w:r>
      <w:r w:rsidRPr="00466CE7">
        <w:rPr>
          <w:lang w:val="fr-FR"/>
        </w:rPr>
        <w:t xml:space="preserve"> </w:t>
      </w:r>
      <w:r>
        <w:rPr>
          <w:lang w:val="fr-FR"/>
        </w:rPr>
        <w:t>années de cotisation</w:t>
      </w:r>
      <w:r w:rsidRPr="00466CE7">
        <w:rPr>
          <w:lang w:val="fr-FR"/>
        </w:rPr>
        <w:t>).</w:t>
      </w:r>
    </w:p>
    <w:p w14:paraId="3923D461" w14:textId="77777777" w:rsidR="009C6834" w:rsidRPr="00466CE7" w:rsidRDefault="009C6834" w:rsidP="009C6834">
      <w:pPr>
        <w:pStyle w:val="SingleTxtG"/>
        <w:rPr>
          <w:lang w:val="fr-FR"/>
        </w:rPr>
      </w:pPr>
      <w:r w:rsidRPr="00466CE7">
        <w:rPr>
          <w:lang w:val="fr-FR"/>
        </w:rPr>
        <w:t>176.</w:t>
      </w:r>
      <w:r w:rsidRPr="00466CE7">
        <w:rPr>
          <w:lang w:val="fr-FR"/>
        </w:rPr>
        <w:tab/>
        <w:t xml:space="preserve">La législation prévoit </w:t>
      </w:r>
      <w:r>
        <w:rPr>
          <w:lang w:val="fr-FR"/>
        </w:rPr>
        <w:t xml:space="preserve">en outre un départ à la retraite anticipé en fonction </w:t>
      </w:r>
      <w:r w:rsidRPr="00466CE7">
        <w:rPr>
          <w:lang w:val="fr-FR"/>
        </w:rPr>
        <w:t>des conditions de vie, du nombre d</w:t>
      </w:r>
      <w:r>
        <w:rPr>
          <w:lang w:val="fr-FR"/>
        </w:rPr>
        <w:t>’</w:t>
      </w:r>
      <w:r w:rsidRPr="00466CE7">
        <w:rPr>
          <w:lang w:val="fr-FR"/>
        </w:rPr>
        <w:t>enfants et des conditions de travail.</w:t>
      </w:r>
    </w:p>
    <w:p w14:paraId="2E976DAC" w14:textId="77777777" w:rsidR="009C6834" w:rsidRPr="00466CE7" w:rsidRDefault="009C6834" w:rsidP="009C6834">
      <w:pPr>
        <w:pStyle w:val="SingleTxtG"/>
        <w:rPr>
          <w:lang w:val="fr-FR"/>
        </w:rPr>
      </w:pPr>
      <w:r w:rsidRPr="00466CE7">
        <w:rPr>
          <w:lang w:val="fr-FR"/>
        </w:rPr>
        <w:t>177.</w:t>
      </w:r>
      <w:r w:rsidRPr="00466CE7">
        <w:rPr>
          <w:lang w:val="fr-FR"/>
        </w:rPr>
        <w:tab/>
        <w:t>La loi</w:t>
      </w:r>
      <w:r>
        <w:rPr>
          <w:lang w:val="fr-FR"/>
        </w:rPr>
        <w:t xml:space="preserve"> relative à </w:t>
      </w:r>
      <w:r w:rsidRPr="00466CE7">
        <w:rPr>
          <w:lang w:val="fr-FR"/>
        </w:rPr>
        <w:t>l</w:t>
      </w:r>
      <w:r>
        <w:rPr>
          <w:lang w:val="fr-FR"/>
        </w:rPr>
        <w:t>’</w:t>
      </w:r>
      <w:r w:rsidRPr="00466CE7">
        <w:rPr>
          <w:lang w:val="fr-FR"/>
        </w:rPr>
        <w:t xml:space="preserve">assurance </w:t>
      </w:r>
      <w:r>
        <w:rPr>
          <w:lang w:val="fr-FR"/>
        </w:rPr>
        <w:t>retraite de l’</w:t>
      </w:r>
      <w:r w:rsidRPr="00466CE7">
        <w:rPr>
          <w:lang w:val="fr-FR"/>
        </w:rPr>
        <w:t xml:space="preserve">État établit et </w:t>
      </w:r>
      <w:r>
        <w:rPr>
          <w:lang w:val="fr-FR"/>
        </w:rPr>
        <w:t xml:space="preserve">régit </w:t>
      </w:r>
      <w:r w:rsidRPr="00466CE7">
        <w:rPr>
          <w:lang w:val="fr-FR"/>
        </w:rPr>
        <w:t>un mécanisme d</w:t>
      </w:r>
      <w:r>
        <w:rPr>
          <w:lang w:val="fr-FR"/>
        </w:rPr>
        <w:t>’</w:t>
      </w:r>
      <w:r w:rsidRPr="00466CE7">
        <w:rPr>
          <w:lang w:val="fr-FR"/>
        </w:rPr>
        <w:t>indexation des pensions.</w:t>
      </w:r>
    </w:p>
    <w:p w14:paraId="02573090" w14:textId="77777777" w:rsidR="009C6834" w:rsidRPr="00466CE7" w:rsidRDefault="009C6834" w:rsidP="009C6834">
      <w:pPr>
        <w:pStyle w:val="SingleTxtG"/>
        <w:rPr>
          <w:lang w:val="fr-FR"/>
        </w:rPr>
      </w:pPr>
      <w:r w:rsidRPr="00466CE7">
        <w:rPr>
          <w:lang w:val="fr-FR"/>
        </w:rPr>
        <w:t>178.</w:t>
      </w:r>
      <w:r w:rsidRPr="00466CE7">
        <w:rPr>
          <w:lang w:val="fr-FR"/>
        </w:rPr>
        <w:tab/>
      </w:r>
      <w:r>
        <w:rPr>
          <w:lang w:val="fr-FR"/>
        </w:rPr>
        <w:t>Les pensions sont revalorisées chaque année</w:t>
      </w:r>
      <w:r w:rsidRPr="00466CE7">
        <w:rPr>
          <w:lang w:val="fr-FR"/>
        </w:rPr>
        <w:t xml:space="preserve"> dans les limites des </w:t>
      </w:r>
      <w:r>
        <w:rPr>
          <w:lang w:val="fr-FR"/>
        </w:rPr>
        <w:t xml:space="preserve">ressources inscrites </w:t>
      </w:r>
      <w:r w:rsidRPr="00466CE7">
        <w:rPr>
          <w:lang w:val="fr-FR"/>
        </w:rPr>
        <w:t xml:space="preserve">au budget du Fonds social. </w:t>
      </w:r>
    </w:p>
    <w:p w14:paraId="65EEA5F4" w14:textId="41266323" w:rsidR="009C6834" w:rsidRDefault="009C6834" w:rsidP="00BF2869">
      <w:pPr>
        <w:pStyle w:val="SingleTxtG"/>
        <w:keepNext/>
        <w:rPr>
          <w:lang w:val="fr-FR"/>
        </w:rPr>
      </w:pPr>
      <w:r w:rsidRPr="00466CE7">
        <w:rPr>
          <w:lang w:val="fr-FR"/>
        </w:rPr>
        <w:t>179.</w:t>
      </w:r>
      <w:r w:rsidRPr="00466CE7">
        <w:rPr>
          <w:lang w:val="fr-FR"/>
        </w:rPr>
        <w:tab/>
        <w:t xml:space="preserve">En vertu de la loi sur les </w:t>
      </w:r>
      <w:r>
        <w:rPr>
          <w:lang w:val="fr-FR"/>
        </w:rPr>
        <w:t>prestations de l’État</w:t>
      </w:r>
      <w:r w:rsidRPr="00466CE7">
        <w:rPr>
          <w:lang w:val="fr-FR"/>
        </w:rPr>
        <w:t xml:space="preserve">, le droit à une </w:t>
      </w:r>
      <w:r>
        <w:rPr>
          <w:lang w:val="fr-FR"/>
        </w:rPr>
        <w:t xml:space="preserve">allocation </w:t>
      </w:r>
      <w:r w:rsidRPr="00466CE7">
        <w:rPr>
          <w:lang w:val="fr-FR"/>
        </w:rPr>
        <w:t>sociale mensuelle est accordé</w:t>
      </w:r>
      <w:r>
        <w:rPr>
          <w:lang w:val="fr-FR"/>
        </w:rPr>
        <w:t> :</w:t>
      </w:r>
    </w:p>
    <w:p w14:paraId="0F6170D7" w14:textId="21258835" w:rsidR="009C6834" w:rsidRPr="005D0263" w:rsidRDefault="00BF2869" w:rsidP="00BF2869">
      <w:pPr>
        <w:pStyle w:val="Bullet1G"/>
        <w:rPr>
          <w:lang w:val="fr-FR"/>
        </w:rPr>
      </w:pPr>
      <w:r w:rsidRPr="005D0263">
        <w:rPr>
          <w:lang w:val="fr-FR"/>
        </w:rPr>
        <w:t xml:space="preserve">Aux </w:t>
      </w:r>
      <w:r w:rsidR="009C6834" w:rsidRPr="005D0263">
        <w:rPr>
          <w:lang w:val="fr-FR"/>
        </w:rPr>
        <w:t>hommes à partir de 65</w:t>
      </w:r>
      <w:r>
        <w:rPr>
          <w:lang w:val="fr-FR"/>
        </w:rPr>
        <w:t> </w:t>
      </w:r>
      <w:r w:rsidR="009C6834" w:rsidRPr="005D0263">
        <w:rPr>
          <w:lang w:val="fr-FR"/>
        </w:rPr>
        <w:t>ans</w:t>
      </w:r>
      <w:r>
        <w:rPr>
          <w:lang w:val="fr-FR"/>
        </w:rPr>
        <w:t> </w:t>
      </w:r>
      <w:r w:rsidR="009C6834" w:rsidRPr="005D0263">
        <w:rPr>
          <w:lang w:val="fr-FR"/>
        </w:rPr>
        <w:t>;</w:t>
      </w:r>
    </w:p>
    <w:p w14:paraId="2832A181" w14:textId="6D482DFA" w:rsidR="009C6834" w:rsidRPr="005D0263" w:rsidRDefault="00BF2869" w:rsidP="00BF2869">
      <w:pPr>
        <w:pStyle w:val="Bullet1G"/>
        <w:rPr>
          <w:lang w:val="fr-FR"/>
        </w:rPr>
      </w:pPr>
      <w:r w:rsidRPr="005D0263">
        <w:rPr>
          <w:lang w:val="fr-FR"/>
        </w:rPr>
        <w:t xml:space="preserve">Aux </w:t>
      </w:r>
      <w:r w:rsidR="009C6834" w:rsidRPr="005D0263">
        <w:rPr>
          <w:lang w:val="fr-FR"/>
        </w:rPr>
        <w:t>femmes à partir de 60</w:t>
      </w:r>
      <w:r>
        <w:rPr>
          <w:lang w:val="fr-FR"/>
        </w:rPr>
        <w:t> </w:t>
      </w:r>
      <w:r w:rsidR="009C6834" w:rsidRPr="005D0263">
        <w:rPr>
          <w:lang w:val="fr-FR"/>
        </w:rPr>
        <w:t xml:space="preserve">ans. </w:t>
      </w:r>
    </w:p>
    <w:p w14:paraId="396A8A96" w14:textId="77777777" w:rsidR="009C6834" w:rsidRPr="00466CE7" w:rsidRDefault="009C6834" w:rsidP="009C6834">
      <w:pPr>
        <w:pStyle w:val="SingleTxtG"/>
        <w:rPr>
          <w:lang w:val="fr-FR"/>
        </w:rPr>
      </w:pPr>
      <w:r w:rsidRPr="00466CE7">
        <w:rPr>
          <w:lang w:val="fr-FR"/>
        </w:rPr>
        <w:t>180.</w:t>
      </w:r>
      <w:r w:rsidRPr="00466CE7">
        <w:rPr>
          <w:lang w:val="fr-FR"/>
        </w:rPr>
        <w:tab/>
        <w:t xml:space="preserve">Une </w:t>
      </w:r>
      <w:r>
        <w:rPr>
          <w:lang w:val="fr-FR"/>
        </w:rPr>
        <w:t xml:space="preserve">allocation </w:t>
      </w:r>
      <w:r w:rsidRPr="00466CE7">
        <w:rPr>
          <w:lang w:val="fr-FR"/>
        </w:rPr>
        <w:t xml:space="preserve">sociale mensuelle est </w:t>
      </w:r>
      <w:r>
        <w:rPr>
          <w:lang w:val="fr-FR"/>
        </w:rPr>
        <w:t>versée</w:t>
      </w:r>
      <w:r w:rsidRPr="00466CE7">
        <w:rPr>
          <w:lang w:val="fr-FR"/>
        </w:rPr>
        <w:t xml:space="preserve"> aux personnes qui n</w:t>
      </w:r>
      <w:r>
        <w:rPr>
          <w:lang w:val="fr-FR"/>
        </w:rPr>
        <w:t>’</w:t>
      </w:r>
      <w:r w:rsidRPr="00466CE7">
        <w:rPr>
          <w:lang w:val="fr-FR"/>
        </w:rPr>
        <w:t xml:space="preserve">ont pas droit à une pension </w:t>
      </w:r>
      <w:r>
        <w:rPr>
          <w:lang w:val="fr-FR"/>
        </w:rPr>
        <w:t xml:space="preserve">au titre du </w:t>
      </w:r>
      <w:r w:rsidRPr="00466CE7">
        <w:rPr>
          <w:lang w:val="fr-FR"/>
        </w:rPr>
        <w:t>Fonds social.</w:t>
      </w:r>
    </w:p>
    <w:p w14:paraId="47536339" w14:textId="04BDB108" w:rsidR="009C6834" w:rsidRPr="00466CE7" w:rsidRDefault="009C6834" w:rsidP="009C6834">
      <w:pPr>
        <w:pStyle w:val="SingleTxtG"/>
        <w:rPr>
          <w:lang w:val="fr-FR"/>
        </w:rPr>
      </w:pPr>
      <w:r w:rsidRPr="00466CE7">
        <w:rPr>
          <w:lang w:val="fr-FR"/>
        </w:rPr>
        <w:t>181.</w:t>
      </w:r>
      <w:r w:rsidRPr="00466CE7">
        <w:rPr>
          <w:lang w:val="fr-FR"/>
        </w:rPr>
        <w:tab/>
        <w:t xml:space="preserve">Le montant de </w:t>
      </w:r>
      <w:r>
        <w:rPr>
          <w:lang w:val="fr-FR"/>
        </w:rPr>
        <w:t xml:space="preserve">cette allocation </w:t>
      </w:r>
      <w:r w:rsidRPr="00466CE7">
        <w:rPr>
          <w:lang w:val="fr-FR"/>
        </w:rPr>
        <w:t>est de 1</w:t>
      </w:r>
      <w:r w:rsidR="002E59F6">
        <w:rPr>
          <w:lang w:val="fr-FR"/>
        </w:rPr>
        <w:t> </w:t>
      </w:r>
      <w:r w:rsidRPr="00466CE7">
        <w:rPr>
          <w:lang w:val="fr-FR"/>
        </w:rPr>
        <w:t>000</w:t>
      </w:r>
      <w:r w:rsidR="002E59F6">
        <w:rPr>
          <w:lang w:val="fr-FR"/>
        </w:rPr>
        <w:t> </w:t>
      </w:r>
      <w:proofErr w:type="spellStart"/>
      <w:r w:rsidRPr="00466CE7">
        <w:rPr>
          <w:lang w:val="fr-FR"/>
        </w:rPr>
        <w:t>soms</w:t>
      </w:r>
      <w:proofErr w:type="spellEnd"/>
      <w:r w:rsidRPr="00466CE7">
        <w:rPr>
          <w:lang w:val="fr-FR"/>
        </w:rPr>
        <w:t xml:space="preserve">. </w:t>
      </w:r>
    </w:p>
    <w:p w14:paraId="65126D87" w14:textId="17DC94AE" w:rsidR="009C6834" w:rsidRPr="00466CE7" w:rsidRDefault="009C6834" w:rsidP="009C6834">
      <w:pPr>
        <w:pStyle w:val="SingleTxtG"/>
        <w:rPr>
          <w:lang w:val="fr-FR"/>
        </w:rPr>
      </w:pPr>
      <w:r w:rsidRPr="00466CE7">
        <w:rPr>
          <w:lang w:val="fr-FR"/>
        </w:rPr>
        <w:t>182.</w:t>
      </w:r>
      <w:r w:rsidRPr="00466CE7">
        <w:rPr>
          <w:lang w:val="fr-FR"/>
        </w:rPr>
        <w:tab/>
      </w:r>
      <w:r>
        <w:rPr>
          <w:lang w:val="fr-FR"/>
        </w:rPr>
        <w:t xml:space="preserve">Au </w:t>
      </w:r>
      <w:r w:rsidRPr="00466CE7">
        <w:rPr>
          <w:lang w:val="fr-FR"/>
        </w:rPr>
        <w:t>1</w:t>
      </w:r>
      <w:r w:rsidRPr="002E59F6">
        <w:rPr>
          <w:vertAlign w:val="superscript"/>
          <w:lang w:val="fr-FR"/>
        </w:rPr>
        <w:t>er</w:t>
      </w:r>
      <w:r w:rsidR="002E59F6">
        <w:rPr>
          <w:lang w:val="fr-FR"/>
        </w:rPr>
        <w:t> </w:t>
      </w:r>
      <w:r w:rsidRPr="00466CE7">
        <w:rPr>
          <w:lang w:val="fr-FR"/>
        </w:rPr>
        <w:t>janvier 2020, plus de 1</w:t>
      </w:r>
      <w:r w:rsidR="002E59F6">
        <w:rPr>
          <w:lang w:val="fr-FR"/>
        </w:rPr>
        <w:t> </w:t>
      </w:r>
      <w:r w:rsidRPr="00466CE7">
        <w:rPr>
          <w:lang w:val="fr-FR"/>
        </w:rPr>
        <w:t>546</w:t>
      </w:r>
      <w:r w:rsidR="002E59F6">
        <w:rPr>
          <w:lang w:val="fr-FR"/>
        </w:rPr>
        <w:t> </w:t>
      </w:r>
      <w:r>
        <w:rPr>
          <w:lang w:val="fr-FR"/>
        </w:rPr>
        <w:t xml:space="preserve">personnes </w:t>
      </w:r>
      <w:r w:rsidRPr="00466CE7">
        <w:rPr>
          <w:lang w:val="fr-FR"/>
        </w:rPr>
        <w:t>âgé</w:t>
      </w:r>
      <w:r>
        <w:rPr>
          <w:lang w:val="fr-FR"/>
        </w:rPr>
        <w:t>e</w:t>
      </w:r>
      <w:r w:rsidRPr="00466CE7">
        <w:rPr>
          <w:lang w:val="fr-FR"/>
        </w:rPr>
        <w:t xml:space="preserve">s </w:t>
      </w:r>
      <w:r>
        <w:rPr>
          <w:lang w:val="fr-FR"/>
        </w:rPr>
        <w:t xml:space="preserve">ne pouvant prétendre à une pension </w:t>
      </w:r>
      <w:r w:rsidRPr="00466CE7">
        <w:rPr>
          <w:lang w:val="fr-FR"/>
        </w:rPr>
        <w:t xml:space="preserve">de retraite </w:t>
      </w:r>
      <w:r>
        <w:rPr>
          <w:lang w:val="fr-FR"/>
        </w:rPr>
        <w:t>percevaient</w:t>
      </w:r>
      <w:r w:rsidRPr="00466CE7">
        <w:rPr>
          <w:lang w:val="fr-FR"/>
        </w:rPr>
        <w:t xml:space="preserve"> une </w:t>
      </w:r>
      <w:r>
        <w:rPr>
          <w:lang w:val="fr-FR"/>
        </w:rPr>
        <w:t xml:space="preserve">allocation </w:t>
      </w:r>
      <w:r w:rsidRPr="00466CE7">
        <w:rPr>
          <w:lang w:val="fr-FR"/>
        </w:rPr>
        <w:t>sociale mensuelle de 1</w:t>
      </w:r>
      <w:r w:rsidR="002E59F6">
        <w:rPr>
          <w:lang w:val="fr-FR"/>
        </w:rPr>
        <w:t> </w:t>
      </w:r>
      <w:r w:rsidRPr="00466CE7">
        <w:rPr>
          <w:lang w:val="fr-FR"/>
        </w:rPr>
        <w:t>000</w:t>
      </w:r>
      <w:r w:rsidR="002E59F6">
        <w:rPr>
          <w:lang w:val="fr-FR"/>
        </w:rPr>
        <w:t> </w:t>
      </w:r>
      <w:proofErr w:type="spellStart"/>
      <w:r w:rsidRPr="00466CE7">
        <w:rPr>
          <w:lang w:val="fr-FR"/>
        </w:rPr>
        <w:t>soms</w:t>
      </w:r>
      <w:proofErr w:type="spellEnd"/>
      <w:r w:rsidRPr="00466CE7">
        <w:rPr>
          <w:lang w:val="fr-FR"/>
        </w:rPr>
        <w:t>.</w:t>
      </w:r>
    </w:p>
    <w:p w14:paraId="0F00BC7F" w14:textId="7C5A026D" w:rsidR="009C6834" w:rsidRPr="00466CE7" w:rsidRDefault="009C6834" w:rsidP="002E59F6">
      <w:pPr>
        <w:pStyle w:val="SingleTxtG"/>
        <w:keepNext/>
        <w:rPr>
          <w:lang w:val="fr-FR"/>
        </w:rPr>
      </w:pPr>
      <w:r w:rsidRPr="00466CE7">
        <w:rPr>
          <w:lang w:val="fr-FR"/>
        </w:rPr>
        <w:t>183.</w:t>
      </w:r>
      <w:r w:rsidRPr="00466CE7">
        <w:rPr>
          <w:lang w:val="fr-FR"/>
        </w:rPr>
        <w:tab/>
        <w:t>Afin de renforcer les principes d</w:t>
      </w:r>
      <w:r>
        <w:rPr>
          <w:lang w:val="fr-FR"/>
        </w:rPr>
        <w:t>’</w:t>
      </w:r>
      <w:r w:rsidRPr="00466CE7">
        <w:rPr>
          <w:lang w:val="fr-FR"/>
        </w:rPr>
        <w:t xml:space="preserve">assurance </w:t>
      </w:r>
      <w:r>
        <w:rPr>
          <w:lang w:val="fr-FR"/>
        </w:rPr>
        <w:t xml:space="preserve">dans la détermination </w:t>
      </w:r>
      <w:r w:rsidRPr="00466CE7">
        <w:rPr>
          <w:lang w:val="fr-FR"/>
        </w:rPr>
        <w:t>des pensions et d</w:t>
      </w:r>
      <w:r>
        <w:rPr>
          <w:lang w:val="fr-FR"/>
        </w:rPr>
        <w:t>’</w:t>
      </w:r>
      <w:r w:rsidRPr="00466CE7">
        <w:rPr>
          <w:lang w:val="fr-FR"/>
        </w:rPr>
        <w:t>a</w:t>
      </w:r>
      <w:r>
        <w:rPr>
          <w:lang w:val="fr-FR"/>
        </w:rPr>
        <w:t>méliorer la garantie des droits à la retraite</w:t>
      </w:r>
      <w:r w:rsidRPr="00466CE7">
        <w:rPr>
          <w:lang w:val="fr-FR"/>
        </w:rPr>
        <w:t>, la législation prévoit</w:t>
      </w:r>
      <w:r>
        <w:rPr>
          <w:lang w:val="fr-FR"/>
        </w:rPr>
        <w:t xml:space="preserve"> : </w:t>
      </w:r>
    </w:p>
    <w:p w14:paraId="2A4C0F8E" w14:textId="3F76612C" w:rsidR="009C6834" w:rsidRPr="005D0263" w:rsidRDefault="009C6834" w:rsidP="002E59F6">
      <w:pPr>
        <w:pStyle w:val="Bullet1G"/>
        <w:rPr>
          <w:lang w:val="fr-FR"/>
        </w:rPr>
      </w:pPr>
      <w:r w:rsidRPr="005D0263">
        <w:rPr>
          <w:lang w:val="fr-FR"/>
        </w:rPr>
        <w:t>Un mécanisme unique d</w:t>
      </w:r>
      <w:r>
        <w:rPr>
          <w:lang w:val="fr-FR"/>
        </w:rPr>
        <w:t>’</w:t>
      </w:r>
      <w:r w:rsidRPr="005D0263">
        <w:rPr>
          <w:lang w:val="fr-FR"/>
        </w:rPr>
        <w:t xml:space="preserve">indexation de la partie assurance </w:t>
      </w:r>
      <w:r>
        <w:rPr>
          <w:lang w:val="fr-FR"/>
        </w:rPr>
        <w:t>de la pension</w:t>
      </w:r>
      <w:r w:rsidRPr="005D0263">
        <w:rPr>
          <w:lang w:val="fr-FR"/>
        </w:rPr>
        <w:t xml:space="preserve"> </w:t>
      </w:r>
      <w:r>
        <w:rPr>
          <w:lang w:val="fr-FR"/>
        </w:rPr>
        <w:t>sur l’</w:t>
      </w:r>
      <w:r w:rsidRPr="005D0263">
        <w:rPr>
          <w:lang w:val="fr-FR"/>
        </w:rPr>
        <w:t xml:space="preserve">inflation et </w:t>
      </w:r>
      <w:r>
        <w:rPr>
          <w:lang w:val="fr-FR"/>
        </w:rPr>
        <w:t>la hausse du salaire moyen</w:t>
      </w:r>
      <w:r w:rsidRPr="005D0263">
        <w:rPr>
          <w:lang w:val="fr-FR"/>
        </w:rPr>
        <w:t xml:space="preserve">, </w:t>
      </w:r>
      <w:r>
        <w:rPr>
          <w:lang w:val="fr-FR"/>
        </w:rPr>
        <w:t xml:space="preserve">la revalorisation ne devant pas être </w:t>
      </w:r>
      <w:r w:rsidRPr="005D0263">
        <w:rPr>
          <w:lang w:val="fr-FR"/>
        </w:rPr>
        <w:t>inférieur</w:t>
      </w:r>
      <w:r>
        <w:rPr>
          <w:lang w:val="fr-FR"/>
        </w:rPr>
        <w:t>e</w:t>
      </w:r>
      <w:r w:rsidRPr="005D0263">
        <w:rPr>
          <w:lang w:val="fr-FR"/>
        </w:rPr>
        <w:t xml:space="preserve"> à l</w:t>
      </w:r>
      <w:r>
        <w:rPr>
          <w:lang w:val="fr-FR"/>
        </w:rPr>
        <w:t xml:space="preserve">’augmentation </w:t>
      </w:r>
      <w:r w:rsidRPr="005D0263">
        <w:rPr>
          <w:lang w:val="fr-FR"/>
        </w:rPr>
        <w:t xml:space="preserve">du minimum vital </w:t>
      </w:r>
      <w:r>
        <w:rPr>
          <w:lang w:val="fr-FR"/>
        </w:rPr>
        <w:t xml:space="preserve">des retraités </w:t>
      </w:r>
      <w:r w:rsidRPr="005D0263">
        <w:rPr>
          <w:lang w:val="fr-FR"/>
        </w:rPr>
        <w:t>pour l</w:t>
      </w:r>
      <w:r>
        <w:rPr>
          <w:lang w:val="fr-FR"/>
        </w:rPr>
        <w:t>’</w:t>
      </w:r>
      <w:r w:rsidRPr="005D0263">
        <w:rPr>
          <w:lang w:val="fr-FR"/>
        </w:rPr>
        <w:t>année précédente</w:t>
      </w:r>
      <w:r w:rsidR="002E59F6">
        <w:rPr>
          <w:lang w:val="fr-FR"/>
        </w:rPr>
        <w:t> </w:t>
      </w:r>
      <w:r w:rsidRPr="005D0263">
        <w:rPr>
          <w:lang w:val="fr-FR"/>
        </w:rPr>
        <w:t xml:space="preserve">; </w:t>
      </w:r>
    </w:p>
    <w:p w14:paraId="42FD9600" w14:textId="77777777" w:rsidR="009C6834" w:rsidRPr="005D0263" w:rsidRDefault="009C6834" w:rsidP="002E59F6">
      <w:pPr>
        <w:pStyle w:val="Bullet1G"/>
        <w:rPr>
          <w:lang w:val="fr-FR"/>
        </w:rPr>
      </w:pPr>
      <w:r w:rsidRPr="005D0263">
        <w:rPr>
          <w:lang w:val="fr-FR"/>
        </w:rPr>
        <w:t>Pour les pensions inférieures au minimum vital, la partie de base de la pension est indexée sur l</w:t>
      </w:r>
      <w:r>
        <w:rPr>
          <w:lang w:val="fr-FR"/>
        </w:rPr>
        <w:t>’</w:t>
      </w:r>
      <w:r w:rsidRPr="005D0263">
        <w:rPr>
          <w:lang w:val="fr-FR"/>
        </w:rPr>
        <w:t>augmentation du salaire moyen au cours de l</w:t>
      </w:r>
      <w:r>
        <w:rPr>
          <w:lang w:val="fr-FR"/>
        </w:rPr>
        <w:t>’</w:t>
      </w:r>
      <w:r w:rsidRPr="005D0263">
        <w:rPr>
          <w:lang w:val="fr-FR"/>
        </w:rPr>
        <w:t>année précédente ;</w:t>
      </w:r>
    </w:p>
    <w:p w14:paraId="1570488E" w14:textId="77777777" w:rsidR="009C6834" w:rsidRPr="005D0263" w:rsidRDefault="009C6834" w:rsidP="002E59F6">
      <w:pPr>
        <w:pStyle w:val="Bullet1G"/>
        <w:rPr>
          <w:lang w:val="fr-FR"/>
        </w:rPr>
      </w:pPr>
      <w:r w:rsidRPr="005D0263">
        <w:rPr>
          <w:lang w:val="fr-FR"/>
        </w:rPr>
        <w:t xml:space="preserve">Le montant des cotisations accumulées </w:t>
      </w:r>
      <w:r>
        <w:rPr>
          <w:lang w:val="fr-FR"/>
        </w:rPr>
        <w:t>inscrit</w:t>
      </w:r>
      <w:r w:rsidRPr="005D0263">
        <w:rPr>
          <w:lang w:val="fr-FR"/>
        </w:rPr>
        <w:t xml:space="preserve"> </w:t>
      </w:r>
      <w:r>
        <w:rPr>
          <w:lang w:val="fr-FR"/>
        </w:rPr>
        <w:t xml:space="preserve">sur le compte retraite individuel </w:t>
      </w:r>
      <w:r w:rsidRPr="005D0263">
        <w:rPr>
          <w:lang w:val="fr-FR"/>
        </w:rPr>
        <w:t xml:space="preserve">est indexé </w:t>
      </w:r>
      <w:r>
        <w:rPr>
          <w:lang w:val="fr-FR"/>
        </w:rPr>
        <w:t xml:space="preserve">chaque année sur </w:t>
      </w:r>
      <w:r w:rsidRPr="005D0263">
        <w:rPr>
          <w:lang w:val="fr-FR"/>
        </w:rPr>
        <w:t>l</w:t>
      </w:r>
      <w:r>
        <w:rPr>
          <w:lang w:val="fr-FR"/>
        </w:rPr>
        <w:t>’</w:t>
      </w:r>
      <w:r w:rsidRPr="005D0263">
        <w:rPr>
          <w:lang w:val="fr-FR"/>
        </w:rPr>
        <w:t>indice des prix à la consommation de l</w:t>
      </w:r>
      <w:r>
        <w:rPr>
          <w:lang w:val="fr-FR"/>
        </w:rPr>
        <w:t>’</w:t>
      </w:r>
      <w:r w:rsidRPr="005D0263">
        <w:rPr>
          <w:lang w:val="fr-FR"/>
        </w:rPr>
        <w:t>année précédente ;</w:t>
      </w:r>
    </w:p>
    <w:p w14:paraId="0F9C3F2A" w14:textId="77777777" w:rsidR="009C6834" w:rsidRPr="00B0622D" w:rsidRDefault="009C6834" w:rsidP="002E59F6">
      <w:pPr>
        <w:pStyle w:val="Bullet1G"/>
        <w:rPr>
          <w:lang w:val="fr-FR"/>
        </w:rPr>
      </w:pPr>
      <w:r w:rsidRPr="00B0622D">
        <w:rPr>
          <w:lang w:val="fr-FR"/>
        </w:rPr>
        <w:t>Afin d</w:t>
      </w:r>
      <w:r>
        <w:rPr>
          <w:lang w:val="fr-FR"/>
        </w:rPr>
        <w:t>’</w:t>
      </w:r>
      <w:r w:rsidRPr="00B0622D">
        <w:rPr>
          <w:lang w:val="fr-FR"/>
        </w:rPr>
        <w:t xml:space="preserve">apporter un soutien social aux groupes vulnérables de la population, les pensions </w:t>
      </w:r>
      <w:r>
        <w:rPr>
          <w:lang w:val="fr-FR"/>
        </w:rPr>
        <w:t xml:space="preserve">des personnes handicapées </w:t>
      </w:r>
      <w:r w:rsidRPr="00B0622D">
        <w:rPr>
          <w:lang w:val="fr-FR"/>
        </w:rPr>
        <w:t xml:space="preserve">du groupe I sont </w:t>
      </w:r>
      <w:r>
        <w:rPr>
          <w:lang w:val="fr-FR"/>
        </w:rPr>
        <w:t>augmentées jusqu’</w:t>
      </w:r>
      <w:r w:rsidRPr="00B0622D">
        <w:rPr>
          <w:lang w:val="fr-FR"/>
        </w:rPr>
        <w:t xml:space="preserve">au minimum vital </w:t>
      </w:r>
      <w:r>
        <w:rPr>
          <w:lang w:val="fr-FR"/>
        </w:rPr>
        <w:t>des retraités</w:t>
      </w:r>
      <w:r w:rsidRPr="00B0622D">
        <w:rPr>
          <w:lang w:val="fr-FR"/>
        </w:rPr>
        <w:t xml:space="preserve"> de l</w:t>
      </w:r>
      <w:r>
        <w:rPr>
          <w:lang w:val="fr-FR"/>
        </w:rPr>
        <w:t>’</w:t>
      </w:r>
      <w:r w:rsidRPr="00B0622D">
        <w:rPr>
          <w:lang w:val="fr-FR"/>
        </w:rPr>
        <w:t xml:space="preserve">année précédente. </w:t>
      </w:r>
    </w:p>
    <w:p w14:paraId="782FDDFC" w14:textId="77777777" w:rsidR="009C6834" w:rsidRPr="00466CE7" w:rsidRDefault="009C6834" w:rsidP="00E1792A">
      <w:pPr>
        <w:pStyle w:val="H23G"/>
        <w:rPr>
          <w:lang w:val="fr-FR"/>
        </w:rPr>
      </w:pPr>
      <w:r w:rsidRPr="00466CE7">
        <w:rPr>
          <w:lang w:val="fr-FR"/>
        </w:rPr>
        <w:lastRenderedPageBreak/>
        <w:tab/>
      </w:r>
      <w:r w:rsidRPr="00466CE7">
        <w:rPr>
          <w:lang w:val="fr-FR"/>
        </w:rPr>
        <w:tab/>
      </w:r>
      <w:r>
        <w:rPr>
          <w:lang w:val="fr-FR"/>
        </w:rPr>
        <w:t>Allocation de maternité</w:t>
      </w:r>
    </w:p>
    <w:p w14:paraId="5F64016F" w14:textId="3507CF50" w:rsidR="009C6834" w:rsidRPr="00466CE7" w:rsidRDefault="009C6834" w:rsidP="00E1792A">
      <w:pPr>
        <w:pStyle w:val="SingleTxtG"/>
        <w:keepNext/>
        <w:keepLines/>
        <w:rPr>
          <w:lang w:val="fr-FR"/>
        </w:rPr>
      </w:pPr>
      <w:r w:rsidRPr="00466CE7">
        <w:rPr>
          <w:lang w:val="fr-FR"/>
        </w:rPr>
        <w:t>184.</w:t>
      </w:r>
      <w:r w:rsidRPr="00466CE7">
        <w:rPr>
          <w:lang w:val="fr-FR"/>
        </w:rPr>
        <w:tab/>
      </w:r>
      <w:r>
        <w:rPr>
          <w:lang w:val="fr-FR"/>
        </w:rPr>
        <w:t xml:space="preserve">Conformément à la </w:t>
      </w:r>
      <w:r w:rsidRPr="00466CE7">
        <w:rPr>
          <w:lang w:val="fr-FR"/>
        </w:rPr>
        <w:t xml:space="preserve">législation du travail, les femmes </w:t>
      </w:r>
      <w:r>
        <w:rPr>
          <w:lang w:val="fr-FR"/>
        </w:rPr>
        <w:t>salariées</w:t>
      </w:r>
      <w:r w:rsidRPr="00466CE7">
        <w:rPr>
          <w:lang w:val="fr-FR"/>
        </w:rPr>
        <w:t xml:space="preserve">, ainsi que les </w:t>
      </w:r>
      <w:r>
        <w:rPr>
          <w:lang w:val="fr-FR"/>
        </w:rPr>
        <w:t>femmes chefs d’entreprise</w:t>
      </w:r>
      <w:r w:rsidRPr="00466CE7">
        <w:rPr>
          <w:lang w:val="fr-FR"/>
        </w:rPr>
        <w:t xml:space="preserve">, </w:t>
      </w:r>
      <w:r>
        <w:rPr>
          <w:lang w:val="fr-FR"/>
        </w:rPr>
        <w:t xml:space="preserve">les femmes qui travaillent dans des exploitations </w:t>
      </w:r>
      <w:r w:rsidRPr="00466CE7">
        <w:rPr>
          <w:lang w:val="fr-FR"/>
        </w:rPr>
        <w:t>paysan</w:t>
      </w:r>
      <w:r>
        <w:rPr>
          <w:lang w:val="fr-FR"/>
        </w:rPr>
        <w:t>ne</w:t>
      </w:r>
      <w:r w:rsidRPr="00466CE7">
        <w:rPr>
          <w:lang w:val="fr-FR"/>
        </w:rPr>
        <w:t xml:space="preserve">s (agricoles) et </w:t>
      </w:r>
      <w:r>
        <w:rPr>
          <w:lang w:val="fr-FR"/>
        </w:rPr>
        <w:t>les femmes officiellement au chômage</w:t>
      </w:r>
      <w:r w:rsidRPr="00466CE7">
        <w:rPr>
          <w:lang w:val="fr-FR"/>
        </w:rPr>
        <w:t xml:space="preserve"> </w:t>
      </w:r>
      <w:r>
        <w:rPr>
          <w:lang w:val="fr-FR"/>
        </w:rPr>
        <w:t xml:space="preserve">pouvant prétendre à des allocations de chômage, se voient accorder, </w:t>
      </w:r>
      <w:r w:rsidRPr="00466CE7">
        <w:rPr>
          <w:lang w:val="fr-FR"/>
        </w:rPr>
        <w:t xml:space="preserve">à leur demande et sur </w:t>
      </w:r>
      <w:r>
        <w:rPr>
          <w:lang w:val="fr-FR"/>
        </w:rPr>
        <w:t xml:space="preserve">présentation </w:t>
      </w:r>
      <w:r w:rsidRPr="00466CE7">
        <w:rPr>
          <w:lang w:val="fr-FR"/>
        </w:rPr>
        <w:t>d</w:t>
      </w:r>
      <w:r>
        <w:rPr>
          <w:lang w:val="fr-FR"/>
        </w:rPr>
        <w:t>’</w:t>
      </w:r>
      <w:r w:rsidRPr="00466CE7">
        <w:rPr>
          <w:lang w:val="fr-FR"/>
        </w:rPr>
        <w:t xml:space="preserve">un </w:t>
      </w:r>
      <w:r>
        <w:rPr>
          <w:lang w:val="fr-FR"/>
        </w:rPr>
        <w:t xml:space="preserve">certificat </w:t>
      </w:r>
      <w:r w:rsidRPr="00466CE7">
        <w:rPr>
          <w:lang w:val="fr-FR"/>
        </w:rPr>
        <w:t xml:space="preserve">médical, </w:t>
      </w:r>
      <w:r>
        <w:rPr>
          <w:lang w:val="fr-FR"/>
        </w:rPr>
        <w:t xml:space="preserve">un </w:t>
      </w:r>
      <w:r w:rsidRPr="00466CE7">
        <w:rPr>
          <w:lang w:val="fr-FR"/>
        </w:rPr>
        <w:t xml:space="preserve">congé de maternité </w:t>
      </w:r>
      <w:r>
        <w:rPr>
          <w:lang w:val="fr-FR"/>
        </w:rPr>
        <w:t xml:space="preserve">d’une durée comprise entre </w:t>
      </w:r>
      <w:r w:rsidR="002E59F6">
        <w:rPr>
          <w:lang w:val="fr-FR"/>
        </w:rPr>
        <w:t>cent vingt-six</w:t>
      </w:r>
      <w:r w:rsidRPr="00466CE7">
        <w:rPr>
          <w:lang w:val="fr-FR"/>
        </w:rPr>
        <w:t xml:space="preserve"> </w:t>
      </w:r>
      <w:r>
        <w:rPr>
          <w:lang w:val="fr-FR"/>
        </w:rPr>
        <w:t xml:space="preserve">et </w:t>
      </w:r>
      <w:r w:rsidR="002E59F6">
        <w:rPr>
          <w:lang w:val="fr-FR"/>
        </w:rPr>
        <w:t>cent quatre-vingts</w:t>
      </w:r>
      <w:r w:rsidRPr="00466CE7">
        <w:rPr>
          <w:lang w:val="fr-FR"/>
        </w:rPr>
        <w:t xml:space="preserve"> jours </w:t>
      </w:r>
      <w:r>
        <w:rPr>
          <w:lang w:val="fr-FR"/>
        </w:rPr>
        <w:t xml:space="preserve">calendaires ; elles reçoivent durant </w:t>
      </w:r>
      <w:r w:rsidRPr="00466CE7">
        <w:rPr>
          <w:lang w:val="fr-FR"/>
        </w:rPr>
        <w:t xml:space="preserve">cette période </w:t>
      </w:r>
      <w:r>
        <w:rPr>
          <w:lang w:val="fr-FR"/>
        </w:rPr>
        <w:t xml:space="preserve">des </w:t>
      </w:r>
      <w:r w:rsidRPr="00466CE7">
        <w:rPr>
          <w:lang w:val="fr-FR"/>
        </w:rPr>
        <w:t xml:space="preserve">allocations de maternité </w:t>
      </w:r>
      <w:r>
        <w:rPr>
          <w:lang w:val="fr-FR"/>
        </w:rPr>
        <w:t xml:space="preserve">dont le </w:t>
      </w:r>
      <w:r w:rsidRPr="00466CE7">
        <w:rPr>
          <w:lang w:val="fr-FR"/>
        </w:rPr>
        <w:t xml:space="preserve">montant </w:t>
      </w:r>
      <w:r>
        <w:rPr>
          <w:lang w:val="fr-FR"/>
        </w:rPr>
        <w:t xml:space="preserve">est fixé </w:t>
      </w:r>
      <w:r w:rsidRPr="00466CE7">
        <w:rPr>
          <w:lang w:val="fr-FR"/>
        </w:rPr>
        <w:t>par la loi.</w:t>
      </w:r>
    </w:p>
    <w:p w14:paraId="1A97E6F4" w14:textId="69A8D2CE" w:rsidR="009C6834" w:rsidRDefault="009C6834" w:rsidP="009C6834">
      <w:pPr>
        <w:pStyle w:val="SingleTxtG"/>
        <w:rPr>
          <w:lang w:val="fr-FR"/>
        </w:rPr>
      </w:pPr>
      <w:r w:rsidRPr="00466CE7">
        <w:rPr>
          <w:lang w:val="fr-FR"/>
        </w:rPr>
        <w:t>185.</w:t>
      </w:r>
      <w:r w:rsidRPr="00466CE7">
        <w:rPr>
          <w:lang w:val="fr-FR"/>
        </w:rPr>
        <w:tab/>
        <w:t>Au 1</w:t>
      </w:r>
      <w:r w:rsidRPr="002E59F6">
        <w:rPr>
          <w:vertAlign w:val="superscript"/>
          <w:lang w:val="fr-FR"/>
        </w:rPr>
        <w:t>er</w:t>
      </w:r>
      <w:r w:rsidR="002E59F6">
        <w:rPr>
          <w:lang w:val="fr-FR"/>
        </w:rPr>
        <w:t> </w:t>
      </w:r>
      <w:r w:rsidRPr="00466CE7">
        <w:rPr>
          <w:lang w:val="fr-FR"/>
        </w:rPr>
        <w:t>janvier 2020, 38</w:t>
      </w:r>
      <w:r w:rsidR="002E59F6">
        <w:rPr>
          <w:lang w:val="fr-FR"/>
        </w:rPr>
        <w:t> </w:t>
      </w:r>
      <w:r w:rsidRPr="00466CE7">
        <w:rPr>
          <w:lang w:val="fr-FR"/>
        </w:rPr>
        <w:t>538</w:t>
      </w:r>
      <w:r w:rsidR="002E59F6">
        <w:rPr>
          <w:lang w:val="fr-FR"/>
        </w:rPr>
        <w:t> </w:t>
      </w:r>
      <w:r w:rsidRPr="00466CE7">
        <w:rPr>
          <w:lang w:val="fr-FR"/>
        </w:rPr>
        <w:t xml:space="preserve">personnes </w:t>
      </w:r>
      <w:r>
        <w:rPr>
          <w:lang w:val="fr-FR"/>
        </w:rPr>
        <w:t>per</w:t>
      </w:r>
      <w:r w:rsidRPr="00466CE7">
        <w:rPr>
          <w:lang w:val="fr-FR"/>
        </w:rPr>
        <w:t>cevaien</w:t>
      </w:r>
      <w:r>
        <w:rPr>
          <w:lang w:val="fr-FR"/>
        </w:rPr>
        <w:t xml:space="preserve">t des allocations de maternité d’un montant </w:t>
      </w:r>
      <w:r w:rsidRPr="00466CE7">
        <w:rPr>
          <w:lang w:val="fr-FR"/>
        </w:rPr>
        <w:t>moyen de 8</w:t>
      </w:r>
      <w:r w:rsidR="002E59F6">
        <w:rPr>
          <w:lang w:val="fr-FR"/>
        </w:rPr>
        <w:t> </w:t>
      </w:r>
      <w:r w:rsidRPr="00466CE7">
        <w:rPr>
          <w:lang w:val="fr-FR"/>
        </w:rPr>
        <w:t>673</w:t>
      </w:r>
      <w:r w:rsidR="002E59F6">
        <w:rPr>
          <w:lang w:val="fr-FR"/>
        </w:rPr>
        <w:t> </w:t>
      </w:r>
      <w:proofErr w:type="spellStart"/>
      <w:r w:rsidRPr="00466CE7">
        <w:rPr>
          <w:lang w:val="fr-FR"/>
        </w:rPr>
        <w:t>soms</w:t>
      </w:r>
      <w:proofErr w:type="spellEnd"/>
      <w:r w:rsidRPr="00466CE7">
        <w:rPr>
          <w:lang w:val="fr-FR"/>
        </w:rPr>
        <w:t>.</w:t>
      </w:r>
      <w:r>
        <w:rPr>
          <w:lang w:val="fr-FR"/>
        </w:rPr>
        <w:t xml:space="preserve"> </w:t>
      </w:r>
    </w:p>
    <w:p w14:paraId="5083DA22" w14:textId="77777777" w:rsidR="009C6834" w:rsidRPr="006775D1" w:rsidRDefault="009C6834" w:rsidP="009C6834">
      <w:pPr>
        <w:pStyle w:val="SingleTxtG"/>
        <w:rPr>
          <w:b/>
          <w:lang w:val="fr-FR"/>
        </w:rPr>
      </w:pPr>
      <w:r w:rsidRPr="006775D1">
        <w:rPr>
          <w:b/>
          <w:lang w:val="fr-FR"/>
        </w:rPr>
        <w:t>Allocation rituelle</w:t>
      </w:r>
    </w:p>
    <w:p w14:paraId="6D542CBB" w14:textId="77777777" w:rsidR="009C6834" w:rsidRPr="00466CE7" w:rsidRDefault="009C6834" w:rsidP="009C6834">
      <w:pPr>
        <w:pStyle w:val="SingleTxtG"/>
        <w:rPr>
          <w:lang w:val="fr-FR"/>
        </w:rPr>
      </w:pPr>
      <w:r w:rsidRPr="00466CE7">
        <w:rPr>
          <w:lang w:val="fr-FR"/>
        </w:rPr>
        <w:t>186.</w:t>
      </w:r>
      <w:r w:rsidRPr="00466CE7">
        <w:rPr>
          <w:lang w:val="fr-FR"/>
        </w:rPr>
        <w:tab/>
        <w:t xml:space="preserve">Conformément à la loi </w:t>
      </w:r>
      <w:r>
        <w:rPr>
          <w:lang w:val="fr-FR"/>
        </w:rPr>
        <w:t xml:space="preserve">relative aux </w:t>
      </w:r>
      <w:r w:rsidRPr="00466CE7">
        <w:rPr>
          <w:lang w:val="fr-FR"/>
        </w:rPr>
        <w:t>normes sociales minimales garanties par l</w:t>
      </w:r>
      <w:r>
        <w:rPr>
          <w:lang w:val="fr-FR"/>
        </w:rPr>
        <w:t>’</w:t>
      </w:r>
      <w:r w:rsidRPr="00466CE7">
        <w:rPr>
          <w:lang w:val="fr-FR"/>
        </w:rPr>
        <w:t xml:space="preserve">État, une allocation </w:t>
      </w:r>
      <w:r>
        <w:rPr>
          <w:lang w:val="fr-FR"/>
        </w:rPr>
        <w:t>rituelle</w:t>
      </w:r>
      <w:r w:rsidRPr="00466CE7">
        <w:rPr>
          <w:lang w:val="fr-FR"/>
        </w:rPr>
        <w:t xml:space="preserve"> (</w:t>
      </w:r>
      <w:r>
        <w:rPr>
          <w:lang w:val="fr-FR"/>
        </w:rPr>
        <w:t>pour obsèques),</w:t>
      </w:r>
      <w:r w:rsidRPr="002355A1">
        <w:rPr>
          <w:lang w:val="fr-FR"/>
        </w:rPr>
        <w:t xml:space="preserve"> </w:t>
      </w:r>
      <w:r>
        <w:rPr>
          <w:lang w:val="fr-FR"/>
        </w:rPr>
        <w:t xml:space="preserve">imputée sur le </w:t>
      </w:r>
      <w:r w:rsidRPr="00466CE7">
        <w:rPr>
          <w:lang w:val="fr-FR"/>
        </w:rPr>
        <w:t xml:space="preserve">budget </w:t>
      </w:r>
      <w:r>
        <w:rPr>
          <w:lang w:val="fr-FR"/>
        </w:rPr>
        <w:t>de l’État</w:t>
      </w:r>
      <w:r w:rsidRPr="00466CE7">
        <w:rPr>
          <w:lang w:val="fr-FR"/>
        </w:rPr>
        <w:t>/</w:t>
      </w:r>
      <w:r>
        <w:rPr>
          <w:lang w:val="fr-FR"/>
        </w:rPr>
        <w:t xml:space="preserve">budget </w:t>
      </w:r>
      <w:r w:rsidRPr="00466CE7">
        <w:rPr>
          <w:lang w:val="fr-FR"/>
        </w:rPr>
        <w:t>local</w:t>
      </w:r>
      <w:r>
        <w:rPr>
          <w:lang w:val="fr-FR"/>
        </w:rPr>
        <w:t xml:space="preserve">, </w:t>
      </w:r>
      <w:r w:rsidRPr="00466CE7">
        <w:rPr>
          <w:lang w:val="fr-FR"/>
        </w:rPr>
        <w:t xml:space="preserve">est versée </w:t>
      </w:r>
      <w:r>
        <w:rPr>
          <w:lang w:val="fr-FR"/>
        </w:rPr>
        <w:t>en cas de décès.</w:t>
      </w:r>
    </w:p>
    <w:p w14:paraId="5144EEBB" w14:textId="1A914326" w:rsidR="009C6834" w:rsidRPr="00466CE7" w:rsidRDefault="009C6834" w:rsidP="009C6834">
      <w:pPr>
        <w:pStyle w:val="SingleTxtG"/>
        <w:rPr>
          <w:lang w:val="fr-FR"/>
        </w:rPr>
      </w:pPr>
      <w:r w:rsidRPr="00466CE7">
        <w:rPr>
          <w:lang w:val="fr-FR"/>
        </w:rPr>
        <w:t>187.</w:t>
      </w:r>
      <w:r w:rsidRPr="00466CE7">
        <w:rPr>
          <w:lang w:val="fr-FR"/>
        </w:rPr>
        <w:tab/>
        <w:t xml:space="preserve">Le montant du salaire mensuel moyen </w:t>
      </w:r>
      <w:r>
        <w:rPr>
          <w:lang w:val="fr-FR"/>
        </w:rPr>
        <w:t xml:space="preserve">retenu </w:t>
      </w:r>
      <w:r w:rsidRPr="00466CE7">
        <w:rPr>
          <w:lang w:val="fr-FR"/>
        </w:rPr>
        <w:t xml:space="preserve">pour le calcul de </w:t>
      </w:r>
      <w:r>
        <w:rPr>
          <w:lang w:val="fr-FR"/>
        </w:rPr>
        <w:t>l’allocation rituelle</w:t>
      </w:r>
      <w:r w:rsidRPr="00466CE7">
        <w:rPr>
          <w:lang w:val="fr-FR"/>
        </w:rPr>
        <w:t xml:space="preserve"> (</w:t>
      </w:r>
      <w:r>
        <w:rPr>
          <w:lang w:val="fr-FR"/>
        </w:rPr>
        <w:t>obsèques</w:t>
      </w:r>
      <w:r w:rsidRPr="00466CE7">
        <w:rPr>
          <w:lang w:val="fr-FR"/>
        </w:rPr>
        <w:t xml:space="preserve">) </w:t>
      </w:r>
      <w:r>
        <w:rPr>
          <w:lang w:val="fr-FR"/>
        </w:rPr>
        <w:t xml:space="preserve">a été fixé </w:t>
      </w:r>
      <w:r w:rsidRPr="00466CE7">
        <w:rPr>
          <w:lang w:val="fr-FR"/>
        </w:rPr>
        <w:t xml:space="preserve">par </w:t>
      </w:r>
      <w:r>
        <w:rPr>
          <w:lang w:val="fr-FR"/>
        </w:rPr>
        <w:t xml:space="preserve">une décision du </w:t>
      </w:r>
      <w:r w:rsidR="009250F6" w:rsidRPr="00466CE7">
        <w:rPr>
          <w:lang w:val="fr-FR"/>
        </w:rPr>
        <w:t>Gouverne</w:t>
      </w:r>
      <w:r w:rsidR="009250F6">
        <w:rPr>
          <w:lang w:val="fr-FR"/>
        </w:rPr>
        <w:t xml:space="preserve">ment </w:t>
      </w:r>
      <w:r>
        <w:rPr>
          <w:lang w:val="fr-FR"/>
        </w:rPr>
        <w:t xml:space="preserve">en </w:t>
      </w:r>
      <w:r w:rsidRPr="00466CE7">
        <w:rPr>
          <w:lang w:val="fr-FR"/>
        </w:rPr>
        <w:t>2012.</w:t>
      </w:r>
    </w:p>
    <w:p w14:paraId="5C874BE1" w14:textId="4160E295" w:rsidR="009C6834" w:rsidRPr="00466CE7" w:rsidRDefault="009C6834" w:rsidP="009C6834">
      <w:pPr>
        <w:pStyle w:val="SingleTxtG"/>
        <w:rPr>
          <w:lang w:val="fr-FR"/>
        </w:rPr>
      </w:pPr>
      <w:r w:rsidRPr="00466CE7">
        <w:rPr>
          <w:lang w:val="fr-FR"/>
        </w:rPr>
        <w:t>188.</w:t>
      </w:r>
      <w:r w:rsidRPr="00466CE7">
        <w:rPr>
          <w:lang w:val="fr-FR"/>
        </w:rPr>
        <w:tab/>
        <w:t>Au 1</w:t>
      </w:r>
      <w:r w:rsidRPr="002E59F6">
        <w:rPr>
          <w:vertAlign w:val="superscript"/>
          <w:lang w:val="fr-FR"/>
        </w:rPr>
        <w:t>er</w:t>
      </w:r>
      <w:r w:rsidR="002E59F6">
        <w:rPr>
          <w:lang w:val="fr-FR"/>
        </w:rPr>
        <w:t> </w:t>
      </w:r>
      <w:r w:rsidRPr="00466CE7">
        <w:rPr>
          <w:lang w:val="fr-FR"/>
        </w:rPr>
        <w:t xml:space="preserve">janvier 2020, le nombre de bénéficiaires de </w:t>
      </w:r>
      <w:r>
        <w:rPr>
          <w:lang w:val="fr-FR"/>
        </w:rPr>
        <w:t xml:space="preserve">l’allocation rituelle </w:t>
      </w:r>
      <w:r w:rsidRPr="00466CE7">
        <w:rPr>
          <w:lang w:val="fr-FR"/>
        </w:rPr>
        <w:t>s</w:t>
      </w:r>
      <w:r>
        <w:rPr>
          <w:lang w:val="fr-FR"/>
        </w:rPr>
        <w:t>’</w:t>
      </w:r>
      <w:r w:rsidRPr="00466CE7">
        <w:rPr>
          <w:lang w:val="fr-FR"/>
        </w:rPr>
        <w:t>élevait à 2</w:t>
      </w:r>
      <w:r w:rsidR="002E59F6">
        <w:rPr>
          <w:lang w:val="fr-FR"/>
        </w:rPr>
        <w:t> </w:t>
      </w:r>
      <w:r w:rsidRPr="00466CE7">
        <w:rPr>
          <w:lang w:val="fr-FR"/>
        </w:rPr>
        <w:t>968</w:t>
      </w:r>
      <w:r w:rsidR="002E59F6">
        <w:rPr>
          <w:lang w:val="fr-FR"/>
        </w:rPr>
        <w:t> </w:t>
      </w:r>
      <w:r w:rsidRPr="00466CE7">
        <w:rPr>
          <w:lang w:val="fr-FR"/>
        </w:rPr>
        <w:t>et le montant moyen de</w:t>
      </w:r>
      <w:r>
        <w:rPr>
          <w:lang w:val="fr-FR"/>
        </w:rPr>
        <w:t xml:space="preserve"> l’allocation</w:t>
      </w:r>
      <w:r w:rsidRPr="00466CE7">
        <w:rPr>
          <w:lang w:val="fr-FR"/>
        </w:rPr>
        <w:t xml:space="preserve"> était de 3</w:t>
      </w:r>
      <w:r w:rsidR="002E59F6">
        <w:rPr>
          <w:lang w:val="fr-FR"/>
        </w:rPr>
        <w:t> </w:t>
      </w:r>
      <w:r w:rsidRPr="00466CE7">
        <w:rPr>
          <w:lang w:val="fr-FR"/>
        </w:rPr>
        <w:t>419</w:t>
      </w:r>
      <w:r w:rsidR="002E59F6">
        <w:rPr>
          <w:lang w:val="fr-FR"/>
        </w:rPr>
        <w:t> </w:t>
      </w:r>
      <w:proofErr w:type="spellStart"/>
      <w:r w:rsidRPr="00466CE7">
        <w:rPr>
          <w:lang w:val="fr-FR"/>
        </w:rPr>
        <w:t>soms</w:t>
      </w:r>
      <w:proofErr w:type="spellEnd"/>
      <w:r w:rsidRPr="00466CE7">
        <w:rPr>
          <w:lang w:val="fr-FR"/>
        </w:rPr>
        <w:t>.</w:t>
      </w:r>
    </w:p>
    <w:p w14:paraId="4D76EFAC" w14:textId="629A0899" w:rsidR="009C6834" w:rsidRPr="00466CE7" w:rsidRDefault="009C6834" w:rsidP="002E59F6">
      <w:pPr>
        <w:pStyle w:val="SingleTxtG"/>
        <w:keepNext/>
        <w:rPr>
          <w:lang w:val="fr-FR"/>
        </w:rPr>
      </w:pPr>
      <w:r w:rsidRPr="00466CE7">
        <w:rPr>
          <w:lang w:val="fr-FR"/>
        </w:rPr>
        <w:t>189.</w:t>
      </w:r>
      <w:r w:rsidRPr="00466CE7">
        <w:rPr>
          <w:lang w:val="fr-FR"/>
        </w:rPr>
        <w:tab/>
        <w:t xml:space="preserve">Afin </w:t>
      </w:r>
      <w:r>
        <w:rPr>
          <w:lang w:val="fr-FR"/>
        </w:rPr>
        <w:t xml:space="preserve">de garantir </w:t>
      </w:r>
      <w:r w:rsidRPr="00466CE7">
        <w:rPr>
          <w:lang w:val="fr-FR"/>
        </w:rPr>
        <w:t xml:space="preserve">la qualité et la sécurité des services sociaux, deux normes </w:t>
      </w:r>
      <w:r>
        <w:rPr>
          <w:lang w:val="fr-FR"/>
        </w:rPr>
        <w:t xml:space="preserve">sociales </w:t>
      </w:r>
      <w:r w:rsidRPr="00466CE7">
        <w:rPr>
          <w:lang w:val="fr-FR"/>
        </w:rPr>
        <w:t xml:space="preserve">minimales ont été </w:t>
      </w:r>
      <w:r>
        <w:rPr>
          <w:lang w:val="fr-FR"/>
        </w:rPr>
        <w:t xml:space="preserve">mises en place, respectivement : </w:t>
      </w:r>
    </w:p>
    <w:p w14:paraId="66D579C4" w14:textId="11CC747F" w:rsidR="009C6834" w:rsidRPr="005D0263" w:rsidRDefault="002E59F6" w:rsidP="002E59F6">
      <w:pPr>
        <w:pStyle w:val="Bullet1G"/>
        <w:rPr>
          <w:lang w:val="fr-FR"/>
        </w:rPr>
      </w:pPr>
      <w:r>
        <w:rPr>
          <w:lang w:val="fr-FR"/>
        </w:rPr>
        <w:t xml:space="preserve">Pour </w:t>
      </w:r>
      <w:r w:rsidR="009C6834">
        <w:rPr>
          <w:lang w:val="fr-FR"/>
        </w:rPr>
        <w:t>les personnes résidant dans un établissement</w:t>
      </w:r>
      <w:r w:rsidR="009C6834" w:rsidRPr="005D0263">
        <w:rPr>
          <w:lang w:val="fr-FR"/>
        </w:rPr>
        <w:t xml:space="preserve"> </w:t>
      </w:r>
      <w:r w:rsidR="009C6834">
        <w:rPr>
          <w:lang w:val="fr-FR"/>
        </w:rPr>
        <w:t>social relevant du Ministère du travail et du développement social (</w:t>
      </w:r>
      <w:r w:rsidR="009C6834" w:rsidRPr="005D0263">
        <w:rPr>
          <w:lang w:val="fr-FR"/>
        </w:rPr>
        <w:t xml:space="preserve">17 </w:t>
      </w:r>
      <w:r w:rsidR="009C6834">
        <w:rPr>
          <w:lang w:val="fr-FR"/>
        </w:rPr>
        <w:t>établissements</w:t>
      </w:r>
      <w:r w:rsidR="009C6834" w:rsidRPr="005D0263">
        <w:rPr>
          <w:lang w:val="fr-FR"/>
        </w:rPr>
        <w:t>)</w:t>
      </w:r>
      <w:r w:rsidR="009C6834">
        <w:rPr>
          <w:lang w:val="fr-FR"/>
        </w:rPr>
        <w:t> </w:t>
      </w:r>
      <w:r w:rsidR="009C6834" w:rsidRPr="005D0263">
        <w:rPr>
          <w:lang w:val="fr-FR"/>
        </w:rPr>
        <w:t>;</w:t>
      </w:r>
    </w:p>
    <w:p w14:paraId="26AD3DB4" w14:textId="5C9E9716" w:rsidR="009C6834" w:rsidRPr="005D0263" w:rsidRDefault="002E59F6" w:rsidP="002E59F6">
      <w:pPr>
        <w:pStyle w:val="Bullet1G"/>
        <w:rPr>
          <w:lang w:val="fr-FR"/>
        </w:rPr>
      </w:pPr>
      <w:r>
        <w:rPr>
          <w:lang w:val="fr-FR"/>
        </w:rPr>
        <w:t xml:space="preserve">Pour </w:t>
      </w:r>
      <w:r w:rsidR="009C6834">
        <w:rPr>
          <w:lang w:val="fr-FR"/>
        </w:rPr>
        <w:t>les personnes fréquentant un établissement social</w:t>
      </w:r>
      <w:r w:rsidR="009C6834" w:rsidRPr="005D0263">
        <w:rPr>
          <w:lang w:val="fr-FR"/>
        </w:rPr>
        <w:t xml:space="preserve"> semi-</w:t>
      </w:r>
      <w:r w:rsidR="009C6834">
        <w:rPr>
          <w:lang w:val="fr-FR"/>
        </w:rPr>
        <w:t>hospitalier</w:t>
      </w:r>
      <w:r w:rsidR="009C6834" w:rsidRPr="005D0263">
        <w:rPr>
          <w:lang w:val="fr-FR"/>
        </w:rPr>
        <w:t xml:space="preserve"> (de jour).</w:t>
      </w:r>
    </w:p>
    <w:p w14:paraId="5F24F2A3" w14:textId="4CC13A77" w:rsidR="009C6834" w:rsidRPr="00466CE7" w:rsidRDefault="009C6834" w:rsidP="009C6834">
      <w:pPr>
        <w:pStyle w:val="SingleTxtG"/>
        <w:rPr>
          <w:lang w:val="fr-FR"/>
        </w:rPr>
      </w:pPr>
      <w:r w:rsidRPr="00466CE7">
        <w:rPr>
          <w:lang w:val="fr-FR"/>
        </w:rPr>
        <w:t>190.</w:t>
      </w:r>
      <w:r w:rsidRPr="00466CE7">
        <w:rPr>
          <w:lang w:val="fr-FR"/>
        </w:rPr>
        <w:tab/>
      </w:r>
      <w:r>
        <w:rPr>
          <w:lang w:val="fr-FR"/>
        </w:rPr>
        <w:t xml:space="preserve">Le Ministère du travail et du développement social gère </w:t>
      </w:r>
      <w:r w:rsidRPr="00466CE7">
        <w:rPr>
          <w:lang w:val="fr-FR"/>
        </w:rPr>
        <w:t>17</w:t>
      </w:r>
      <w:r w:rsidR="002E59F6">
        <w:rPr>
          <w:lang w:val="fr-FR"/>
        </w:rPr>
        <w:t> </w:t>
      </w:r>
      <w:r>
        <w:rPr>
          <w:lang w:val="fr-FR"/>
        </w:rPr>
        <w:t xml:space="preserve">établissements sociaux, dont six sont spécialisés dans l’accueil des personnes </w:t>
      </w:r>
      <w:r w:rsidRPr="00466CE7">
        <w:rPr>
          <w:lang w:val="fr-FR"/>
        </w:rPr>
        <w:t>âgé</w:t>
      </w:r>
      <w:r>
        <w:rPr>
          <w:lang w:val="fr-FR"/>
        </w:rPr>
        <w:t>e</w:t>
      </w:r>
      <w:r w:rsidRPr="00466CE7">
        <w:rPr>
          <w:lang w:val="fr-FR"/>
        </w:rPr>
        <w:t xml:space="preserve">s et </w:t>
      </w:r>
      <w:r>
        <w:rPr>
          <w:lang w:val="fr-FR"/>
        </w:rPr>
        <w:t xml:space="preserve">des </w:t>
      </w:r>
      <w:r w:rsidRPr="00466CE7">
        <w:rPr>
          <w:lang w:val="fr-FR"/>
        </w:rPr>
        <w:t>personnes handicapées.</w:t>
      </w:r>
    </w:p>
    <w:p w14:paraId="277D45A9" w14:textId="63EB2E30" w:rsidR="009C6834" w:rsidRDefault="009C6834" w:rsidP="009C6834">
      <w:pPr>
        <w:pStyle w:val="SingleTxtG"/>
        <w:rPr>
          <w:lang w:val="fr-FR"/>
        </w:rPr>
      </w:pPr>
      <w:r w:rsidRPr="00466CE7">
        <w:rPr>
          <w:lang w:val="fr-FR"/>
        </w:rPr>
        <w:t>191.</w:t>
      </w:r>
      <w:r w:rsidRPr="00466CE7">
        <w:rPr>
          <w:lang w:val="fr-FR"/>
        </w:rPr>
        <w:tab/>
      </w:r>
      <w:r>
        <w:rPr>
          <w:lang w:val="fr-FR"/>
        </w:rPr>
        <w:t>Ces établissements hébergent actuellement</w:t>
      </w:r>
      <w:r w:rsidRPr="00466CE7">
        <w:rPr>
          <w:lang w:val="fr-FR"/>
        </w:rPr>
        <w:t xml:space="preserve"> 2</w:t>
      </w:r>
      <w:r w:rsidR="002E59F6">
        <w:rPr>
          <w:lang w:val="fr-FR"/>
        </w:rPr>
        <w:t> </w:t>
      </w:r>
      <w:r w:rsidRPr="00466CE7">
        <w:rPr>
          <w:lang w:val="fr-FR"/>
        </w:rPr>
        <w:t>364</w:t>
      </w:r>
      <w:r w:rsidR="002E59F6">
        <w:rPr>
          <w:lang w:val="fr-FR"/>
        </w:rPr>
        <w:t> </w:t>
      </w:r>
      <w:r>
        <w:rPr>
          <w:lang w:val="fr-FR"/>
        </w:rPr>
        <w:t xml:space="preserve">personnes (dont 723 sont âgées ou handicapées : </w:t>
      </w:r>
      <w:r w:rsidRPr="00466CE7">
        <w:rPr>
          <w:lang w:val="fr-FR"/>
        </w:rPr>
        <w:t>383</w:t>
      </w:r>
      <w:r w:rsidR="002E59F6">
        <w:rPr>
          <w:lang w:val="fr-FR"/>
        </w:rPr>
        <w:t> </w:t>
      </w:r>
      <w:r>
        <w:rPr>
          <w:lang w:val="fr-FR"/>
        </w:rPr>
        <w:t xml:space="preserve">personnes </w:t>
      </w:r>
      <w:r w:rsidRPr="00466CE7">
        <w:rPr>
          <w:lang w:val="fr-FR"/>
        </w:rPr>
        <w:t>âgé</w:t>
      </w:r>
      <w:r>
        <w:rPr>
          <w:lang w:val="fr-FR"/>
        </w:rPr>
        <w:t>e</w:t>
      </w:r>
      <w:r w:rsidRPr="00466CE7">
        <w:rPr>
          <w:lang w:val="fr-FR"/>
        </w:rPr>
        <w:t>s et 340</w:t>
      </w:r>
      <w:r w:rsidR="002E59F6">
        <w:rPr>
          <w:lang w:val="fr-FR"/>
        </w:rPr>
        <w:t> </w:t>
      </w:r>
      <w:r w:rsidRPr="00466CE7">
        <w:rPr>
          <w:lang w:val="fr-FR"/>
        </w:rPr>
        <w:t>personnes handicapées</w:t>
      </w:r>
      <w:r>
        <w:rPr>
          <w:lang w:val="fr-FR"/>
        </w:rPr>
        <w:t>)</w:t>
      </w:r>
      <w:r w:rsidRPr="00466CE7">
        <w:rPr>
          <w:lang w:val="fr-FR"/>
        </w:rPr>
        <w:t xml:space="preserve">. </w:t>
      </w:r>
    </w:p>
    <w:p w14:paraId="0BE63432" w14:textId="72DD8BE3" w:rsidR="009C6834" w:rsidRPr="00466CE7" w:rsidRDefault="009C6834" w:rsidP="009C6834">
      <w:pPr>
        <w:pStyle w:val="SingleTxtG"/>
        <w:rPr>
          <w:lang w:val="fr-FR"/>
        </w:rPr>
      </w:pPr>
      <w:r w:rsidRPr="00466CE7">
        <w:rPr>
          <w:lang w:val="fr-FR"/>
        </w:rPr>
        <w:t>192.</w:t>
      </w:r>
      <w:r w:rsidRPr="00466CE7">
        <w:rPr>
          <w:lang w:val="fr-FR"/>
        </w:rPr>
        <w:tab/>
      </w:r>
      <w:r>
        <w:rPr>
          <w:lang w:val="fr-FR"/>
        </w:rPr>
        <w:t xml:space="preserve">Actuellement, </w:t>
      </w:r>
      <w:r w:rsidRPr="00466CE7">
        <w:rPr>
          <w:lang w:val="fr-FR"/>
        </w:rPr>
        <w:t>925</w:t>
      </w:r>
      <w:r w:rsidR="002E59F6">
        <w:rPr>
          <w:lang w:val="fr-FR"/>
        </w:rPr>
        <w:t> </w:t>
      </w:r>
      <w:r w:rsidRPr="00466CE7">
        <w:rPr>
          <w:lang w:val="fr-FR"/>
        </w:rPr>
        <w:t xml:space="preserve">travailleurs sociaux fournissent des services à domicile </w:t>
      </w:r>
      <w:r>
        <w:rPr>
          <w:lang w:val="fr-FR"/>
        </w:rPr>
        <w:t xml:space="preserve">gratuits </w:t>
      </w:r>
      <w:r w:rsidRPr="00466CE7">
        <w:rPr>
          <w:lang w:val="fr-FR"/>
        </w:rPr>
        <w:t xml:space="preserve">à </w:t>
      </w:r>
      <w:r>
        <w:rPr>
          <w:lang w:val="fr-FR"/>
        </w:rPr>
        <w:t xml:space="preserve">environ </w:t>
      </w:r>
      <w:r w:rsidRPr="00466CE7">
        <w:rPr>
          <w:lang w:val="fr-FR"/>
        </w:rPr>
        <w:t>6</w:t>
      </w:r>
      <w:r w:rsidR="002E59F6">
        <w:rPr>
          <w:lang w:val="fr-FR"/>
        </w:rPr>
        <w:t> </w:t>
      </w:r>
      <w:r w:rsidRPr="00466CE7">
        <w:rPr>
          <w:lang w:val="fr-FR"/>
        </w:rPr>
        <w:t>900</w:t>
      </w:r>
      <w:r w:rsidR="002E59F6">
        <w:rPr>
          <w:lang w:val="fr-FR"/>
        </w:rPr>
        <w:t> </w:t>
      </w:r>
      <w:r w:rsidRPr="00466CE7">
        <w:rPr>
          <w:lang w:val="fr-FR"/>
        </w:rPr>
        <w:t>personnes âgées</w:t>
      </w:r>
      <w:r>
        <w:rPr>
          <w:lang w:val="fr-FR"/>
        </w:rPr>
        <w:t xml:space="preserve"> seules</w:t>
      </w:r>
      <w:r w:rsidRPr="00466CE7">
        <w:rPr>
          <w:lang w:val="fr-FR"/>
        </w:rPr>
        <w:t xml:space="preserve"> et </w:t>
      </w:r>
      <w:r>
        <w:rPr>
          <w:lang w:val="fr-FR"/>
        </w:rPr>
        <w:t xml:space="preserve">personnes </w:t>
      </w:r>
      <w:r w:rsidRPr="00466CE7">
        <w:rPr>
          <w:lang w:val="fr-FR"/>
        </w:rPr>
        <w:t xml:space="preserve">handicapées </w:t>
      </w:r>
      <w:r>
        <w:rPr>
          <w:lang w:val="fr-FR"/>
        </w:rPr>
        <w:t>(</w:t>
      </w:r>
      <w:r w:rsidRPr="00466CE7">
        <w:rPr>
          <w:lang w:val="fr-FR"/>
        </w:rPr>
        <w:t>4</w:t>
      </w:r>
      <w:r w:rsidR="002E59F6">
        <w:rPr>
          <w:lang w:val="fr-FR"/>
        </w:rPr>
        <w:t> </w:t>
      </w:r>
      <w:r w:rsidRPr="00466CE7">
        <w:rPr>
          <w:lang w:val="fr-FR"/>
        </w:rPr>
        <w:t>382</w:t>
      </w:r>
      <w:r w:rsidR="002E59F6">
        <w:rPr>
          <w:lang w:val="fr-FR"/>
        </w:rPr>
        <w:t> </w:t>
      </w:r>
      <w:r>
        <w:rPr>
          <w:lang w:val="fr-FR"/>
        </w:rPr>
        <w:t xml:space="preserve">personnes handicapées </w:t>
      </w:r>
      <w:r w:rsidRPr="00466CE7">
        <w:rPr>
          <w:lang w:val="fr-FR"/>
        </w:rPr>
        <w:t>âgé</w:t>
      </w:r>
      <w:r>
        <w:rPr>
          <w:lang w:val="fr-FR"/>
        </w:rPr>
        <w:t>e</w:t>
      </w:r>
      <w:r w:rsidRPr="00466CE7">
        <w:rPr>
          <w:lang w:val="fr-FR"/>
        </w:rPr>
        <w:t>s</w:t>
      </w:r>
      <w:r>
        <w:rPr>
          <w:lang w:val="fr-FR"/>
        </w:rPr>
        <w:t>)</w:t>
      </w:r>
      <w:r w:rsidRPr="00466CE7">
        <w:rPr>
          <w:lang w:val="fr-FR"/>
        </w:rPr>
        <w:t>.</w:t>
      </w:r>
    </w:p>
    <w:p w14:paraId="196D26CD" w14:textId="47FA71C5" w:rsidR="009C6834" w:rsidRPr="00466CE7" w:rsidRDefault="009C6834" w:rsidP="009C6834">
      <w:pPr>
        <w:pStyle w:val="SingleTxtG"/>
        <w:rPr>
          <w:lang w:val="fr-FR"/>
        </w:rPr>
      </w:pPr>
      <w:r w:rsidRPr="00466CE7">
        <w:rPr>
          <w:lang w:val="fr-FR"/>
        </w:rPr>
        <w:t>193.</w:t>
      </w:r>
      <w:r w:rsidRPr="00466CE7">
        <w:rPr>
          <w:lang w:val="fr-FR"/>
        </w:rPr>
        <w:tab/>
        <w:t xml:space="preserve">Afin de garantir aux </w:t>
      </w:r>
      <w:r>
        <w:rPr>
          <w:lang w:val="fr-FR"/>
        </w:rPr>
        <w:t xml:space="preserve">personnes âgées des conditions de vie </w:t>
      </w:r>
      <w:r w:rsidRPr="00466CE7">
        <w:rPr>
          <w:lang w:val="fr-FR"/>
        </w:rPr>
        <w:t>sûre</w:t>
      </w:r>
      <w:r>
        <w:rPr>
          <w:lang w:val="fr-FR"/>
        </w:rPr>
        <w:t>s</w:t>
      </w:r>
      <w:r w:rsidRPr="00466CE7">
        <w:rPr>
          <w:lang w:val="fr-FR"/>
        </w:rPr>
        <w:t xml:space="preserve"> et digne</w:t>
      </w:r>
      <w:r>
        <w:rPr>
          <w:lang w:val="fr-FR"/>
        </w:rPr>
        <w:t>s</w:t>
      </w:r>
      <w:r w:rsidRPr="00466CE7">
        <w:rPr>
          <w:lang w:val="fr-FR"/>
        </w:rPr>
        <w:t>, un plan d</w:t>
      </w:r>
      <w:r>
        <w:rPr>
          <w:lang w:val="fr-FR"/>
        </w:rPr>
        <w:t>’</w:t>
      </w:r>
      <w:r w:rsidRPr="00466CE7">
        <w:rPr>
          <w:lang w:val="fr-FR"/>
        </w:rPr>
        <w:t>action pour l</w:t>
      </w:r>
      <w:r>
        <w:rPr>
          <w:lang w:val="fr-FR"/>
        </w:rPr>
        <w:t>’</w:t>
      </w:r>
      <w:r w:rsidRPr="00466CE7">
        <w:rPr>
          <w:lang w:val="fr-FR"/>
        </w:rPr>
        <w:t>amélioration de la qualité de vie des</w:t>
      </w:r>
      <w:r>
        <w:rPr>
          <w:lang w:val="fr-FR"/>
        </w:rPr>
        <w:t xml:space="preserve"> personnes âgées a été approuvé pour la période 2019-2025 par une décision</w:t>
      </w:r>
      <w:r w:rsidRPr="00466CE7">
        <w:rPr>
          <w:lang w:val="fr-FR"/>
        </w:rPr>
        <w:t xml:space="preserve"> </w:t>
      </w:r>
      <w:r>
        <w:rPr>
          <w:lang w:val="fr-FR"/>
        </w:rPr>
        <w:t xml:space="preserve">du </w:t>
      </w:r>
      <w:r w:rsidR="009250F6">
        <w:rPr>
          <w:lang w:val="fr-FR"/>
        </w:rPr>
        <w:t xml:space="preserve">Gouvernement </w:t>
      </w:r>
      <w:r>
        <w:rPr>
          <w:lang w:val="fr-FR"/>
        </w:rPr>
        <w:t>(</w:t>
      </w:r>
      <w:r w:rsidRPr="00466CE7">
        <w:rPr>
          <w:lang w:val="fr-FR"/>
        </w:rPr>
        <w:t>2019</w:t>
      </w:r>
      <w:r>
        <w:rPr>
          <w:lang w:val="fr-FR"/>
        </w:rPr>
        <w:t>)</w:t>
      </w:r>
      <w:r w:rsidRPr="00466CE7">
        <w:rPr>
          <w:lang w:val="fr-FR"/>
        </w:rPr>
        <w:t>.</w:t>
      </w:r>
    </w:p>
    <w:p w14:paraId="0B7648A3" w14:textId="77777777" w:rsidR="009C6834" w:rsidRPr="00466CE7" w:rsidRDefault="009C6834" w:rsidP="009C6834">
      <w:pPr>
        <w:pStyle w:val="SingleTxtG"/>
        <w:rPr>
          <w:lang w:val="fr-FR"/>
        </w:rPr>
      </w:pPr>
      <w:r w:rsidRPr="00466CE7">
        <w:rPr>
          <w:lang w:val="fr-FR"/>
        </w:rPr>
        <w:t>194.</w:t>
      </w:r>
      <w:r w:rsidRPr="00466CE7">
        <w:rPr>
          <w:lang w:val="fr-FR"/>
        </w:rPr>
        <w:tab/>
        <w:t xml:space="preserve">La mise en œuvre </w:t>
      </w:r>
      <w:r>
        <w:rPr>
          <w:lang w:val="fr-FR"/>
        </w:rPr>
        <w:t xml:space="preserve">de ce </w:t>
      </w:r>
      <w:r w:rsidRPr="00466CE7">
        <w:rPr>
          <w:lang w:val="fr-FR"/>
        </w:rPr>
        <w:t>plan d</w:t>
      </w:r>
      <w:r>
        <w:rPr>
          <w:lang w:val="fr-FR"/>
        </w:rPr>
        <w:t>’</w:t>
      </w:r>
      <w:r w:rsidRPr="00466CE7">
        <w:rPr>
          <w:lang w:val="fr-FR"/>
        </w:rPr>
        <w:t xml:space="preserve">action garantira une vie sûre et digne aux </w:t>
      </w:r>
      <w:r>
        <w:rPr>
          <w:lang w:val="fr-FR"/>
        </w:rPr>
        <w:t xml:space="preserve">personnes </w:t>
      </w:r>
      <w:r w:rsidRPr="00466CE7">
        <w:rPr>
          <w:lang w:val="fr-FR"/>
        </w:rPr>
        <w:t>âgé</w:t>
      </w:r>
      <w:r>
        <w:rPr>
          <w:lang w:val="fr-FR"/>
        </w:rPr>
        <w:t>e</w:t>
      </w:r>
      <w:r w:rsidRPr="00466CE7">
        <w:rPr>
          <w:lang w:val="fr-FR"/>
        </w:rPr>
        <w:t>s</w:t>
      </w:r>
      <w:r>
        <w:rPr>
          <w:lang w:val="fr-FR"/>
        </w:rPr>
        <w:t>,</w:t>
      </w:r>
      <w:r w:rsidRPr="00466CE7">
        <w:rPr>
          <w:lang w:val="fr-FR"/>
        </w:rPr>
        <w:t xml:space="preserve"> qui participent sur un pied d</w:t>
      </w:r>
      <w:r>
        <w:rPr>
          <w:lang w:val="fr-FR"/>
        </w:rPr>
        <w:t>’</w:t>
      </w:r>
      <w:r w:rsidRPr="00466CE7">
        <w:rPr>
          <w:lang w:val="fr-FR"/>
        </w:rPr>
        <w:t xml:space="preserve">égalité </w:t>
      </w:r>
      <w:r>
        <w:rPr>
          <w:lang w:val="fr-FR"/>
        </w:rPr>
        <w:t xml:space="preserve">à la vie </w:t>
      </w:r>
      <w:r w:rsidRPr="00466CE7">
        <w:rPr>
          <w:lang w:val="fr-FR"/>
        </w:rPr>
        <w:t>politique, sociale, économique et culturelle</w:t>
      </w:r>
      <w:r>
        <w:rPr>
          <w:lang w:val="fr-FR"/>
        </w:rPr>
        <w:t xml:space="preserve"> du pays</w:t>
      </w:r>
      <w:r w:rsidRPr="00466CE7">
        <w:rPr>
          <w:lang w:val="fr-FR"/>
        </w:rPr>
        <w:t xml:space="preserve">. </w:t>
      </w:r>
    </w:p>
    <w:p w14:paraId="53CD579A" w14:textId="3A392E82" w:rsidR="009C6834" w:rsidRPr="00466CE7" w:rsidRDefault="009C6834" w:rsidP="009C6834">
      <w:pPr>
        <w:pStyle w:val="SingleTxtG"/>
        <w:rPr>
          <w:lang w:val="fr-FR"/>
        </w:rPr>
      </w:pPr>
      <w:r w:rsidRPr="00466CE7">
        <w:rPr>
          <w:lang w:val="fr-FR"/>
        </w:rPr>
        <w:t>195.</w:t>
      </w:r>
      <w:r w:rsidRPr="00466CE7">
        <w:rPr>
          <w:lang w:val="fr-FR"/>
        </w:rPr>
        <w:tab/>
        <w:t>En 2019, 56</w:t>
      </w:r>
      <w:r w:rsidR="002E59F6">
        <w:rPr>
          <w:lang w:val="fr-FR"/>
        </w:rPr>
        <w:t> </w:t>
      </w:r>
      <w:r w:rsidRPr="00466CE7">
        <w:rPr>
          <w:lang w:val="fr-FR"/>
        </w:rPr>
        <w:t xml:space="preserve">projets sociaux ont été soutenus dans le cadre </w:t>
      </w:r>
      <w:r>
        <w:rPr>
          <w:lang w:val="fr-FR"/>
        </w:rPr>
        <w:t>du système de commande publique</w:t>
      </w:r>
      <w:r w:rsidRPr="00466CE7">
        <w:rPr>
          <w:lang w:val="fr-FR"/>
        </w:rPr>
        <w:t>, dont 8</w:t>
      </w:r>
      <w:r w:rsidR="002E59F6">
        <w:rPr>
          <w:lang w:val="fr-FR"/>
        </w:rPr>
        <w:t> </w:t>
      </w:r>
      <w:r w:rsidRPr="00466CE7">
        <w:rPr>
          <w:lang w:val="fr-FR"/>
        </w:rPr>
        <w:t xml:space="preserve">projets </w:t>
      </w:r>
      <w:r>
        <w:rPr>
          <w:lang w:val="fr-FR"/>
        </w:rPr>
        <w:t xml:space="preserve">d’appui pour les </w:t>
      </w:r>
      <w:r w:rsidRPr="00466CE7">
        <w:rPr>
          <w:lang w:val="fr-FR"/>
        </w:rPr>
        <w:t>centres d</w:t>
      </w:r>
      <w:r>
        <w:rPr>
          <w:lang w:val="fr-FR"/>
        </w:rPr>
        <w:t>’</w:t>
      </w:r>
      <w:r w:rsidRPr="00466CE7">
        <w:rPr>
          <w:lang w:val="fr-FR"/>
        </w:rPr>
        <w:t xml:space="preserve">accueil de jour pour </w:t>
      </w:r>
      <w:r>
        <w:rPr>
          <w:lang w:val="fr-FR"/>
        </w:rPr>
        <w:t>personnes âgées</w:t>
      </w:r>
      <w:r w:rsidRPr="00466CE7">
        <w:rPr>
          <w:lang w:val="fr-FR"/>
        </w:rPr>
        <w:t xml:space="preserve"> (2</w:t>
      </w:r>
      <w:r w:rsidR="002E59F6">
        <w:rPr>
          <w:lang w:val="fr-FR"/>
        </w:rPr>
        <w:t> </w:t>
      </w:r>
      <w:r w:rsidRPr="00466CE7">
        <w:rPr>
          <w:lang w:val="fr-FR"/>
        </w:rPr>
        <w:t>projets de création, 6</w:t>
      </w:r>
      <w:r w:rsidR="002E59F6">
        <w:rPr>
          <w:lang w:val="fr-FR"/>
        </w:rPr>
        <w:t> </w:t>
      </w:r>
      <w:r w:rsidRPr="00466CE7">
        <w:rPr>
          <w:lang w:val="fr-FR"/>
        </w:rPr>
        <w:t xml:space="preserve">projets </w:t>
      </w:r>
      <w:r>
        <w:rPr>
          <w:lang w:val="fr-FR"/>
        </w:rPr>
        <w:t>d’appui</w:t>
      </w:r>
      <w:r w:rsidRPr="00466CE7">
        <w:rPr>
          <w:lang w:val="fr-FR"/>
        </w:rPr>
        <w:t>).</w:t>
      </w:r>
    </w:p>
    <w:p w14:paraId="07A6863E" w14:textId="77777777" w:rsidR="009C6834" w:rsidRPr="00466CE7" w:rsidRDefault="009C6834" w:rsidP="009C6834">
      <w:pPr>
        <w:pStyle w:val="SingleTxtG"/>
        <w:rPr>
          <w:lang w:val="fr-FR"/>
        </w:rPr>
      </w:pPr>
      <w:r w:rsidRPr="00466CE7">
        <w:rPr>
          <w:lang w:val="fr-FR"/>
        </w:rPr>
        <w:t>196.</w:t>
      </w:r>
      <w:r w:rsidRPr="00466CE7">
        <w:rPr>
          <w:lang w:val="fr-FR"/>
        </w:rPr>
        <w:tab/>
      </w:r>
      <w:r>
        <w:rPr>
          <w:lang w:val="fr-FR"/>
        </w:rPr>
        <w:t xml:space="preserve">Trente-huit </w:t>
      </w:r>
      <w:r w:rsidRPr="00466CE7">
        <w:rPr>
          <w:lang w:val="fr-FR"/>
        </w:rPr>
        <w:t xml:space="preserve">millions de </w:t>
      </w:r>
      <w:proofErr w:type="spellStart"/>
      <w:r w:rsidRPr="00466CE7">
        <w:rPr>
          <w:lang w:val="fr-FR"/>
        </w:rPr>
        <w:t>soms</w:t>
      </w:r>
      <w:proofErr w:type="spellEnd"/>
      <w:r w:rsidRPr="00466CE7">
        <w:rPr>
          <w:lang w:val="fr-FR"/>
        </w:rPr>
        <w:t xml:space="preserve"> </w:t>
      </w:r>
      <w:r>
        <w:rPr>
          <w:lang w:val="fr-FR"/>
        </w:rPr>
        <w:t xml:space="preserve">ont été inscrits au </w:t>
      </w:r>
      <w:r w:rsidRPr="00466CE7">
        <w:rPr>
          <w:lang w:val="fr-FR"/>
        </w:rPr>
        <w:t xml:space="preserve">budget </w:t>
      </w:r>
      <w:r>
        <w:rPr>
          <w:lang w:val="fr-FR"/>
        </w:rPr>
        <w:t xml:space="preserve">de l’État pour </w:t>
      </w:r>
      <w:r w:rsidRPr="00466CE7">
        <w:rPr>
          <w:lang w:val="fr-FR"/>
        </w:rPr>
        <w:t>2019</w:t>
      </w:r>
      <w:r w:rsidRPr="00C15CE5">
        <w:rPr>
          <w:lang w:val="fr-FR"/>
        </w:rPr>
        <w:t xml:space="preserve"> </w:t>
      </w:r>
      <w:r>
        <w:rPr>
          <w:lang w:val="fr-FR"/>
        </w:rPr>
        <w:t xml:space="preserve">au titre de </w:t>
      </w:r>
      <w:r w:rsidRPr="00466CE7">
        <w:rPr>
          <w:lang w:val="fr-FR"/>
        </w:rPr>
        <w:t>l</w:t>
      </w:r>
      <w:r>
        <w:rPr>
          <w:lang w:val="fr-FR"/>
        </w:rPr>
        <w:t>’exécution de la commande publique</w:t>
      </w:r>
      <w:r w:rsidRPr="00466CE7">
        <w:rPr>
          <w:lang w:val="fr-FR"/>
        </w:rPr>
        <w:t xml:space="preserve">. </w:t>
      </w:r>
    </w:p>
    <w:p w14:paraId="1A789D17" w14:textId="010E3B78" w:rsidR="009C6834" w:rsidRPr="00466CE7" w:rsidRDefault="009C6834" w:rsidP="009C6834">
      <w:pPr>
        <w:pStyle w:val="SingleTxtG"/>
        <w:rPr>
          <w:lang w:val="fr-FR"/>
        </w:rPr>
      </w:pPr>
      <w:r w:rsidRPr="00466CE7">
        <w:rPr>
          <w:lang w:val="fr-FR"/>
        </w:rPr>
        <w:t>197.</w:t>
      </w:r>
      <w:r w:rsidRPr="00466CE7">
        <w:rPr>
          <w:lang w:val="fr-FR"/>
        </w:rPr>
        <w:tab/>
        <w:t xml:space="preserve">Conformément </w:t>
      </w:r>
      <w:r>
        <w:rPr>
          <w:lang w:val="fr-FR"/>
        </w:rPr>
        <w:t xml:space="preserve">à la décision du </w:t>
      </w:r>
      <w:r w:rsidR="009250F6">
        <w:rPr>
          <w:lang w:val="fr-FR"/>
        </w:rPr>
        <w:t>Gouvernement</w:t>
      </w:r>
      <w:r w:rsidR="009250F6" w:rsidRPr="00466CE7">
        <w:rPr>
          <w:lang w:val="fr-FR"/>
        </w:rPr>
        <w:t xml:space="preserve"> </w:t>
      </w:r>
      <w:r>
        <w:rPr>
          <w:lang w:val="fr-FR"/>
        </w:rPr>
        <w:t xml:space="preserve">(2012) relative à la </w:t>
      </w:r>
      <w:r w:rsidRPr="00466CE7">
        <w:rPr>
          <w:lang w:val="fr-FR"/>
        </w:rPr>
        <w:t xml:space="preserve">célébration annuelle </w:t>
      </w:r>
      <w:r>
        <w:rPr>
          <w:lang w:val="fr-FR"/>
        </w:rPr>
        <w:t xml:space="preserve">de la Journée mondiale de l’enfance, de la Journée internationale </w:t>
      </w:r>
      <w:r w:rsidRPr="00466CE7">
        <w:rPr>
          <w:lang w:val="fr-FR"/>
        </w:rPr>
        <w:t xml:space="preserve">des personnes âgées et </w:t>
      </w:r>
      <w:r>
        <w:rPr>
          <w:lang w:val="fr-FR"/>
        </w:rPr>
        <w:t xml:space="preserve">de la Journée internationale </w:t>
      </w:r>
      <w:r w:rsidRPr="00466CE7">
        <w:rPr>
          <w:lang w:val="fr-FR"/>
        </w:rPr>
        <w:t xml:space="preserve">des </w:t>
      </w:r>
      <w:r>
        <w:rPr>
          <w:lang w:val="fr-FR"/>
        </w:rPr>
        <w:t xml:space="preserve">personnes </w:t>
      </w:r>
      <w:r w:rsidRPr="00466CE7">
        <w:rPr>
          <w:lang w:val="fr-FR"/>
        </w:rPr>
        <w:t>handicapé</w:t>
      </w:r>
      <w:r>
        <w:rPr>
          <w:lang w:val="fr-FR"/>
        </w:rPr>
        <w:t>es, chaque année, du 15</w:t>
      </w:r>
      <w:r w:rsidR="002E59F6">
        <w:rPr>
          <w:lang w:val="fr-FR"/>
        </w:rPr>
        <w:t> </w:t>
      </w:r>
      <w:r>
        <w:rPr>
          <w:lang w:val="fr-FR"/>
        </w:rPr>
        <w:t>septembre au 15</w:t>
      </w:r>
      <w:r w:rsidR="002E59F6">
        <w:rPr>
          <w:lang w:val="fr-FR"/>
        </w:rPr>
        <w:t> </w:t>
      </w:r>
      <w:r>
        <w:rPr>
          <w:lang w:val="fr-FR"/>
        </w:rPr>
        <w:t xml:space="preserve">octobre, des activités sont organisées dans tout le pays pour inciter la population à prendre soin des </w:t>
      </w:r>
      <w:r w:rsidRPr="00466CE7">
        <w:rPr>
          <w:lang w:val="fr-FR"/>
        </w:rPr>
        <w:t xml:space="preserve">personnes âgées </w:t>
      </w:r>
      <w:r>
        <w:rPr>
          <w:lang w:val="fr-FR"/>
        </w:rPr>
        <w:t>et à leur accorder de l’attention</w:t>
      </w:r>
      <w:r w:rsidRPr="00466CE7">
        <w:rPr>
          <w:lang w:val="fr-FR"/>
        </w:rPr>
        <w:t>.</w:t>
      </w:r>
    </w:p>
    <w:p w14:paraId="202F4769" w14:textId="097F0EB6" w:rsidR="009C6834" w:rsidRPr="00466CE7" w:rsidRDefault="009C6834" w:rsidP="009C6834">
      <w:pPr>
        <w:pStyle w:val="SingleTxtG"/>
        <w:rPr>
          <w:lang w:val="fr-FR"/>
        </w:rPr>
      </w:pPr>
      <w:r w:rsidRPr="00466CE7">
        <w:rPr>
          <w:lang w:val="fr-FR"/>
        </w:rPr>
        <w:t>198.</w:t>
      </w:r>
      <w:r w:rsidRPr="00466CE7">
        <w:rPr>
          <w:lang w:val="fr-FR"/>
        </w:rPr>
        <w:tab/>
        <w:t>Dans le cadre d</w:t>
      </w:r>
      <w:r>
        <w:rPr>
          <w:lang w:val="fr-FR"/>
        </w:rPr>
        <w:t xml:space="preserve">e ces manifestations, l’administration centrale et les autorités locales ont prévu un soutien supplémentaire pour les personnes âgées d’un montant de </w:t>
      </w:r>
      <w:r w:rsidRPr="00466CE7">
        <w:rPr>
          <w:lang w:val="fr-FR"/>
        </w:rPr>
        <w:t>32,4</w:t>
      </w:r>
      <w:r w:rsidR="002E59F6">
        <w:rPr>
          <w:lang w:val="fr-FR"/>
        </w:rPr>
        <w:t> </w:t>
      </w:r>
      <w:r w:rsidRPr="00466CE7">
        <w:rPr>
          <w:lang w:val="fr-FR"/>
        </w:rPr>
        <w:t xml:space="preserve">millions de </w:t>
      </w:r>
      <w:proofErr w:type="spellStart"/>
      <w:r w:rsidRPr="00466CE7">
        <w:rPr>
          <w:lang w:val="fr-FR"/>
        </w:rPr>
        <w:t>soms</w:t>
      </w:r>
      <w:proofErr w:type="spellEnd"/>
      <w:r>
        <w:rPr>
          <w:lang w:val="fr-FR"/>
        </w:rPr>
        <w:t xml:space="preserve"> (en 2018)</w:t>
      </w:r>
      <w:r w:rsidRPr="00466CE7">
        <w:rPr>
          <w:lang w:val="fr-FR"/>
        </w:rPr>
        <w:t>.</w:t>
      </w:r>
    </w:p>
    <w:p w14:paraId="50D348A2" w14:textId="16BA6495" w:rsidR="009C6834" w:rsidRPr="00466CE7" w:rsidRDefault="009C6834" w:rsidP="009C6834">
      <w:pPr>
        <w:pStyle w:val="SingleTxtG"/>
        <w:rPr>
          <w:lang w:val="fr-FR"/>
        </w:rPr>
      </w:pPr>
      <w:r w:rsidRPr="00466CE7">
        <w:rPr>
          <w:lang w:val="fr-FR"/>
        </w:rPr>
        <w:lastRenderedPageBreak/>
        <w:t>199.</w:t>
      </w:r>
      <w:r w:rsidRPr="00466CE7">
        <w:rPr>
          <w:lang w:val="fr-FR"/>
        </w:rPr>
        <w:tab/>
      </w:r>
      <w:r>
        <w:rPr>
          <w:lang w:val="fr-FR"/>
        </w:rPr>
        <w:t xml:space="preserve">Depuis le </w:t>
      </w:r>
      <w:r w:rsidRPr="00466CE7">
        <w:rPr>
          <w:lang w:val="fr-FR"/>
        </w:rPr>
        <w:t>1</w:t>
      </w:r>
      <w:r w:rsidRPr="002E59F6">
        <w:rPr>
          <w:vertAlign w:val="superscript"/>
          <w:lang w:val="fr-FR"/>
        </w:rPr>
        <w:t>er</w:t>
      </w:r>
      <w:r w:rsidR="002E59F6">
        <w:rPr>
          <w:lang w:val="fr-FR"/>
        </w:rPr>
        <w:t> </w:t>
      </w:r>
      <w:r w:rsidRPr="00466CE7">
        <w:rPr>
          <w:lang w:val="fr-FR"/>
        </w:rPr>
        <w:t>décembre 2019, en cas de naissance de triplés ou plus</w:t>
      </w:r>
      <w:r>
        <w:rPr>
          <w:lang w:val="fr-FR"/>
        </w:rPr>
        <w:t>, une allocation forfaitaire (</w:t>
      </w:r>
      <w:proofErr w:type="spellStart"/>
      <w:r w:rsidRPr="005677FE">
        <w:rPr>
          <w:lang w:val="fr-FR"/>
        </w:rPr>
        <w:t>balaga</w:t>
      </w:r>
      <w:proofErr w:type="spellEnd"/>
      <w:r w:rsidRPr="005677FE">
        <w:rPr>
          <w:lang w:val="fr-FR"/>
        </w:rPr>
        <w:t xml:space="preserve"> </w:t>
      </w:r>
      <w:proofErr w:type="spellStart"/>
      <w:r w:rsidRPr="005677FE">
        <w:rPr>
          <w:lang w:val="fr-FR"/>
        </w:rPr>
        <w:t>suyunchu</w:t>
      </w:r>
      <w:proofErr w:type="spellEnd"/>
      <w:r>
        <w:rPr>
          <w:lang w:val="fr-FR"/>
        </w:rPr>
        <w:t>)</w:t>
      </w:r>
      <w:r w:rsidRPr="00466CE7">
        <w:rPr>
          <w:lang w:val="fr-FR"/>
        </w:rPr>
        <w:t xml:space="preserve"> d</w:t>
      </w:r>
      <w:r>
        <w:rPr>
          <w:lang w:val="fr-FR"/>
        </w:rPr>
        <w:t>’</w:t>
      </w:r>
      <w:r w:rsidRPr="00466CE7">
        <w:rPr>
          <w:lang w:val="fr-FR"/>
        </w:rPr>
        <w:t>un montant de 50</w:t>
      </w:r>
      <w:r w:rsidR="002E59F6">
        <w:rPr>
          <w:lang w:val="fr-FR"/>
        </w:rPr>
        <w:t> </w:t>
      </w:r>
      <w:r w:rsidRPr="00466CE7">
        <w:rPr>
          <w:lang w:val="fr-FR"/>
        </w:rPr>
        <w:t>000</w:t>
      </w:r>
      <w:r w:rsidR="002E59F6">
        <w:rPr>
          <w:lang w:val="fr-FR"/>
        </w:rPr>
        <w:t> </w:t>
      </w:r>
      <w:proofErr w:type="spellStart"/>
      <w:r w:rsidRPr="00466CE7">
        <w:rPr>
          <w:lang w:val="fr-FR"/>
        </w:rPr>
        <w:t>soms</w:t>
      </w:r>
      <w:proofErr w:type="spellEnd"/>
      <w:r w:rsidRPr="00466CE7">
        <w:rPr>
          <w:lang w:val="fr-FR"/>
        </w:rPr>
        <w:t xml:space="preserve"> </w:t>
      </w:r>
      <w:r>
        <w:rPr>
          <w:lang w:val="fr-FR"/>
        </w:rPr>
        <w:t xml:space="preserve">est versée </w:t>
      </w:r>
      <w:r w:rsidRPr="00466CE7">
        <w:rPr>
          <w:lang w:val="fr-FR"/>
        </w:rPr>
        <w:t>pour chaque enfant.</w:t>
      </w:r>
    </w:p>
    <w:p w14:paraId="54963F40" w14:textId="7D9C7E7C" w:rsidR="009C6834" w:rsidRPr="00466CE7" w:rsidRDefault="009C6834" w:rsidP="009C6834">
      <w:pPr>
        <w:pStyle w:val="SingleTxtG"/>
        <w:rPr>
          <w:lang w:val="fr-FR"/>
        </w:rPr>
      </w:pPr>
      <w:r w:rsidRPr="00466CE7">
        <w:rPr>
          <w:lang w:val="fr-FR"/>
        </w:rPr>
        <w:t>200.</w:t>
      </w:r>
      <w:r w:rsidRPr="00466CE7">
        <w:rPr>
          <w:lang w:val="fr-FR"/>
        </w:rPr>
        <w:tab/>
      </w:r>
      <w:r>
        <w:rPr>
          <w:lang w:val="fr-FR"/>
        </w:rPr>
        <w:t xml:space="preserve">Également depuis le </w:t>
      </w:r>
      <w:r w:rsidRPr="00466CE7">
        <w:rPr>
          <w:lang w:val="fr-FR"/>
        </w:rPr>
        <w:t>1</w:t>
      </w:r>
      <w:r w:rsidRPr="009250F6">
        <w:rPr>
          <w:vertAlign w:val="superscript"/>
          <w:lang w:val="fr-FR"/>
        </w:rPr>
        <w:t>er</w:t>
      </w:r>
      <w:r w:rsidR="009250F6">
        <w:rPr>
          <w:lang w:val="fr-FR"/>
        </w:rPr>
        <w:t> </w:t>
      </w:r>
      <w:r w:rsidRPr="00466CE7">
        <w:rPr>
          <w:lang w:val="fr-FR"/>
        </w:rPr>
        <w:t>décembre 2019, le montant du revenu minimum garanti</w:t>
      </w:r>
      <w:r>
        <w:rPr>
          <w:lang w:val="fr-FR"/>
        </w:rPr>
        <w:t>,</w:t>
      </w:r>
      <w:r w:rsidRPr="00466CE7">
        <w:rPr>
          <w:lang w:val="fr-FR"/>
        </w:rPr>
        <w:t xml:space="preserve"> </w:t>
      </w:r>
      <w:r>
        <w:rPr>
          <w:lang w:val="fr-FR"/>
        </w:rPr>
        <w:t xml:space="preserve">à partir </w:t>
      </w:r>
      <w:r w:rsidRPr="00466CE7">
        <w:rPr>
          <w:lang w:val="fr-FR"/>
        </w:rPr>
        <w:t xml:space="preserve">duquel est calculé le montant de </w:t>
      </w:r>
      <w:r>
        <w:rPr>
          <w:lang w:val="fr-FR"/>
        </w:rPr>
        <w:t xml:space="preserve">l’allocation </w:t>
      </w:r>
      <w:r w:rsidRPr="00466CE7">
        <w:rPr>
          <w:lang w:val="fr-FR"/>
        </w:rPr>
        <w:t xml:space="preserve">mensuelle </w:t>
      </w:r>
      <w:proofErr w:type="spellStart"/>
      <w:r w:rsidRPr="005677FE">
        <w:rPr>
          <w:iCs/>
          <w:lang w:val="fr-FR"/>
        </w:rPr>
        <w:t>ui-bulogo</w:t>
      </w:r>
      <w:proofErr w:type="spellEnd"/>
      <w:r w:rsidRPr="005677FE">
        <w:rPr>
          <w:iCs/>
          <w:lang w:val="fr-FR"/>
        </w:rPr>
        <w:t xml:space="preserve"> </w:t>
      </w:r>
      <w:proofErr w:type="spellStart"/>
      <w:r w:rsidRPr="005677FE">
        <w:rPr>
          <w:iCs/>
          <w:lang w:val="fr-FR"/>
        </w:rPr>
        <w:t>komok</w:t>
      </w:r>
      <w:proofErr w:type="spellEnd"/>
      <w:r>
        <w:rPr>
          <w:iCs/>
          <w:lang w:val="fr-FR"/>
        </w:rPr>
        <w:t>,</w:t>
      </w:r>
      <w:r w:rsidRPr="00466CE7">
        <w:rPr>
          <w:lang w:val="fr-FR"/>
        </w:rPr>
        <w:t xml:space="preserve"> a été </w:t>
      </w:r>
      <w:r>
        <w:rPr>
          <w:lang w:val="fr-FR"/>
        </w:rPr>
        <w:t xml:space="preserve">porté de </w:t>
      </w:r>
      <w:r w:rsidRPr="00466CE7">
        <w:rPr>
          <w:lang w:val="fr-FR"/>
        </w:rPr>
        <w:t>900 à 1000</w:t>
      </w:r>
      <w:r w:rsidR="002E59F6">
        <w:rPr>
          <w:lang w:val="fr-FR"/>
        </w:rPr>
        <w:t> </w:t>
      </w:r>
      <w:proofErr w:type="spellStart"/>
      <w:r w:rsidRPr="00466CE7">
        <w:rPr>
          <w:lang w:val="fr-FR"/>
        </w:rPr>
        <w:t>soms</w:t>
      </w:r>
      <w:proofErr w:type="spellEnd"/>
      <w:r w:rsidRPr="00466CE7">
        <w:rPr>
          <w:lang w:val="fr-FR"/>
        </w:rPr>
        <w:t xml:space="preserve"> (</w:t>
      </w:r>
      <w:r>
        <w:rPr>
          <w:lang w:val="fr-FR"/>
        </w:rPr>
        <w:t xml:space="preserve">décision </w:t>
      </w:r>
      <w:r w:rsidRPr="00466CE7">
        <w:rPr>
          <w:lang w:val="fr-FR"/>
        </w:rPr>
        <w:t>n</w:t>
      </w:r>
      <w:r w:rsidR="002E59F6" w:rsidRPr="002E59F6">
        <w:rPr>
          <w:vertAlign w:val="superscript"/>
          <w:lang w:val="fr-FR"/>
        </w:rPr>
        <w:t>o</w:t>
      </w:r>
      <w:r w:rsidR="002E59F6">
        <w:rPr>
          <w:lang w:val="fr-FR"/>
        </w:rPr>
        <w:t> </w:t>
      </w:r>
      <w:r w:rsidRPr="00466CE7">
        <w:rPr>
          <w:lang w:val="fr-FR"/>
        </w:rPr>
        <w:t xml:space="preserve">584 </w:t>
      </w:r>
      <w:r>
        <w:rPr>
          <w:lang w:val="fr-FR"/>
        </w:rPr>
        <w:t xml:space="preserve">du </w:t>
      </w:r>
      <w:r w:rsidR="009250F6">
        <w:rPr>
          <w:lang w:val="fr-FR"/>
        </w:rPr>
        <w:t xml:space="preserve">Gouvernement </w:t>
      </w:r>
      <w:r>
        <w:rPr>
          <w:lang w:val="fr-FR"/>
        </w:rPr>
        <w:t xml:space="preserve">en date </w:t>
      </w:r>
      <w:r w:rsidRPr="00466CE7">
        <w:rPr>
          <w:lang w:val="fr-FR"/>
        </w:rPr>
        <w:t>du 30</w:t>
      </w:r>
      <w:r w:rsidR="002E59F6">
        <w:rPr>
          <w:lang w:val="fr-FR"/>
        </w:rPr>
        <w:t> </w:t>
      </w:r>
      <w:r w:rsidRPr="00466CE7">
        <w:rPr>
          <w:lang w:val="fr-FR"/>
        </w:rPr>
        <w:t xml:space="preserve">octobre 2019). </w:t>
      </w:r>
      <w:r>
        <w:rPr>
          <w:lang w:val="fr-FR"/>
        </w:rPr>
        <w:t xml:space="preserve">Cette allocation a été versée à </w:t>
      </w:r>
      <w:r w:rsidRPr="00466CE7">
        <w:rPr>
          <w:lang w:val="fr-FR"/>
        </w:rPr>
        <w:t>308</w:t>
      </w:r>
      <w:r w:rsidR="002E59F6">
        <w:rPr>
          <w:lang w:val="fr-FR"/>
        </w:rPr>
        <w:t> </w:t>
      </w:r>
      <w:r w:rsidRPr="00466CE7">
        <w:rPr>
          <w:lang w:val="fr-FR"/>
        </w:rPr>
        <w:t>770</w:t>
      </w:r>
      <w:r w:rsidR="002E59F6">
        <w:rPr>
          <w:lang w:val="fr-FR"/>
        </w:rPr>
        <w:t> </w:t>
      </w:r>
      <w:r w:rsidRPr="00466CE7">
        <w:rPr>
          <w:lang w:val="fr-FR"/>
        </w:rPr>
        <w:t xml:space="preserve">enfants </w:t>
      </w:r>
      <w:r>
        <w:rPr>
          <w:lang w:val="fr-FR"/>
        </w:rPr>
        <w:t>e</w:t>
      </w:r>
      <w:r w:rsidRPr="00466CE7">
        <w:rPr>
          <w:lang w:val="fr-FR"/>
        </w:rPr>
        <w:t>n 2019</w:t>
      </w:r>
      <w:r>
        <w:rPr>
          <w:lang w:val="fr-FR"/>
        </w:rPr>
        <w:t xml:space="preserve">, contre </w:t>
      </w:r>
      <w:r w:rsidRPr="00466CE7">
        <w:rPr>
          <w:lang w:val="fr-FR"/>
        </w:rPr>
        <w:t>276</w:t>
      </w:r>
      <w:r w:rsidR="002E59F6">
        <w:rPr>
          <w:lang w:val="fr-FR"/>
        </w:rPr>
        <w:t> </w:t>
      </w:r>
      <w:r w:rsidRPr="00466CE7">
        <w:rPr>
          <w:lang w:val="fr-FR"/>
        </w:rPr>
        <w:t xml:space="preserve">447 </w:t>
      </w:r>
      <w:r>
        <w:rPr>
          <w:lang w:val="fr-FR"/>
        </w:rPr>
        <w:t xml:space="preserve">en </w:t>
      </w:r>
      <w:r w:rsidRPr="00466CE7">
        <w:rPr>
          <w:lang w:val="fr-FR"/>
        </w:rPr>
        <w:t xml:space="preserve">2018. </w:t>
      </w:r>
    </w:p>
    <w:p w14:paraId="23055045" w14:textId="77777777" w:rsidR="009C6834" w:rsidRPr="00466CE7" w:rsidRDefault="009C6834" w:rsidP="009C6834">
      <w:pPr>
        <w:pStyle w:val="SingleTxtG"/>
        <w:rPr>
          <w:lang w:val="fr-FR"/>
        </w:rPr>
      </w:pPr>
      <w:r w:rsidRPr="00466CE7">
        <w:rPr>
          <w:lang w:val="fr-FR"/>
        </w:rPr>
        <w:t>201.</w:t>
      </w:r>
      <w:r w:rsidRPr="00466CE7">
        <w:rPr>
          <w:lang w:val="fr-FR"/>
        </w:rPr>
        <w:tab/>
        <w:t xml:space="preserve">Depuis juillet 2019, </w:t>
      </w:r>
      <w:r>
        <w:rPr>
          <w:lang w:val="fr-FR"/>
        </w:rPr>
        <w:t xml:space="preserve">des modalités </w:t>
      </w:r>
      <w:r w:rsidRPr="00466CE7">
        <w:rPr>
          <w:lang w:val="fr-FR"/>
        </w:rPr>
        <w:t>simplifié</w:t>
      </w:r>
      <w:r>
        <w:rPr>
          <w:lang w:val="fr-FR"/>
        </w:rPr>
        <w:t>es</w:t>
      </w:r>
      <w:r w:rsidRPr="00466CE7">
        <w:rPr>
          <w:lang w:val="fr-FR"/>
        </w:rPr>
        <w:t xml:space="preserve"> pour l</w:t>
      </w:r>
      <w:r>
        <w:rPr>
          <w:lang w:val="fr-FR"/>
        </w:rPr>
        <w:t>’</w:t>
      </w:r>
      <w:r w:rsidRPr="00466CE7">
        <w:rPr>
          <w:lang w:val="fr-FR"/>
        </w:rPr>
        <w:t xml:space="preserve">octroi </w:t>
      </w:r>
      <w:r>
        <w:rPr>
          <w:lang w:val="fr-FR"/>
        </w:rPr>
        <w:t>de l’allocation forfaitaire de naissance</w:t>
      </w:r>
      <w:r w:rsidRPr="005677FE">
        <w:rPr>
          <w:lang w:val="fr-FR"/>
        </w:rPr>
        <w:t xml:space="preserve"> </w:t>
      </w:r>
      <w:proofErr w:type="spellStart"/>
      <w:r w:rsidRPr="005677FE">
        <w:rPr>
          <w:lang w:val="fr-FR"/>
        </w:rPr>
        <w:t>balaga</w:t>
      </w:r>
      <w:proofErr w:type="spellEnd"/>
      <w:r w:rsidRPr="005677FE">
        <w:rPr>
          <w:lang w:val="fr-FR"/>
        </w:rPr>
        <w:t xml:space="preserve"> </w:t>
      </w:r>
      <w:proofErr w:type="spellStart"/>
      <w:r w:rsidRPr="005677FE">
        <w:rPr>
          <w:lang w:val="fr-FR"/>
        </w:rPr>
        <w:t>suyunchu</w:t>
      </w:r>
      <w:proofErr w:type="spellEnd"/>
      <w:r w:rsidRPr="00466CE7">
        <w:rPr>
          <w:lang w:val="fr-FR"/>
        </w:rPr>
        <w:t xml:space="preserve"> </w:t>
      </w:r>
      <w:r>
        <w:rPr>
          <w:lang w:val="fr-FR"/>
        </w:rPr>
        <w:t>sont en vigueur dans le cadre d’un g</w:t>
      </w:r>
      <w:r w:rsidRPr="00466CE7">
        <w:rPr>
          <w:lang w:val="fr-FR"/>
        </w:rPr>
        <w:t xml:space="preserve">uichet unique. Les </w:t>
      </w:r>
      <w:r>
        <w:rPr>
          <w:lang w:val="fr-FR"/>
        </w:rPr>
        <w:t xml:space="preserve">personnes sollicitant cette allocation </w:t>
      </w:r>
      <w:r w:rsidRPr="00466CE7">
        <w:rPr>
          <w:lang w:val="fr-FR"/>
        </w:rPr>
        <w:t xml:space="preserve">peuvent </w:t>
      </w:r>
      <w:r>
        <w:rPr>
          <w:lang w:val="fr-FR"/>
        </w:rPr>
        <w:t xml:space="preserve">obtenir son versement </w:t>
      </w:r>
      <w:r w:rsidRPr="00466CE7">
        <w:rPr>
          <w:lang w:val="fr-FR"/>
        </w:rPr>
        <w:t>dans n</w:t>
      </w:r>
      <w:r>
        <w:rPr>
          <w:lang w:val="fr-FR"/>
        </w:rPr>
        <w:t>’</w:t>
      </w:r>
      <w:r w:rsidRPr="00466CE7">
        <w:rPr>
          <w:lang w:val="fr-FR"/>
        </w:rPr>
        <w:t xml:space="preserve">importe quelle agence </w:t>
      </w:r>
      <w:r>
        <w:rPr>
          <w:lang w:val="fr-FR"/>
        </w:rPr>
        <w:t>bancaire</w:t>
      </w:r>
      <w:r w:rsidRPr="00466CE7">
        <w:rPr>
          <w:lang w:val="fr-FR"/>
        </w:rPr>
        <w:t xml:space="preserve"> quel que soit le lieu </w:t>
      </w:r>
      <w:r>
        <w:rPr>
          <w:lang w:val="fr-FR"/>
        </w:rPr>
        <w:t xml:space="preserve">où elles en ont fait la </w:t>
      </w:r>
      <w:r w:rsidRPr="00466CE7">
        <w:rPr>
          <w:lang w:val="fr-FR"/>
        </w:rPr>
        <w:t xml:space="preserve">demande. </w:t>
      </w:r>
    </w:p>
    <w:p w14:paraId="1DE52EA0" w14:textId="36E0EDFD" w:rsidR="009C6834" w:rsidRPr="00466CE7" w:rsidRDefault="009C6834" w:rsidP="009C6834">
      <w:pPr>
        <w:pStyle w:val="SingleTxtG"/>
        <w:rPr>
          <w:lang w:val="fr-FR"/>
        </w:rPr>
      </w:pPr>
      <w:r w:rsidRPr="00466CE7">
        <w:rPr>
          <w:lang w:val="fr-FR"/>
        </w:rPr>
        <w:t>202.</w:t>
      </w:r>
      <w:r w:rsidRPr="00466CE7">
        <w:rPr>
          <w:lang w:val="fr-FR"/>
        </w:rPr>
        <w:tab/>
        <w:t>En 2019, 161</w:t>
      </w:r>
      <w:r w:rsidR="002E59F6">
        <w:rPr>
          <w:lang w:val="fr-FR"/>
        </w:rPr>
        <w:t> </w:t>
      </w:r>
      <w:r w:rsidRPr="00466CE7">
        <w:rPr>
          <w:lang w:val="fr-FR"/>
        </w:rPr>
        <w:t>8</w:t>
      </w:r>
      <w:r>
        <w:rPr>
          <w:lang w:val="fr-FR"/>
        </w:rPr>
        <w:t>00</w:t>
      </w:r>
      <w:r w:rsidR="002E59F6">
        <w:rPr>
          <w:lang w:val="fr-FR"/>
        </w:rPr>
        <w:t> </w:t>
      </w:r>
      <w:r w:rsidRPr="00466CE7">
        <w:rPr>
          <w:lang w:val="fr-FR"/>
        </w:rPr>
        <w:t xml:space="preserve">personnes ont </w:t>
      </w:r>
      <w:r>
        <w:rPr>
          <w:lang w:val="fr-FR"/>
        </w:rPr>
        <w:t>per</w:t>
      </w:r>
      <w:r w:rsidRPr="00466CE7">
        <w:rPr>
          <w:lang w:val="fr-FR"/>
        </w:rPr>
        <w:t xml:space="preserve">çu </w:t>
      </w:r>
      <w:r>
        <w:rPr>
          <w:lang w:val="fr-FR"/>
        </w:rPr>
        <w:t>l’</w:t>
      </w:r>
      <w:r w:rsidRPr="00466CE7">
        <w:rPr>
          <w:lang w:val="fr-FR"/>
        </w:rPr>
        <w:t xml:space="preserve">allocation de naissance forfaitaire </w:t>
      </w:r>
      <w:proofErr w:type="spellStart"/>
      <w:r w:rsidRPr="005677FE">
        <w:rPr>
          <w:lang w:val="fr-FR"/>
        </w:rPr>
        <w:t>balaga</w:t>
      </w:r>
      <w:proofErr w:type="spellEnd"/>
      <w:r w:rsidRPr="005677FE">
        <w:rPr>
          <w:lang w:val="fr-FR"/>
        </w:rPr>
        <w:t xml:space="preserve"> </w:t>
      </w:r>
      <w:proofErr w:type="spellStart"/>
      <w:r w:rsidRPr="005677FE">
        <w:rPr>
          <w:lang w:val="fr-FR"/>
        </w:rPr>
        <w:t>suyunchu</w:t>
      </w:r>
      <w:proofErr w:type="spellEnd"/>
      <w:r>
        <w:rPr>
          <w:lang w:val="fr-FR"/>
        </w:rPr>
        <w:t xml:space="preserve">, </w:t>
      </w:r>
      <w:r w:rsidRPr="00466CE7">
        <w:rPr>
          <w:lang w:val="fr-FR"/>
        </w:rPr>
        <w:t>d</w:t>
      </w:r>
      <w:r>
        <w:rPr>
          <w:lang w:val="fr-FR"/>
        </w:rPr>
        <w:t>’</w:t>
      </w:r>
      <w:r w:rsidRPr="00466CE7">
        <w:rPr>
          <w:lang w:val="fr-FR"/>
        </w:rPr>
        <w:t>un montant de 4</w:t>
      </w:r>
      <w:r w:rsidR="002E59F6">
        <w:rPr>
          <w:lang w:val="fr-FR"/>
        </w:rPr>
        <w:t> </w:t>
      </w:r>
      <w:r w:rsidRPr="00466CE7">
        <w:rPr>
          <w:lang w:val="fr-FR"/>
        </w:rPr>
        <w:t>000</w:t>
      </w:r>
      <w:r w:rsidR="002E59F6">
        <w:rPr>
          <w:lang w:val="fr-FR"/>
        </w:rPr>
        <w:t> </w:t>
      </w:r>
      <w:proofErr w:type="spellStart"/>
      <w:r w:rsidRPr="00466CE7">
        <w:rPr>
          <w:lang w:val="fr-FR"/>
        </w:rPr>
        <w:t>soms</w:t>
      </w:r>
      <w:proofErr w:type="spellEnd"/>
      <w:r>
        <w:rPr>
          <w:lang w:val="fr-FR"/>
        </w:rPr>
        <w:t xml:space="preserve"> (</w:t>
      </w:r>
      <w:r w:rsidRPr="00466CE7">
        <w:rPr>
          <w:lang w:val="fr-FR"/>
        </w:rPr>
        <w:t>90</w:t>
      </w:r>
      <w:r w:rsidR="002E59F6">
        <w:rPr>
          <w:lang w:val="fr-FR"/>
        </w:rPr>
        <w:t> </w:t>
      </w:r>
      <w:r w:rsidRPr="00466CE7">
        <w:rPr>
          <w:lang w:val="fr-FR"/>
        </w:rPr>
        <w:t>9</w:t>
      </w:r>
      <w:r>
        <w:rPr>
          <w:lang w:val="fr-FR"/>
        </w:rPr>
        <w:t>00</w:t>
      </w:r>
      <w:r w:rsidR="002E59F6">
        <w:rPr>
          <w:lang w:val="fr-FR"/>
        </w:rPr>
        <w:t> </w:t>
      </w:r>
      <w:r>
        <w:rPr>
          <w:lang w:val="fr-FR"/>
        </w:rPr>
        <w:t xml:space="preserve">personnes </w:t>
      </w:r>
      <w:r w:rsidRPr="00466CE7">
        <w:rPr>
          <w:lang w:val="fr-FR"/>
        </w:rPr>
        <w:t>en 2018</w:t>
      </w:r>
      <w:r>
        <w:rPr>
          <w:lang w:val="fr-FR"/>
        </w:rPr>
        <w:t>).</w:t>
      </w:r>
    </w:p>
    <w:p w14:paraId="7C3A7581" w14:textId="77777777" w:rsidR="009C6834" w:rsidRPr="00466CE7" w:rsidRDefault="009C6834" w:rsidP="009C6834">
      <w:pPr>
        <w:pStyle w:val="SingleTxtG"/>
        <w:rPr>
          <w:lang w:val="fr-FR"/>
        </w:rPr>
      </w:pPr>
      <w:r w:rsidRPr="00466CE7">
        <w:rPr>
          <w:lang w:val="fr-FR"/>
        </w:rPr>
        <w:t>203.</w:t>
      </w:r>
      <w:r w:rsidRPr="00466CE7">
        <w:rPr>
          <w:lang w:val="fr-FR"/>
        </w:rPr>
        <w:tab/>
        <w:t xml:space="preserve">Une base de données électronique automatisée </w:t>
      </w:r>
      <w:r>
        <w:rPr>
          <w:lang w:val="fr-FR"/>
        </w:rPr>
        <w:t xml:space="preserve">sur les </w:t>
      </w:r>
      <w:r w:rsidRPr="00466CE7">
        <w:rPr>
          <w:lang w:val="fr-FR"/>
        </w:rPr>
        <w:t xml:space="preserve">enfants </w:t>
      </w:r>
      <w:r>
        <w:rPr>
          <w:lang w:val="fr-FR"/>
        </w:rPr>
        <w:t xml:space="preserve">en situation </w:t>
      </w:r>
      <w:r w:rsidRPr="00466CE7">
        <w:rPr>
          <w:lang w:val="fr-FR"/>
        </w:rPr>
        <w:t>difficile</w:t>
      </w:r>
      <w:r>
        <w:rPr>
          <w:lang w:val="fr-FR"/>
        </w:rPr>
        <w:t xml:space="preserve"> a é</w:t>
      </w:r>
      <w:r w:rsidRPr="00466CE7">
        <w:rPr>
          <w:lang w:val="fr-FR"/>
        </w:rPr>
        <w:t xml:space="preserve">té </w:t>
      </w:r>
      <w:r>
        <w:rPr>
          <w:lang w:val="fr-FR"/>
        </w:rPr>
        <w:t xml:space="preserve">développée et introduite à titre expérimental (dans les </w:t>
      </w:r>
      <w:r w:rsidRPr="00466CE7">
        <w:rPr>
          <w:lang w:val="fr-FR"/>
        </w:rPr>
        <w:t>districts Sverdlovsk</w:t>
      </w:r>
      <w:r>
        <w:rPr>
          <w:lang w:val="fr-FR"/>
        </w:rPr>
        <w:t>i</w:t>
      </w:r>
      <w:r w:rsidRPr="00466CE7">
        <w:rPr>
          <w:lang w:val="fr-FR"/>
        </w:rPr>
        <w:t>, Pervom</w:t>
      </w:r>
      <w:r>
        <w:rPr>
          <w:lang w:val="fr-FR"/>
        </w:rPr>
        <w:t>aï</w:t>
      </w:r>
      <w:r w:rsidRPr="00466CE7">
        <w:rPr>
          <w:lang w:val="fr-FR"/>
        </w:rPr>
        <w:t>sk</w:t>
      </w:r>
      <w:r>
        <w:rPr>
          <w:lang w:val="fr-FR"/>
        </w:rPr>
        <w:t>i</w:t>
      </w:r>
      <w:r w:rsidRPr="00466CE7">
        <w:rPr>
          <w:lang w:val="fr-FR"/>
        </w:rPr>
        <w:t xml:space="preserve">, </w:t>
      </w:r>
      <w:proofErr w:type="spellStart"/>
      <w:r w:rsidRPr="00466CE7">
        <w:rPr>
          <w:lang w:val="fr-FR"/>
        </w:rPr>
        <w:t>Ysyk-At</w:t>
      </w:r>
      <w:r>
        <w:rPr>
          <w:lang w:val="fr-FR"/>
        </w:rPr>
        <w:t>inski</w:t>
      </w:r>
      <w:proofErr w:type="spellEnd"/>
      <w:r w:rsidRPr="00466CE7">
        <w:rPr>
          <w:lang w:val="fr-FR"/>
        </w:rPr>
        <w:t xml:space="preserve">, </w:t>
      </w:r>
      <w:proofErr w:type="spellStart"/>
      <w:r w:rsidRPr="00466CE7">
        <w:rPr>
          <w:lang w:val="fr-FR"/>
        </w:rPr>
        <w:t>Sok</w:t>
      </w:r>
      <w:r>
        <w:rPr>
          <w:lang w:val="fr-FR"/>
        </w:rPr>
        <w:t>o</w:t>
      </w:r>
      <w:r w:rsidRPr="00466CE7">
        <w:rPr>
          <w:lang w:val="fr-FR"/>
        </w:rPr>
        <w:t>ul</w:t>
      </w:r>
      <w:r>
        <w:rPr>
          <w:lang w:val="fr-FR"/>
        </w:rPr>
        <w:t>o</w:t>
      </w:r>
      <w:r w:rsidRPr="00466CE7">
        <w:rPr>
          <w:lang w:val="fr-FR"/>
        </w:rPr>
        <w:t>uk</w:t>
      </w:r>
      <w:r>
        <w:rPr>
          <w:lang w:val="fr-FR"/>
        </w:rPr>
        <w:t>ski</w:t>
      </w:r>
      <w:proofErr w:type="spellEnd"/>
      <w:r w:rsidRPr="00466CE7">
        <w:rPr>
          <w:lang w:val="fr-FR"/>
        </w:rPr>
        <w:t xml:space="preserve">, </w:t>
      </w:r>
      <w:proofErr w:type="spellStart"/>
      <w:r w:rsidRPr="00466CE7">
        <w:rPr>
          <w:lang w:val="fr-FR"/>
        </w:rPr>
        <w:t>Mos</w:t>
      </w:r>
      <w:r>
        <w:rPr>
          <w:lang w:val="fr-FR"/>
        </w:rPr>
        <w:t>kovski</w:t>
      </w:r>
      <w:proofErr w:type="spellEnd"/>
      <w:r w:rsidRPr="00466CE7">
        <w:rPr>
          <w:lang w:val="fr-FR"/>
        </w:rPr>
        <w:t xml:space="preserve">). </w:t>
      </w:r>
    </w:p>
    <w:p w14:paraId="69BADDB5" w14:textId="4E5F1158" w:rsidR="009C6834" w:rsidRPr="00466CE7" w:rsidRDefault="009C6834" w:rsidP="009C6834">
      <w:pPr>
        <w:pStyle w:val="SingleTxtG"/>
        <w:rPr>
          <w:lang w:val="fr-FR"/>
        </w:rPr>
      </w:pPr>
      <w:r w:rsidRPr="00466CE7">
        <w:rPr>
          <w:lang w:val="fr-FR"/>
        </w:rPr>
        <w:t>204.</w:t>
      </w:r>
      <w:r w:rsidRPr="00466CE7">
        <w:rPr>
          <w:lang w:val="fr-FR"/>
        </w:rPr>
        <w:tab/>
      </w:r>
      <w:r>
        <w:rPr>
          <w:lang w:val="fr-FR"/>
        </w:rPr>
        <w:t xml:space="preserve">Il existe désormais sur le site </w:t>
      </w:r>
      <w:r w:rsidR="009250F6">
        <w:rPr>
          <w:lang w:val="fr-FR"/>
        </w:rPr>
        <w:t xml:space="preserve">Web </w:t>
      </w:r>
      <w:r>
        <w:rPr>
          <w:lang w:val="fr-FR"/>
        </w:rPr>
        <w:t>du Ministère du travail et du développement social</w:t>
      </w:r>
      <w:r w:rsidRPr="00466CE7">
        <w:rPr>
          <w:lang w:val="fr-FR"/>
        </w:rPr>
        <w:t xml:space="preserve"> (</w:t>
      </w:r>
      <w:hyperlink r:id="rId9" w:history="1">
        <w:r w:rsidR="002E59F6" w:rsidRPr="002E59F6">
          <w:rPr>
            <w:rStyle w:val="Lienhypertexte"/>
          </w:rPr>
          <w:t>www.mlsp.gov.kg</w:t>
        </w:r>
      </w:hyperlink>
      <w:r>
        <w:rPr>
          <w:lang w:val="fr-FR"/>
        </w:rPr>
        <w:t>) u</w:t>
      </w:r>
      <w:r w:rsidRPr="00466CE7">
        <w:rPr>
          <w:lang w:val="fr-FR"/>
        </w:rPr>
        <w:t xml:space="preserve">ne calculatrice électronique en ligne </w:t>
      </w:r>
      <w:r>
        <w:rPr>
          <w:lang w:val="fr-FR"/>
        </w:rPr>
        <w:t xml:space="preserve">qui permet </w:t>
      </w:r>
      <w:r w:rsidRPr="00466CE7">
        <w:rPr>
          <w:lang w:val="fr-FR"/>
        </w:rPr>
        <w:t xml:space="preserve">de calculer le montant des prestations </w:t>
      </w:r>
      <w:r>
        <w:rPr>
          <w:lang w:val="fr-FR"/>
        </w:rPr>
        <w:t xml:space="preserve">versées par </w:t>
      </w:r>
      <w:r w:rsidRPr="00466CE7">
        <w:rPr>
          <w:lang w:val="fr-FR"/>
        </w:rPr>
        <w:t>l</w:t>
      </w:r>
      <w:r>
        <w:rPr>
          <w:lang w:val="fr-FR"/>
        </w:rPr>
        <w:t>’</w:t>
      </w:r>
      <w:r w:rsidRPr="00466CE7">
        <w:rPr>
          <w:lang w:val="fr-FR"/>
        </w:rPr>
        <w:t>État (</w:t>
      </w:r>
      <w:r>
        <w:rPr>
          <w:lang w:val="fr-FR"/>
        </w:rPr>
        <w:t>allocations</w:t>
      </w:r>
      <w:r w:rsidRPr="00466CE7">
        <w:rPr>
          <w:lang w:val="fr-FR"/>
        </w:rPr>
        <w:t xml:space="preserve">, indemnités en espèces tenant lieu de prestations, allocation </w:t>
      </w:r>
      <w:r>
        <w:rPr>
          <w:lang w:val="fr-FR"/>
        </w:rPr>
        <w:t>d’obsèques, allocation</w:t>
      </w:r>
      <w:r w:rsidRPr="00466CE7">
        <w:rPr>
          <w:lang w:val="fr-FR"/>
        </w:rPr>
        <w:t xml:space="preserve"> de chômage)</w:t>
      </w:r>
      <w:r>
        <w:rPr>
          <w:lang w:val="fr-FR"/>
        </w:rPr>
        <w:t>. Les citoyens peuvent ainsi connaître leurs droits</w:t>
      </w:r>
      <w:r w:rsidRPr="00466CE7">
        <w:rPr>
          <w:lang w:val="fr-FR"/>
        </w:rPr>
        <w:t xml:space="preserve"> </w:t>
      </w:r>
      <w:r>
        <w:rPr>
          <w:lang w:val="fr-FR"/>
        </w:rPr>
        <w:t xml:space="preserve">et </w:t>
      </w:r>
      <w:r w:rsidRPr="00466CE7">
        <w:rPr>
          <w:lang w:val="fr-FR"/>
        </w:rPr>
        <w:t xml:space="preserve">calculer eux-mêmes </w:t>
      </w:r>
      <w:r>
        <w:rPr>
          <w:lang w:val="fr-FR"/>
        </w:rPr>
        <w:t>leurs prestations</w:t>
      </w:r>
      <w:r w:rsidRPr="00466CE7">
        <w:rPr>
          <w:lang w:val="fr-FR"/>
        </w:rPr>
        <w:t>.</w:t>
      </w:r>
    </w:p>
    <w:p w14:paraId="40D84EBB" w14:textId="500C8432" w:rsidR="009C6834" w:rsidRPr="00466CE7" w:rsidRDefault="009C6834" w:rsidP="009C6834">
      <w:pPr>
        <w:pStyle w:val="SingleTxtG"/>
        <w:rPr>
          <w:lang w:val="fr-FR"/>
        </w:rPr>
      </w:pPr>
      <w:r w:rsidRPr="00466CE7">
        <w:rPr>
          <w:lang w:val="fr-FR"/>
        </w:rPr>
        <w:t>205.</w:t>
      </w:r>
      <w:r w:rsidRPr="00466CE7">
        <w:rPr>
          <w:lang w:val="fr-FR"/>
        </w:rPr>
        <w:tab/>
      </w:r>
      <w:r>
        <w:rPr>
          <w:lang w:val="fr-FR"/>
        </w:rPr>
        <w:t xml:space="preserve">Depuis le </w:t>
      </w:r>
      <w:r w:rsidRPr="00466CE7">
        <w:rPr>
          <w:lang w:val="fr-FR"/>
        </w:rPr>
        <w:t>1</w:t>
      </w:r>
      <w:r w:rsidRPr="002E59F6">
        <w:rPr>
          <w:vertAlign w:val="superscript"/>
          <w:lang w:val="fr-FR"/>
        </w:rPr>
        <w:t>er</w:t>
      </w:r>
      <w:r w:rsidR="002E59F6">
        <w:rPr>
          <w:lang w:val="fr-FR"/>
        </w:rPr>
        <w:t> </w:t>
      </w:r>
      <w:r w:rsidRPr="00466CE7">
        <w:rPr>
          <w:lang w:val="fr-FR"/>
        </w:rPr>
        <w:t xml:space="preserve">janvier 2019, </w:t>
      </w:r>
      <w:r>
        <w:rPr>
          <w:lang w:val="fr-FR"/>
        </w:rPr>
        <w:t xml:space="preserve">une allocation d’assistance personnelle est versée aux </w:t>
      </w:r>
      <w:r w:rsidRPr="00466CE7">
        <w:rPr>
          <w:lang w:val="fr-FR"/>
        </w:rPr>
        <w:t>enfant</w:t>
      </w:r>
      <w:r>
        <w:rPr>
          <w:lang w:val="fr-FR"/>
        </w:rPr>
        <w:t>s</w:t>
      </w:r>
      <w:r w:rsidRPr="00466CE7">
        <w:rPr>
          <w:lang w:val="fr-FR"/>
        </w:rPr>
        <w:t xml:space="preserve"> handicapé</w:t>
      </w:r>
      <w:r>
        <w:rPr>
          <w:lang w:val="fr-FR"/>
        </w:rPr>
        <w:t>s</w:t>
      </w:r>
      <w:r w:rsidRPr="00466CE7">
        <w:rPr>
          <w:lang w:val="fr-FR"/>
        </w:rPr>
        <w:t xml:space="preserve"> </w:t>
      </w:r>
      <w:r>
        <w:rPr>
          <w:lang w:val="fr-FR"/>
        </w:rPr>
        <w:t xml:space="preserve">nécessitant une </w:t>
      </w:r>
      <w:r w:rsidRPr="00466CE7">
        <w:rPr>
          <w:lang w:val="fr-FR"/>
        </w:rPr>
        <w:t xml:space="preserve">surveillance </w:t>
      </w:r>
      <w:r>
        <w:rPr>
          <w:lang w:val="fr-FR"/>
        </w:rPr>
        <w:t>et</w:t>
      </w:r>
      <w:r w:rsidRPr="00712443">
        <w:rPr>
          <w:lang w:val="fr-FR"/>
        </w:rPr>
        <w:t xml:space="preserve"> </w:t>
      </w:r>
      <w:r>
        <w:rPr>
          <w:lang w:val="fr-FR"/>
        </w:rPr>
        <w:t xml:space="preserve">des </w:t>
      </w:r>
      <w:r w:rsidRPr="00466CE7">
        <w:rPr>
          <w:lang w:val="fr-FR"/>
        </w:rPr>
        <w:t xml:space="preserve">soins </w:t>
      </w:r>
      <w:r>
        <w:rPr>
          <w:lang w:val="fr-FR"/>
        </w:rPr>
        <w:t>constants</w:t>
      </w:r>
      <w:r w:rsidRPr="00466CE7">
        <w:rPr>
          <w:lang w:val="fr-FR"/>
        </w:rPr>
        <w:t xml:space="preserve">. </w:t>
      </w:r>
      <w:r>
        <w:rPr>
          <w:lang w:val="fr-FR"/>
        </w:rPr>
        <w:t>Le montant mensuel de cette aide a été fixé</w:t>
      </w:r>
      <w:r w:rsidRPr="00466CE7">
        <w:rPr>
          <w:lang w:val="fr-FR"/>
        </w:rPr>
        <w:t xml:space="preserve"> à 4</w:t>
      </w:r>
      <w:r w:rsidR="002E59F6">
        <w:rPr>
          <w:lang w:val="fr-FR"/>
        </w:rPr>
        <w:t> </w:t>
      </w:r>
      <w:r w:rsidRPr="00466CE7">
        <w:rPr>
          <w:lang w:val="fr-FR"/>
        </w:rPr>
        <w:t>900</w:t>
      </w:r>
      <w:r w:rsidR="002E59F6">
        <w:rPr>
          <w:lang w:val="fr-FR"/>
        </w:rPr>
        <w:t> </w:t>
      </w:r>
      <w:proofErr w:type="spellStart"/>
      <w:r w:rsidRPr="00466CE7">
        <w:rPr>
          <w:lang w:val="fr-FR"/>
        </w:rPr>
        <w:t>soms</w:t>
      </w:r>
      <w:proofErr w:type="spellEnd"/>
      <w:r w:rsidRPr="00466CE7">
        <w:rPr>
          <w:lang w:val="fr-FR"/>
        </w:rPr>
        <w:t>.</w:t>
      </w:r>
    </w:p>
    <w:p w14:paraId="45513DF1" w14:textId="1A2E8C20" w:rsidR="009C6834" w:rsidRPr="00466CE7" w:rsidRDefault="009C6834" w:rsidP="009C6834">
      <w:pPr>
        <w:pStyle w:val="SingleTxtG"/>
        <w:rPr>
          <w:lang w:val="fr-FR"/>
        </w:rPr>
      </w:pPr>
      <w:r w:rsidRPr="00466CE7">
        <w:rPr>
          <w:lang w:val="fr-FR"/>
        </w:rPr>
        <w:t>206.</w:t>
      </w:r>
      <w:r w:rsidRPr="00466CE7">
        <w:rPr>
          <w:lang w:val="fr-FR"/>
        </w:rPr>
        <w:tab/>
        <w:t>Au 1</w:t>
      </w:r>
      <w:r w:rsidRPr="002E59F6">
        <w:rPr>
          <w:vertAlign w:val="superscript"/>
          <w:lang w:val="fr-FR"/>
        </w:rPr>
        <w:t>er</w:t>
      </w:r>
      <w:r w:rsidR="002E59F6">
        <w:rPr>
          <w:lang w:val="fr-FR"/>
        </w:rPr>
        <w:t> </w:t>
      </w:r>
      <w:r w:rsidRPr="00466CE7">
        <w:rPr>
          <w:lang w:val="fr-FR"/>
        </w:rPr>
        <w:t>janvier 2020, 6</w:t>
      </w:r>
      <w:r w:rsidR="002E59F6">
        <w:rPr>
          <w:lang w:val="fr-FR"/>
        </w:rPr>
        <w:t> </w:t>
      </w:r>
      <w:r w:rsidRPr="00466CE7">
        <w:rPr>
          <w:lang w:val="fr-FR"/>
        </w:rPr>
        <w:t>557</w:t>
      </w:r>
      <w:r w:rsidR="002E59F6">
        <w:rPr>
          <w:lang w:val="fr-FR"/>
        </w:rPr>
        <w:t> </w:t>
      </w:r>
      <w:r>
        <w:rPr>
          <w:lang w:val="fr-FR"/>
        </w:rPr>
        <w:t xml:space="preserve">personnes bénéficiaient des services d’un assistant </w:t>
      </w:r>
      <w:r w:rsidRPr="00466CE7">
        <w:rPr>
          <w:lang w:val="fr-FR"/>
        </w:rPr>
        <w:t>personnel.</w:t>
      </w:r>
    </w:p>
    <w:p w14:paraId="58C21081" w14:textId="25D9E6E2" w:rsidR="009C6834" w:rsidRPr="00466CE7" w:rsidRDefault="009C6834" w:rsidP="009C6834">
      <w:pPr>
        <w:pStyle w:val="SingleTxtG"/>
        <w:rPr>
          <w:lang w:val="fr-FR"/>
        </w:rPr>
      </w:pPr>
      <w:r w:rsidRPr="00466CE7">
        <w:rPr>
          <w:lang w:val="fr-FR"/>
        </w:rPr>
        <w:t>207.</w:t>
      </w:r>
      <w:r w:rsidRPr="00466CE7">
        <w:rPr>
          <w:lang w:val="fr-FR"/>
        </w:rPr>
        <w:tab/>
        <w:t>Au 1</w:t>
      </w:r>
      <w:r w:rsidRPr="002E59F6">
        <w:rPr>
          <w:vertAlign w:val="superscript"/>
          <w:lang w:val="fr-FR"/>
        </w:rPr>
        <w:t>er</w:t>
      </w:r>
      <w:r w:rsidR="002E59F6">
        <w:rPr>
          <w:lang w:val="fr-FR"/>
        </w:rPr>
        <w:t> </w:t>
      </w:r>
      <w:r w:rsidRPr="00466CE7">
        <w:rPr>
          <w:lang w:val="fr-FR"/>
        </w:rPr>
        <w:t>janvier 2020, plus de 647</w:t>
      </w:r>
      <w:r w:rsidR="002E59F6">
        <w:rPr>
          <w:lang w:val="fr-FR"/>
        </w:rPr>
        <w:t> </w:t>
      </w:r>
      <w:r>
        <w:rPr>
          <w:lang w:val="fr-FR"/>
        </w:rPr>
        <w:t>000</w:t>
      </w:r>
      <w:r w:rsidR="002E59F6">
        <w:rPr>
          <w:lang w:val="fr-FR"/>
        </w:rPr>
        <w:t> </w:t>
      </w:r>
      <w:r w:rsidRPr="00466CE7">
        <w:rPr>
          <w:lang w:val="fr-FR"/>
        </w:rPr>
        <w:t xml:space="preserve">personnes </w:t>
      </w:r>
      <w:r>
        <w:rPr>
          <w:lang w:val="fr-FR"/>
        </w:rPr>
        <w:t xml:space="preserve">percevaient </w:t>
      </w:r>
      <w:r w:rsidRPr="00466CE7">
        <w:rPr>
          <w:lang w:val="fr-FR"/>
        </w:rPr>
        <w:t xml:space="preserve">des paiements sociaux sous forme </w:t>
      </w:r>
      <w:r>
        <w:rPr>
          <w:lang w:val="fr-FR"/>
        </w:rPr>
        <w:t>d’allocations et d’indemnités</w:t>
      </w:r>
      <w:r w:rsidRPr="00466CE7">
        <w:rPr>
          <w:lang w:val="fr-FR"/>
        </w:rPr>
        <w:t xml:space="preserve">. </w:t>
      </w:r>
    </w:p>
    <w:p w14:paraId="2800096B" w14:textId="4F451C44" w:rsidR="009C6834" w:rsidRPr="00466CE7" w:rsidRDefault="009C6834" w:rsidP="00E1792A">
      <w:pPr>
        <w:pStyle w:val="SingleTxtG"/>
        <w:rPr>
          <w:lang w:val="fr-FR"/>
        </w:rPr>
      </w:pPr>
      <w:r w:rsidRPr="00466CE7">
        <w:rPr>
          <w:lang w:val="fr-FR"/>
        </w:rPr>
        <w:t>208.</w:t>
      </w:r>
      <w:r w:rsidRPr="00466CE7">
        <w:rPr>
          <w:lang w:val="fr-FR"/>
        </w:rPr>
        <w:tab/>
      </w:r>
      <w:r>
        <w:rPr>
          <w:lang w:val="fr-FR"/>
        </w:rPr>
        <w:t xml:space="preserve">Dans le cadre des </w:t>
      </w:r>
      <w:r w:rsidRPr="00466CE7">
        <w:rPr>
          <w:lang w:val="fr-FR"/>
        </w:rPr>
        <w:t xml:space="preserve">activités menées </w:t>
      </w:r>
      <w:r>
        <w:rPr>
          <w:lang w:val="fr-FR"/>
        </w:rPr>
        <w:t xml:space="preserve">en </w:t>
      </w:r>
      <w:r w:rsidRPr="00466CE7">
        <w:rPr>
          <w:lang w:val="fr-FR"/>
        </w:rPr>
        <w:t>2019</w:t>
      </w:r>
      <w:r>
        <w:rPr>
          <w:lang w:val="fr-FR"/>
        </w:rPr>
        <w:t xml:space="preserve"> </w:t>
      </w:r>
      <w:r w:rsidRPr="00466CE7">
        <w:rPr>
          <w:lang w:val="fr-FR"/>
        </w:rPr>
        <w:t xml:space="preserve">par les organisations membres de la </w:t>
      </w:r>
      <w:r>
        <w:rPr>
          <w:lang w:val="fr-FR"/>
        </w:rPr>
        <w:t>Fédération des syndicats du Kirghizistan</w:t>
      </w:r>
      <w:r w:rsidRPr="00466CE7">
        <w:rPr>
          <w:lang w:val="fr-FR"/>
        </w:rPr>
        <w:t>,</w:t>
      </w:r>
      <w:r w:rsidRPr="00807BD1">
        <w:rPr>
          <w:lang w:val="fr-FR"/>
        </w:rPr>
        <w:t xml:space="preserve"> </w:t>
      </w:r>
      <w:r w:rsidRPr="00466CE7">
        <w:rPr>
          <w:lang w:val="fr-FR"/>
        </w:rPr>
        <w:t>plus de 2</w:t>
      </w:r>
      <w:r w:rsidR="002E59F6">
        <w:rPr>
          <w:lang w:val="fr-FR"/>
        </w:rPr>
        <w:t> </w:t>
      </w:r>
      <w:r w:rsidRPr="00466CE7">
        <w:rPr>
          <w:lang w:val="fr-FR"/>
        </w:rPr>
        <w:t>000</w:t>
      </w:r>
      <w:r w:rsidR="002E59F6">
        <w:rPr>
          <w:lang w:val="fr-FR"/>
        </w:rPr>
        <w:t> </w:t>
      </w:r>
      <w:r w:rsidRPr="00466CE7">
        <w:rPr>
          <w:lang w:val="fr-FR"/>
        </w:rPr>
        <w:t>personnes âgées</w:t>
      </w:r>
      <w:r>
        <w:rPr>
          <w:lang w:val="fr-FR"/>
        </w:rPr>
        <w:t xml:space="preserve"> ont reçu une aide matérielle pour un montant total de </w:t>
      </w:r>
      <w:r w:rsidRPr="00466CE7">
        <w:rPr>
          <w:lang w:val="fr-FR"/>
        </w:rPr>
        <w:t>2</w:t>
      </w:r>
      <w:r>
        <w:rPr>
          <w:lang w:val="fr-FR"/>
        </w:rPr>
        <w:t> </w:t>
      </w:r>
      <w:r w:rsidRPr="00466CE7">
        <w:rPr>
          <w:lang w:val="fr-FR"/>
        </w:rPr>
        <w:t>679</w:t>
      </w:r>
      <w:r w:rsidR="002E59F6">
        <w:rPr>
          <w:lang w:val="fr-FR"/>
        </w:rPr>
        <w:t> </w:t>
      </w:r>
      <w:r w:rsidRPr="00466CE7">
        <w:rPr>
          <w:lang w:val="fr-FR"/>
        </w:rPr>
        <w:t>4</w:t>
      </w:r>
      <w:r>
        <w:rPr>
          <w:lang w:val="fr-FR"/>
        </w:rPr>
        <w:t>00</w:t>
      </w:r>
      <w:r w:rsidR="002E59F6">
        <w:rPr>
          <w:lang w:val="fr-FR"/>
        </w:rPr>
        <w:t> </w:t>
      </w:r>
      <w:proofErr w:type="spellStart"/>
      <w:r>
        <w:rPr>
          <w:lang w:val="fr-FR"/>
        </w:rPr>
        <w:t>soms</w:t>
      </w:r>
      <w:proofErr w:type="spellEnd"/>
      <w:r>
        <w:rPr>
          <w:lang w:val="fr-FR"/>
        </w:rPr>
        <w:t xml:space="preserve"> durant le mois d’application du programme « </w:t>
      </w:r>
      <w:r w:rsidRPr="00466CE7">
        <w:rPr>
          <w:lang w:val="fr-FR"/>
        </w:rPr>
        <w:t>Attenti</w:t>
      </w:r>
      <w:r>
        <w:rPr>
          <w:lang w:val="fr-FR"/>
        </w:rPr>
        <w:t>on et soins pour les personnes âgées » (15</w:t>
      </w:r>
      <w:r w:rsidR="002E59F6">
        <w:rPr>
          <w:lang w:val="fr-FR"/>
        </w:rPr>
        <w:t> </w:t>
      </w:r>
      <w:r>
        <w:rPr>
          <w:lang w:val="fr-FR"/>
        </w:rPr>
        <w:t>septembre-</w:t>
      </w:r>
      <w:r w:rsidRPr="00466CE7">
        <w:rPr>
          <w:lang w:val="fr-FR"/>
        </w:rPr>
        <w:t>15</w:t>
      </w:r>
      <w:r w:rsidR="002E59F6">
        <w:rPr>
          <w:lang w:val="fr-FR"/>
        </w:rPr>
        <w:t> </w:t>
      </w:r>
      <w:r w:rsidRPr="00466CE7">
        <w:rPr>
          <w:lang w:val="fr-FR"/>
        </w:rPr>
        <w:t>octobre</w:t>
      </w:r>
      <w:r>
        <w:rPr>
          <w:lang w:val="fr-FR"/>
        </w:rPr>
        <w:t>)</w:t>
      </w:r>
      <w:r w:rsidRPr="00466CE7">
        <w:rPr>
          <w:lang w:val="fr-FR"/>
        </w:rPr>
        <w:t>, et</w:t>
      </w:r>
      <w:r w:rsidRPr="00807BD1">
        <w:rPr>
          <w:lang w:val="fr-FR"/>
        </w:rPr>
        <w:t xml:space="preserve"> </w:t>
      </w:r>
      <w:r>
        <w:rPr>
          <w:lang w:val="fr-FR"/>
        </w:rPr>
        <w:t xml:space="preserve">quelque </w:t>
      </w:r>
      <w:r w:rsidRPr="00466CE7">
        <w:rPr>
          <w:lang w:val="fr-FR"/>
        </w:rPr>
        <w:t>1</w:t>
      </w:r>
      <w:r w:rsidR="002E59F6">
        <w:rPr>
          <w:lang w:val="fr-FR"/>
        </w:rPr>
        <w:t> </w:t>
      </w:r>
      <w:r w:rsidRPr="00466CE7">
        <w:rPr>
          <w:lang w:val="fr-FR"/>
        </w:rPr>
        <w:t>400</w:t>
      </w:r>
      <w:r w:rsidR="002E59F6">
        <w:rPr>
          <w:lang w:val="fr-FR"/>
        </w:rPr>
        <w:t> </w:t>
      </w:r>
      <w:r w:rsidRPr="00466CE7">
        <w:rPr>
          <w:lang w:val="fr-FR"/>
        </w:rPr>
        <w:t xml:space="preserve">personnes handicapées </w:t>
      </w:r>
      <w:r>
        <w:rPr>
          <w:lang w:val="fr-FR"/>
        </w:rPr>
        <w:t xml:space="preserve">ont reçu une aide matérielle pour un montant total de </w:t>
      </w:r>
      <w:r w:rsidRPr="00466CE7">
        <w:rPr>
          <w:lang w:val="fr-FR"/>
        </w:rPr>
        <w:t>484</w:t>
      </w:r>
      <w:r w:rsidR="002E59F6">
        <w:rPr>
          <w:lang w:val="fr-FR"/>
        </w:rPr>
        <w:t> </w:t>
      </w:r>
      <w:r w:rsidRPr="00466CE7">
        <w:rPr>
          <w:lang w:val="fr-FR"/>
        </w:rPr>
        <w:t>9</w:t>
      </w:r>
      <w:r>
        <w:rPr>
          <w:lang w:val="fr-FR"/>
        </w:rPr>
        <w:t>00</w:t>
      </w:r>
      <w:r w:rsidR="002E59F6">
        <w:rPr>
          <w:lang w:val="fr-FR"/>
        </w:rPr>
        <w:t> </w:t>
      </w:r>
      <w:proofErr w:type="spellStart"/>
      <w:r>
        <w:rPr>
          <w:lang w:val="fr-FR"/>
        </w:rPr>
        <w:t>soms</w:t>
      </w:r>
      <w:proofErr w:type="spellEnd"/>
      <w:r>
        <w:rPr>
          <w:lang w:val="fr-FR"/>
        </w:rPr>
        <w:t xml:space="preserve"> au cours du mois d’application du programme « Nous sommes ensemble ! » (15</w:t>
      </w:r>
      <w:r w:rsidR="002E59F6">
        <w:rPr>
          <w:lang w:val="fr-FR"/>
        </w:rPr>
        <w:t> </w:t>
      </w:r>
      <w:r>
        <w:rPr>
          <w:lang w:val="fr-FR"/>
        </w:rPr>
        <w:t>novembre-</w:t>
      </w:r>
      <w:r w:rsidRPr="00466CE7">
        <w:rPr>
          <w:lang w:val="fr-FR"/>
        </w:rPr>
        <w:t>15</w:t>
      </w:r>
      <w:r w:rsidR="002E59F6">
        <w:rPr>
          <w:lang w:val="fr-FR"/>
        </w:rPr>
        <w:t> </w:t>
      </w:r>
      <w:r w:rsidRPr="00466CE7">
        <w:rPr>
          <w:lang w:val="fr-FR"/>
        </w:rPr>
        <w:t>décembre</w:t>
      </w:r>
      <w:r>
        <w:rPr>
          <w:lang w:val="fr-FR"/>
        </w:rPr>
        <w:t>)</w:t>
      </w:r>
      <w:r w:rsidRPr="00466CE7">
        <w:rPr>
          <w:lang w:val="fr-FR"/>
        </w:rPr>
        <w:t xml:space="preserve">. </w:t>
      </w:r>
    </w:p>
    <w:p w14:paraId="24761E92" w14:textId="1DEB1427" w:rsidR="009C6834" w:rsidRPr="00466CE7" w:rsidRDefault="009C6834" w:rsidP="009C6834">
      <w:pPr>
        <w:pStyle w:val="SingleTxtG"/>
        <w:rPr>
          <w:lang w:val="fr-FR"/>
        </w:rPr>
      </w:pPr>
      <w:r w:rsidRPr="00466CE7">
        <w:rPr>
          <w:lang w:val="fr-FR"/>
        </w:rPr>
        <w:t>209.</w:t>
      </w:r>
      <w:r w:rsidRPr="00466CE7">
        <w:rPr>
          <w:lang w:val="fr-FR"/>
        </w:rPr>
        <w:tab/>
        <w:t>En 2019, plus de 8</w:t>
      </w:r>
      <w:r w:rsidR="002E59F6">
        <w:rPr>
          <w:lang w:val="fr-FR"/>
        </w:rPr>
        <w:t> </w:t>
      </w:r>
      <w:r w:rsidRPr="00466CE7">
        <w:rPr>
          <w:lang w:val="fr-FR"/>
        </w:rPr>
        <w:t>000</w:t>
      </w:r>
      <w:r w:rsidR="002E59F6">
        <w:rPr>
          <w:lang w:val="fr-FR"/>
        </w:rPr>
        <w:t> </w:t>
      </w:r>
      <w:r w:rsidRPr="00466CE7">
        <w:rPr>
          <w:lang w:val="fr-FR"/>
        </w:rPr>
        <w:t>bons</w:t>
      </w:r>
      <w:r w:rsidRPr="00657DC2">
        <w:rPr>
          <w:lang w:val="fr-FR"/>
        </w:rPr>
        <w:t xml:space="preserve"> </w:t>
      </w:r>
      <w:r w:rsidRPr="00466CE7">
        <w:rPr>
          <w:lang w:val="fr-FR"/>
        </w:rPr>
        <w:t xml:space="preserve">ont été attribués pour </w:t>
      </w:r>
      <w:r>
        <w:rPr>
          <w:lang w:val="fr-FR"/>
        </w:rPr>
        <w:t>permettre à d</w:t>
      </w:r>
      <w:r w:rsidRPr="00466CE7">
        <w:rPr>
          <w:lang w:val="fr-FR"/>
        </w:rPr>
        <w:t xml:space="preserve">es enfants de travailleurs </w:t>
      </w:r>
      <w:r>
        <w:rPr>
          <w:lang w:val="fr-FR"/>
        </w:rPr>
        <w:t xml:space="preserve">de se reposer et de se rétablir dans les </w:t>
      </w:r>
      <w:r w:rsidRPr="00466CE7">
        <w:rPr>
          <w:lang w:val="fr-FR"/>
        </w:rPr>
        <w:t>camps d</w:t>
      </w:r>
      <w:r>
        <w:rPr>
          <w:lang w:val="fr-FR"/>
        </w:rPr>
        <w:t>’</w:t>
      </w:r>
      <w:r w:rsidRPr="00466CE7">
        <w:rPr>
          <w:lang w:val="fr-FR"/>
        </w:rPr>
        <w:t xml:space="preserve">été </w:t>
      </w:r>
      <w:proofErr w:type="spellStart"/>
      <w:r w:rsidRPr="00466CE7">
        <w:rPr>
          <w:lang w:val="fr-FR"/>
        </w:rPr>
        <w:t>Kelechek</w:t>
      </w:r>
      <w:proofErr w:type="spellEnd"/>
      <w:r w:rsidRPr="00466CE7">
        <w:rPr>
          <w:lang w:val="fr-FR"/>
        </w:rPr>
        <w:t xml:space="preserve">, </w:t>
      </w:r>
      <w:proofErr w:type="spellStart"/>
      <w:r w:rsidRPr="00466CE7">
        <w:rPr>
          <w:lang w:val="fr-FR"/>
        </w:rPr>
        <w:t>Zhalyn</w:t>
      </w:r>
      <w:proofErr w:type="spellEnd"/>
      <w:r w:rsidRPr="00466CE7">
        <w:rPr>
          <w:lang w:val="fr-FR"/>
        </w:rPr>
        <w:t xml:space="preserve">, </w:t>
      </w:r>
      <w:proofErr w:type="spellStart"/>
      <w:r w:rsidRPr="00466CE7">
        <w:rPr>
          <w:lang w:val="fr-FR"/>
        </w:rPr>
        <w:t>Ak</w:t>
      </w:r>
      <w:proofErr w:type="spellEnd"/>
      <w:r w:rsidRPr="00466CE7">
        <w:rPr>
          <w:lang w:val="fr-FR"/>
        </w:rPr>
        <w:t xml:space="preserve">-Suu, Den </w:t>
      </w:r>
      <w:proofErr w:type="spellStart"/>
      <w:r w:rsidRPr="00466CE7">
        <w:rPr>
          <w:lang w:val="fr-FR"/>
        </w:rPr>
        <w:t>So</w:t>
      </w:r>
      <w:r>
        <w:rPr>
          <w:lang w:val="fr-FR"/>
        </w:rPr>
        <w:t>u</w:t>
      </w:r>
      <w:r w:rsidRPr="00466CE7">
        <w:rPr>
          <w:lang w:val="fr-FR"/>
        </w:rPr>
        <w:t>l</w:t>
      </w:r>
      <w:r>
        <w:rPr>
          <w:lang w:val="fr-FR"/>
        </w:rPr>
        <w:t>o</w:t>
      </w:r>
      <w:r w:rsidRPr="00466CE7">
        <w:rPr>
          <w:lang w:val="fr-FR"/>
        </w:rPr>
        <w:t>uk</w:t>
      </w:r>
      <w:proofErr w:type="spellEnd"/>
      <w:r w:rsidRPr="00466CE7">
        <w:rPr>
          <w:lang w:val="fr-FR"/>
        </w:rPr>
        <w:t xml:space="preserve">, </w:t>
      </w:r>
      <w:proofErr w:type="spellStart"/>
      <w:r w:rsidRPr="00466CE7">
        <w:rPr>
          <w:lang w:val="fr-FR"/>
        </w:rPr>
        <w:t>Ma</w:t>
      </w:r>
      <w:r>
        <w:rPr>
          <w:lang w:val="fr-FR"/>
        </w:rPr>
        <w:t>y</w:t>
      </w:r>
      <w:r w:rsidRPr="00466CE7">
        <w:rPr>
          <w:lang w:val="fr-FR"/>
        </w:rPr>
        <w:t>ak</w:t>
      </w:r>
      <w:proofErr w:type="spellEnd"/>
      <w:r w:rsidRPr="00466CE7">
        <w:rPr>
          <w:lang w:val="fr-FR"/>
        </w:rPr>
        <w:t xml:space="preserve">, </w:t>
      </w:r>
      <w:proofErr w:type="spellStart"/>
      <w:r w:rsidRPr="00466CE7">
        <w:rPr>
          <w:lang w:val="fr-FR"/>
        </w:rPr>
        <w:t>Balastan</w:t>
      </w:r>
      <w:proofErr w:type="spellEnd"/>
      <w:r w:rsidRPr="00466CE7">
        <w:rPr>
          <w:lang w:val="fr-FR"/>
        </w:rPr>
        <w:t xml:space="preserve"> et</w:t>
      </w:r>
      <w:r>
        <w:rPr>
          <w:lang w:val="fr-FR"/>
        </w:rPr>
        <w:t xml:space="preserve"> </w:t>
      </w:r>
      <w:proofErr w:type="spellStart"/>
      <w:r>
        <w:rPr>
          <w:lang w:val="fr-FR"/>
        </w:rPr>
        <w:t>Krasnaya</w:t>
      </w:r>
      <w:proofErr w:type="spellEnd"/>
      <w:r>
        <w:rPr>
          <w:lang w:val="fr-FR"/>
        </w:rPr>
        <w:t xml:space="preserve"> </w:t>
      </w:r>
      <w:proofErr w:type="spellStart"/>
      <w:r>
        <w:rPr>
          <w:lang w:val="fr-FR"/>
        </w:rPr>
        <w:t>gvozdika</w:t>
      </w:r>
      <w:proofErr w:type="spellEnd"/>
      <w:r w:rsidRPr="00466CE7">
        <w:rPr>
          <w:lang w:val="fr-FR"/>
        </w:rPr>
        <w:t>.</w:t>
      </w:r>
    </w:p>
    <w:p w14:paraId="627F9291" w14:textId="3F4E20A3" w:rsidR="009C6834" w:rsidRPr="00466CE7" w:rsidRDefault="009C6834" w:rsidP="008315BF">
      <w:pPr>
        <w:pStyle w:val="H1G"/>
        <w:rPr>
          <w:lang w:val="fr-FR"/>
        </w:rPr>
      </w:pPr>
      <w:r w:rsidRPr="00466CE7">
        <w:rPr>
          <w:lang w:val="fr-FR"/>
        </w:rPr>
        <w:tab/>
      </w:r>
      <w:r w:rsidRPr="00466CE7">
        <w:rPr>
          <w:lang w:val="fr-FR"/>
        </w:rPr>
        <w:tab/>
      </w:r>
      <w:r w:rsidR="00CB4ECD">
        <w:rPr>
          <w:lang w:val="fr-FR"/>
        </w:rPr>
        <w:t>Article </w:t>
      </w:r>
      <w:r w:rsidRPr="00466CE7">
        <w:rPr>
          <w:lang w:val="fr-FR"/>
        </w:rPr>
        <w:t xml:space="preserve">16 </w:t>
      </w:r>
      <w:r w:rsidRPr="00466CE7">
        <w:rPr>
          <w:lang w:val="fr-FR"/>
        </w:rPr>
        <w:br/>
      </w:r>
      <w:r>
        <w:rPr>
          <w:lang w:val="fr-FR"/>
        </w:rPr>
        <w:t>Violence dans la famille</w:t>
      </w:r>
    </w:p>
    <w:p w14:paraId="5326A21C" w14:textId="77777777" w:rsidR="009C6834" w:rsidRPr="00466CE7" w:rsidRDefault="009C6834" w:rsidP="009C6834">
      <w:pPr>
        <w:pStyle w:val="SingleTxtG"/>
        <w:rPr>
          <w:lang w:val="fr-FR"/>
        </w:rPr>
      </w:pPr>
      <w:r w:rsidRPr="00466CE7">
        <w:rPr>
          <w:lang w:val="fr-FR"/>
        </w:rPr>
        <w:t>210.</w:t>
      </w:r>
      <w:r w:rsidRPr="00466CE7">
        <w:rPr>
          <w:lang w:val="fr-FR"/>
        </w:rPr>
        <w:tab/>
      </w:r>
      <w:r>
        <w:rPr>
          <w:lang w:val="fr-FR"/>
        </w:rPr>
        <w:t>L</w:t>
      </w:r>
      <w:r w:rsidRPr="00466CE7">
        <w:rPr>
          <w:lang w:val="fr-FR"/>
        </w:rPr>
        <w:t xml:space="preserve">a loi </w:t>
      </w:r>
      <w:r>
        <w:rPr>
          <w:lang w:val="fr-FR"/>
        </w:rPr>
        <w:t xml:space="preserve">relative à la </w:t>
      </w:r>
      <w:r w:rsidRPr="00466CE7">
        <w:rPr>
          <w:lang w:val="fr-FR"/>
        </w:rPr>
        <w:t>protection contre la violence familiale a été adoptée</w:t>
      </w:r>
      <w:r>
        <w:rPr>
          <w:lang w:val="fr-FR"/>
        </w:rPr>
        <w:t xml:space="preserve"> en </w:t>
      </w:r>
      <w:r w:rsidRPr="00466CE7">
        <w:rPr>
          <w:lang w:val="fr-FR"/>
        </w:rPr>
        <w:t>a</w:t>
      </w:r>
      <w:r>
        <w:rPr>
          <w:lang w:val="fr-FR"/>
        </w:rPr>
        <w:t>vril 2017</w:t>
      </w:r>
      <w:r w:rsidRPr="00466CE7">
        <w:rPr>
          <w:lang w:val="fr-FR"/>
        </w:rPr>
        <w:t xml:space="preserve">. </w:t>
      </w:r>
    </w:p>
    <w:p w14:paraId="0C25F96C" w14:textId="77777777" w:rsidR="009C6834" w:rsidRPr="00466CE7" w:rsidRDefault="009C6834" w:rsidP="009C6834">
      <w:pPr>
        <w:pStyle w:val="SingleTxtG"/>
        <w:rPr>
          <w:lang w:val="fr-FR"/>
        </w:rPr>
      </w:pPr>
      <w:r w:rsidRPr="00466CE7">
        <w:rPr>
          <w:lang w:val="fr-FR"/>
        </w:rPr>
        <w:t>211.</w:t>
      </w:r>
      <w:r w:rsidRPr="00466CE7">
        <w:rPr>
          <w:lang w:val="fr-FR"/>
        </w:rPr>
        <w:tab/>
      </w:r>
      <w:r>
        <w:rPr>
          <w:lang w:val="fr-FR"/>
        </w:rPr>
        <w:t xml:space="preserve">Cette loi </w:t>
      </w:r>
      <w:r w:rsidRPr="00466CE7">
        <w:rPr>
          <w:lang w:val="fr-FR"/>
        </w:rPr>
        <w:t>énonce les principes fondamentaux</w:t>
      </w:r>
      <w:r>
        <w:rPr>
          <w:lang w:val="fr-FR"/>
        </w:rPr>
        <w:t>, reposant</w:t>
      </w:r>
      <w:r w:rsidRPr="00712443">
        <w:rPr>
          <w:lang w:val="fr-FR"/>
        </w:rPr>
        <w:t xml:space="preserve"> </w:t>
      </w:r>
      <w:r w:rsidRPr="00466CE7">
        <w:rPr>
          <w:lang w:val="fr-FR"/>
        </w:rPr>
        <w:t>sur les normes internationales</w:t>
      </w:r>
      <w:r>
        <w:rPr>
          <w:lang w:val="fr-FR"/>
        </w:rPr>
        <w:t xml:space="preserve">, </w:t>
      </w:r>
      <w:r w:rsidRPr="00466CE7">
        <w:rPr>
          <w:lang w:val="fr-FR"/>
        </w:rPr>
        <w:t>qui doivent guider</w:t>
      </w:r>
      <w:r>
        <w:rPr>
          <w:lang w:val="fr-FR"/>
        </w:rPr>
        <w:t xml:space="preserve"> l’action des organes chargés de l’appliquer, dont le nombre a été porté à </w:t>
      </w:r>
      <w:r w:rsidRPr="00466CE7">
        <w:rPr>
          <w:lang w:val="fr-FR"/>
        </w:rPr>
        <w:t xml:space="preserve">11. </w:t>
      </w:r>
      <w:r>
        <w:rPr>
          <w:lang w:val="fr-FR"/>
        </w:rPr>
        <w:t xml:space="preserve">Elle </w:t>
      </w:r>
      <w:r w:rsidRPr="00466CE7">
        <w:rPr>
          <w:lang w:val="fr-FR"/>
        </w:rPr>
        <w:t>définit des tâches spécifiques pour chacun d</w:t>
      </w:r>
      <w:r>
        <w:rPr>
          <w:lang w:val="fr-FR"/>
        </w:rPr>
        <w:t>’</w:t>
      </w:r>
      <w:r w:rsidRPr="00466CE7">
        <w:rPr>
          <w:lang w:val="fr-FR"/>
        </w:rPr>
        <w:t xml:space="preserve">entre eux et établit un mécanisme de coordination et de coopération </w:t>
      </w:r>
      <w:proofErr w:type="spellStart"/>
      <w:r w:rsidRPr="00466CE7">
        <w:rPr>
          <w:lang w:val="fr-FR"/>
        </w:rPr>
        <w:t>inter</w:t>
      </w:r>
      <w:r>
        <w:rPr>
          <w:lang w:val="fr-FR"/>
        </w:rPr>
        <w:t>institution</w:t>
      </w:r>
      <w:proofErr w:type="spellEnd"/>
      <w:r w:rsidRPr="00466CE7">
        <w:rPr>
          <w:lang w:val="fr-FR"/>
        </w:rPr>
        <w:t xml:space="preserve"> </w:t>
      </w:r>
      <w:r>
        <w:rPr>
          <w:lang w:val="fr-FR"/>
        </w:rPr>
        <w:t xml:space="preserve">en vue de </w:t>
      </w:r>
      <w:r w:rsidRPr="00466CE7">
        <w:rPr>
          <w:lang w:val="fr-FR"/>
        </w:rPr>
        <w:t xml:space="preserve">leur mise en œuvre. </w:t>
      </w:r>
      <w:r>
        <w:rPr>
          <w:lang w:val="fr-FR"/>
        </w:rPr>
        <w:t xml:space="preserve">Elle </w:t>
      </w:r>
      <w:r w:rsidRPr="00466CE7">
        <w:rPr>
          <w:lang w:val="fr-FR"/>
        </w:rPr>
        <w:t>prévoit, entre autres, l</w:t>
      </w:r>
      <w:r>
        <w:rPr>
          <w:lang w:val="fr-FR"/>
        </w:rPr>
        <w:t>’</w:t>
      </w:r>
      <w:r w:rsidRPr="00466CE7">
        <w:rPr>
          <w:lang w:val="fr-FR"/>
        </w:rPr>
        <w:t xml:space="preserve">orientation des victimes de violence </w:t>
      </w:r>
      <w:r>
        <w:rPr>
          <w:lang w:val="fr-FR"/>
        </w:rPr>
        <w:t xml:space="preserve">familiale </w:t>
      </w:r>
      <w:r w:rsidRPr="00466CE7">
        <w:rPr>
          <w:lang w:val="fr-FR"/>
        </w:rPr>
        <w:t>vers</w:t>
      </w:r>
      <w:r>
        <w:rPr>
          <w:lang w:val="fr-FR"/>
        </w:rPr>
        <w:t xml:space="preserve"> les services de consultation et d’assistance juridique, médicale, </w:t>
      </w:r>
      <w:r w:rsidRPr="00466CE7">
        <w:rPr>
          <w:lang w:val="fr-FR"/>
        </w:rPr>
        <w:t>psychologique</w:t>
      </w:r>
      <w:r>
        <w:rPr>
          <w:lang w:val="fr-FR"/>
        </w:rPr>
        <w:t xml:space="preserve"> et </w:t>
      </w:r>
      <w:r w:rsidRPr="00466CE7">
        <w:rPr>
          <w:lang w:val="fr-FR"/>
        </w:rPr>
        <w:t>social</w:t>
      </w:r>
      <w:r>
        <w:rPr>
          <w:lang w:val="fr-FR"/>
        </w:rPr>
        <w:t>e appropriés</w:t>
      </w:r>
      <w:r w:rsidRPr="00466CE7">
        <w:rPr>
          <w:lang w:val="fr-FR"/>
        </w:rPr>
        <w:t>.</w:t>
      </w:r>
    </w:p>
    <w:p w14:paraId="27DE5145" w14:textId="54C0F964" w:rsidR="009C6834" w:rsidRPr="00466CE7" w:rsidRDefault="009C6834" w:rsidP="008315BF">
      <w:pPr>
        <w:pStyle w:val="SingleTxtG"/>
        <w:keepNext/>
        <w:rPr>
          <w:lang w:val="fr-FR"/>
        </w:rPr>
      </w:pPr>
      <w:r>
        <w:rPr>
          <w:lang w:val="fr-FR"/>
        </w:rPr>
        <w:lastRenderedPageBreak/>
        <w:t>212.</w:t>
      </w:r>
      <w:r>
        <w:rPr>
          <w:lang w:val="fr-FR"/>
        </w:rPr>
        <w:tab/>
      </w:r>
      <w:r w:rsidRPr="00466CE7">
        <w:rPr>
          <w:lang w:val="fr-FR"/>
        </w:rPr>
        <w:t xml:space="preserve">La loi </w:t>
      </w:r>
      <w:r>
        <w:rPr>
          <w:lang w:val="fr-FR"/>
        </w:rPr>
        <w:t xml:space="preserve">relative à </w:t>
      </w:r>
      <w:r w:rsidRPr="00466CE7">
        <w:rPr>
          <w:lang w:val="fr-FR"/>
        </w:rPr>
        <w:t>la protectio</w:t>
      </w:r>
      <w:r>
        <w:rPr>
          <w:lang w:val="fr-FR"/>
        </w:rPr>
        <w:t>n contre la violence familiale renferme</w:t>
      </w:r>
      <w:r w:rsidRPr="00466CE7">
        <w:rPr>
          <w:lang w:val="fr-FR"/>
        </w:rPr>
        <w:t xml:space="preserve"> des dispositions </w:t>
      </w:r>
      <w:r>
        <w:rPr>
          <w:lang w:val="fr-FR"/>
        </w:rPr>
        <w:t>novatrices :</w:t>
      </w:r>
    </w:p>
    <w:p w14:paraId="16E07DEA" w14:textId="2335BE71" w:rsidR="009C6834" w:rsidRPr="005D0263" w:rsidRDefault="009C6834" w:rsidP="008315BF">
      <w:pPr>
        <w:pStyle w:val="Bullet1G"/>
        <w:rPr>
          <w:lang w:val="fr-FR"/>
        </w:rPr>
      </w:pPr>
      <w:r w:rsidRPr="005D0263">
        <w:rPr>
          <w:lang w:val="fr-FR"/>
        </w:rPr>
        <w:t>Les</w:t>
      </w:r>
      <w:r>
        <w:rPr>
          <w:lang w:val="fr-FR"/>
        </w:rPr>
        <w:t xml:space="preserve"> organes du Ministère de l’intérieur sont tenus de réagir promptement à tout signalement de </w:t>
      </w:r>
      <w:r w:rsidRPr="005D0263">
        <w:rPr>
          <w:lang w:val="fr-FR"/>
        </w:rPr>
        <w:t xml:space="preserve">violence </w:t>
      </w:r>
      <w:r>
        <w:rPr>
          <w:lang w:val="fr-FR"/>
        </w:rPr>
        <w:t xml:space="preserve">familiale, même si l’auteur du signalement n’est pas la </w:t>
      </w:r>
      <w:r w:rsidRPr="005D0263">
        <w:rPr>
          <w:lang w:val="fr-FR"/>
        </w:rPr>
        <w:t>victime</w:t>
      </w:r>
      <w:r w:rsidR="008315BF">
        <w:rPr>
          <w:lang w:val="fr-FR"/>
        </w:rPr>
        <w:t> </w:t>
      </w:r>
      <w:r w:rsidRPr="005D0263">
        <w:rPr>
          <w:lang w:val="fr-FR"/>
        </w:rPr>
        <w:t>;</w:t>
      </w:r>
    </w:p>
    <w:p w14:paraId="3D4B362D" w14:textId="624F0B24" w:rsidR="009C6834" w:rsidRPr="005D0263" w:rsidRDefault="009C6834" w:rsidP="008315BF">
      <w:pPr>
        <w:pStyle w:val="Bullet1G"/>
        <w:rPr>
          <w:lang w:val="fr-FR"/>
        </w:rPr>
      </w:pPr>
      <w:r>
        <w:rPr>
          <w:lang w:val="fr-FR"/>
        </w:rPr>
        <w:t>L’</w:t>
      </w:r>
      <w:r w:rsidRPr="005D0263">
        <w:rPr>
          <w:lang w:val="fr-FR"/>
        </w:rPr>
        <w:t xml:space="preserve">ordonnance de protection temporaire et </w:t>
      </w:r>
      <w:r>
        <w:rPr>
          <w:lang w:val="fr-FR"/>
        </w:rPr>
        <w:t>l’</w:t>
      </w:r>
      <w:r w:rsidRPr="005D0263">
        <w:rPr>
          <w:lang w:val="fr-FR"/>
        </w:rPr>
        <w:t xml:space="preserve">ordonnance </w:t>
      </w:r>
      <w:r>
        <w:rPr>
          <w:lang w:val="fr-FR"/>
        </w:rPr>
        <w:t xml:space="preserve">de protection </w:t>
      </w:r>
      <w:r w:rsidRPr="005D0263">
        <w:rPr>
          <w:lang w:val="fr-FR"/>
        </w:rPr>
        <w:t xml:space="preserve">judiciaire </w:t>
      </w:r>
      <w:r>
        <w:rPr>
          <w:lang w:val="fr-FR"/>
        </w:rPr>
        <w:t>ont été remplacées par un mécanisme unique : l’</w:t>
      </w:r>
      <w:r w:rsidRPr="005D0263">
        <w:rPr>
          <w:lang w:val="fr-FR"/>
        </w:rPr>
        <w:t>ordonnance de protection</w:t>
      </w:r>
      <w:r>
        <w:rPr>
          <w:lang w:val="fr-FR"/>
        </w:rPr>
        <w:t> </w:t>
      </w:r>
      <w:r w:rsidRPr="005D0263">
        <w:rPr>
          <w:lang w:val="fr-FR"/>
        </w:rPr>
        <w:t>;</w:t>
      </w:r>
    </w:p>
    <w:p w14:paraId="096A30B8" w14:textId="77777777" w:rsidR="009C6834" w:rsidRPr="005D0263" w:rsidRDefault="009C6834" w:rsidP="008315BF">
      <w:pPr>
        <w:pStyle w:val="Bullet1G"/>
        <w:rPr>
          <w:lang w:val="fr-FR"/>
        </w:rPr>
      </w:pPr>
      <w:r w:rsidRPr="005D0263">
        <w:rPr>
          <w:lang w:val="fr-FR"/>
        </w:rPr>
        <w:t xml:space="preserve">Pour la première fois, </w:t>
      </w:r>
      <w:r>
        <w:rPr>
          <w:lang w:val="fr-FR"/>
        </w:rPr>
        <w:t>des</w:t>
      </w:r>
      <w:r w:rsidRPr="005D0263">
        <w:rPr>
          <w:lang w:val="fr-FR"/>
        </w:rPr>
        <w:t xml:space="preserve"> programmes de </w:t>
      </w:r>
      <w:r>
        <w:rPr>
          <w:lang w:val="fr-FR"/>
        </w:rPr>
        <w:t xml:space="preserve">redressement visant à favoriser un </w:t>
      </w:r>
      <w:r w:rsidRPr="005D0263">
        <w:rPr>
          <w:lang w:val="fr-FR"/>
        </w:rPr>
        <w:t xml:space="preserve">changement de comportement </w:t>
      </w:r>
      <w:r>
        <w:rPr>
          <w:lang w:val="fr-FR"/>
        </w:rPr>
        <w:t>chez les auteurs de violence familiale ont été mis en place</w:t>
      </w:r>
      <w:r w:rsidRPr="005D0263">
        <w:rPr>
          <w:lang w:val="fr-FR"/>
        </w:rPr>
        <w:t>.</w:t>
      </w:r>
    </w:p>
    <w:p w14:paraId="49DBCA8D" w14:textId="719C7B5D" w:rsidR="009C6834" w:rsidRPr="00466CE7" w:rsidRDefault="009C6834" w:rsidP="009C6834">
      <w:pPr>
        <w:pStyle w:val="SingleTxtG"/>
        <w:rPr>
          <w:lang w:val="fr-FR"/>
        </w:rPr>
      </w:pPr>
      <w:r w:rsidRPr="00466CE7">
        <w:rPr>
          <w:lang w:val="fr-FR"/>
        </w:rPr>
        <w:t>213.</w:t>
      </w:r>
      <w:r w:rsidRPr="00466CE7">
        <w:rPr>
          <w:lang w:val="fr-FR"/>
        </w:rPr>
        <w:tab/>
      </w:r>
      <w:r>
        <w:rPr>
          <w:lang w:val="fr-FR"/>
        </w:rPr>
        <w:t xml:space="preserve">Une </w:t>
      </w:r>
      <w:r w:rsidRPr="00466CE7">
        <w:rPr>
          <w:lang w:val="fr-FR"/>
        </w:rPr>
        <w:t xml:space="preserve">loi </w:t>
      </w:r>
      <w:r>
        <w:rPr>
          <w:lang w:val="fr-FR"/>
        </w:rPr>
        <w:t xml:space="preserve">portant modification de </w:t>
      </w:r>
      <w:r w:rsidRPr="00466CE7">
        <w:rPr>
          <w:lang w:val="fr-FR"/>
        </w:rPr>
        <w:t xml:space="preserve">la loi </w:t>
      </w:r>
      <w:r>
        <w:rPr>
          <w:lang w:val="fr-FR"/>
        </w:rPr>
        <w:t>relative à</w:t>
      </w:r>
      <w:r w:rsidRPr="00466CE7">
        <w:rPr>
          <w:lang w:val="fr-FR"/>
        </w:rPr>
        <w:t xml:space="preserve"> la protection contre la violence familiale a été adoptée en 2020</w:t>
      </w:r>
      <w:r>
        <w:rPr>
          <w:lang w:val="fr-FR"/>
        </w:rPr>
        <w:t xml:space="preserve"> en vue d’aligner celle-ci sur </w:t>
      </w:r>
      <w:r w:rsidRPr="00466CE7">
        <w:rPr>
          <w:lang w:val="fr-FR"/>
        </w:rPr>
        <w:t>les dispositions des codes entrés en vigueur le 1</w:t>
      </w:r>
      <w:r w:rsidRPr="008315BF">
        <w:rPr>
          <w:vertAlign w:val="superscript"/>
          <w:lang w:val="fr-FR"/>
        </w:rPr>
        <w:t>er</w:t>
      </w:r>
      <w:r w:rsidR="008315BF">
        <w:rPr>
          <w:lang w:val="fr-FR"/>
        </w:rPr>
        <w:t> </w:t>
      </w:r>
      <w:r w:rsidRPr="00466CE7">
        <w:rPr>
          <w:lang w:val="fr-FR"/>
        </w:rPr>
        <w:t>janvier 2019.</w:t>
      </w:r>
    </w:p>
    <w:p w14:paraId="0FF6568C" w14:textId="76FD1536" w:rsidR="009C6834" w:rsidRPr="00466CE7" w:rsidRDefault="009C6834" w:rsidP="009C6834">
      <w:pPr>
        <w:pStyle w:val="SingleTxtG"/>
        <w:rPr>
          <w:lang w:val="fr-FR"/>
        </w:rPr>
      </w:pPr>
      <w:r w:rsidRPr="00466CE7">
        <w:rPr>
          <w:lang w:val="fr-FR"/>
        </w:rPr>
        <w:t>214.</w:t>
      </w:r>
      <w:r w:rsidRPr="00466CE7">
        <w:rPr>
          <w:lang w:val="fr-FR"/>
        </w:rPr>
        <w:tab/>
        <w:t>La loi n</w:t>
      </w:r>
      <w:r w:rsidR="008315BF" w:rsidRPr="008315BF">
        <w:rPr>
          <w:vertAlign w:val="superscript"/>
          <w:lang w:val="fr-FR"/>
        </w:rPr>
        <w:t>o</w:t>
      </w:r>
      <w:r w:rsidR="008315BF">
        <w:rPr>
          <w:lang w:val="fr-FR"/>
        </w:rPr>
        <w:t> </w:t>
      </w:r>
      <w:r w:rsidRPr="00466CE7">
        <w:rPr>
          <w:lang w:val="fr-FR"/>
        </w:rPr>
        <w:t>64 du 27</w:t>
      </w:r>
      <w:r w:rsidR="008315BF">
        <w:rPr>
          <w:lang w:val="fr-FR"/>
        </w:rPr>
        <w:t> </w:t>
      </w:r>
      <w:r>
        <w:rPr>
          <w:lang w:val="fr-FR"/>
        </w:rPr>
        <w:t xml:space="preserve">avril </w:t>
      </w:r>
      <w:r w:rsidRPr="00466CE7">
        <w:rPr>
          <w:lang w:val="fr-FR"/>
        </w:rPr>
        <w:t xml:space="preserve">2017 a modifié le </w:t>
      </w:r>
      <w:r w:rsidR="009603CF">
        <w:rPr>
          <w:lang w:val="fr-FR"/>
        </w:rPr>
        <w:t>Code</w:t>
      </w:r>
      <w:r w:rsidR="009603CF" w:rsidRPr="00466CE7">
        <w:rPr>
          <w:lang w:val="fr-FR"/>
        </w:rPr>
        <w:t xml:space="preserve"> </w:t>
      </w:r>
      <w:r w:rsidRPr="00466CE7">
        <w:rPr>
          <w:lang w:val="fr-FR"/>
        </w:rPr>
        <w:t xml:space="preserve">de </w:t>
      </w:r>
      <w:r>
        <w:rPr>
          <w:lang w:val="fr-FR"/>
        </w:rPr>
        <w:t xml:space="preserve">la </w:t>
      </w:r>
      <w:r w:rsidRPr="00466CE7">
        <w:rPr>
          <w:lang w:val="fr-FR"/>
        </w:rPr>
        <w:t>responsabilité administrative (</w:t>
      </w:r>
      <w:r>
        <w:rPr>
          <w:lang w:val="fr-FR"/>
        </w:rPr>
        <w:t xml:space="preserve">abrogé avec effet au </w:t>
      </w:r>
      <w:r w:rsidRPr="00466CE7">
        <w:rPr>
          <w:lang w:val="fr-FR"/>
        </w:rPr>
        <w:t>1</w:t>
      </w:r>
      <w:r w:rsidRPr="008315BF">
        <w:rPr>
          <w:vertAlign w:val="superscript"/>
          <w:lang w:val="fr-FR"/>
        </w:rPr>
        <w:t>er</w:t>
      </w:r>
      <w:r w:rsidR="008315BF">
        <w:rPr>
          <w:lang w:val="fr-FR"/>
        </w:rPr>
        <w:t> </w:t>
      </w:r>
      <w:r w:rsidRPr="00466CE7">
        <w:rPr>
          <w:lang w:val="fr-FR"/>
        </w:rPr>
        <w:t>janvier 2019)</w:t>
      </w:r>
      <w:r>
        <w:rPr>
          <w:lang w:val="fr-FR"/>
        </w:rPr>
        <w:t xml:space="preserve"> et l’</w:t>
      </w:r>
      <w:r w:rsidR="00CB4ECD">
        <w:rPr>
          <w:lang w:val="fr-FR"/>
        </w:rPr>
        <w:t>article </w:t>
      </w:r>
      <w:r w:rsidRPr="00466CE7">
        <w:rPr>
          <w:lang w:val="fr-FR"/>
        </w:rPr>
        <w:t>66</w:t>
      </w:r>
      <w:r w:rsidRPr="008315BF">
        <w:rPr>
          <w:sz w:val="18"/>
          <w:szCs w:val="18"/>
          <w:vertAlign w:val="superscript"/>
          <w:lang w:val="fr-FR"/>
        </w:rPr>
        <w:t>3</w:t>
      </w:r>
      <w:r w:rsidRPr="00466CE7">
        <w:rPr>
          <w:lang w:val="fr-FR"/>
        </w:rPr>
        <w:t xml:space="preserve"> établi</w:t>
      </w:r>
      <w:r>
        <w:rPr>
          <w:lang w:val="fr-FR"/>
        </w:rPr>
        <w:t>t</w:t>
      </w:r>
      <w:r w:rsidRPr="00466CE7">
        <w:rPr>
          <w:lang w:val="fr-FR"/>
        </w:rPr>
        <w:t xml:space="preserve"> </w:t>
      </w:r>
      <w:r>
        <w:rPr>
          <w:lang w:val="fr-FR"/>
        </w:rPr>
        <w:t xml:space="preserve">la </w:t>
      </w:r>
      <w:r w:rsidRPr="00466CE7">
        <w:rPr>
          <w:lang w:val="fr-FR"/>
        </w:rPr>
        <w:t xml:space="preserve">responsabilité administrative </w:t>
      </w:r>
      <w:r>
        <w:rPr>
          <w:lang w:val="fr-FR"/>
        </w:rPr>
        <w:t>des auteurs d’actes de violence familiale</w:t>
      </w:r>
      <w:r w:rsidRPr="00466CE7">
        <w:rPr>
          <w:lang w:val="fr-FR"/>
        </w:rPr>
        <w:t>, c</w:t>
      </w:r>
      <w:r>
        <w:rPr>
          <w:lang w:val="fr-FR"/>
        </w:rPr>
        <w:t>’</w:t>
      </w:r>
      <w:r w:rsidRPr="00466CE7">
        <w:rPr>
          <w:lang w:val="fr-FR"/>
        </w:rPr>
        <w:t xml:space="preserve">est-à-dire </w:t>
      </w:r>
      <w:r>
        <w:rPr>
          <w:lang w:val="fr-FR"/>
        </w:rPr>
        <w:t>d’</w:t>
      </w:r>
      <w:r w:rsidRPr="00466CE7">
        <w:rPr>
          <w:lang w:val="fr-FR"/>
        </w:rPr>
        <w:t>actes intentionnels de nature physique, psychologique, économique, sexuelle, ou des menaces de tels actes, commis par un membre de la famille/une personne ass</w:t>
      </w:r>
      <w:r>
        <w:rPr>
          <w:lang w:val="fr-FR"/>
        </w:rPr>
        <w:t>imilée</w:t>
      </w:r>
      <w:r w:rsidRPr="00466CE7">
        <w:rPr>
          <w:lang w:val="fr-FR"/>
        </w:rPr>
        <w:t xml:space="preserve"> contre un autre membre de la famille/une personne ass</w:t>
      </w:r>
      <w:r>
        <w:rPr>
          <w:lang w:val="fr-FR"/>
        </w:rPr>
        <w:t>imilée</w:t>
      </w:r>
      <w:r w:rsidRPr="00466CE7">
        <w:rPr>
          <w:lang w:val="fr-FR"/>
        </w:rPr>
        <w:t>.</w:t>
      </w:r>
    </w:p>
    <w:p w14:paraId="7862EBBC" w14:textId="5707908E" w:rsidR="009C6834" w:rsidRPr="00466CE7" w:rsidRDefault="009C6834" w:rsidP="009C6834">
      <w:pPr>
        <w:pStyle w:val="SingleTxtG"/>
        <w:rPr>
          <w:lang w:val="fr-FR"/>
        </w:rPr>
      </w:pPr>
      <w:r>
        <w:rPr>
          <w:lang w:val="fr-FR"/>
        </w:rPr>
        <w:t>215.</w:t>
      </w:r>
      <w:r>
        <w:rPr>
          <w:lang w:val="fr-FR"/>
        </w:rPr>
        <w:tab/>
        <w:t>Les actes présenta</w:t>
      </w:r>
      <w:r w:rsidRPr="00466CE7">
        <w:rPr>
          <w:lang w:val="fr-FR"/>
        </w:rPr>
        <w:t xml:space="preserve">nt </w:t>
      </w:r>
      <w:r>
        <w:rPr>
          <w:lang w:val="fr-FR"/>
        </w:rPr>
        <w:t>des éléments constitutifs d’</w:t>
      </w:r>
      <w:r w:rsidRPr="00466CE7">
        <w:rPr>
          <w:lang w:val="fr-FR"/>
        </w:rPr>
        <w:t>infraction pénale</w:t>
      </w:r>
      <w:r>
        <w:rPr>
          <w:lang w:val="fr-FR"/>
        </w:rPr>
        <w:t xml:space="preserve"> sont </w:t>
      </w:r>
      <w:r w:rsidRPr="00466CE7">
        <w:rPr>
          <w:lang w:val="fr-FR"/>
        </w:rPr>
        <w:t xml:space="preserve">qualifiés </w:t>
      </w:r>
      <w:r>
        <w:rPr>
          <w:lang w:val="fr-FR"/>
        </w:rPr>
        <w:t xml:space="preserve">au titre </w:t>
      </w:r>
      <w:r w:rsidRPr="00466CE7">
        <w:rPr>
          <w:lang w:val="fr-FR"/>
        </w:rPr>
        <w:t xml:space="preserve">des articles </w:t>
      </w:r>
      <w:r>
        <w:rPr>
          <w:lang w:val="fr-FR"/>
        </w:rPr>
        <w:t xml:space="preserve">correspondants </w:t>
      </w:r>
      <w:r w:rsidRPr="00466CE7">
        <w:rPr>
          <w:lang w:val="fr-FR"/>
        </w:rPr>
        <w:t xml:space="preserve">du </w:t>
      </w:r>
      <w:r w:rsidR="000479B3">
        <w:rPr>
          <w:lang w:val="fr-FR"/>
        </w:rPr>
        <w:t>Code pénal</w:t>
      </w:r>
      <w:r w:rsidRPr="00466CE7">
        <w:rPr>
          <w:lang w:val="fr-FR"/>
        </w:rPr>
        <w:t>.</w:t>
      </w:r>
    </w:p>
    <w:p w14:paraId="05FA71F4" w14:textId="5A1064CB" w:rsidR="009C6834" w:rsidRPr="00466CE7" w:rsidRDefault="009C6834" w:rsidP="009C6834">
      <w:pPr>
        <w:pStyle w:val="SingleTxtG"/>
        <w:rPr>
          <w:lang w:val="fr-FR"/>
        </w:rPr>
      </w:pPr>
      <w:r w:rsidRPr="00466CE7">
        <w:rPr>
          <w:lang w:val="fr-FR"/>
        </w:rPr>
        <w:t>216.</w:t>
      </w:r>
      <w:r w:rsidRPr="00466CE7">
        <w:rPr>
          <w:lang w:val="fr-FR"/>
        </w:rPr>
        <w:tab/>
        <w:t xml:space="preserve">Le </w:t>
      </w:r>
      <w:r w:rsidR="009603CF">
        <w:rPr>
          <w:lang w:val="fr-FR"/>
        </w:rPr>
        <w:t>Code</w:t>
      </w:r>
      <w:r w:rsidR="009603CF" w:rsidRPr="00466CE7">
        <w:rPr>
          <w:lang w:val="fr-FR"/>
        </w:rPr>
        <w:t xml:space="preserve"> </w:t>
      </w:r>
      <w:r w:rsidRPr="00466CE7">
        <w:rPr>
          <w:lang w:val="fr-FR"/>
        </w:rPr>
        <w:t xml:space="preserve">des </w:t>
      </w:r>
      <w:r>
        <w:rPr>
          <w:lang w:val="fr-FR"/>
        </w:rPr>
        <w:t xml:space="preserve">délits, entré en vigueur le </w:t>
      </w:r>
      <w:r w:rsidRPr="00466CE7">
        <w:rPr>
          <w:lang w:val="fr-FR"/>
        </w:rPr>
        <w:t>1</w:t>
      </w:r>
      <w:r w:rsidRPr="008315BF">
        <w:rPr>
          <w:vertAlign w:val="superscript"/>
          <w:lang w:val="fr-FR"/>
        </w:rPr>
        <w:t>er</w:t>
      </w:r>
      <w:r w:rsidR="008315BF">
        <w:rPr>
          <w:lang w:val="fr-FR"/>
        </w:rPr>
        <w:t> </w:t>
      </w:r>
      <w:r w:rsidRPr="00466CE7">
        <w:rPr>
          <w:lang w:val="fr-FR"/>
        </w:rPr>
        <w:t xml:space="preserve">janvier 2019, </w:t>
      </w:r>
      <w:r>
        <w:rPr>
          <w:lang w:val="fr-FR"/>
        </w:rPr>
        <w:t xml:space="preserve">prévoit la </w:t>
      </w:r>
      <w:r w:rsidRPr="00466CE7">
        <w:rPr>
          <w:lang w:val="fr-FR"/>
        </w:rPr>
        <w:t xml:space="preserve">responsabilité pénale </w:t>
      </w:r>
      <w:r>
        <w:rPr>
          <w:lang w:val="fr-FR"/>
        </w:rPr>
        <w:t xml:space="preserve">des auteurs de ces </w:t>
      </w:r>
      <w:r w:rsidRPr="00466CE7">
        <w:rPr>
          <w:lang w:val="fr-FR"/>
        </w:rPr>
        <w:t>actes.</w:t>
      </w:r>
    </w:p>
    <w:p w14:paraId="73F24B6B" w14:textId="5469CE8A" w:rsidR="009C6834" w:rsidRPr="00466CE7" w:rsidRDefault="009C6834" w:rsidP="009C6834">
      <w:pPr>
        <w:pStyle w:val="SingleTxtG"/>
        <w:rPr>
          <w:lang w:val="fr-FR"/>
        </w:rPr>
      </w:pPr>
      <w:r w:rsidRPr="00466CE7">
        <w:rPr>
          <w:lang w:val="fr-FR"/>
        </w:rPr>
        <w:t>217.</w:t>
      </w:r>
      <w:r w:rsidRPr="00466CE7">
        <w:rPr>
          <w:lang w:val="fr-FR"/>
        </w:rPr>
        <w:tab/>
      </w:r>
      <w:r>
        <w:rPr>
          <w:lang w:val="fr-FR"/>
        </w:rPr>
        <w:t>L’</w:t>
      </w:r>
      <w:r w:rsidR="00CB4ECD">
        <w:rPr>
          <w:lang w:val="fr-FR"/>
        </w:rPr>
        <w:t>article </w:t>
      </w:r>
      <w:r w:rsidRPr="00466CE7">
        <w:rPr>
          <w:lang w:val="fr-FR"/>
        </w:rPr>
        <w:t xml:space="preserve">75 </w:t>
      </w:r>
      <w:r>
        <w:rPr>
          <w:lang w:val="fr-FR"/>
        </w:rPr>
        <w:t xml:space="preserve">du </w:t>
      </w:r>
      <w:r w:rsidR="009603CF">
        <w:rPr>
          <w:lang w:val="fr-FR"/>
        </w:rPr>
        <w:t xml:space="preserve">Code </w:t>
      </w:r>
      <w:r>
        <w:rPr>
          <w:lang w:val="fr-FR"/>
        </w:rPr>
        <w:t xml:space="preserve">des délits incrimine ainsi </w:t>
      </w:r>
      <w:r w:rsidRPr="00466CE7">
        <w:rPr>
          <w:lang w:val="fr-FR"/>
        </w:rPr>
        <w:t>l</w:t>
      </w:r>
      <w:r>
        <w:rPr>
          <w:lang w:val="fr-FR"/>
        </w:rPr>
        <w:t>’</w:t>
      </w:r>
      <w:r w:rsidRPr="00466CE7">
        <w:rPr>
          <w:lang w:val="fr-FR"/>
        </w:rPr>
        <w:t xml:space="preserve">usage de la violence physique ou </w:t>
      </w:r>
      <w:r>
        <w:rPr>
          <w:lang w:val="fr-FR"/>
        </w:rPr>
        <w:t xml:space="preserve">psychologique </w:t>
      </w:r>
      <w:r w:rsidRPr="00466CE7">
        <w:rPr>
          <w:lang w:val="fr-FR"/>
        </w:rPr>
        <w:t>par un membre de la famille contre d</w:t>
      </w:r>
      <w:r>
        <w:rPr>
          <w:lang w:val="fr-FR"/>
        </w:rPr>
        <w:t>’</w:t>
      </w:r>
      <w:r w:rsidRPr="00466CE7">
        <w:rPr>
          <w:lang w:val="fr-FR"/>
        </w:rPr>
        <w:t>autres membres de la famille.</w:t>
      </w:r>
    </w:p>
    <w:p w14:paraId="31444766" w14:textId="098F88BB" w:rsidR="009C6834" w:rsidRPr="00466CE7" w:rsidRDefault="009C6834" w:rsidP="009C6834">
      <w:pPr>
        <w:pStyle w:val="SingleTxtG"/>
        <w:rPr>
          <w:lang w:val="fr-FR"/>
        </w:rPr>
      </w:pPr>
      <w:r w:rsidRPr="00466CE7">
        <w:rPr>
          <w:lang w:val="fr-FR"/>
        </w:rPr>
        <w:t>218.</w:t>
      </w:r>
      <w:r w:rsidRPr="00466CE7">
        <w:rPr>
          <w:lang w:val="fr-FR"/>
        </w:rPr>
        <w:tab/>
      </w:r>
      <w:r>
        <w:rPr>
          <w:lang w:val="fr-FR"/>
        </w:rPr>
        <w:t xml:space="preserve">L’on voit donc que </w:t>
      </w:r>
      <w:r w:rsidRPr="00466CE7">
        <w:rPr>
          <w:lang w:val="fr-FR"/>
        </w:rPr>
        <w:t xml:space="preserve">les recommandations </w:t>
      </w:r>
      <w:r>
        <w:rPr>
          <w:lang w:val="fr-FR"/>
        </w:rPr>
        <w:t xml:space="preserve">tendant à accroître </w:t>
      </w:r>
      <w:r w:rsidRPr="00466CE7">
        <w:rPr>
          <w:lang w:val="fr-FR"/>
        </w:rPr>
        <w:t xml:space="preserve">la responsabilité </w:t>
      </w:r>
      <w:r>
        <w:rPr>
          <w:lang w:val="fr-FR"/>
        </w:rPr>
        <w:t xml:space="preserve">des auteurs d’acte </w:t>
      </w:r>
      <w:r w:rsidRPr="00466CE7">
        <w:rPr>
          <w:lang w:val="fr-FR"/>
        </w:rPr>
        <w:t xml:space="preserve">de violence </w:t>
      </w:r>
      <w:r>
        <w:rPr>
          <w:lang w:val="fr-FR"/>
        </w:rPr>
        <w:t xml:space="preserve">familiale </w:t>
      </w:r>
      <w:r w:rsidRPr="00466CE7">
        <w:rPr>
          <w:lang w:val="fr-FR"/>
        </w:rPr>
        <w:t>ont été prises en compte</w:t>
      </w:r>
      <w:r>
        <w:rPr>
          <w:lang w:val="fr-FR"/>
        </w:rPr>
        <w:t xml:space="preserve"> par le parlement</w:t>
      </w:r>
      <w:r w:rsidRPr="00466CE7">
        <w:rPr>
          <w:lang w:val="fr-FR"/>
        </w:rPr>
        <w:t xml:space="preserve"> dans la rédaction et l</w:t>
      </w:r>
      <w:r>
        <w:rPr>
          <w:lang w:val="fr-FR"/>
        </w:rPr>
        <w:t>’</w:t>
      </w:r>
      <w:r w:rsidRPr="00466CE7">
        <w:rPr>
          <w:lang w:val="fr-FR"/>
        </w:rPr>
        <w:t xml:space="preserve">adoption du </w:t>
      </w:r>
      <w:r w:rsidR="009603CF">
        <w:rPr>
          <w:lang w:val="fr-FR"/>
        </w:rPr>
        <w:t>Code</w:t>
      </w:r>
      <w:r w:rsidRPr="00466CE7">
        <w:rPr>
          <w:lang w:val="fr-FR"/>
        </w:rPr>
        <w:t xml:space="preserve"> des délits.</w:t>
      </w:r>
    </w:p>
    <w:p w14:paraId="2373F3E4" w14:textId="6A099C78" w:rsidR="009C6834" w:rsidRPr="00466CE7" w:rsidRDefault="009C6834" w:rsidP="009C6834">
      <w:pPr>
        <w:pStyle w:val="SingleTxtG"/>
        <w:rPr>
          <w:lang w:val="fr-FR"/>
        </w:rPr>
      </w:pPr>
      <w:r w:rsidRPr="00466CE7">
        <w:rPr>
          <w:lang w:val="fr-FR"/>
        </w:rPr>
        <w:t>219.</w:t>
      </w:r>
      <w:r w:rsidRPr="00466CE7">
        <w:rPr>
          <w:lang w:val="fr-FR"/>
        </w:rPr>
        <w:tab/>
        <w:t xml:space="preserve">Depuis 2004, les </w:t>
      </w:r>
      <w:r>
        <w:rPr>
          <w:lang w:val="fr-FR"/>
        </w:rPr>
        <w:t xml:space="preserve">organes du Ministère de l’intérieur </w:t>
      </w:r>
      <w:r w:rsidRPr="00466CE7">
        <w:rPr>
          <w:lang w:val="fr-FR"/>
        </w:rPr>
        <w:t>ont émis plus de 14</w:t>
      </w:r>
      <w:r w:rsidR="008315BF">
        <w:rPr>
          <w:lang w:val="fr-FR"/>
        </w:rPr>
        <w:t> </w:t>
      </w:r>
      <w:r w:rsidRPr="00466CE7">
        <w:rPr>
          <w:lang w:val="fr-FR"/>
        </w:rPr>
        <w:t>000</w:t>
      </w:r>
      <w:r w:rsidR="008315BF">
        <w:rPr>
          <w:lang w:val="fr-FR"/>
        </w:rPr>
        <w:t> </w:t>
      </w:r>
      <w:r w:rsidRPr="00466CE7">
        <w:rPr>
          <w:lang w:val="fr-FR"/>
        </w:rPr>
        <w:t>ordonnances de protection temporaire. En 2017, 7</w:t>
      </w:r>
      <w:r w:rsidR="008315BF">
        <w:rPr>
          <w:lang w:val="fr-FR"/>
        </w:rPr>
        <w:t> </w:t>
      </w:r>
      <w:r w:rsidRPr="00466CE7">
        <w:rPr>
          <w:lang w:val="fr-FR"/>
        </w:rPr>
        <w:t>333</w:t>
      </w:r>
      <w:r w:rsidR="008315BF">
        <w:rPr>
          <w:lang w:val="fr-FR"/>
        </w:rPr>
        <w:t> </w:t>
      </w:r>
      <w:r>
        <w:rPr>
          <w:lang w:val="fr-FR"/>
        </w:rPr>
        <w:t xml:space="preserve">signalements </w:t>
      </w:r>
      <w:r w:rsidRPr="00466CE7">
        <w:rPr>
          <w:lang w:val="fr-FR"/>
        </w:rPr>
        <w:t>de violence familiale</w:t>
      </w:r>
      <w:r>
        <w:rPr>
          <w:lang w:val="fr-FR"/>
        </w:rPr>
        <w:t xml:space="preserve"> ont été enregistrés</w:t>
      </w:r>
      <w:r w:rsidRPr="00466CE7">
        <w:rPr>
          <w:lang w:val="fr-FR"/>
        </w:rPr>
        <w:t>, 7</w:t>
      </w:r>
      <w:r w:rsidR="008315BF">
        <w:rPr>
          <w:lang w:val="fr-FR"/>
        </w:rPr>
        <w:t> </w:t>
      </w:r>
      <w:r w:rsidRPr="00466CE7">
        <w:rPr>
          <w:lang w:val="fr-FR"/>
        </w:rPr>
        <w:t>323</w:t>
      </w:r>
      <w:r w:rsidR="008315BF">
        <w:rPr>
          <w:lang w:val="fr-FR"/>
        </w:rPr>
        <w:t> </w:t>
      </w:r>
      <w:r>
        <w:rPr>
          <w:lang w:val="fr-FR"/>
        </w:rPr>
        <w:t xml:space="preserve">ordonnances </w:t>
      </w:r>
      <w:r w:rsidRPr="00466CE7">
        <w:rPr>
          <w:lang w:val="fr-FR"/>
        </w:rPr>
        <w:t>de protection temporaire</w:t>
      </w:r>
      <w:r>
        <w:rPr>
          <w:lang w:val="fr-FR"/>
        </w:rPr>
        <w:t xml:space="preserve"> ont été prononcées et </w:t>
      </w:r>
      <w:r w:rsidRPr="00466CE7">
        <w:rPr>
          <w:lang w:val="fr-FR"/>
        </w:rPr>
        <w:t>218</w:t>
      </w:r>
      <w:r w:rsidR="008315BF">
        <w:rPr>
          <w:lang w:val="fr-FR"/>
        </w:rPr>
        <w:t> </w:t>
      </w:r>
      <w:r>
        <w:rPr>
          <w:lang w:val="fr-FR"/>
        </w:rPr>
        <w:t xml:space="preserve">procédures </w:t>
      </w:r>
      <w:r w:rsidRPr="00466CE7">
        <w:rPr>
          <w:lang w:val="fr-FR"/>
        </w:rPr>
        <w:t xml:space="preserve">pénales ont été </w:t>
      </w:r>
      <w:r>
        <w:rPr>
          <w:lang w:val="fr-FR"/>
        </w:rPr>
        <w:t xml:space="preserve">engagées </w:t>
      </w:r>
      <w:r w:rsidRPr="00466CE7">
        <w:rPr>
          <w:lang w:val="fr-FR"/>
        </w:rPr>
        <w:t xml:space="preserve">et </w:t>
      </w:r>
      <w:r>
        <w:rPr>
          <w:lang w:val="fr-FR"/>
        </w:rPr>
        <w:t xml:space="preserve">transmises à la justice pour des faits de </w:t>
      </w:r>
      <w:r w:rsidRPr="00466CE7">
        <w:rPr>
          <w:lang w:val="fr-FR"/>
        </w:rPr>
        <w:t>violence familiale.</w:t>
      </w:r>
    </w:p>
    <w:p w14:paraId="32603185" w14:textId="60C13D20" w:rsidR="009C6834" w:rsidRPr="00466CE7" w:rsidRDefault="009C6834" w:rsidP="009C6834">
      <w:pPr>
        <w:pStyle w:val="SingleTxtG"/>
        <w:rPr>
          <w:lang w:val="fr-FR"/>
        </w:rPr>
      </w:pPr>
      <w:r w:rsidRPr="00466CE7">
        <w:rPr>
          <w:lang w:val="fr-FR"/>
        </w:rPr>
        <w:t>220.</w:t>
      </w:r>
      <w:r w:rsidRPr="00466CE7">
        <w:rPr>
          <w:lang w:val="fr-FR"/>
        </w:rPr>
        <w:tab/>
      </w:r>
      <w:r>
        <w:rPr>
          <w:lang w:val="fr-FR"/>
        </w:rPr>
        <w:t>En 2017, l</w:t>
      </w:r>
      <w:r w:rsidRPr="00466CE7">
        <w:rPr>
          <w:lang w:val="fr-FR"/>
        </w:rPr>
        <w:t xml:space="preserve">es autorités judiciaires ont </w:t>
      </w:r>
      <w:r>
        <w:rPr>
          <w:lang w:val="fr-FR"/>
        </w:rPr>
        <w:t xml:space="preserve">établi </w:t>
      </w:r>
      <w:r w:rsidRPr="00466CE7">
        <w:rPr>
          <w:lang w:val="fr-FR"/>
        </w:rPr>
        <w:t>2</w:t>
      </w:r>
      <w:r w:rsidR="008315BF">
        <w:rPr>
          <w:lang w:val="fr-FR"/>
        </w:rPr>
        <w:t> </w:t>
      </w:r>
      <w:r w:rsidRPr="00466CE7">
        <w:rPr>
          <w:lang w:val="fr-FR"/>
        </w:rPr>
        <w:t>547</w:t>
      </w:r>
      <w:r w:rsidR="008315BF">
        <w:rPr>
          <w:lang w:val="fr-FR"/>
        </w:rPr>
        <w:t> </w:t>
      </w:r>
      <w:r w:rsidRPr="00466CE7">
        <w:rPr>
          <w:lang w:val="fr-FR"/>
        </w:rPr>
        <w:t>infractions administratives (avec sanctions</w:t>
      </w:r>
      <w:r>
        <w:rPr>
          <w:lang w:val="fr-FR"/>
        </w:rPr>
        <w:t xml:space="preserve"> administratives</w:t>
      </w:r>
      <w:r w:rsidRPr="00466CE7">
        <w:rPr>
          <w:lang w:val="fr-FR"/>
        </w:rPr>
        <w:t>) et 313</w:t>
      </w:r>
      <w:r w:rsidR="008315BF">
        <w:rPr>
          <w:lang w:val="fr-FR"/>
        </w:rPr>
        <w:t> </w:t>
      </w:r>
      <w:r>
        <w:rPr>
          <w:lang w:val="fr-FR"/>
        </w:rPr>
        <w:t>infractions pénales</w:t>
      </w:r>
      <w:r w:rsidRPr="00AF575F">
        <w:rPr>
          <w:lang w:val="fr-FR"/>
        </w:rPr>
        <w:t xml:space="preserve"> </w:t>
      </w:r>
      <w:r>
        <w:rPr>
          <w:lang w:val="fr-FR"/>
        </w:rPr>
        <w:t>pour faits de violence familiale</w:t>
      </w:r>
      <w:r w:rsidRPr="00466CE7">
        <w:rPr>
          <w:lang w:val="fr-FR"/>
        </w:rPr>
        <w:t>.</w:t>
      </w:r>
    </w:p>
    <w:p w14:paraId="2F587DEE" w14:textId="4ADB602A" w:rsidR="009C6834" w:rsidRPr="00466CE7" w:rsidRDefault="009C6834" w:rsidP="009C6834">
      <w:pPr>
        <w:pStyle w:val="SingleTxtG"/>
        <w:rPr>
          <w:lang w:val="fr-FR"/>
        </w:rPr>
      </w:pPr>
      <w:r w:rsidRPr="00466CE7">
        <w:rPr>
          <w:lang w:val="fr-FR"/>
        </w:rPr>
        <w:t>221.</w:t>
      </w:r>
      <w:r w:rsidRPr="00466CE7">
        <w:rPr>
          <w:lang w:val="fr-FR"/>
        </w:rPr>
        <w:tab/>
        <w:t>Depuis le 23</w:t>
      </w:r>
      <w:r w:rsidR="008315BF">
        <w:rPr>
          <w:lang w:val="fr-FR"/>
        </w:rPr>
        <w:t> </w:t>
      </w:r>
      <w:r w:rsidRPr="00466CE7">
        <w:rPr>
          <w:lang w:val="fr-FR"/>
        </w:rPr>
        <w:t xml:space="preserve">mars 2018, des séminaires de travail </w:t>
      </w:r>
      <w:r>
        <w:rPr>
          <w:lang w:val="fr-FR"/>
        </w:rPr>
        <w:t>s</w:t>
      </w:r>
      <w:r w:rsidRPr="00466CE7">
        <w:rPr>
          <w:lang w:val="fr-FR"/>
        </w:rPr>
        <w:t xml:space="preserve">ont organisés dans toutes les régions du pays </w:t>
      </w:r>
      <w:r>
        <w:rPr>
          <w:lang w:val="fr-FR"/>
        </w:rPr>
        <w:t>pour faire connaître la loi</w:t>
      </w:r>
      <w:r w:rsidRPr="00466CE7">
        <w:rPr>
          <w:lang w:val="fr-FR"/>
        </w:rPr>
        <w:t xml:space="preserve"> relative à </w:t>
      </w:r>
      <w:r>
        <w:rPr>
          <w:lang w:val="fr-FR"/>
        </w:rPr>
        <w:t xml:space="preserve">la </w:t>
      </w:r>
      <w:r w:rsidRPr="00466CE7">
        <w:rPr>
          <w:lang w:val="fr-FR"/>
        </w:rPr>
        <w:t xml:space="preserve">protection contre la violence </w:t>
      </w:r>
      <w:r>
        <w:rPr>
          <w:lang w:val="fr-FR"/>
        </w:rPr>
        <w:t xml:space="preserve">familiale et pour étudier avec des </w:t>
      </w:r>
      <w:r w:rsidRPr="00466CE7">
        <w:rPr>
          <w:lang w:val="fr-FR"/>
        </w:rPr>
        <w:t xml:space="preserve">spécialistes </w:t>
      </w:r>
      <w:r>
        <w:rPr>
          <w:lang w:val="fr-FR"/>
        </w:rPr>
        <w:t>territoriaux les projets de règlement d’application. D</w:t>
      </w:r>
      <w:r w:rsidRPr="00466CE7">
        <w:rPr>
          <w:lang w:val="fr-FR"/>
        </w:rPr>
        <w:t xml:space="preserve">es plans conjoints </w:t>
      </w:r>
      <w:r>
        <w:rPr>
          <w:lang w:val="fr-FR"/>
        </w:rPr>
        <w:t xml:space="preserve">pour l’application de la loi ont été élaborés à l’échelon des </w:t>
      </w:r>
      <w:r w:rsidRPr="00466CE7">
        <w:rPr>
          <w:lang w:val="fr-FR"/>
        </w:rPr>
        <w:t>district</w:t>
      </w:r>
      <w:r>
        <w:rPr>
          <w:lang w:val="fr-FR"/>
        </w:rPr>
        <w:t>s</w:t>
      </w:r>
      <w:r w:rsidRPr="00466CE7">
        <w:rPr>
          <w:lang w:val="fr-FR"/>
        </w:rPr>
        <w:t xml:space="preserve"> et de</w:t>
      </w:r>
      <w:r>
        <w:rPr>
          <w:lang w:val="fr-FR"/>
        </w:rPr>
        <w:t>s</w:t>
      </w:r>
      <w:r w:rsidRPr="00466CE7">
        <w:rPr>
          <w:lang w:val="fr-FR"/>
        </w:rPr>
        <w:t xml:space="preserve"> ville</w:t>
      </w:r>
      <w:r>
        <w:rPr>
          <w:lang w:val="fr-FR"/>
        </w:rPr>
        <w:t>s. Au</w:t>
      </w:r>
      <w:r w:rsidRPr="00466CE7">
        <w:rPr>
          <w:lang w:val="fr-FR"/>
        </w:rPr>
        <w:t xml:space="preserve"> total</w:t>
      </w:r>
      <w:r>
        <w:rPr>
          <w:lang w:val="fr-FR"/>
        </w:rPr>
        <w:t>,</w:t>
      </w:r>
      <w:r w:rsidRPr="00466CE7">
        <w:rPr>
          <w:lang w:val="fr-FR"/>
        </w:rPr>
        <w:t xml:space="preserve"> 470</w:t>
      </w:r>
      <w:r w:rsidR="008315BF">
        <w:rPr>
          <w:lang w:val="fr-FR"/>
        </w:rPr>
        <w:t> </w:t>
      </w:r>
      <w:r>
        <w:rPr>
          <w:lang w:val="fr-FR"/>
        </w:rPr>
        <w:t>agents territoriaux de l’État et des collectivités</w:t>
      </w:r>
      <w:r w:rsidRPr="00466CE7">
        <w:rPr>
          <w:lang w:val="fr-FR"/>
        </w:rPr>
        <w:t xml:space="preserve"> locales ont</w:t>
      </w:r>
      <w:r>
        <w:rPr>
          <w:lang w:val="fr-FR"/>
        </w:rPr>
        <w:t xml:space="preserve"> suivi cette formation</w:t>
      </w:r>
      <w:r w:rsidRPr="00466CE7">
        <w:rPr>
          <w:lang w:val="fr-FR"/>
        </w:rPr>
        <w:t>.</w:t>
      </w:r>
    </w:p>
    <w:p w14:paraId="70E3D94B" w14:textId="77777777" w:rsidR="009C6834" w:rsidRPr="00466CE7" w:rsidRDefault="009C6834" w:rsidP="009C6834">
      <w:pPr>
        <w:pStyle w:val="SingleTxtG"/>
        <w:rPr>
          <w:lang w:val="fr-FR"/>
        </w:rPr>
      </w:pPr>
      <w:r w:rsidRPr="00466CE7">
        <w:rPr>
          <w:lang w:val="fr-FR"/>
        </w:rPr>
        <w:t>222.</w:t>
      </w:r>
      <w:r w:rsidRPr="00466CE7">
        <w:rPr>
          <w:lang w:val="fr-FR"/>
        </w:rPr>
        <w:tab/>
      </w:r>
      <w:r>
        <w:rPr>
          <w:lang w:val="fr-FR"/>
        </w:rPr>
        <w:t xml:space="preserve">Il convient également de noter </w:t>
      </w:r>
      <w:r w:rsidRPr="00466CE7">
        <w:rPr>
          <w:lang w:val="fr-FR"/>
        </w:rPr>
        <w:t>qu</w:t>
      </w:r>
      <w:r>
        <w:rPr>
          <w:lang w:val="fr-FR"/>
        </w:rPr>
        <w:t>’</w:t>
      </w:r>
      <w:r w:rsidRPr="00466CE7">
        <w:rPr>
          <w:lang w:val="fr-FR"/>
        </w:rPr>
        <w:t>un</w:t>
      </w:r>
      <w:r>
        <w:rPr>
          <w:lang w:val="fr-FR"/>
        </w:rPr>
        <w:t xml:space="preserve">e décision gouvernementale </w:t>
      </w:r>
      <w:r w:rsidRPr="00466CE7">
        <w:rPr>
          <w:lang w:val="fr-FR"/>
        </w:rPr>
        <w:t xml:space="preserve">(2019) définit </w:t>
      </w:r>
      <w:r>
        <w:rPr>
          <w:lang w:val="fr-FR"/>
        </w:rPr>
        <w:t xml:space="preserve">les modalités </w:t>
      </w:r>
      <w:r w:rsidRPr="00466CE7">
        <w:rPr>
          <w:lang w:val="fr-FR"/>
        </w:rPr>
        <w:t xml:space="preserve">de coopération </w:t>
      </w:r>
      <w:r>
        <w:rPr>
          <w:lang w:val="fr-FR"/>
        </w:rPr>
        <w:t xml:space="preserve">des </w:t>
      </w:r>
      <w:r w:rsidRPr="00466CE7">
        <w:rPr>
          <w:lang w:val="fr-FR"/>
        </w:rPr>
        <w:t>organes de l</w:t>
      </w:r>
      <w:r>
        <w:rPr>
          <w:lang w:val="fr-FR"/>
        </w:rPr>
        <w:t>’</w:t>
      </w:r>
      <w:r w:rsidRPr="00466CE7">
        <w:rPr>
          <w:lang w:val="fr-FR"/>
        </w:rPr>
        <w:t xml:space="preserve">État </w:t>
      </w:r>
      <w:r>
        <w:rPr>
          <w:lang w:val="fr-FR"/>
        </w:rPr>
        <w:t xml:space="preserve">concernant la mise en évidence </w:t>
      </w:r>
      <w:r w:rsidRPr="00466CE7">
        <w:rPr>
          <w:lang w:val="fr-FR"/>
        </w:rPr>
        <w:t xml:space="preserve">des faits de violence </w:t>
      </w:r>
      <w:r>
        <w:rPr>
          <w:lang w:val="fr-FR"/>
        </w:rPr>
        <w:t xml:space="preserve">familiale </w:t>
      </w:r>
      <w:r w:rsidRPr="00466CE7">
        <w:rPr>
          <w:lang w:val="fr-FR"/>
        </w:rPr>
        <w:t xml:space="preserve">et la fourniture en temps utile </w:t>
      </w:r>
      <w:r>
        <w:rPr>
          <w:lang w:val="fr-FR"/>
        </w:rPr>
        <w:t xml:space="preserve">d’une </w:t>
      </w:r>
      <w:r w:rsidRPr="00466CE7">
        <w:rPr>
          <w:lang w:val="fr-FR"/>
        </w:rPr>
        <w:t>assistance aux victimes</w:t>
      </w:r>
      <w:r>
        <w:rPr>
          <w:lang w:val="fr-FR"/>
        </w:rPr>
        <w:t xml:space="preserve"> sous différentes formes</w:t>
      </w:r>
      <w:r w:rsidRPr="00466CE7">
        <w:rPr>
          <w:lang w:val="fr-FR"/>
        </w:rPr>
        <w:t>.</w:t>
      </w:r>
    </w:p>
    <w:p w14:paraId="7013F72C" w14:textId="77777777" w:rsidR="009C6834" w:rsidRPr="00466CE7" w:rsidRDefault="009C6834" w:rsidP="009C6834">
      <w:pPr>
        <w:pStyle w:val="SingleTxtG"/>
        <w:rPr>
          <w:lang w:val="fr-FR"/>
        </w:rPr>
      </w:pPr>
      <w:r>
        <w:rPr>
          <w:lang w:val="fr-FR"/>
        </w:rPr>
        <w:t>223.</w:t>
      </w:r>
      <w:r>
        <w:rPr>
          <w:lang w:val="fr-FR"/>
        </w:rPr>
        <w:tab/>
      </w:r>
      <w:r w:rsidRPr="00466CE7">
        <w:rPr>
          <w:lang w:val="fr-FR"/>
        </w:rPr>
        <w:t>Afin de prévenir les mauvais traitements et la violence à l</w:t>
      </w:r>
      <w:r>
        <w:rPr>
          <w:lang w:val="fr-FR"/>
        </w:rPr>
        <w:t>’</w:t>
      </w:r>
      <w:r w:rsidRPr="00466CE7">
        <w:rPr>
          <w:lang w:val="fr-FR"/>
        </w:rPr>
        <w:t xml:space="preserve">égard des enfants </w:t>
      </w:r>
      <w:r>
        <w:rPr>
          <w:lang w:val="fr-FR"/>
        </w:rPr>
        <w:t xml:space="preserve">à la maison, à l’école et dans </w:t>
      </w:r>
      <w:r w:rsidRPr="00466CE7">
        <w:rPr>
          <w:lang w:val="fr-FR"/>
        </w:rPr>
        <w:t xml:space="preserve">les lieux publics et de </w:t>
      </w:r>
      <w:r>
        <w:rPr>
          <w:lang w:val="fr-FR"/>
        </w:rPr>
        <w:t xml:space="preserve">venir en aide </w:t>
      </w:r>
      <w:r w:rsidRPr="00466CE7">
        <w:rPr>
          <w:lang w:val="fr-FR"/>
        </w:rPr>
        <w:t xml:space="preserve">aux enfants et adolescents à risque, le </w:t>
      </w:r>
      <w:r>
        <w:rPr>
          <w:lang w:val="fr-FR"/>
        </w:rPr>
        <w:t>M</w:t>
      </w:r>
      <w:r w:rsidRPr="00466CE7">
        <w:rPr>
          <w:lang w:val="fr-FR"/>
        </w:rPr>
        <w:t>inistère de l</w:t>
      </w:r>
      <w:r>
        <w:rPr>
          <w:lang w:val="fr-FR"/>
        </w:rPr>
        <w:t>’i</w:t>
      </w:r>
      <w:r w:rsidRPr="00466CE7">
        <w:rPr>
          <w:lang w:val="fr-FR"/>
        </w:rPr>
        <w:t xml:space="preserve">ntérieur a publié </w:t>
      </w:r>
      <w:r>
        <w:rPr>
          <w:lang w:val="fr-FR"/>
        </w:rPr>
        <w:t xml:space="preserve">en 2018 </w:t>
      </w:r>
      <w:r w:rsidRPr="00466CE7">
        <w:rPr>
          <w:lang w:val="fr-FR"/>
        </w:rPr>
        <w:t>un</w:t>
      </w:r>
      <w:r>
        <w:rPr>
          <w:lang w:val="fr-FR"/>
        </w:rPr>
        <w:t>e ordonnance</w:t>
      </w:r>
      <w:r w:rsidRPr="00466CE7">
        <w:rPr>
          <w:lang w:val="fr-FR"/>
        </w:rPr>
        <w:t xml:space="preserve"> sur le renforcement des mesures de prévention de la violence et des mauvais traitements à l</w:t>
      </w:r>
      <w:r>
        <w:rPr>
          <w:lang w:val="fr-FR"/>
        </w:rPr>
        <w:t>’</w:t>
      </w:r>
      <w:r w:rsidRPr="00466CE7">
        <w:rPr>
          <w:lang w:val="fr-FR"/>
        </w:rPr>
        <w:t>égard des mineurs</w:t>
      </w:r>
      <w:r>
        <w:rPr>
          <w:lang w:val="fr-FR"/>
        </w:rPr>
        <w:t>. Cette ordonnance</w:t>
      </w:r>
      <w:r w:rsidRPr="00466CE7">
        <w:rPr>
          <w:lang w:val="fr-FR"/>
        </w:rPr>
        <w:t xml:space="preserve"> prévoit </w:t>
      </w:r>
      <w:r>
        <w:rPr>
          <w:lang w:val="fr-FR"/>
        </w:rPr>
        <w:t>la réalisation d’</w:t>
      </w:r>
      <w:r w:rsidRPr="00466CE7">
        <w:rPr>
          <w:lang w:val="fr-FR"/>
        </w:rPr>
        <w:t xml:space="preserve">enquêtes porte-à-porte auprès des familles </w:t>
      </w:r>
      <w:r>
        <w:rPr>
          <w:lang w:val="fr-FR"/>
        </w:rPr>
        <w:t xml:space="preserve">en vue </w:t>
      </w:r>
      <w:r w:rsidRPr="00466CE7">
        <w:rPr>
          <w:lang w:val="fr-FR"/>
        </w:rPr>
        <w:t xml:space="preserve">de créer une base de données et de prendre des mesures pour protéger les enfants </w:t>
      </w:r>
      <w:r>
        <w:rPr>
          <w:lang w:val="fr-FR"/>
        </w:rPr>
        <w:t>privés de protection parentale</w:t>
      </w:r>
      <w:r w:rsidRPr="00466CE7">
        <w:rPr>
          <w:lang w:val="fr-FR"/>
        </w:rPr>
        <w:t xml:space="preserve">, </w:t>
      </w:r>
      <w:r>
        <w:rPr>
          <w:lang w:val="fr-FR"/>
        </w:rPr>
        <w:t xml:space="preserve">notamment </w:t>
      </w:r>
      <w:r w:rsidRPr="00466CE7">
        <w:rPr>
          <w:lang w:val="fr-FR"/>
        </w:rPr>
        <w:t xml:space="preserve">les enfants de migrants internes et externes, </w:t>
      </w:r>
      <w:r>
        <w:rPr>
          <w:lang w:val="fr-FR"/>
        </w:rPr>
        <w:t xml:space="preserve">et aussi de sensibiliser les </w:t>
      </w:r>
      <w:r w:rsidRPr="00466CE7">
        <w:rPr>
          <w:lang w:val="fr-FR"/>
        </w:rPr>
        <w:lastRenderedPageBreak/>
        <w:t xml:space="preserve">parents </w:t>
      </w:r>
      <w:r>
        <w:rPr>
          <w:lang w:val="fr-FR"/>
        </w:rPr>
        <w:t xml:space="preserve">à la nécessité d’informer les organismes sociaux quand ils comptent partir travailler à l’étranger </w:t>
      </w:r>
      <w:r w:rsidRPr="00466CE7">
        <w:rPr>
          <w:lang w:val="fr-FR"/>
        </w:rPr>
        <w:t xml:space="preserve">et </w:t>
      </w:r>
      <w:r>
        <w:rPr>
          <w:lang w:val="fr-FR"/>
        </w:rPr>
        <w:t xml:space="preserve">de prendre les dispositions nécessaires pour confier </w:t>
      </w:r>
      <w:r w:rsidRPr="00466CE7">
        <w:rPr>
          <w:lang w:val="fr-FR"/>
        </w:rPr>
        <w:t xml:space="preserve">la garde </w:t>
      </w:r>
      <w:r>
        <w:rPr>
          <w:lang w:val="fr-FR"/>
        </w:rPr>
        <w:t xml:space="preserve">de leurs </w:t>
      </w:r>
      <w:r w:rsidRPr="00466CE7">
        <w:rPr>
          <w:lang w:val="fr-FR"/>
        </w:rPr>
        <w:t>enfants.</w:t>
      </w:r>
    </w:p>
    <w:p w14:paraId="48FE4699" w14:textId="77777777" w:rsidR="009C6834" w:rsidRPr="00466CE7" w:rsidRDefault="009C6834" w:rsidP="009C6834">
      <w:pPr>
        <w:pStyle w:val="SingleTxtG"/>
        <w:rPr>
          <w:lang w:val="fr-FR"/>
        </w:rPr>
      </w:pPr>
      <w:r>
        <w:rPr>
          <w:lang w:val="fr-FR"/>
        </w:rPr>
        <w:t>224.</w:t>
      </w:r>
      <w:r>
        <w:rPr>
          <w:lang w:val="fr-FR"/>
        </w:rPr>
        <w:tab/>
        <w:t>Le Ministère de l’i</w:t>
      </w:r>
      <w:r w:rsidRPr="00466CE7">
        <w:rPr>
          <w:lang w:val="fr-FR"/>
        </w:rPr>
        <w:t>ntérieur et le M</w:t>
      </w:r>
      <w:r>
        <w:rPr>
          <w:lang w:val="fr-FR"/>
        </w:rPr>
        <w:t>inistère du travail et du développement social</w:t>
      </w:r>
      <w:r w:rsidRPr="00466CE7">
        <w:rPr>
          <w:lang w:val="fr-FR"/>
        </w:rPr>
        <w:t xml:space="preserve"> ont </w:t>
      </w:r>
      <w:r>
        <w:rPr>
          <w:lang w:val="fr-FR"/>
        </w:rPr>
        <w:t xml:space="preserve">rédigé </w:t>
      </w:r>
      <w:r w:rsidRPr="00466CE7">
        <w:rPr>
          <w:lang w:val="fr-FR"/>
        </w:rPr>
        <w:t xml:space="preserve">et approuvé un arrêté conjoint portant approbation </w:t>
      </w:r>
      <w:r>
        <w:rPr>
          <w:lang w:val="fr-FR"/>
        </w:rPr>
        <w:t xml:space="preserve">de l’Instruction relative aux modalités de </w:t>
      </w:r>
      <w:r w:rsidRPr="00466CE7">
        <w:rPr>
          <w:lang w:val="fr-FR"/>
        </w:rPr>
        <w:t xml:space="preserve">coopération entre les </w:t>
      </w:r>
      <w:r>
        <w:rPr>
          <w:lang w:val="fr-FR"/>
        </w:rPr>
        <w:t xml:space="preserve">organes du </w:t>
      </w:r>
      <w:r w:rsidRPr="00466CE7">
        <w:rPr>
          <w:lang w:val="fr-FR"/>
        </w:rPr>
        <w:t xml:space="preserve">développement social </w:t>
      </w:r>
      <w:r>
        <w:rPr>
          <w:lang w:val="fr-FR"/>
        </w:rPr>
        <w:t xml:space="preserve">chargés de </w:t>
      </w:r>
      <w:r w:rsidRPr="00466CE7">
        <w:rPr>
          <w:lang w:val="fr-FR"/>
        </w:rPr>
        <w:t xml:space="preserve">la protection </w:t>
      </w:r>
      <w:r>
        <w:rPr>
          <w:lang w:val="fr-FR"/>
        </w:rPr>
        <w:t xml:space="preserve">de l’enfance </w:t>
      </w:r>
      <w:r w:rsidRPr="00466CE7">
        <w:rPr>
          <w:lang w:val="fr-FR"/>
        </w:rPr>
        <w:t xml:space="preserve">et les </w:t>
      </w:r>
      <w:r>
        <w:rPr>
          <w:lang w:val="fr-FR"/>
        </w:rPr>
        <w:t>organes du Ministère de l’intérieur</w:t>
      </w:r>
      <w:r w:rsidRPr="00466CE7">
        <w:rPr>
          <w:lang w:val="fr-FR"/>
        </w:rPr>
        <w:t xml:space="preserve"> en matière de protection contre la violence familiale.</w:t>
      </w:r>
    </w:p>
    <w:p w14:paraId="5DE73FE9" w14:textId="6E0825C6" w:rsidR="009C6834" w:rsidRPr="00466CE7" w:rsidRDefault="009C6834" w:rsidP="009C6834">
      <w:pPr>
        <w:pStyle w:val="SingleTxtG"/>
        <w:rPr>
          <w:lang w:val="fr-FR"/>
        </w:rPr>
      </w:pPr>
      <w:r w:rsidRPr="00466CE7">
        <w:rPr>
          <w:lang w:val="fr-FR"/>
        </w:rPr>
        <w:t>225.</w:t>
      </w:r>
      <w:r w:rsidRPr="00466CE7">
        <w:rPr>
          <w:lang w:val="fr-FR"/>
        </w:rPr>
        <w:tab/>
        <w:t>L</w:t>
      </w:r>
      <w:r>
        <w:rPr>
          <w:lang w:val="fr-FR"/>
        </w:rPr>
        <w:t xml:space="preserve">’Inspection chargée des affaires des mineurs </w:t>
      </w:r>
      <w:r w:rsidRPr="00466CE7">
        <w:rPr>
          <w:lang w:val="fr-FR"/>
        </w:rPr>
        <w:t xml:space="preserve">du </w:t>
      </w:r>
      <w:r>
        <w:rPr>
          <w:lang w:val="fr-FR"/>
        </w:rPr>
        <w:t>M</w:t>
      </w:r>
      <w:r w:rsidRPr="00466CE7">
        <w:rPr>
          <w:lang w:val="fr-FR"/>
        </w:rPr>
        <w:t>inistère de l</w:t>
      </w:r>
      <w:r>
        <w:rPr>
          <w:lang w:val="fr-FR"/>
        </w:rPr>
        <w:t>’i</w:t>
      </w:r>
      <w:r w:rsidRPr="00466CE7">
        <w:rPr>
          <w:lang w:val="fr-FR"/>
        </w:rPr>
        <w:t xml:space="preserve">ntérieur a organisé </w:t>
      </w:r>
      <w:r w:rsidR="001A2FEA">
        <w:rPr>
          <w:lang w:val="fr-FR"/>
        </w:rPr>
        <w:t>10 </w:t>
      </w:r>
      <w:r>
        <w:rPr>
          <w:lang w:val="fr-FR"/>
        </w:rPr>
        <w:t xml:space="preserve">activités de sensibilisation </w:t>
      </w:r>
      <w:r w:rsidRPr="00466CE7">
        <w:rPr>
          <w:lang w:val="fr-FR"/>
        </w:rPr>
        <w:t xml:space="preserve">dans les écoles </w:t>
      </w:r>
      <w:r>
        <w:rPr>
          <w:lang w:val="fr-FR"/>
        </w:rPr>
        <w:t xml:space="preserve">avec les </w:t>
      </w:r>
      <w:r w:rsidRPr="00466CE7">
        <w:rPr>
          <w:lang w:val="fr-FR"/>
        </w:rPr>
        <w:t xml:space="preserve">élèves, </w:t>
      </w:r>
      <w:r>
        <w:rPr>
          <w:lang w:val="fr-FR"/>
        </w:rPr>
        <w:t>l</w:t>
      </w:r>
      <w:r w:rsidRPr="00466CE7">
        <w:rPr>
          <w:lang w:val="fr-FR"/>
        </w:rPr>
        <w:t xml:space="preserve">es autorités locales, </w:t>
      </w:r>
      <w:r>
        <w:rPr>
          <w:lang w:val="fr-FR"/>
        </w:rPr>
        <w:t>l</w:t>
      </w:r>
      <w:r w:rsidRPr="00466CE7">
        <w:rPr>
          <w:lang w:val="fr-FR"/>
        </w:rPr>
        <w:t>es parents d</w:t>
      </w:r>
      <w:r>
        <w:rPr>
          <w:lang w:val="fr-FR"/>
        </w:rPr>
        <w:t>’</w:t>
      </w:r>
      <w:r w:rsidRPr="00466CE7">
        <w:rPr>
          <w:lang w:val="fr-FR"/>
        </w:rPr>
        <w:t>élèves et des</w:t>
      </w:r>
      <w:r>
        <w:rPr>
          <w:lang w:val="fr-FR"/>
        </w:rPr>
        <w:t xml:space="preserve"> associations</w:t>
      </w:r>
      <w:r w:rsidRPr="00466CE7">
        <w:rPr>
          <w:lang w:val="fr-FR"/>
        </w:rPr>
        <w:t xml:space="preserve">, ainsi que </w:t>
      </w:r>
      <w:r>
        <w:rPr>
          <w:lang w:val="fr-FR"/>
        </w:rPr>
        <w:t xml:space="preserve">des </w:t>
      </w:r>
      <w:r w:rsidRPr="00466CE7">
        <w:rPr>
          <w:lang w:val="fr-FR"/>
        </w:rPr>
        <w:t xml:space="preserve">réunions </w:t>
      </w:r>
      <w:r>
        <w:rPr>
          <w:lang w:val="fr-FR"/>
        </w:rPr>
        <w:t>et des rencontres pour informer la population</w:t>
      </w:r>
      <w:r w:rsidRPr="00466CE7">
        <w:rPr>
          <w:lang w:val="fr-FR"/>
        </w:rPr>
        <w:t xml:space="preserve"> sur la situation </w:t>
      </w:r>
      <w:r>
        <w:rPr>
          <w:lang w:val="fr-FR"/>
        </w:rPr>
        <w:t xml:space="preserve">criminogène régnant </w:t>
      </w:r>
      <w:r w:rsidRPr="00466CE7">
        <w:rPr>
          <w:lang w:val="fr-FR"/>
        </w:rPr>
        <w:t xml:space="preserve">dans les nouveaux </w:t>
      </w:r>
      <w:r>
        <w:rPr>
          <w:lang w:val="fr-FR"/>
        </w:rPr>
        <w:t xml:space="preserve">immeubles et sur </w:t>
      </w:r>
      <w:r w:rsidRPr="00466CE7">
        <w:rPr>
          <w:lang w:val="fr-FR"/>
        </w:rPr>
        <w:t xml:space="preserve">la </w:t>
      </w:r>
      <w:r>
        <w:rPr>
          <w:lang w:val="fr-FR"/>
        </w:rPr>
        <w:t xml:space="preserve">prévention des vols </w:t>
      </w:r>
      <w:r w:rsidRPr="00466CE7">
        <w:rPr>
          <w:lang w:val="fr-FR"/>
        </w:rPr>
        <w:t xml:space="preserve">et des violences </w:t>
      </w:r>
      <w:r>
        <w:rPr>
          <w:lang w:val="fr-FR"/>
        </w:rPr>
        <w:t>familiales</w:t>
      </w:r>
      <w:r w:rsidRPr="00466CE7">
        <w:rPr>
          <w:lang w:val="fr-FR"/>
        </w:rPr>
        <w:t xml:space="preserve">. </w:t>
      </w:r>
    </w:p>
    <w:p w14:paraId="0B8BAFCE" w14:textId="352BEC34" w:rsidR="009C6834" w:rsidRPr="00466CE7" w:rsidRDefault="009C6834" w:rsidP="009C6834">
      <w:pPr>
        <w:pStyle w:val="SingleTxtG"/>
        <w:rPr>
          <w:lang w:val="fr-FR"/>
        </w:rPr>
      </w:pPr>
      <w:r w:rsidRPr="00466CE7">
        <w:rPr>
          <w:lang w:val="fr-FR"/>
        </w:rPr>
        <w:t>226.</w:t>
      </w:r>
      <w:r w:rsidRPr="00466CE7">
        <w:rPr>
          <w:lang w:val="fr-FR"/>
        </w:rPr>
        <w:tab/>
        <w:t xml:space="preserve">Les agents des </w:t>
      </w:r>
      <w:r>
        <w:rPr>
          <w:lang w:val="fr-FR"/>
        </w:rPr>
        <w:t xml:space="preserve">organes du Ministère de l’intérieur </w:t>
      </w:r>
      <w:r w:rsidRPr="00466CE7">
        <w:rPr>
          <w:lang w:val="fr-FR"/>
        </w:rPr>
        <w:t>ont également participé avec les membres de 27</w:t>
      </w:r>
      <w:r w:rsidR="008315BF">
        <w:rPr>
          <w:lang w:val="fr-FR"/>
        </w:rPr>
        <w:t> </w:t>
      </w:r>
      <w:r w:rsidRPr="00466CE7">
        <w:rPr>
          <w:lang w:val="fr-FR"/>
        </w:rPr>
        <w:t>comités de prévention de la violence familiale dans différentes régions du pays</w:t>
      </w:r>
      <w:r w:rsidRPr="00E13DB1">
        <w:rPr>
          <w:lang w:val="fr-FR"/>
        </w:rPr>
        <w:t xml:space="preserve"> </w:t>
      </w:r>
      <w:r w:rsidRPr="00466CE7">
        <w:rPr>
          <w:lang w:val="fr-FR"/>
        </w:rPr>
        <w:t xml:space="preserve">à des </w:t>
      </w:r>
      <w:r>
        <w:rPr>
          <w:lang w:val="fr-FR"/>
        </w:rPr>
        <w:t xml:space="preserve">activités de </w:t>
      </w:r>
      <w:r w:rsidRPr="00466CE7">
        <w:rPr>
          <w:lang w:val="fr-FR"/>
        </w:rPr>
        <w:t xml:space="preserve">prévention de la violence sexiste et familiale, </w:t>
      </w:r>
      <w:r>
        <w:rPr>
          <w:lang w:val="fr-FR"/>
        </w:rPr>
        <w:t xml:space="preserve">qui ont rassemblé </w:t>
      </w:r>
      <w:r w:rsidRPr="00466CE7">
        <w:rPr>
          <w:lang w:val="fr-FR"/>
        </w:rPr>
        <w:t>3</w:t>
      </w:r>
      <w:r w:rsidR="008315BF">
        <w:rPr>
          <w:lang w:val="fr-FR"/>
        </w:rPr>
        <w:t> </w:t>
      </w:r>
      <w:r w:rsidRPr="00466CE7">
        <w:rPr>
          <w:lang w:val="fr-FR"/>
        </w:rPr>
        <w:t>477</w:t>
      </w:r>
      <w:r w:rsidR="008315BF">
        <w:rPr>
          <w:lang w:val="fr-FR"/>
        </w:rPr>
        <w:t> </w:t>
      </w:r>
      <w:r w:rsidRPr="00466CE7">
        <w:rPr>
          <w:lang w:val="fr-FR"/>
        </w:rPr>
        <w:t>personnes. Quatre vidéos sur la prévention du vol et de la violence à l</w:t>
      </w:r>
      <w:r>
        <w:rPr>
          <w:lang w:val="fr-FR"/>
        </w:rPr>
        <w:t>’égard</w:t>
      </w:r>
      <w:r w:rsidRPr="00466CE7">
        <w:rPr>
          <w:lang w:val="fr-FR"/>
        </w:rPr>
        <w:t xml:space="preserve"> des enfants ont été </w:t>
      </w:r>
      <w:r>
        <w:rPr>
          <w:lang w:val="fr-FR"/>
        </w:rPr>
        <w:t>produites</w:t>
      </w:r>
      <w:r w:rsidRPr="00466CE7">
        <w:rPr>
          <w:lang w:val="fr-FR"/>
        </w:rPr>
        <w:t>.</w:t>
      </w:r>
    </w:p>
    <w:p w14:paraId="08E4235E" w14:textId="201447F4" w:rsidR="009C6834" w:rsidRPr="00466CE7" w:rsidRDefault="009C6834" w:rsidP="009C6834">
      <w:pPr>
        <w:pStyle w:val="SingleTxtG"/>
        <w:rPr>
          <w:lang w:val="fr-FR"/>
        </w:rPr>
      </w:pPr>
      <w:r w:rsidRPr="00466CE7">
        <w:rPr>
          <w:lang w:val="fr-FR"/>
        </w:rPr>
        <w:t>227.</w:t>
      </w:r>
      <w:r w:rsidRPr="00466CE7">
        <w:rPr>
          <w:lang w:val="fr-FR"/>
        </w:rPr>
        <w:tab/>
        <w:t xml:space="preserve">Des brochures sur la prévention de la violence </w:t>
      </w:r>
      <w:r>
        <w:rPr>
          <w:lang w:val="fr-FR"/>
        </w:rPr>
        <w:t>familiale</w:t>
      </w:r>
      <w:r w:rsidRPr="00466CE7">
        <w:rPr>
          <w:lang w:val="fr-FR"/>
        </w:rPr>
        <w:t xml:space="preserve"> </w:t>
      </w:r>
      <w:r>
        <w:rPr>
          <w:lang w:val="fr-FR"/>
        </w:rPr>
        <w:t xml:space="preserve">contenant </w:t>
      </w:r>
      <w:r w:rsidRPr="00466CE7">
        <w:rPr>
          <w:lang w:val="fr-FR"/>
        </w:rPr>
        <w:t>des informations sur les services d</w:t>
      </w:r>
      <w:r>
        <w:rPr>
          <w:lang w:val="fr-FR"/>
        </w:rPr>
        <w:t>’</w:t>
      </w:r>
      <w:r w:rsidRPr="00466CE7">
        <w:rPr>
          <w:lang w:val="fr-FR"/>
        </w:rPr>
        <w:t>aide aux victimes ont été publiées et distribuées (8</w:t>
      </w:r>
      <w:r w:rsidR="008315BF">
        <w:rPr>
          <w:lang w:val="fr-FR"/>
        </w:rPr>
        <w:t> </w:t>
      </w:r>
      <w:r w:rsidRPr="00466CE7">
        <w:rPr>
          <w:lang w:val="fr-FR"/>
        </w:rPr>
        <w:t>000</w:t>
      </w:r>
      <w:r w:rsidR="008315BF">
        <w:rPr>
          <w:lang w:val="fr-FR"/>
        </w:rPr>
        <w:t> </w:t>
      </w:r>
      <w:r w:rsidRPr="00466CE7">
        <w:rPr>
          <w:lang w:val="fr-FR"/>
        </w:rPr>
        <w:t>exemplaires).</w:t>
      </w:r>
    </w:p>
    <w:p w14:paraId="332D8319" w14:textId="7181D43C" w:rsidR="009C6834" w:rsidRPr="00466CE7" w:rsidRDefault="009C6834" w:rsidP="009C6834">
      <w:pPr>
        <w:pStyle w:val="SingleTxtG"/>
        <w:rPr>
          <w:lang w:val="fr-FR"/>
        </w:rPr>
      </w:pPr>
      <w:r w:rsidRPr="00466CE7">
        <w:rPr>
          <w:lang w:val="fr-FR"/>
        </w:rPr>
        <w:t>228.</w:t>
      </w:r>
      <w:r w:rsidRPr="00466CE7">
        <w:rPr>
          <w:lang w:val="fr-FR"/>
        </w:rPr>
        <w:tab/>
        <w:t xml:space="preserve">Un </w:t>
      </w:r>
      <w:r>
        <w:rPr>
          <w:lang w:val="fr-FR"/>
        </w:rPr>
        <w:t xml:space="preserve">guide </w:t>
      </w:r>
      <w:r w:rsidRPr="00466CE7">
        <w:rPr>
          <w:lang w:val="fr-FR"/>
        </w:rPr>
        <w:t xml:space="preserve">pratique a été </w:t>
      </w:r>
      <w:r>
        <w:rPr>
          <w:lang w:val="fr-FR"/>
        </w:rPr>
        <w:t xml:space="preserve">mis au point </w:t>
      </w:r>
      <w:r w:rsidRPr="00466CE7">
        <w:rPr>
          <w:lang w:val="fr-FR"/>
        </w:rPr>
        <w:t>à l</w:t>
      </w:r>
      <w:r>
        <w:rPr>
          <w:lang w:val="fr-FR"/>
        </w:rPr>
        <w:t>’</w:t>
      </w:r>
      <w:r w:rsidRPr="00466CE7">
        <w:rPr>
          <w:lang w:val="fr-FR"/>
        </w:rPr>
        <w:t xml:space="preserve">intention des enquêteurs des </w:t>
      </w:r>
      <w:r>
        <w:rPr>
          <w:lang w:val="fr-FR"/>
        </w:rPr>
        <w:t xml:space="preserve">organes du Ministère de l’intérieur concernant la manière d’enquêter efficacement sur les </w:t>
      </w:r>
      <w:r w:rsidRPr="00466CE7">
        <w:rPr>
          <w:lang w:val="fr-FR"/>
        </w:rPr>
        <w:t xml:space="preserve">crimes </w:t>
      </w:r>
      <w:r>
        <w:rPr>
          <w:lang w:val="fr-FR"/>
        </w:rPr>
        <w:t>sexistes</w:t>
      </w:r>
      <w:r w:rsidRPr="00466CE7">
        <w:rPr>
          <w:lang w:val="fr-FR"/>
        </w:rPr>
        <w:t xml:space="preserve"> </w:t>
      </w:r>
      <w:r>
        <w:rPr>
          <w:lang w:val="fr-FR"/>
        </w:rPr>
        <w:t xml:space="preserve">commis </w:t>
      </w:r>
      <w:r w:rsidRPr="00466CE7">
        <w:rPr>
          <w:lang w:val="fr-FR"/>
        </w:rPr>
        <w:t xml:space="preserve">contre </w:t>
      </w:r>
      <w:r>
        <w:rPr>
          <w:lang w:val="fr-FR"/>
        </w:rPr>
        <w:t>l</w:t>
      </w:r>
      <w:r w:rsidRPr="00466CE7">
        <w:rPr>
          <w:lang w:val="fr-FR"/>
        </w:rPr>
        <w:t xml:space="preserve">es femmes et </w:t>
      </w:r>
      <w:r>
        <w:rPr>
          <w:lang w:val="fr-FR"/>
        </w:rPr>
        <w:t>l</w:t>
      </w:r>
      <w:r w:rsidRPr="00466CE7">
        <w:rPr>
          <w:lang w:val="fr-FR"/>
        </w:rPr>
        <w:t>es mineurs</w:t>
      </w:r>
      <w:r>
        <w:rPr>
          <w:lang w:val="fr-FR"/>
        </w:rPr>
        <w:t> ;</w:t>
      </w:r>
      <w:r w:rsidRPr="00466CE7">
        <w:rPr>
          <w:lang w:val="fr-FR"/>
        </w:rPr>
        <w:t xml:space="preserve"> 400</w:t>
      </w:r>
      <w:r w:rsidR="008315BF">
        <w:rPr>
          <w:lang w:val="fr-FR"/>
        </w:rPr>
        <w:t> </w:t>
      </w:r>
      <w:r w:rsidRPr="00466CE7">
        <w:rPr>
          <w:lang w:val="fr-FR"/>
        </w:rPr>
        <w:t xml:space="preserve">exemplaires </w:t>
      </w:r>
      <w:r>
        <w:rPr>
          <w:lang w:val="fr-FR"/>
        </w:rPr>
        <w:t xml:space="preserve">de ce guide </w:t>
      </w:r>
      <w:r w:rsidRPr="00466CE7">
        <w:rPr>
          <w:lang w:val="fr-FR"/>
        </w:rPr>
        <w:t xml:space="preserve">ont été </w:t>
      </w:r>
      <w:r>
        <w:rPr>
          <w:lang w:val="fr-FR"/>
        </w:rPr>
        <w:t xml:space="preserve">publiés </w:t>
      </w:r>
      <w:r w:rsidRPr="00466CE7">
        <w:rPr>
          <w:lang w:val="fr-FR"/>
        </w:rPr>
        <w:t>en kirghize et en russe.</w:t>
      </w:r>
    </w:p>
    <w:p w14:paraId="740B2787" w14:textId="77777777" w:rsidR="009C6834" w:rsidRPr="00466CE7" w:rsidRDefault="009C6834" w:rsidP="009C6834">
      <w:pPr>
        <w:pStyle w:val="SingleTxtG"/>
        <w:rPr>
          <w:lang w:val="fr-FR"/>
        </w:rPr>
      </w:pPr>
      <w:r w:rsidRPr="00466CE7">
        <w:rPr>
          <w:lang w:val="fr-FR"/>
        </w:rPr>
        <w:t>229.</w:t>
      </w:r>
      <w:r w:rsidRPr="00466CE7">
        <w:rPr>
          <w:lang w:val="fr-FR"/>
        </w:rPr>
        <w:tab/>
        <w:t xml:space="preserve">Quatre séminaires </w:t>
      </w:r>
      <w:r>
        <w:rPr>
          <w:lang w:val="fr-FR"/>
        </w:rPr>
        <w:t xml:space="preserve">sur les modalités d’enquête en cas de crime sexiste ont été organisés </w:t>
      </w:r>
      <w:r w:rsidRPr="00466CE7">
        <w:rPr>
          <w:lang w:val="fr-FR"/>
        </w:rPr>
        <w:t xml:space="preserve">dans les régions </w:t>
      </w:r>
      <w:r>
        <w:rPr>
          <w:lang w:val="fr-FR"/>
        </w:rPr>
        <w:t>à l’intention d’une centaine d’agents des services d’enquête du Ministère de l’intérieur</w:t>
      </w:r>
      <w:r w:rsidRPr="00466CE7">
        <w:rPr>
          <w:lang w:val="fr-FR"/>
        </w:rPr>
        <w:t>.</w:t>
      </w:r>
    </w:p>
    <w:p w14:paraId="6AF850E3" w14:textId="4DF67F62" w:rsidR="009C6834" w:rsidRPr="00466CE7" w:rsidRDefault="009C6834" w:rsidP="009C6834">
      <w:pPr>
        <w:pStyle w:val="SingleTxtG"/>
        <w:rPr>
          <w:lang w:val="fr-FR"/>
        </w:rPr>
      </w:pPr>
      <w:r w:rsidRPr="00466CE7">
        <w:rPr>
          <w:lang w:val="fr-FR"/>
        </w:rPr>
        <w:t>230.</w:t>
      </w:r>
      <w:r w:rsidRPr="00466CE7">
        <w:rPr>
          <w:lang w:val="fr-FR"/>
        </w:rPr>
        <w:tab/>
        <w:t xml:space="preserve">Une </w:t>
      </w:r>
      <w:r>
        <w:rPr>
          <w:lang w:val="fr-FR"/>
        </w:rPr>
        <w:t xml:space="preserve">rubrique sur </w:t>
      </w:r>
      <w:r w:rsidRPr="00466CE7">
        <w:rPr>
          <w:lang w:val="fr-FR"/>
        </w:rPr>
        <w:t xml:space="preserve">la politique </w:t>
      </w:r>
      <w:r>
        <w:rPr>
          <w:lang w:val="fr-FR"/>
        </w:rPr>
        <w:t>de promotion de l’</w:t>
      </w:r>
      <w:r w:rsidRPr="00466CE7">
        <w:rPr>
          <w:lang w:val="fr-FR"/>
        </w:rPr>
        <w:t>égalité entre les sexes a été créée sur</w:t>
      </w:r>
      <w:r>
        <w:rPr>
          <w:lang w:val="fr-FR"/>
        </w:rPr>
        <w:t xml:space="preserve"> le site </w:t>
      </w:r>
      <w:r w:rsidR="001A2FEA">
        <w:rPr>
          <w:lang w:val="fr-FR"/>
        </w:rPr>
        <w:t xml:space="preserve">Web </w:t>
      </w:r>
      <w:r>
        <w:rPr>
          <w:lang w:val="fr-FR"/>
        </w:rPr>
        <w:t>du Ministère de l’i</w:t>
      </w:r>
      <w:r w:rsidRPr="00466CE7">
        <w:rPr>
          <w:lang w:val="fr-FR"/>
        </w:rPr>
        <w:t xml:space="preserve">ntérieur. </w:t>
      </w:r>
      <w:r>
        <w:rPr>
          <w:lang w:val="fr-FR"/>
        </w:rPr>
        <w:t xml:space="preserve">On y trouve </w:t>
      </w:r>
      <w:r w:rsidRPr="00466CE7">
        <w:rPr>
          <w:lang w:val="fr-FR"/>
        </w:rPr>
        <w:t xml:space="preserve">les principales dispositions de la loi </w:t>
      </w:r>
      <w:r>
        <w:rPr>
          <w:lang w:val="fr-FR"/>
        </w:rPr>
        <w:t xml:space="preserve">relative à </w:t>
      </w:r>
      <w:r w:rsidRPr="00466CE7">
        <w:rPr>
          <w:lang w:val="fr-FR"/>
        </w:rPr>
        <w:t xml:space="preserve">la protection contre la violence </w:t>
      </w:r>
      <w:r>
        <w:rPr>
          <w:lang w:val="fr-FR"/>
        </w:rPr>
        <w:t>familiale</w:t>
      </w:r>
      <w:r w:rsidRPr="00466CE7">
        <w:rPr>
          <w:lang w:val="fr-FR"/>
        </w:rPr>
        <w:t>, des informations sur les services d</w:t>
      </w:r>
      <w:r>
        <w:rPr>
          <w:lang w:val="fr-FR"/>
        </w:rPr>
        <w:t>’</w:t>
      </w:r>
      <w:r w:rsidRPr="00466CE7">
        <w:rPr>
          <w:lang w:val="fr-FR"/>
        </w:rPr>
        <w:t>assistance et une compilation des instruments juridiques et réglementaires</w:t>
      </w:r>
      <w:r>
        <w:rPr>
          <w:lang w:val="fr-FR"/>
        </w:rPr>
        <w:t xml:space="preserve"> concernant </w:t>
      </w:r>
      <w:r w:rsidRPr="00466CE7">
        <w:rPr>
          <w:lang w:val="fr-FR"/>
        </w:rPr>
        <w:t xml:space="preserve">la prévention de la violence sexiste et </w:t>
      </w:r>
      <w:r>
        <w:rPr>
          <w:lang w:val="fr-FR"/>
        </w:rPr>
        <w:t>familiale</w:t>
      </w:r>
      <w:r w:rsidRPr="00466CE7">
        <w:rPr>
          <w:lang w:val="fr-FR"/>
        </w:rPr>
        <w:t xml:space="preserve">. </w:t>
      </w:r>
      <w:r>
        <w:rPr>
          <w:lang w:val="fr-FR"/>
        </w:rPr>
        <w:t>On trouve aussi dans cette rubrique</w:t>
      </w:r>
      <w:r w:rsidRPr="00466CE7">
        <w:rPr>
          <w:lang w:val="fr-FR"/>
        </w:rPr>
        <w:t xml:space="preserve"> des films (vidéos) sur la prévention de la violence sexiste et familiale et une vidéo sur la responsabilité </w:t>
      </w:r>
      <w:r>
        <w:rPr>
          <w:lang w:val="fr-FR"/>
        </w:rPr>
        <w:t xml:space="preserve">encourue </w:t>
      </w:r>
      <w:r w:rsidRPr="00466CE7">
        <w:rPr>
          <w:lang w:val="fr-FR"/>
        </w:rPr>
        <w:t xml:space="preserve">en cas </w:t>
      </w:r>
      <w:r>
        <w:rPr>
          <w:lang w:val="fr-FR"/>
        </w:rPr>
        <w:t xml:space="preserve">d’infraction à </w:t>
      </w:r>
      <w:r w:rsidRPr="00466CE7">
        <w:rPr>
          <w:lang w:val="fr-FR"/>
        </w:rPr>
        <w:t xml:space="preserve">la loi </w:t>
      </w:r>
      <w:r>
        <w:rPr>
          <w:lang w:val="fr-FR"/>
        </w:rPr>
        <w:t xml:space="preserve">relative à </w:t>
      </w:r>
      <w:r w:rsidRPr="00466CE7">
        <w:rPr>
          <w:lang w:val="fr-FR"/>
        </w:rPr>
        <w:t>l</w:t>
      </w:r>
      <w:r>
        <w:rPr>
          <w:lang w:val="fr-FR"/>
        </w:rPr>
        <w:t>’</w:t>
      </w:r>
      <w:r w:rsidRPr="00466CE7">
        <w:rPr>
          <w:lang w:val="fr-FR"/>
        </w:rPr>
        <w:t>âge du mariage. Au total, plus de 15</w:t>
      </w:r>
      <w:r w:rsidR="008315BF">
        <w:rPr>
          <w:lang w:val="fr-FR"/>
        </w:rPr>
        <w:t> </w:t>
      </w:r>
      <w:r w:rsidRPr="00466CE7">
        <w:rPr>
          <w:lang w:val="fr-FR"/>
        </w:rPr>
        <w:t xml:space="preserve">vidéos ont été mises en ligne sur le site. Des clips vidéo </w:t>
      </w:r>
      <w:r>
        <w:rPr>
          <w:lang w:val="fr-FR"/>
        </w:rPr>
        <w:t>(« </w:t>
      </w:r>
      <w:r w:rsidRPr="00466CE7">
        <w:rPr>
          <w:lang w:val="fr-FR"/>
        </w:rPr>
        <w:t>N</w:t>
      </w:r>
      <w:r>
        <w:rPr>
          <w:lang w:val="fr-FR"/>
        </w:rPr>
        <w:t xml:space="preserve">e brisez </w:t>
      </w:r>
      <w:r w:rsidRPr="00466CE7">
        <w:rPr>
          <w:lang w:val="fr-FR"/>
        </w:rPr>
        <w:t>pas vos rêves</w:t>
      </w:r>
      <w:r>
        <w:rPr>
          <w:lang w:val="fr-FR"/>
        </w:rPr>
        <w:t> »</w:t>
      </w:r>
      <w:r w:rsidRPr="00466CE7">
        <w:rPr>
          <w:lang w:val="fr-FR"/>
        </w:rPr>
        <w:t xml:space="preserve">, </w:t>
      </w:r>
      <w:r>
        <w:rPr>
          <w:lang w:val="fr-FR"/>
        </w:rPr>
        <w:t>« </w:t>
      </w:r>
      <w:r w:rsidRPr="00466CE7">
        <w:rPr>
          <w:lang w:val="fr-FR"/>
        </w:rPr>
        <w:t xml:space="preserve">Parents, </w:t>
      </w:r>
      <w:r>
        <w:rPr>
          <w:lang w:val="fr-FR"/>
        </w:rPr>
        <w:t>veillez à vos enfants</w:t>
      </w:r>
      <w:r w:rsidR="008315BF">
        <w:rPr>
          <w:lang w:val="fr-FR"/>
        </w:rPr>
        <w:t> </w:t>
      </w:r>
      <w:r>
        <w:rPr>
          <w:lang w:val="fr-FR"/>
        </w:rPr>
        <w:t xml:space="preserve">! », « Respectez </w:t>
      </w:r>
      <w:r w:rsidRPr="00466CE7">
        <w:rPr>
          <w:lang w:val="fr-FR"/>
        </w:rPr>
        <w:t xml:space="preserve">le </w:t>
      </w:r>
      <w:r w:rsidR="009603CF" w:rsidRPr="00466CE7">
        <w:rPr>
          <w:lang w:val="fr-FR"/>
        </w:rPr>
        <w:t xml:space="preserve">Code </w:t>
      </w:r>
      <w:r w:rsidRPr="00466CE7">
        <w:rPr>
          <w:lang w:val="fr-FR"/>
        </w:rPr>
        <w:t xml:space="preserve">de la route et </w:t>
      </w:r>
      <w:r>
        <w:rPr>
          <w:lang w:val="fr-FR"/>
        </w:rPr>
        <w:t>restez en vie ! »)</w:t>
      </w:r>
      <w:r w:rsidRPr="00466CE7">
        <w:rPr>
          <w:lang w:val="fr-FR"/>
        </w:rPr>
        <w:t xml:space="preserve"> ont été réalisés </w:t>
      </w:r>
      <w:r>
        <w:rPr>
          <w:lang w:val="fr-FR"/>
        </w:rPr>
        <w:t xml:space="preserve">et </w:t>
      </w:r>
      <w:r w:rsidRPr="00466CE7">
        <w:rPr>
          <w:lang w:val="fr-FR"/>
        </w:rPr>
        <w:t xml:space="preserve">diffusés sur les chaînes de télévision </w:t>
      </w:r>
      <w:r>
        <w:rPr>
          <w:lang w:val="fr-FR"/>
        </w:rPr>
        <w:t>du pays</w:t>
      </w:r>
      <w:r w:rsidRPr="00466CE7">
        <w:rPr>
          <w:lang w:val="fr-FR"/>
        </w:rPr>
        <w:t>.</w:t>
      </w:r>
    </w:p>
    <w:p w14:paraId="53441591" w14:textId="7526C7CA" w:rsidR="009C6834" w:rsidRPr="00466CE7" w:rsidRDefault="009C6834" w:rsidP="009C6834">
      <w:pPr>
        <w:pStyle w:val="SingleTxtG"/>
        <w:rPr>
          <w:lang w:val="fr-FR"/>
        </w:rPr>
      </w:pPr>
      <w:r w:rsidRPr="00466CE7">
        <w:rPr>
          <w:lang w:val="fr-FR"/>
        </w:rPr>
        <w:t>231.</w:t>
      </w:r>
      <w:r w:rsidRPr="00466CE7">
        <w:rPr>
          <w:lang w:val="fr-FR"/>
        </w:rPr>
        <w:tab/>
        <w:t xml:space="preserve">Les centres de prévention </w:t>
      </w:r>
      <w:r>
        <w:rPr>
          <w:lang w:val="fr-FR"/>
        </w:rPr>
        <w:t xml:space="preserve">sociale </w:t>
      </w:r>
      <w:r w:rsidRPr="00466CE7">
        <w:rPr>
          <w:lang w:val="fr-FR"/>
        </w:rPr>
        <w:t xml:space="preserve">contribuent également à la prévention de la violence </w:t>
      </w:r>
      <w:r>
        <w:rPr>
          <w:lang w:val="fr-FR"/>
        </w:rPr>
        <w:t>familiale</w:t>
      </w:r>
      <w:r w:rsidRPr="00466CE7">
        <w:rPr>
          <w:lang w:val="fr-FR"/>
        </w:rPr>
        <w:t xml:space="preserve"> (il existe 538</w:t>
      </w:r>
      <w:r w:rsidR="008315BF">
        <w:rPr>
          <w:lang w:val="fr-FR"/>
        </w:rPr>
        <w:t> </w:t>
      </w:r>
      <w:r>
        <w:rPr>
          <w:lang w:val="fr-FR"/>
        </w:rPr>
        <w:t>centres de prévention sociale</w:t>
      </w:r>
      <w:r w:rsidRPr="00466CE7">
        <w:rPr>
          <w:lang w:val="fr-FR"/>
        </w:rPr>
        <w:t>, 547</w:t>
      </w:r>
      <w:r w:rsidR="008315BF">
        <w:rPr>
          <w:lang w:val="fr-FR"/>
        </w:rPr>
        <w:t> </w:t>
      </w:r>
      <w:r w:rsidRPr="00466CE7">
        <w:rPr>
          <w:lang w:val="fr-FR"/>
        </w:rPr>
        <w:t xml:space="preserve">conseils de </w:t>
      </w:r>
      <w:r>
        <w:rPr>
          <w:lang w:val="fr-FR"/>
        </w:rPr>
        <w:t>jeunes</w:t>
      </w:r>
      <w:r w:rsidRPr="00466CE7">
        <w:rPr>
          <w:lang w:val="fr-FR"/>
        </w:rPr>
        <w:t xml:space="preserve"> et 526</w:t>
      </w:r>
      <w:r w:rsidR="008315BF">
        <w:rPr>
          <w:lang w:val="fr-FR"/>
        </w:rPr>
        <w:t> </w:t>
      </w:r>
      <w:r w:rsidRPr="00466CE7">
        <w:rPr>
          <w:lang w:val="fr-FR"/>
        </w:rPr>
        <w:t>conseils de femmes, ainsi que 731</w:t>
      </w:r>
      <w:r w:rsidR="008315BF">
        <w:rPr>
          <w:lang w:val="fr-FR"/>
        </w:rPr>
        <w:t> </w:t>
      </w:r>
      <w:r w:rsidRPr="00466CE7">
        <w:rPr>
          <w:lang w:val="fr-FR"/>
        </w:rPr>
        <w:t xml:space="preserve">tribunaux </w:t>
      </w:r>
      <w:r>
        <w:rPr>
          <w:lang w:val="fr-FR"/>
        </w:rPr>
        <w:t>communautaires d’anciens (</w:t>
      </w:r>
      <w:r w:rsidRPr="008C51FE">
        <w:rPr>
          <w:lang w:val="fr-FR"/>
        </w:rPr>
        <w:t>aksakals</w:t>
      </w:r>
      <w:r w:rsidRPr="00466CE7">
        <w:rPr>
          <w:lang w:val="fr-FR"/>
        </w:rPr>
        <w:t>)</w:t>
      </w:r>
      <w:r>
        <w:rPr>
          <w:lang w:val="fr-FR"/>
        </w:rPr>
        <w:t>)</w:t>
      </w:r>
      <w:r w:rsidRPr="00466CE7">
        <w:rPr>
          <w:lang w:val="fr-FR"/>
        </w:rPr>
        <w:t>.</w:t>
      </w:r>
    </w:p>
    <w:p w14:paraId="75FC3450" w14:textId="301D0797" w:rsidR="009C6834" w:rsidRPr="00466CE7" w:rsidRDefault="009C6834" w:rsidP="009C6834">
      <w:pPr>
        <w:pStyle w:val="SingleTxtG"/>
        <w:rPr>
          <w:lang w:val="fr-FR"/>
        </w:rPr>
      </w:pPr>
      <w:r w:rsidRPr="00466CE7">
        <w:rPr>
          <w:lang w:val="fr-FR"/>
        </w:rPr>
        <w:t>232.</w:t>
      </w:r>
      <w:r w:rsidRPr="00466CE7">
        <w:rPr>
          <w:lang w:val="fr-FR"/>
        </w:rPr>
        <w:tab/>
        <w:t xml:space="preserve">Au cours des </w:t>
      </w:r>
      <w:r w:rsidR="008315BF">
        <w:rPr>
          <w:lang w:val="fr-FR"/>
        </w:rPr>
        <w:t>douze</w:t>
      </w:r>
      <w:r w:rsidRPr="00466CE7">
        <w:rPr>
          <w:lang w:val="fr-FR"/>
        </w:rPr>
        <w:t xml:space="preserve"> mois de l</w:t>
      </w:r>
      <w:r>
        <w:rPr>
          <w:lang w:val="fr-FR"/>
        </w:rPr>
        <w:t>’</w:t>
      </w:r>
      <w:r w:rsidRPr="00466CE7">
        <w:rPr>
          <w:lang w:val="fr-FR"/>
        </w:rPr>
        <w:t>an</w:t>
      </w:r>
      <w:r>
        <w:rPr>
          <w:lang w:val="fr-FR"/>
        </w:rPr>
        <w:t>née 2019, 6</w:t>
      </w:r>
      <w:r w:rsidR="008315BF">
        <w:rPr>
          <w:lang w:val="fr-FR"/>
        </w:rPr>
        <w:t> </w:t>
      </w:r>
      <w:r>
        <w:rPr>
          <w:lang w:val="fr-FR"/>
        </w:rPr>
        <w:t>145</w:t>
      </w:r>
      <w:r w:rsidR="008315BF">
        <w:rPr>
          <w:lang w:val="fr-FR"/>
        </w:rPr>
        <w:t> </w:t>
      </w:r>
      <w:r>
        <w:rPr>
          <w:lang w:val="fr-FR"/>
        </w:rPr>
        <w:t>cas de violence familiale (domestique</w:t>
      </w:r>
      <w:r w:rsidRPr="00466CE7">
        <w:rPr>
          <w:lang w:val="fr-FR"/>
        </w:rPr>
        <w:t>) ont été enregistrés, dont 4</w:t>
      </w:r>
      <w:r w:rsidR="008315BF">
        <w:rPr>
          <w:lang w:val="fr-FR"/>
        </w:rPr>
        <w:t> </w:t>
      </w:r>
      <w:r w:rsidRPr="00466CE7">
        <w:rPr>
          <w:lang w:val="fr-FR"/>
        </w:rPr>
        <w:t>194</w:t>
      </w:r>
      <w:r w:rsidR="008315BF">
        <w:rPr>
          <w:lang w:val="fr-FR"/>
        </w:rPr>
        <w:t> </w:t>
      </w:r>
      <w:r>
        <w:rPr>
          <w:lang w:val="fr-FR"/>
        </w:rPr>
        <w:t>cas de violence physique,</w:t>
      </w:r>
      <w:r w:rsidRPr="0009028D">
        <w:rPr>
          <w:lang w:val="fr-FR"/>
        </w:rPr>
        <w:t xml:space="preserve"> </w:t>
      </w:r>
      <w:r w:rsidRPr="00466CE7">
        <w:rPr>
          <w:lang w:val="fr-FR"/>
        </w:rPr>
        <w:t>1</w:t>
      </w:r>
      <w:r>
        <w:rPr>
          <w:lang w:val="fr-FR"/>
        </w:rPr>
        <w:t> </w:t>
      </w:r>
      <w:r w:rsidRPr="00466CE7">
        <w:rPr>
          <w:lang w:val="fr-FR"/>
        </w:rPr>
        <w:t>688</w:t>
      </w:r>
      <w:r>
        <w:rPr>
          <w:lang w:val="fr-FR"/>
        </w:rPr>
        <w:t> cas de violence psychologique, 8</w:t>
      </w:r>
      <w:r w:rsidR="008315BF">
        <w:rPr>
          <w:lang w:val="fr-FR"/>
        </w:rPr>
        <w:t> </w:t>
      </w:r>
      <w:r>
        <w:rPr>
          <w:lang w:val="fr-FR"/>
        </w:rPr>
        <w:t>cas de violence</w:t>
      </w:r>
      <w:r w:rsidRPr="00466CE7">
        <w:rPr>
          <w:lang w:val="fr-FR"/>
        </w:rPr>
        <w:t xml:space="preserve"> sexuelle</w:t>
      </w:r>
      <w:r>
        <w:rPr>
          <w:lang w:val="fr-FR"/>
        </w:rPr>
        <w:t>, 1</w:t>
      </w:r>
      <w:r w:rsidR="008315BF">
        <w:rPr>
          <w:lang w:val="fr-FR"/>
        </w:rPr>
        <w:t> </w:t>
      </w:r>
      <w:r>
        <w:rPr>
          <w:lang w:val="fr-FR"/>
        </w:rPr>
        <w:t xml:space="preserve">cas de violence </w:t>
      </w:r>
      <w:r w:rsidRPr="00466CE7">
        <w:rPr>
          <w:lang w:val="fr-FR"/>
        </w:rPr>
        <w:t>économique</w:t>
      </w:r>
      <w:r>
        <w:rPr>
          <w:lang w:val="fr-FR"/>
        </w:rPr>
        <w:t xml:space="preserve"> </w:t>
      </w:r>
      <w:r w:rsidRPr="00466CE7">
        <w:rPr>
          <w:lang w:val="fr-FR"/>
        </w:rPr>
        <w:t>et 254</w:t>
      </w:r>
      <w:r w:rsidR="008315BF">
        <w:rPr>
          <w:lang w:val="fr-FR"/>
        </w:rPr>
        <w:t> </w:t>
      </w:r>
      <w:r>
        <w:rPr>
          <w:lang w:val="fr-FR"/>
        </w:rPr>
        <w:t>cas de négligence</w:t>
      </w:r>
      <w:r w:rsidRPr="00466CE7">
        <w:rPr>
          <w:lang w:val="fr-FR"/>
        </w:rPr>
        <w:t>.</w:t>
      </w:r>
    </w:p>
    <w:p w14:paraId="676FDCB1" w14:textId="01CD7292" w:rsidR="009C6834" w:rsidRPr="00466CE7" w:rsidRDefault="009C6834" w:rsidP="009C6834">
      <w:pPr>
        <w:pStyle w:val="SingleTxtG"/>
        <w:rPr>
          <w:lang w:val="fr-FR"/>
        </w:rPr>
      </w:pPr>
      <w:r w:rsidRPr="00466CE7">
        <w:rPr>
          <w:lang w:val="fr-FR"/>
        </w:rPr>
        <w:t>233.</w:t>
      </w:r>
      <w:r w:rsidRPr="00466CE7">
        <w:rPr>
          <w:lang w:val="fr-FR"/>
        </w:rPr>
        <w:tab/>
        <w:t>Au cours de la même période, les</w:t>
      </w:r>
      <w:r>
        <w:rPr>
          <w:lang w:val="fr-FR"/>
        </w:rPr>
        <w:t xml:space="preserve"> services du Ministère de l’intérieur</w:t>
      </w:r>
      <w:r w:rsidRPr="00466CE7">
        <w:rPr>
          <w:lang w:val="fr-FR"/>
        </w:rPr>
        <w:t xml:space="preserve"> ont émis</w:t>
      </w:r>
      <w:r>
        <w:rPr>
          <w:lang w:val="fr-FR"/>
        </w:rPr>
        <w:t xml:space="preserve"> 1</w:t>
      </w:r>
      <w:r w:rsidR="008315BF">
        <w:rPr>
          <w:lang w:val="fr-FR"/>
        </w:rPr>
        <w:t> </w:t>
      </w:r>
      <w:r>
        <w:rPr>
          <w:lang w:val="fr-FR"/>
        </w:rPr>
        <w:t>654</w:t>
      </w:r>
      <w:r w:rsidR="008315BF">
        <w:rPr>
          <w:lang w:val="fr-FR"/>
        </w:rPr>
        <w:t> </w:t>
      </w:r>
      <w:r w:rsidRPr="00466CE7">
        <w:rPr>
          <w:lang w:val="fr-FR"/>
        </w:rPr>
        <w:t xml:space="preserve">ordonnances de protection </w:t>
      </w:r>
      <w:r>
        <w:rPr>
          <w:lang w:val="fr-FR"/>
        </w:rPr>
        <w:t xml:space="preserve">à Bichkek, </w:t>
      </w:r>
      <w:r w:rsidRPr="00466CE7">
        <w:rPr>
          <w:lang w:val="fr-FR"/>
        </w:rPr>
        <w:t>316</w:t>
      </w:r>
      <w:r>
        <w:rPr>
          <w:lang w:val="fr-FR"/>
        </w:rPr>
        <w:t xml:space="preserve"> à Och, </w:t>
      </w:r>
      <w:r w:rsidRPr="00466CE7">
        <w:rPr>
          <w:lang w:val="fr-FR"/>
        </w:rPr>
        <w:t>1</w:t>
      </w:r>
      <w:r>
        <w:rPr>
          <w:lang w:val="fr-FR"/>
        </w:rPr>
        <w:t> </w:t>
      </w:r>
      <w:r w:rsidRPr="00466CE7">
        <w:rPr>
          <w:lang w:val="fr-FR"/>
        </w:rPr>
        <w:t>429</w:t>
      </w:r>
      <w:r>
        <w:rPr>
          <w:lang w:val="fr-FR"/>
        </w:rPr>
        <w:t xml:space="preserve"> dans la région de </w:t>
      </w:r>
      <w:proofErr w:type="spellStart"/>
      <w:r>
        <w:rPr>
          <w:lang w:val="fr-FR"/>
        </w:rPr>
        <w:t>Tc</w:t>
      </w:r>
      <w:r w:rsidRPr="00466CE7">
        <w:rPr>
          <w:lang w:val="fr-FR"/>
        </w:rPr>
        <w:t>h</w:t>
      </w:r>
      <w:r>
        <w:rPr>
          <w:lang w:val="fr-FR"/>
        </w:rPr>
        <w:t>o</w:t>
      </w:r>
      <w:r w:rsidRPr="00466CE7">
        <w:rPr>
          <w:lang w:val="fr-FR"/>
        </w:rPr>
        <w:t>u</w:t>
      </w:r>
      <w:r>
        <w:rPr>
          <w:lang w:val="fr-FR"/>
        </w:rPr>
        <w:t>ï</w:t>
      </w:r>
      <w:proofErr w:type="spellEnd"/>
      <w:r>
        <w:rPr>
          <w:lang w:val="fr-FR"/>
        </w:rPr>
        <w:t xml:space="preserve">, </w:t>
      </w:r>
      <w:r w:rsidRPr="00466CE7">
        <w:rPr>
          <w:lang w:val="fr-FR"/>
        </w:rPr>
        <w:t>402</w:t>
      </w:r>
      <w:r>
        <w:rPr>
          <w:lang w:val="fr-FR"/>
        </w:rPr>
        <w:t xml:space="preserve"> dans la région d’</w:t>
      </w:r>
      <w:r w:rsidRPr="00466CE7">
        <w:rPr>
          <w:lang w:val="fr-FR"/>
        </w:rPr>
        <w:t>Issyk-K</w:t>
      </w:r>
      <w:r>
        <w:rPr>
          <w:lang w:val="fr-FR"/>
        </w:rPr>
        <w:t>o</w:t>
      </w:r>
      <w:r w:rsidRPr="00466CE7">
        <w:rPr>
          <w:lang w:val="fr-FR"/>
        </w:rPr>
        <w:t>ul</w:t>
      </w:r>
      <w:r>
        <w:rPr>
          <w:lang w:val="fr-FR"/>
        </w:rPr>
        <w:t xml:space="preserve">, 372 dans la région de </w:t>
      </w:r>
      <w:r w:rsidRPr="00466CE7">
        <w:rPr>
          <w:lang w:val="fr-FR"/>
        </w:rPr>
        <w:t>Naryn</w:t>
      </w:r>
      <w:r>
        <w:rPr>
          <w:lang w:val="fr-FR"/>
        </w:rPr>
        <w:t>,</w:t>
      </w:r>
      <w:r w:rsidRPr="00466CE7">
        <w:rPr>
          <w:lang w:val="fr-FR"/>
        </w:rPr>
        <w:t xml:space="preserve"> 796 </w:t>
      </w:r>
      <w:r>
        <w:rPr>
          <w:lang w:val="fr-FR"/>
        </w:rPr>
        <w:t>dans la région d’Och,</w:t>
      </w:r>
      <w:r w:rsidRPr="00466CE7">
        <w:rPr>
          <w:lang w:val="fr-FR"/>
        </w:rPr>
        <w:t xml:space="preserve"> 777 </w:t>
      </w:r>
      <w:r>
        <w:rPr>
          <w:lang w:val="fr-FR"/>
        </w:rPr>
        <w:t xml:space="preserve">dans la région de </w:t>
      </w:r>
      <w:proofErr w:type="spellStart"/>
      <w:r>
        <w:rPr>
          <w:lang w:val="fr-FR"/>
        </w:rPr>
        <w:t>Djalal-Abad</w:t>
      </w:r>
      <w:proofErr w:type="spellEnd"/>
      <w:r>
        <w:rPr>
          <w:lang w:val="fr-FR"/>
        </w:rPr>
        <w:t>,</w:t>
      </w:r>
      <w:r w:rsidRPr="00466CE7">
        <w:rPr>
          <w:lang w:val="fr-FR"/>
        </w:rPr>
        <w:t xml:space="preserve"> 186</w:t>
      </w:r>
      <w:r w:rsidRPr="00CD5F59">
        <w:rPr>
          <w:lang w:val="fr-FR"/>
        </w:rPr>
        <w:t xml:space="preserve"> </w:t>
      </w:r>
      <w:r w:rsidRPr="00466CE7">
        <w:rPr>
          <w:lang w:val="fr-FR"/>
        </w:rPr>
        <w:t xml:space="preserve">dans la </w:t>
      </w:r>
      <w:r>
        <w:rPr>
          <w:lang w:val="fr-FR"/>
        </w:rPr>
        <w:t xml:space="preserve">région </w:t>
      </w:r>
      <w:r w:rsidRPr="00466CE7">
        <w:rPr>
          <w:lang w:val="fr-FR"/>
        </w:rPr>
        <w:t>de Talas</w:t>
      </w:r>
      <w:r>
        <w:rPr>
          <w:lang w:val="fr-FR"/>
        </w:rPr>
        <w:t xml:space="preserve"> et</w:t>
      </w:r>
      <w:r w:rsidRPr="00466CE7">
        <w:rPr>
          <w:lang w:val="fr-FR"/>
        </w:rPr>
        <w:t xml:space="preserve"> 213 dans la </w:t>
      </w:r>
      <w:r>
        <w:rPr>
          <w:lang w:val="fr-FR"/>
        </w:rPr>
        <w:t xml:space="preserve">région </w:t>
      </w:r>
      <w:r w:rsidRPr="00466CE7">
        <w:rPr>
          <w:lang w:val="fr-FR"/>
        </w:rPr>
        <w:t xml:space="preserve">de </w:t>
      </w:r>
      <w:proofErr w:type="spellStart"/>
      <w:r w:rsidRPr="00466CE7">
        <w:rPr>
          <w:lang w:val="fr-FR"/>
        </w:rPr>
        <w:t>Batken</w:t>
      </w:r>
      <w:proofErr w:type="spellEnd"/>
      <w:r w:rsidRPr="00466CE7">
        <w:rPr>
          <w:lang w:val="fr-FR"/>
        </w:rPr>
        <w:t>.</w:t>
      </w:r>
    </w:p>
    <w:p w14:paraId="4972676A" w14:textId="77777777" w:rsidR="009C6834" w:rsidRPr="00466CE7" w:rsidRDefault="009C6834" w:rsidP="009C6834">
      <w:pPr>
        <w:pStyle w:val="SingleTxtG"/>
        <w:rPr>
          <w:lang w:val="fr-FR"/>
        </w:rPr>
      </w:pPr>
      <w:r w:rsidRPr="00466CE7">
        <w:rPr>
          <w:lang w:val="fr-FR"/>
        </w:rPr>
        <w:t>234.</w:t>
      </w:r>
      <w:r w:rsidRPr="00466CE7">
        <w:rPr>
          <w:lang w:val="fr-FR"/>
        </w:rPr>
        <w:tab/>
      </w:r>
      <w:r>
        <w:rPr>
          <w:lang w:val="fr-FR"/>
        </w:rPr>
        <w:t xml:space="preserve">Le nombre des ordonnances </w:t>
      </w:r>
      <w:r w:rsidRPr="00466CE7">
        <w:rPr>
          <w:lang w:val="fr-FR"/>
        </w:rPr>
        <w:t xml:space="preserve">de protection prolongée </w:t>
      </w:r>
      <w:r>
        <w:rPr>
          <w:lang w:val="fr-FR"/>
        </w:rPr>
        <w:t>s’élevait à 790</w:t>
      </w:r>
      <w:r w:rsidRPr="00466CE7">
        <w:rPr>
          <w:lang w:val="fr-FR"/>
        </w:rPr>
        <w:t>.</w:t>
      </w:r>
    </w:p>
    <w:p w14:paraId="44F623AD" w14:textId="68AB36E3" w:rsidR="009C6834" w:rsidRPr="00466CE7" w:rsidRDefault="009C6834" w:rsidP="009C6834">
      <w:pPr>
        <w:pStyle w:val="SingleTxtG"/>
        <w:rPr>
          <w:lang w:val="fr-FR"/>
        </w:rPr>
      </w:pPr>
      <w:r w:rsidRPr="00466CE7">
        <w:rPr>
          <w:lang w:val="fr-FR"/>
        </w:rPr>
        <w:t>235.</w:t>
      </w:r>
      <w:r w:rsidRPr="00466CE7">
        <w:rPr>
          <w:lang w:val="fr-FR"/>
        </w:rPr>
        <w:tab/>
      </w:r>
      <w:r>
        <w:rPr>
          <w:lang w:val="fr-FR"/>
        </w:rPr>
        <w:t>L</w:t>
      </w:r>
      <w:r w:rsidRPr="00466CE7">
        <w:rPr>
          <w:lang w:val="fr-FR"/>
        </w:rPr>
        <w:t xml:space="preserve">es ordonnances de protection </w:t>
      </w:r>
      <w:r>
        <w:rPr>
          <w:lang w:val="fr-FR"/>
        </w:rPr>
        <w:t>concernaient 169</w:t>
      </w:r>
      <w:r w:rsidR="008315BF">
        <w:rPr>
          <w:lang w:val="fr-FR"/>
        </w:rPr>
        <w:t> </w:t>
      </w:r>
      <w:r>
        <w:rPr>
          <w:lang w:val="fr-FR"/>
        </w:rPr>
        <w:t>mineurs :</w:t>
      </w:r>
      <w:r w:rsidRPr="00466CE7">
        <w:rPr>
          <w:lang w:val="fr-FR"/>
        </w:rPr>
        <w:t xml:space="preserve"> 81</w:t>
      </w:r>
      <w:r w:rsidR="008315BF">
        <w:rPr>
          <w:lang w:val="fr-FR"/>
        </w:rPr>
        <w:t> </w:t>
      </w:r>
      <w:r w:rsidRPr="00466CE7">
        <w:rPr>
          <w:lang w:val="fr-FR"/>
        </w:rPr>
        <w:t>garçons et 88</w:t>
      </w:r>
      <w:r w:rsidR="008315BF">
        <w:rPr>
          <w:lang w:val="fr-FR"/>
        </w:rPr>
        <w:t> </w:t>
      </w:r>
      <w:r w:rsidRPr="00466CE7">
        <w:rPr>
          <w:lang w:val="fr-FR"/>
        </w:rPr>
        <w:t>filles.</w:t>
      </w:r>
    </w:p>
    <w:p w14:paraId="31C37958" w14:textId="3110D145" w:rsidR="009C6834" w:rsidRPr="00466CE7" w:rsidRDefault="009C6834" w:rsidP="00E1792A">
      <w:pPr>
        <w:pStyle w:val="SingleTxtG"/>
        <w:keepLines/>
        <w:rPr>
          <w:lang w:val="fr-FR"/>
        </w:rPr>
      </w:pPr>
      <w:r w:rsidRPr="00466CE7">
        <w:rPr>
          <w:lang w:val="fr-FR"/>
        </w:rPr>
        <w:lastRenderedPageBreak/>
        <w:t>236.</w:t>
      </w:r>
      <w:r w:rsidRPr="00466CE7">
        <w:rPr>
          <w:lang w:val="fr-FR"/>
        </w:rPr>
        <w:tab/>
      </w:r>
      <w:r>
        <w:rPr>
          <w:lang w:val="fr-FR"/>
        </w:rPr>
        <w:t xml:space="preserve">Au cours de cette période, </w:t>
      </w:r>
      <w:r w:rsidRPr="00466CE7">
        <w:rPr>
          <w:lang w:val="fr-FR"/>
        </w:rPr>
        <w:t>7</w:t>
      </w:r>
      <w:r w:rsidR="008315BF">
        <w:rPr>
          <w:lang w:val="fr-FR"/>
        </w:rPr>
        <w:t> </w:t>
      </w:r>
      <w:r w:rsidRPr="00466CE7">
        <w:rPr>
          <w:lang w:val="fr-FR"/>
        </w:rPr>
        <w:t>045</w:t>
      </w:r>
      <w:r w:rsidR="008315BF">
        <w:rPr>
          <w:lang w:val="fr-FR"/>
        </w:rPr>
        <w:t> </w:t>
      </w:r>
      <w:r w:rsidRPr="00466CE7">
        <w:rPr>
          <w:lang w:val="fr-FR"/>
        </w:rPr>
        <w:t xml:space="preserve">personnes ont été </w:t>
      </w:r>
      <w:r>
        <w:rPr>
          <w:lang w:val="fr-FR"/>
        </w:rPr>
        <w:t xml:space="preserve">poursuivies pour </w:t>
      </w:r>
      <w:r w:rsidRPr="00466CE7">
        <w:rPr>
          <w:lang w:val="fr-FR"/>
        </w:rPr>
        <w:t xml:space="preserve">violences </w:t>
      </w:r>
      <w:r>
        <w:rPr>
          <w:lang w:val="fr-FR"/>
        </w:rPr>
        <w:t>familiales :</w:t>
      </w:r>
      <w:r w:rsidRPr="00466CE7">
        <w:rPr>
          <w:lang w:val="fr-FR"/>
        </w:rPr>
        <w:t xml:space="preserve"> 4</w:t>
      </w:r>
      <w:r>
        <w:rPr>
          <w:lang w:val="fr-FR"/>
        </w:rPr>
        <w:t> </w:t>
      </w:r>
      <w:r w:rsidRPr="00466CE7">
        <w:rPr>
          <w:lang w:val="fr-FR"/>
        </w:rPr>
        <w:t>983 au titre de l</w:t>
      </w:r>
      <w:r>
        <w:rPr>
          <w:lang w:val="fr-FR"/>
        </w:rPr>
        <w:t>’</w:t>
      </w:r>
      <w:r w:rsidR="00CB4ECD">
        <w:rPr>
          <w:lang w:val="fr-FR"/>
        </w:rPr>
        <w:t>article </w:t>
      </w:r>
      <w:r w:rsidRPr="00466CE7">
        <w:rPr>
          <w:lang w:val="fr-FR"/>
        </w:rPr>
        <w:t xml:space="preserve">75 du </w:t>
      </w:r>
      <w:r w:rsidR="009603CF">
        <w:rPr>
          <w:lang w:val="fr-FR"/>
        </w:rPr>
        <w:t>Code</w:t>
      </w:r>
      <w:r w:rsidR="009603CF" w:rsidRPr="00466CE7">
        <w:rPr>
          <w:lang w:val="fr-FR"/>
        </w:rPr>
        <w:t xml:space="preserve"> </w:t>
      </w:r>
      <w:r>
        <w:rPr>
          <w:lang w:val="fr-FR"/>
        </w:rPr>
        <w:t>des délits (violences dans la famille</w:t>
      </w:r>
      <w:r w:rsidRPr="00466CE7">
        <w:rPr>
          <w:lang w:val="fr-FR"/>
        </w:rPr>
        <w:t>), 18 au titre de l</w:t>
      </w:r>
      <w:r>
        <w:rPr>
          <w:lang w:val="fr-FR"/>
        </w:rPr>
        <w:t>’</w:t>
      </w:r>
      <w:r w:rsidR="00CB4ECD">
        <w:rPr>
          <w:lang w:val="fr-FR"/>
        </w:rPr>
        <w:t>article </w:t>
      </w:r>
      <w:r w:rsidRPr="00466CE7">
        <w:rPr>
          <w:lang w:val="fr-FR"/>
        </w:rPr>
        <w:t>76 (non-respect d</w:t>
      </w:r>
      <w:r>
        <w:rPr>
          <w:lang w:val="fr-FR"/>
        </w:rPr>
        <w:t>’</w:t>
      </w:r>
      <w:r w:rsidRPr="00466CE7">
        <w:rPr>
          <w:lang w:val="fr-FR"/>
        </w:rPr>
        <w:t>une ordonnance de protection temporaire), 438 au titre de l</w:t>
      </w:r>
      <w:r>
        <w:rPr>
          <w:lang w:val="fr-FR"/>
        </w:rPr>
        <w:t>’</w:t>
      </w:r>
      <w:r w:rsidR="00CB4ECD">
        <w:rPr>
          <w:lang w:val="fr-FR"/>
        </w:rPr>
        <w:t>article </w:t>
      </w:r>
      <w:r w:rsidRPr="00466CE7">
        <w:rPr>
          <w:lang w:val="fr-FR"/>
        </w:rPr>
        <w:t>65 (coups et blessures)</w:t>
      </w:r>
      <w:r>
        <w:rPr>
          <w:lang w:val="fr-FR"/>
        </w:rPr>
        <w:t xml:space="preserve">, 287 au </w:t>
      </w:r>
      <w:r w:rsidRPr="00466CE7">
        <w:rPr>
          <w:lang w:val="fr-FR"/>
        </w:rPr>
        <w:t>titre de l</w:t>
      </w:r>
      <w:r>
        <w:rPr>
          <w:lang w:val="fr-FR"/>
        </w:rPr>
        <w:t>’</w:t>
      </w:r>
      <w:r w:rsidR="00CB4ECD">
        <w:rPr>
          <w:lang w:val="fr-FR"/>
        </w:rPr>
        <w:t>article </w:t>
      </w:r>
      <w:r w:rsidRPr="00466CE7">
        <w:rPr>
          <w:lang w:val="fr-FR"/>
        </w:rPr>
        <w:t xml:space="preserve">66 (atteinte </w:t>
      </w:r>
      <w:r>
        <w:rPr>
          <w:lang w:val="fr-FR"/>
        </w:rPr>
        <w:t xml:space="preserve">légère </w:t>
      </w:r>
      <w:r w:rsidRPr="00466CE7">
        <w:rPr>
          <w:lang w:val="fr-FR"/>
        </w:rPr>
        <w:t>à la santé)</w:t>
      </w:r>
      <w:r>
        <w:rPr>
          <w:lang w:val="fr-FR"/>
        </w:rPr>
        <w:t xml:space="preserve">, 95 </w:t>
      </w:r>
      <w:r w:rsidRPr="00466CE7">
        <w:rPr>
          <w:lang w:val="fr-FR"/>
        </w:rPr>
        <w:t>au titre de l</w:t>
      </w:r>
      <w:r>
        <w:rPr>
          <w:lang w:val="fr-FR"/>
        </w:rPr>
        <w:t>’</w:t>
      </w:r>
      <w:r w:rsidR="00CB4ECD">
        <w:rPr>
          <w:lang w:val="fr-FR"/>
        </w:rPr>
        <w:t>article </w:t>
      </w:r>
      <w:r w:rsidRPr="00466CE7">
        <w:rPr>
          <w:lang w:val="fr-FR"/>
        </w:rPr>
        <w:t xml:space="preserve">67 (atteinte à la santé </w:t>
      </w:r>
      <w:r>
        <w:rPr>
          <w:lang w:val="fr-FR"/>
        </w:rPr>
        <w:t xml:space="preserve">de moindre gravité </w:t>
      </w:r>
      <w:r w:rsidRPr="00466CE7">
        <w:rPr>
          <w:lang w:val="fr-FR"/>
        </w:rPr>
        <w:t>par négligence)</w:t>
      </w:r>
      <w:r>
        <w:rPr>
          <w:lang w:val="fr-FR"/>
        </w:rPr>
        <w:t>,</w:t>
      </w:r>
      <w:r w:rsidRPr="00466CE7">
        <w:rPr>
          <w:lang w:val="fr-FR"/>
        </w:rPr>
        <w:t xml:space="preserve"> </w:t>
      </w:r>
      <w:r>
        <w:rPr>
          <w:lang w:val="fr-FR"/>
        </w:rPr>
        <w:t xml:space="preserve">833 </w:t>
      </w:r>
      <w:r w:rsidRPr="00466CE7">
        <w:rPr>
          <w:lang w:val="fr-FR"/>
        </w:rPr>
        <w:t>a</w:t>
      </w:r>
      <w:r>
        <w:rPr>
          <w:lang w:val="fr-FR"/>
        </w:rPr>
        <w:t>u titre de l’</w:t>
      </w:r>
      <w:r w:rsidR="00CB4ECD">
        <w:rPr>
          <w:lang w:val="fr-FR"/>
        </w:rPr>
        <w:t>article </w:t>
      </w:r>
      <w:r>
        <w:rPr>
          <w:lang w:val="fr-FR"/>
        </w:rPr>
        <w:t>119 (violences légères</w:t>
      </w:r>
      <w:r w:rsidRPr="00466CE7">
        <w:rPr>
          <w:lang w:val="fr-FR"/>
        </w:rPr>
        <w:t>) et 391</w:t>
      </w:r>
      <w:r>
        <w:rPr>
          <w:lang w:val="fr-FR"/>
        </w:rPr>
        <w:t xml:space="preserve"> au titre d’autres articles.</w:t>
      </w:r>
    </w:p>
    <w:p w14:paraId="3312E21D" w14:textId="409F5D16" w:rsidR="009C6834" w:rsidRPr="00466CE7" w:rsidRDefault="009C6834" w:rsidP="009C6834">
      <w:pPr>
        <w:pStyle w:val="SingleTxtG"/>
        <w:rPr>
          <w:lang w:val="fr-FR"/>
        </w:rPr>
      </w:pPr>
      <w:r w:rsidRPr="00466CE7">
        <w:rPr>
          <w:lang w:val="fr-FR"/>
        </w:rPr>
        <w:t>237.</w:t>
      </w:r>
      <w:r w:rsidRPr="00466CE7">
        <w:rPr>
          <w:lang w:val="fr-FR"/>
        </w:rPr>
        <w:tab/>
      </w:r>
      <w:r>
        <w:rPr>
          <w:lang w:val="fr-FR"/>
        </w:rPr>
        <w:t>129</w:t>
      </w:r>
      <w:r w:rsidR="008315BF">
        <w:rPr>
          <w:lang w:val="fr-FR"/>
        </w:rPr>
        <w:t> </w:t>
      </w:r>
      <w:r>
        <w:rPr>
          <w:lang w:val="fr-FR"/>
        </w:rPr>
        <w:t>personnes ont été poursuivies au titre de l’</w:t>
      </w:r>
      <w:r w:rsidR="00CB4ECD">
        <w:rPr>
          <w:lang w:val="fr-FR"/>
        </w:rPr>
        <w:t>article </w:t>
      </w:r>
      <w:r>
        <w:rPr>
          <w:lang w:val="fr-FR"/>
        </w:rPr>
        <w:t xml:space="preserve">61 du </w:t>
      </w:r>
      <w:r w:rsidR="009603CF">
        <w:rPr>
          <w:lang w:val="fr-FR"/>
        </w:rPr>
        <w:t>Code</w:t>
      </w:r>
      <w:r>
        <w:rPr>
          <w:lang w:val="fr-FR"/>
        </w:rPr>
        <w:t xml:space="preserve"> des délits </w:t>
      </w:r>
      <w:r w:rsidRPr="00466CE7">
        <w:rPr>
          <w:lang w:val="fr-FR"/>
        </w:rPr>
        <w:t>(</w:t>
      </w:r>
      <w:r>
        <w:rPr>
          <w:lang w:val="fr-FR"/>
        </w:rPr>
        <w:t xml:space="preserve">soustraction aux </w:t>
      </w:r>
      <w:r w:rsidRPr="00466CE7">
        <w:rPr>
          <w:lang w:val="fr-FR"/>
        </w:rPr>
        <w:t>responsabilités parentales).</w:t>
      </w:r>
    </w:p>
    <w:p w14:paraId="76792E66" w14:textId="25E640A0" w:rsidR="009C6834" w:rsidRPr="00466CE7" w:rsidRDefault="009C6834" w:rsidP="009C6834">
      <w:pPr>
        <w:pStyle w:val="SingleTxtG"/>
        <w:rPr>
          <w:lang w:val="fr-FR"/>
        </w:rPr>
      </w:pPr>
      <w:r w:rsidRPr="00466CE7">
        <w:rPr>
          <w:lang w:val="fr-FR"/>
        </w:rPr>
        <w:t>238.</w:t>
      </w:r>
      <w:r w:rsidRPr="00466CE7">
        <w:rPr>
          <w:lang w:val="fr-FR"/>
        </w:rPr>
        <w:tab/>
      </w:r>
      <w:r>
        <w:rPr>
          <w:lang w:val="fr-FR"/>
        </w:rPr>
        <w:t>O</w:t>
      </w:r>
      <w:r w:rsidRPr="00466CE7">
        <w:rPr>
          <w:lang w:val="fr-FR"/>
        </w:rPr>
        <w:t xml:space="preserve">nt </w:t>
      </w:r>
      <w:r>
        <w:rPr>
          <w:lang w:val="fr-FR"/>
        </w:rPr>
        <w:t xml:space="preserve">donné lieu à des poursuites pénales </w:t>
      </w:r>
      <w:r w:rsidRPr="00466CE7">
        <w:rPr>
          <w:lang w:val="fr-FR"/>
        </w:rPr>
        <w:t>649</w:t>
      </w:r>
      <w:r w:rsidR="008315BF">
        <w:rPr>
          <w:lang w:val="fr-FR"/>
        </w:rPr>
        <w:t> </w:t>
      </w:r>
      <w:r>
        <w:rPr>
          <w:lang w:val="fr-FR"/>
        </w:rPr>
        <w:t xml:space="preserve">faits </w:t>
      </w:r>
      <w:r w:rsidRPr="00466CE7">
        <w:rPr>
          <w:lang w:val="fr-FR"/>
        </w:rPr>
        <w:t xml:space="preserve">de violence familiale, dont 41 à </w:t>
      </w:r>
      <w:r>
        <w:rPr>
          <w:lang w:val="fr-FR"/>
        </w:rPr>
        <w:t>Bichkek, 6 à Oc</w:t>
      </w:r>
      <w:r w:rsidRPr="00466CE7">
        <w:rPr>
          <w:lang w:val="fr-FR"/>
        </w:rPr>
        <w:t xml:space="preserve">h, 155 </w:t>
      </w:r>
      <w:r>
        <w:rPr>
          <w:lang w:val="fr-FR"/>
        </w:rPr>
        <w:t xml:space="preserve">dans la région de </w:t>
      </w:r>
      <w:proofErr w:type="spellStart"/>
      <w:r>
        <w:rPr>
          <w:lang w:val="fr-FR"/>
        </w:rPr>
        <w:t>Tc</w:t>
      </w:r>
      <w:r w:rsidRPr="00466CE7">
        <w:rPr>
          <w:lang w:val="fr-FR"/>
        </w:rPr>
        <w:t>h</w:t>
      </w:r>
      <w:r>
        <w:rPr>
          <w:lang w:val="fr-FR"/>
        </w:rPr>
        <w:t>o</w:t>
      </w:r>
      <w:r w:rsidRPr="00466CE7">
        <w:rPr>
          <w:lang w:val="fr-FR"/>
        </w:rPr>
        <w:t>u</w:t>
      </w:r>
      <w:r>
        <w:rPr>
          <w:lang w:val="fr-FR"/>
        </w:rPr>
        <w:t>ï</w:t>
      </w:r>
      <w:proofErr w:type="spellEnd"/>
      <w:r w:rsidRPr="00466CE7">
        <w:rPr>
          <w:lang w:val="fr-FR"/>
        </w:rPr>
        <w:t xml:space="preserve">, 57 </w:t>
      </w:r>
      <w:r>
        <w:rPr>
          <w:lang w:val="fr-FR"/>
        </w:rPr>
        <w:t>dans la région d’</w:t>
      </w:r>
      <w:r w:rsidRPr="00466CE7">
        <w:rPr>
          <w:lang w:val="fr-FR"/>
        </w:rPr>
        <w:t>Issyk-K</w:t>
      </w:r>
      <w:r>
        <w:rPr>
          <w:lang w:val="fr-FR"/>
        </w:rPr>
        <w:t>o</w:t>
      </w:r>
      <w:r w:rsidRPr="00466CE7">
        <w:rPr>
          <w:lang w:val="fr-FR"/>
        </w:rPr>
        <w:t xml:space="preserve">ul, 103 </w:t>
      </w:r>
      <w:r>
        <w:rPr>
          <w:lang w:val="fr-FR"/>
        </w:rPr>
        <w:t xml:space="preserve">dans la région de </w:t>
      </w:r>
      <w:r w:rsidRPr="00466CE7">
        <w:rPr>
          <w:lang w:val="fr-FR"/>
        </w:rPr>
        <w:t xml:space="preserve">Naryn, 174 </w:t>
      </w:r>
      <w:r>
        <w:rPr>
          <w:lang w:val="fr-FR"/>
        </w:rPr>
        <w:t>dans la région d’Och</w:t>
      </w:r>
      <w:r w:rsidRPr="00466CE7">
        <w:rPr>
          <w:lang w:val="fr-FR"/>
        </w:rPr>
        <w:t xml:space="preserve">, 18 </w:t>
      </w:r>
      <w:r>
        <w:rPr>
          <w:lang w:val="fr-FR"/>
        </w:rPr>
        <w:t xml:space="preserve">dans la région de de </w:t>
      </w:r>
      <w:proofErr w:type="spellStart"/>
      <w:r>
        <w:rPr>
          <w:lang w:val="fr-FR"/>
        </w:rPr>
        <w:t>Dj</w:t>
      </w:r>
      <w:r w:rsidRPr="00466CE7">
        <w:rPr>
          <w:lang w:val="fr-FR"/>
        </w:rPr>
        <w:t>alal-Abad</w:t>
      </w:r>
      <w:proofErr w:type="spellEnd"/>
      <w:r w:rsidRPr="00466CE7">
        <w:rPr>
          <w:lang w:val="fr-FR"/>
        </w:rPr>
        <w:t xml:space="preserve">, 4 </w:t>
      </w:r>
      <w:r>
        <w:rPr>
          <w:lang w:val="fr-FR"/>
        </w:rPr>
        <w:t xml:space="preserve">dans la région de </w:t>
      </w:r>
      <w:r w:rsidRPr="00466CE7">
        <w:rPr>
          <w:lang w:val="fr-FR"/>
        </w:rPr>
        <w:t xml:space="preserve">Talas et 91 </w:t>
      </w:r>
      <w:r>
        <w:rPr>
          <w:lang w:val="fr-FR"/>
        </w:rPr>
        <w:t xml:space="preserve">dans la région de </w:t>
      </w:r>
      <w:proofErr w:type="spellStart"/>
      <w:r w:rsidRPr="00466CE7">
        <w:rPr>
          <w:lang w:val="fr-FR"/>
        </w:rPr>
        <w:t>Batken</w:t>
      </w:r>
      <w:proofErr w:type="spellEnd"/>
      <w:r w:rsidRPr="00466CE7">
        <w:rPr>
          <w:lang w:val="fr-FR"/>
        </w:rPr>
        <w:t>.</w:t>
      </w:r>
    </w:p>
    <w:p w14:paraId="21F60448" w14:textId="1F9031F7" w:rsidR="009C6834" w:rsidRPr="00466CE7" w:rsidRDefault="009C6834" w:rsidP="009C6834">
      <w:pPr>
        <w:pStyle w:val="SingleTxtG"/>
        <w:rPr>
          <w:lang w:val="fr-FR"/>
        </w:rPr>
      </w:pPr>
      <w:r w:rsidRPr="00466CE7">
        <w:rPr>
          <w:lang w:val="fr-FR"/>
        </w:rPr>
        <w:t>239.</w:t>
      </w:r>
      <w:r w:rsidRPr="00466CE7">
        <w:rPr>
          <w:lang w:val="fr-FR"/>
        </w:rPr>
        <w:tab/>
        <w:t xml:space="preserve">En 2019, les </w:t>
      </w:r>
      <w:r>
        <w:rPr>
          <w:lang w:val="fr-FR"/>
        </w:rPr>
        <w:t xml:space="preserve">services du </w:t>
      </w:r>
      <w:r w:rsidRPr="00466CE7">
        <w:rPr>
          <w:lang w:val="fr-FR"/>
        </w:rPr>
        <w:t xml:space="preserve">parquet ont </w:t>
      </w:r>
      <w:r>
        <w:rPr>
          <w:lang w:val="fr-FR"/>
        </w:rPr>
        <w:t>établi</w:t>
      </w:r>
      <w:r w:rsidRPr="00466CE7">
        <w:rPr>
          <w:lang w:val="fr-FR"/>
        </w:rPr>
        <w:t xml:space="preserve"> 73</w:t>
      </w:r>
      <w:r w:rsidR="008315BF">
        <w:rPr>
          <w:lang w:val="fr-FR"/>
        </w:rPr>
        <w:t> </w:t>
      </w:r>
      <w:r>
        <w:rPr>
          <w:lang w:val="fr-FR"/>
        </w:rPr>
        <w:t xml:space="preserve">infractions </w:t>
      </w:r>
      <w:r w:rsidRPr="00466CE7">
        <w:rPr>
          <w:lang w:val="fr-FR"/>
        </w:rPr>
        <w:t xml:space="preserve">dans le cadre </w:t>
      </w:r>
      <w:r>
        <w:rPr>
          <w:lang w:val="fr-FR"/>
        </w:rPr>
        <w:t xml:space="preserve">du contrôle de l’application </w:t>
      </w:r>
      <w:r w:rsidRPr="00466CE7">
        <w:rPr>
          <w:lang w:val="fr-FR"/>
        </w:rPr>
        <w:t>par les organes de l</w:t>
      </w:r>
      <w:r>
        <w:rPr>
          <w:lang w:val="fr-FR"/>
        </w:rPr>
        <w:t>’</w:t>
      </w:r>
      <w:r w:rsidRPr="00466CE7">
        <w:rPr>
          <w:lang w:val="fr-FR"/>
        </w:rPr>
        <w:t>État et les autorités locales concerné</w:t>
      </w:r>
      <w:r>
        <w:rPr>
          <w:lang w:val="fr-FR"/>
        </w:rPr>
        <w:t>e</w:t>
      </w:r>
      <w:r w:rsidRPr="00466CE7">
        <w:rPr>
          <w:lang w:val="fr-FR"/>
        </w:rPr>
        <w:t xml:space="preserve">s de la </w:t>
      </w:r>
      <w:r>
        <w:rPr>
          <w:lang w:val="fr-FR"/>
        </w:rPr>
        <w:t xml:space="preserve">loi relative à la </w:t>
      </w:r>
      <w:r w:rsidRPr="00466CE7">
        <w:rPr>
          <w:lang w:val="fr-FR"/>
        </w:rPr>
        <w:t>protection c</w:t>
      </w:r>
      <w:r>
        <w:rPr>
          <w:lang w:val="fr-FR"/>
        </w:rPr>
        <w:t xml:space="preserve">ontre la violence familiale ; ils ont pris </w:t>
      </w:r>
      <w:r w:rsidRPr="00466CE7">
        <w:rPr>
          <w:lang w:val="fr-FR"/>
        </w:rPr>
        <w:t>67</w:t>
      </w:r>
      <w:r w:rsidR="008315BF">
        <w:rPr>
          <w:lang w:val="fr-FR"/>
        </w:rPr>
        <w:t> </w:t>
      </w:r>
      <w:r>
        <w:rPr>
          <w:lang w:val="fr-FR"/>
        </w:rPr>
        <w:t xml:space="preserve">mesures pour y remédier, qui ont donné lieu à l’ouverture de poursuites disciplinaires à l’égard de </w:t>
      </w:r>
      <w:r w:rsidRPr="00466CE7">
        <w:rPr>
          <w:lang w:val="fr-FR"/>
        </w:rPr>
        <w:t>107</w:t>
      </w:r>
      <w:r w:rsidR="008315BF">
        <w:rPr>
          <w:lang w:val="fr-FR"/>
        </w:rPr>
        <w:t> </w:t>
      </w:r>
      <w:r w:rsidRPr="00466CE7">
        <w:rPr>
          <w:lang w:val="fr-FR"/>
        </w:rPr>
        <w:t xml:space="preserve">personnes. </w:t>
      </w:r>
    </w:p>
    <w:p w14:paraId="760EF021" w14:textId="364D4397" w:rsidR="009C6834" w:rsidRPr="00466CE7" w:rsidRDefault="009C6834" w:rsidP="009C6834">
      <w:pPr>
        <w:pStyle w:val="SingleTxtG"/>
        <w:rPr>
          <w:lang w:val="fr-FR"/>
        </w:rPr>
      </w:pPr>
      <w:r w:rsidRPr="00466CE7">
        <w:rPr>
          <w:lang w:val="fr-FR"/>
        </w:rPr>
        <w:t>240.</w:t>
      </w:r>
      <w:r>
        <w:rPr>
          <w:lang w:val="fr-FR"/>
        </w:rPr>
        <w:tab/>
        <w:t>En 2019, 6</w:t>
      </w:r>
      <w:r w:rsidR="008315BF">
        <w:rPr>
          <w:lang w:val="fr-FR"/>
        </w:rPr>
        <w:t> </w:t>
      </w:r>
      <w:r>
        <w:rPr>
          <w:lang w:val="fr-FR"/>
        </w:rPr>
        <w:t>145</w:t>
      </w:r>
      <w:r w:rsidR="008315BF">
        <w:rPr>
          <w:lang w:val="fr-FR"/>
        </w:rPr>
        <w:t> </w:t>
      </w:r>
      <w:r>
        <w:rPr>
          <w:lang w:val="fr-FR"/>
        </w:rPr>
        <w:t>faits de violence</w:t>
      </w:r>
      <w:r w:rsidRPr="00466CE7">
        <w:rPr>
          <w:lang w:val="fr-FR"/>
        </w:rPr>
        <w:t xml:space="preserve"> </w:t>
      </w:r>
      <w:r>
        <w:rPr>
          <w:lang w:val="fr-FR"/>
        </w:rPr>
        <w:t>familiale</w:t>
      </w:r>
      <w:r w:rsidRPr="00466CE7">
        <w:rPr>
          <w:lang w:val="fr-FR"/>
        </w:rPr>
        <w:t xml:space="preserve"> ont été</w:t>
      </w:r>
      <w:r>
        <w:rPr>
          <w:lang w:val="fr-FR"/>
        </w:rPr>
        <w:t xml:space="preserve"> enregistrés dans le pays, visant </w:t>
      </w:r>
      <w:r w:rsidRPr="00466CE7">
        <w:rPr>
          <w:lang w:val="fr-FR"/>
        </w:rPr>
        <w:t>5</w:t>
      </w:r>
      <w:r w:rsidR="008315BF">
        <w:rPr>
          <w:lang w:val="fr-FR"/>
        </w:rPr>
        <w:t> </w:t>
      </w:r>
      <w:r w:rsidRPr="00466CE7">
        <w:rPr>
          <w:lang w:val="fr-FR"/>
        </w:rPr>
        <w:t>659</w:t>
      </w:r>
      <w:r w:rsidR="008315BF">
        <w:rPr>
          <w:lang w:val="fr-FR"/>
        </w:rPr>
        <w:t> </w:t>
      </w:r>
      <w:r w:rsidRPr="00466CE7">
        <w:rPr>
          <w:lang w:val="fr-FR"/>
        </w:rPr>
        <w:t>femmes et 486</w:t>
      </w:r>
      <w:r w:rsidR="008315BF">
        <w:rPr>
          <w:lang w:val="fr-FR"/>
        </w:rPr>
        <w:t> </w:t>
      </w:r>
      <w:r w:rsidRPr="00466CE7">
        <w:rPr>
          <w:lang w:val="fr-FR"/>
        </w:rPr>
        <w:t xml:space="preserve">hommes, </w:t>
      </w:r>
      <w:r>
        <w:rPr>
          <w:lang w:val="fr-FR"/>
        </w:rPr>
        <w:t xml:space="preserve">dont </w:t>
      </w:r>
      <w:r w:rsidRPr="00466CE7">
        <w:rPr>
          <w:lang w:val="fr-FR"/>
        </w:rPr>
        <w:t>169</w:t>
      </w:r>
      <w:r w:rsidR="008315BF">
        <w:rPr>
          <w:lang w:val="fr-FR"/>
        </w:rPr>
        <w:t> </w:t>
      </w:r>
      <w:r>
        <w:rPr>
          <w:lang w:val="fr-FR"/>
        </w:rPr>
        <w:t>mineurs (81</w:t>
      </w:r>
      <w:r w:rsidR="008315BF">
        <w:rPr>
          <w:lang w:val="fr-FR"/>
        </w:rPr>
        <w:t> </w:t>
      </w:r>
      <w:r>
        <w:rPr>
          <w:lang w:val="fr-FR"/>
        </w:rPr>
        <w:t xml:space="preserve">garçons et </w:t>
      </w:r>
      <w:r w:rsidRPr="00466CE7">
        <w:rPr>
          <w:lang w:val="fr-FR"/>
        </w:rPr>
        <w:t>88</w:t>
      </w:r>
      <w:r w:rsidR="008315BF">
        <w:rPr>
          <w:lang w:val="fr-FR"/>
        </w:rPr>
        <w:t> </w:t>
      </w:r>
      <w:r w:rsidRPr="00466CE7">
        <w:rPr>
          <w:lang w:val="fr-FR"/>
        </w:rPr>
        <w:t>filles).</w:t>
      </w:r>
    </w:p>
    <w:p w14:paraId="361F281C" w14:textId="1D6DF1C3" w:rsidR="009C6834" w:rsidRPr="00466CE7" w:rsidRDefault="009C6834" w:rsidP="009C6834">
      <w:pPr>
        <w:pStyle w:val="SingleTxtG"/>
        <w:rPr>
          <w:lang w:val="fr-FR"/>
        </w:rPr>
      </w:pPr>
      <w:r w:rsidRPr="00466CE7">
        <w:rPr>
          <w:lang w:val="fr-FR"/>
        </w:rPr>
        <w:t>241.</w:t>
      </w:r>
      <w:r w:rsidRPr="00466CE7">
        <w:rPr>
          <w:lang w:val="fr-FR"/>
        </w:rPr>
        <w:tab/>
      </w:r>
      <w:r>
        <w:rPr>
          <w:lang w:val="fr-FR"/>
        </w:rPr>
        <w:t>Sur l’ensemble de ces faits</w:t>
      </w:r>
      <w:r w:rsidRPr="00466CE7">
        <w:rPr>
          <w:lang w:val="fr-FR"/>
        </w:rPr>
        <w:t>,</w:t>
      </w:r>
      <w:r w:rsidRPr="0041149D">
        <w:rPr>
          <w:lang w:val="fr-FR"/>
        </w:rPr>
        <w:t xml:space="preserve"> </w:t>
      </w:r>
      <w:r w:rsidRPr="00466CE7">
        <w:rPr>
          <w:lang w:val="fr-FR"/>
        </w:rPr>
        <w:t xml:space="preserve">649 </w:t>
      </w:r>
      <w:r>
        <w:rPr>
          <w:lang w:val="fr-FR"/>
        </w:rPr>
        <w:t>ont été enregistrés dans</w:t>
      </w:r>
      <w:r w:rsidRPr="00466CE7">
        <w:rPr>
          <w:lang w:val="fr-FR"/>
        </w:rPr>
        <w:t xml:space="preserve"> </w:t>
      </w:r>
      <w:r>
        <w:rPr>
          <w:lang w:val="fr-FR"/>
        </w:rPr>
        <w:t xml:space="preserve">le système automatisé du registre centralisé des crimes et délits au titre d’articles du </w:t>
      </w:r>
      <w:r w:rsidR="000479B3">
        <w:rPr>
          <w:lang w:val="fr-FR"/>
        </w:rPr>
        <w:t>Code pénal</w:t>
      </w:r>
      <w:r w:rsidRPr="00466CE7">
        <w:rPr>
          <w:lang w:val="fr-FR"/>
        </w:rPr>
        <w:t xml:space="preserve"> (</w:t>
      </w:r>
      <w:r>
        <w:rPr>
          <w:lang w:val="fr-FR"/>
        </w:rPr>
        <w:t>4</w:t>
      </w:r>
      <w:r w:rsidR="008315BF">
        <w:rPr>
          <w:lang w:val="fr-FR"/>
        </w:rPr>
        <w:t> </w:t>
      </w:r>
      <w:r>
        <w:rPr>
          <w:lang w:val="fr-FR"/>
        </w:rPr>
        <w:t>homicides, 451 </w:t>
      </w:r>
      <w:r w:rsidRPr="00466CE7">
        <w:rPr>
          <w:lang w:val="fr-FR"/>
        </w:rPr>
        <w:t>atteinte</w:t>
      </w:r>
      <w:r>
        <w:rPr>
          <w:lang w:val="fr-FR"/>
        </w:rPr>
        <w:t>s</w:t>
      </w:r>
      <w:r w:rsidRPr="00466CE7">
        <w:rPr>
          <w:lang w:val="fr-FR"/>
        </w:rPr>
        <w:t xml:space="preserve"> à la santé </w:t>
      </w:r>
      <w:r>
        <w:rPr>
          <w:lang w:val="fr-FR"/>
        </w:rPr>
        <w:t xml:space="preserve">de moindre gravité ou </w:t>
      </w:r>
      <w:r w:rsidRPr="00466CE7">
        <w:rPr>
          <w:lang w:val="fr-FR"/>
        </w:rPr>
        <w:t>grave</w:t>
      </w:r>
      <w:r>
        <w:rPr>
          <w:lang w:val="fr-FR"/>
        </w:rPr>
        <w:t>s</w:t>
      </w:r>
      <w:r w:rsidRPr="00466CE7">
        <w:rPr>
          <w:lang w:val="fr-FR"/>
        </w:rPr>
        <w:t xml:space="preserve">, </w:t>
      </w:r>
      <w:r>
        <w:rPr>
          <w:lang w:val="fr-FR"/>
        </w:rPr>
        <w:t>6</w:t>
      </w:r>
      <w:r w:rsidR="008315BF">
        <w:rPr>
          <w:lang w:val="fr-FR"/>
        </w:rPr>
        <w:t> </w:t>
      </w:r>
      <w:r w:rsidRPr="00466CE7">
        <w:rPr>
          <w:lang w:val="fr-FR"/>
        </w:rPr>
        <w:t>viol</w:t>
      </w:r>
      <w:r>
        <w:rPr>
          <w:lang w:val="fr-FR"/>
        </w:rPr>
        <w:t>s</w:t>
      </w:r>
      <w:r w:rsidRPr="00466CE7">
        <w:rPr>
          <w:lang w:val="fr-FR"/>
        </w:rPr>
        <w:t xml:space="preserve"> </w:t>
      </w:r>
      <w:r>
        <w:rPr>
          <w:lang w:val="fr-FR"/>
        </w:rPr>
        <w:t xml:space="preserve">et </w:t>
      </w:r>
      <w:r w:rsidRPr="00466CE7">
        <w:rPr>
          <w:lang w:val="fr-FR"/>
        </w:rPr>
        <w:t>actes violents à caractère sexuel)</w:t>
      </w:r>
      <w:r>
        <w:rPr>
          <w:lang w:val="fr-FR"/>
        </w:rPr>
        <w:t>,</w:t>
      </w:r>
      <w:r w:rsidRPr="00466CE7">
        <w:rPr>
          <w:lang w:val="fr-FR"/>
        </w:rPr>
        <w:t xml:space="preserve"> et 5</w:t>
      </w:r>
      <w:r>
        <w:rPr>
          <w:lang w:val="fr-FR"/>
        </w:rPr>
        <w:t> </w:t>
      </w:r>
      <w:r w:rsidRPr="00466CE7">
        <w:rPr>
          <w:lang w:val="fr-FR"/>
        </w:rPr>
        <w:t xml:space="preserve">496 </w:t>
      </w:r>
      <w:r>
        <w:rPr>
          <w:lang w:val="fr-FR"/>
        </w:rPr>
        <w:t>au titre de l’</w:t>
      </w:r>
      <w:r w:rsidR="00CB4ECD">
        <w:rPr>
          <w:lang w:val="fr-FR"/>
        </w:rPr>
        <w:t>article </w:t>
      </w:r>
      <w:r w:rsidRPr="00466CE7">
        <w:rPr>
          <w:lang w:val="fr-FR"/>
        </w:rPr>
        <w:t xml:space="preserve">75 du </w:t>
      </w:r>
      <w:r w:rsidR="009603CF">
        <w:rPr>
          <w:lang w:val="fr-FR"/>
        </w:rPr>
        <w:t>Code</w:t>
      </w:r>
      <w:r w:rsidRPr="00466CE7">
        <w:rPr>
          <w:lang w:val="fr-FR"/>
        </w:rPr>
        <w:t xml:space="preserve"> des délits.</w:t>
      </w:r>
    </w:p>
    <w:p w14:paraId="64529967" w14:textId="4C7D0EDA" w:rsidR="009C6834" w:rsidRPr="00466CE7" w:rsidRDefault="009C6834" w:rsidP="009C6834">
      <w:pPr>
        <w:pStyle w:val="SingleTxtG"/>
        <w:rPr>
          <w:lang w:val="fr-FR"/>
        </w:rPr>
      </w:pPr>
      <w:r w:rsidRPr="00466CE7">
        <w:rPr>
          <w:lang w:val="fr-FR"/>
        </w:rPr>
        <w:t>242.</w:t>
      </w:r>
      <w:r w:rsidRPr="00466CE7">
        <w:rPr>
          <w:lang w:val="fr-FR"/>
        </w:rPr>
        <w:tab/>
      </w:r>
      <w:r>
        <w:rPr>
          <w:lang w:val="fr-FR"/>
        </w:rPr>
        <w:t xml:space="preserve">Pour le repérage, l’identification et la protection </w:t>
      </w:r>
      <w:r w:rsidRPr="00466CE7">
        <w:rPr>
          <w:lang w:val="fr-FR"/>
        </w:rPr>
        <w:t xml:space="preserve">efficaces des enfants, </w:t>
      </w:r>
      <w:r>
        <w:rPr>
          <w:lang w:val="fr-FR"/>
        </w:rPr>
        <w:t xml:space="preserve">il existe </w:t>
      </w:r>
      <w:r w:rsidRPr="00466CE7">
        <w:rPr>
          <w:lang w:val="fr-FR"/>
        </w:rPr>
        <w:t>depuis 2015</w:t>
      </w:r>
      <w:r>
        <w:rPr>
          <w:lang w:val="fr-FR"/>
        </w:rPr>
        <w:t xml:space="preserve"> sous l’égide du Ministère du travail et du développement social une permanence téléphonique pour les enfants (le </w:t>
      </w:r>
      <w:r w:rsidRPr="00466CE7">
        <w:rPr>
          <w:lang w:val="fr-FR"/>
        </w:rPr>
        <w:t>111</w:t>
      </w:r>
      <w:r>
        <w:rPr>
          <w:lang w:val="fr-FR"/>
        </w:rPr>
        <w:t>)</w:t>
      </w:r>
      <w:r w:rsidRPr="00466CE7">
        <w:rPr>
          <w:lang w:val="fr-FR"/>
        </w:rPr>
        <w:t xml:space="preserve"> </w:t>
      </w:r>
      <w:r>
        <w:rPr>
          <w:lang w:val="fr-FR"/>
        </w:rPr>
        <w:t xml:space="preserve">qu’il est possible d’appeler gratuitement </w:t>
      </w:r>
      <w:r w:rsidRPr="00466CE7">
        <w:rPr>
          <w:lang w:val="fr-FR"/>
        </w:rPr>
        <w:t>24</w:t>
      </w:r>
      <w:r w:rsidR="008315BF">
        <w:rPr>
          <w:lang w:val="fr-FR"/>
        </w:rPr>
        <w:t> </w:t>
      </w:r>
      <w:r w:rsidRPr="00466CE7">
        <w:rPr>
          <w:lang w:val="fr-FR"/>
        </w:rPr>
        <w:t>heures sur 24</w:t>
      </w:r>
      <w:r>
        <w:rPr>
          <w:lang w:val="fr-FR"/>
        </w:rPr>
        <w:t xml:space="preserve"> </w:t>
      </w:r>
      <w:r w:rsidRPr="00466CE7">
        <w:rPr>
          <w:lang w:val="fr-FR"/>
        </w:rPr>
        <w:t xml:space="preserve">de </w:t>
      </w:r>
      <w:r>
        <w:rPr>
          <w:lang w:val="fr-FR"/>
        </w:rPr>
        <w:t>n’importe quelle région du pays</w:t>
      </w:r>
      <w:r w:rsidRPr="00466CE7">
        <w:rPr>
          <w:lang w:val="fr-FR"/>
        </w:rPr>
        <w:t xml:space="preserve">. </w:t>
      </w:r>
    </w:p>
    <w:p w14:paraId="4FD3FF73" w14:textId="5FDE5B80" w:rsidR="009C6834" w:rsidRPr="00466CE7" w:rsidRDefault="009C6834" w:rsidP="009C6834">
      <w:pPr>
        <w:pStyle w:val="SingleTxtG"/>
        <w:rPr>
          <w:lang w:val="fr-FR"/>
        </w:rPr>
      </w:pPr>
      <w:r w:rsidRPr="00466CE7">
        <w:rPr>
          <w:lang w:val="fr-FR"/>
        </w:rPr>
        <w:t>243.</w:t>
      </w:r>
      <w:r w:rsidRPr="00466CE7">
        <w:rPr>
          <w:lang w:val="fr-FR"/>
        </w:rPr>
        <w:tab/>
        <w:t>Le numéro d</w:t>
      </w:r>
      <w:r>
        <w:rPr>
          <w:lang w:val="fr-FR"/>
        </w:rPr>
        <w:t>’</w:t>
      </w:r>
      <w:r w:rsidRPr="00466CE7">
        <w:rPr>
          <w:lang w:val="fr-FR"/>
        </w:rPr>
        <w:t xml:space="preserve">appel </w:t>
      </w:r>
      <w:r>
        <w:rPr>
          <w:lang w:val="fr-FR"/>
        </w:rPr>
        <w:t>111 a été créé pour les enfants</w:t>
      </w:r>
      <w:r w:rsidRPr="00466CE7">
        <w:rPr>
          <w:lang w:val="fr-FR"/>
        </w:rPr>
        <w:t xml:space="preserve"> mais </w:t>
      </w:r>
      <w:r>
        <w:rPr>
          <w:lang w:val="fr-FR"/>
        </w:rPr>
        <w:t>la permanence reçoit les appels d’</w:t>
      </w:r>
      <w:r w:rsidRPr="00466CE7">
        <w:rPr>
          <w:lang w:val="fr-FR"/>
        </w:rPr>
        <w:t xml:space="preserve">enfants </w:t>
      </w:r>
      <w:r>
        <w:rPr>
          <w:lang w:val="fr-FR"/>
        </w:rPr>
        <w:t>aussi bien que d’</w:t>
      </w:r>
      <w:r w:rsidRPr="00466CE7">
        <w:rPr>
          <w:lang w:val="fr-FR"/>
        </w:rPr>
        <w:t>adultes</w:t>
      </w:r>
      <w:r>
        <w:rPr>
          <w:lang w:val="fr-FR"/>
        </w:rPr>
        <w:t> ;</w:t>
      </w:r>
      <w:r w:rsidRPr="00466CE7">
        <w:rPr>
          <w:lang w:val="fr-FR"/>
        </w:rPr>
        <w:t xml:space="preserve"> toutes les conversations sont enregistrées.</w:t>
      </w:r>
      <w:r>
        <w:rPr>
          <w:lang w:val="fr-FR"/>
        </w:rPr>
        <w:t xml:space="preserve"> En</w:t>
      </w:r>
      <w:r w:rsidRPr="00466CE7">
        <w:rPr>
          <w:lang w:val="fr-FR"/>
        </w:rPr>
        <w:t xml:space="preserve"> trois ans et neuf mois, elle a reçu 763</w:t>
      </w:r>
      <w:r w:rsidR="008315BF">
        <w:rPr>
          <w:lang w:val="fr-FR"/>
        </w:rPr>
        <w:t> </w:t>
      </w:r>
      <w:r w:rsidRPr="00466CE7">
        <w:rPr>
          <w:lang w:val="fr-FR"/>
        </w:rPr>
        <w:t>269</w:t>
      </w:r>
      <w:r w:rsidR="008315BF">
        <w:rPr>
          <w:lang w:val="fr-FR"/>
        </w:rPr>
        <w:t> </w:t>
      </w:r>
      <w:r w:rsidRPr="00466CE7">
        <w:rPr>
          <w:lang w:val="fr-FR"/>
        </w:rPr>
        <w:t>appels, soit 315</w:t>
      </w:r>
      <w:r w:rsidR="008315BF">
        <w:rPr>
          <w:lang w:val="fr-FR"/>
        </w:rPr>
        <w:t> </w:t>
      </w:r>
      <w:r w:rsidRPr="00466CE7">
        <w:rPr>
          <w:lang w:val="fr-FR"/>
        </w:rPr>
        <w:t>appels par jour</w:t>
      </w:r>
      <w:r w:rsidRPr="00670F59">
        <w:rPr>
          <w:lang w:val="fr-FR"/>
        </w:rPr>
        <w:t xml:space="preserve"> </w:t>
      </w:r>
      <w:r>
        <w:rPr>
          <w:lang w:val="fr-FR"/>
        </w:rPr>
        <w:t>en moyenne</w:t>
      </w:r>
      <w:r w:rsidRPr="00466CE7">
        <w:rPr>
          <w:lang w:val="fr-FR"/>
        </w:rPr>
        <w:t>. Parmi les appels reçus, 83</w:t>
      </w:r>
      <w:r w:rsidR="00CB4ECD">
        <w:rPr>
          <w:lang w:val="fr-FR"/>
        </w:rPr>
        <w:t> %</w:t>
      </w:r>
      <w:r w:rsidRPr="00466CE7">
        <w:rPr>
          <w:lang w:val="fr-FR"/>
        </w:rPr>
        <w:t xml:space="preserve"> provenaient d</w:t>
      </w:r>
      <w:r>
        <w:rPr>
          <w:lang w:val="fr-FR"/>
        </w:rPr>
        <w:t>’</w:t>
      </w:r>
      <w:r w:rsidRPr="00466CE7">
        <w:rPr>
          <w:lang w:val="fr-FR"/>
        </w:rPr>
        <w:t>adultes et 17</w:t>
      </w:r>
      <w:r w:rsidR="00CB4ECD">
        <w:rPr>
          <w:lang w:val="fr-FR"/>
        </w:rPr>
        <w:t> %</w:t>
      </w:r>
      <w:r w:rsidRPr="00466CE7">
        <w:rPr>
          <w:lang w:val="fr-FR"/>
        </w:rPr>
        <w:t xml:space="preserve"> d</w:t>
      </w:r>
      <w:r>
        <w:rPr>
          <w:lang w:val="fr-FR"/>
        </w:rPr>
        <w:t>’</w:t>
      </w:r>
      <w:r w:rsidRPr="00466CE7">
        <w:rPr>
          <w:lang w:val="fr-FR"/>
        </w:rPr>
        <w:t xml:space="preserve">enfants. </w:t>
      </w:r>
      <w:r>
        <w:rPr>
          <w:lang w:val="fr-FR"/>
        </w:rPr>
        <w:t>C</w:t>
      </w:r>
      <w:r w:rsidRPr="00466CE7">
        <w:rPr>
          <w:lang w:val="fr-FR"/>
        </w:rPr>
        <w:t>e ser</w:t>
      </w:r>
      <w:r>
        <w:rPr>
          <w:lang w:val="fr-FR"/>
        </w:rPr>
        <w:t xml:space="preserve">vice d’assistance téléphonique fournit </w:t>
      </w:r>
      <w:r w:rsidRPr="00466CE7">
        <w:rPr>
          <w:lang w:val="fr-FR"/>
        </w:rPr>
        <w:t>des conseils</w:t>
      </w:r>
      <w:r>
        <w:rPr>
          <w:lang w:val="fr-FR"/>
        </w:rPr>
        <w:t xml:space="preserve"> et des recommandations ainsi qu’un accompagnement psychologique.</w:t>
      </w:r>
    </w:p>
    <w:p w14:paraId="12FBC25C" w14:textId="02FC1944" w:rsidR="009C6834" w:rsidRPr="00466CE7" w:rsidRDefault="009C6834" w:rsidP="009C6834">
      <w:pPr>
        <w:pStyle w:val="SingleTxtG"/>
        <w:rPr>
          <w:lang w:val="fr-FR"/>
        </w:rPr>
      </w:pPr>
      <w:r w:rsidRPr="00466CE7">
        <w:rPr>
          <w:lang w:val="fr-FR"/>
        </w:rPr>
        <w:t>244.</w:t>
      </w:r>
      <w:r w:rsidRPr="00466CE7">
        <w:rPr>
          <w:lang w:val="fr-FR"/>
        </w:rPr>
        <w:tab/>
        <w:t>Le 5</w:t>
      </w:r>
      <w:r w:rsidR="008315BF">
        <w:rPr>
          <w:lang w:val="fr-FR"/>
        </w:rPr>
        <w:t> </w:t>
      </w:r>
      <w:r w:rsidRPr="00466CE7">
        <w:rPr>
          <w:lang w:val="fr-FR"/>
        </w:rPr>
        <w:t xml:space="preserve">juin 2020, </w:t>
      </w:r>
      <w:r>
        <w:rPr>
          <w:lang w:val="fr-FR"/>
        </w:rPr>
        <w:t>le P</w:t>
      </w:r>
      <w:r w:rsidRPr="00466CE7">
        <w:rPr>
          <w:lang w:val="fr-FR"/>
        </w:rPr>
        <w:t xml:space="preserve">résident </w:t>
      </w:r>
      <w:r>
        <w:rPr>
          <w:lang w:val="fr-FR"/>
        </w:rPr>
        <w:t xml:space="preserve">de la République </w:t>
      </w:r>
      <w:r w:rsidRPr="00466CE7">
        <w:rPr>
          <w:lang w:val="fr-FR"/>
        </w:rPr>
        <w:t xml:space="preserve">a </w:t>
      </w:r>
      <w:r>
        <w:rPr>
          <w:lang w:val="fr-FR"/>
        </w:rPr>
        <w:t xml:space="preserve">promulgué une </w:t>
      </w:r>
      <w:r w:rsidRPr="00466CE7">
        <w:rPr>
          <w:lang w:val="fr-FR"/>
        </w:rPr>
        <w:t xml:space="preserve">loi </w:t>
      </w:r>
      <w:r>
        <w:rPr>
          <w:lang w:val="fr-FR"/>
        </w:rPr>
        <w:t xml:space="preserve">portant modification </w:t>
      </w:r>
      <w:r w:rsidRPr="00466CE7">
        <w:rPr>
          <w:lang w:val="fr-FR"/>
        </w:rPr>
        <w:t xml:space="preserve">du </w:t>
      </w:r>
      <w:r w:rsidR="009603CF">
        <w:rPr>
          <w:lang w:val="fr-FR"/>
        </w:rPr>
        <w:t>Code</w:t>
      </w:r>
      <w:r w:rsidRPr="00466CE7">
        <w:rPr>
          <w:lang w:val="fr-FR"/>
        </w:rPr>
        <w:t xml:space="preserve"> de procédure pénale qui </w:t>
      </w:r>
      <w:r>
        <w:rPr>
          <w:lang w:val="fr-FR"/>
        </w:rPr>
        <w:t xml:space="preserve">prévoit </w:t>
      </w:r>
      <w:r w:rsidRPr="00466CE7">
        <w:rPr>
          <w:lang w:val="fr-FR"/>
        </w:rPr>
        <w:t xml:space="preserve">les cas dans lesquels </w:t>
      </w:r>
      <w:r>
        <w:rPr>
          <w:lang w:val="fr-FR"/>
        </w:rPr>
        <w:t xml:space="preserve">il est possible de maintenir en garde à vue </w:t>
      </w:r>
      <w:r w:rsidRPr="00466CE7">
        <w:rPr>
          <w:lang w:val="fr-FR"/>
        </w:rPr>
        <w:t xml:space="preserve">pendant </w:t>
      </w:r>
      <w:r w:rsidR="008315BF">
        <w:rPr>
          <w:lang w:val="fr-FR"/>
        </w:rPr>
        <w:t>quarante</w:t>
      </w:r>
      <w:r w:rsidR="008315BF">
        <w:rPr>
          <w:lang w:val="fr-FR"/>
        </w:rPr>
        <w:noBreakHyphen/>
        <w:t xml:space="preserve">huit </w:t>
      </w:r>
      <w:r w:rsidRPr="00466CE7">
        <w:rPr>
          <w:lang w:val="fr-FR"/>
        </w:rPr>
        <w:t>heures</w:t>
      </w:r>
      <w:r>
        <w:rPr>
          <w:lang w:val="fr-FR"/>
        </w:rPr>
        <w:t xml:space="preserve"> une personne ayant commis des actes </w:t>
      </w:r>
      <w:r w:rsidRPr="00466CE7">
        <w:rPr>
          <w:lang w:val="fr-FR"/>
        </w:rPr>
        <w:t xml:space="preserve">de violence </w:t>
      </w:r>
      <w:r>
        <w:rPr>
          <w:lang w:val="fr-FR"/>
        </w:rPr>
        <w:t xml:space="preserve">familiale visés à </w:t>
      </w:r>
      <w:r w:rsidRPr="00466CE7">
        <w:rPr>
          <w:lang w:val="fr-FR"/>
        </w:rPr>
        <w:t>l</w:t>
      </w:r>
      <w:r>
        <w:rPr>
          <w:lang w:val="fr-FR"/>
        </w:rPr>
        <w:t>’</w:t>
      </w:r>
      <w:r w:rsidR="00CB4ECD">
        <w:rPr>
          <w:lang w:val="fr-FR"/>
        </w:rPr>
        <w:t>article </w:t>
      </w:r>
      <w:r w:rsidRPr="00466CE7">
        <w:rPr>
          <w:lang w:val="fr-FR"/>
        </w:rPr>
        <w:t xml:space="preserve">75 du </w:t>
      </w:r>
      <w:r w:rsidR="009603CF">
        <w:rPr>
          <w:lang w:val="fr-FR"/>
        </w:rPr>
        <w:t>Code</w:t>
      </w:r>
      <w:r w:rsidRPr="00466CE7">
        <w:rPr>
          <w:lang w:val="fr-FR"/>
        </w:rPr>
        <w:t xml:space="preserve"> des délits.</w:t>
      </w:r>
    </w:p>
    <w:p w14:paraId="5F5C0642" w14:textId="529E1EDD" w:rsidR="009C6834" w:rsidRPr="00466CE7" w:rsidRDefault="009C6834" w:rsidP="009C6834">
      <w:pPr>
        <w:pStyle w:val="SingleTxtG"/>
        <w:rPr>
          <w:lang w:val="fr-FR"/>
        </w:rPr>
      </w:pPr>
      <w:bookmarkStart w:id="0" w:name="_Hlk89258014"/>
      <w:r w:rsidRPr="00466CE7">
        <w:rPr>
          <w:lang w:val="fr-FR"/>
        </w:rPr>
        <w:t>245.</w:t>
      </w:r>
      <w:r w:rsidRPr="00466CE7">
        <w:rPr>
          <w:lang w:val="fr-FR"/>
        </w:rPr>
        <w:tab/>
        <w:t xml:space="preserve">Depuis 2019, le </w:t>
      </w:r>
      <w:r>
        <w:rPr>
          <w:lang w:val="fr-FR"/>
        </w:rPr>
        <w:t>Ministère de l’i</w:t>
      </w:r>
      <w:r w:rsidRPr="00466CE7">
        <w:rPr>
          <w:lang w:val="fr-FR"/>
        </w:rPr>
        <w:t>ntérieur</w:t>
      </w:r>
      <w:r w:rsidRPr="005D3D61">
        <w:rPr>
          <w:lang w:val="fr-FR"/>
        </w:rPr>
        <w:t xml:space="preserve"> </w:t>
      </w:r>
      <w:r>
        <w:rPr>
          <w:lang w:val="fr-FR"/>
        </w:rPr>
        <w:t>met en œuvre</w:t>
      </w:r>
      <w:r w:rsidRPr="005D3D61">
        <w:rPr>
          <w:lang w:val="fr-FR"/>
        </w:rPr>
        <w:t xml:space="preserve"> </w:t>
      </w:r>
      <w:r w:rsidRPr="00466CE7">
        <w:rPr>
          <w:lang w:val="fr-FR"/>
        </w:rPr>
        <w:t>dans 54</w:t>
      </w:r>
      <w:r w:rsidR="008315BF">
        <w:rPr>
          <w:lang w:val="fr-FR"/>
        </w:rPr>
        <w:t> </w:t>
      </w:r>
      <w:r w:rsidRPr="00466CE7">
        <w:rPr>
          <w:lang w:val="fr-FR"/>
        </w:rPr>
        <w:t>écoles</w:t>
      </w:r>
      <w:r>
        <w:rPr>
          <w:lang w:val="fr-FR"/>
        </w:rPr>
        <w:t>,</w:t>
      </w:r>
      <w:r w:rsidRPr="00466CE7">
        <w:rPr>
          <w:lang w:val="fr-FR"/>
        </w:rPr>
        <w:t xml:space="preserve"> en coopération avec le M</w:t>
      </w:r>
      <w:r>
        <w:rPr>
          <w:lang w:val="fr-FR"/>
        </w:rPr>
        <w:t>inistère de l’éducation et de la science,</w:t>
      </w:r>
      <w:r w:rsidRPr="00466CE7">
        <w:rPr>
          <w:lang w:val="fr-FR"/>
        </w:rPr>
        <w:t xml:space="preserve"> un projet </w:t>
      </w:r>
      <w:r>
        <w:rPr>
          <w:lang w:val="fr-FR"/>
        </w:rPr>
        <w:t xml:space="preserve">pilote destiné </w:t>
      </w:r>
      <w:r w:rsidRPr="00466CE7">
        <w:rPr>
          <w:lang w:val="fr-FR"/>
        </w:rPr>
        <w:t xml:space="preserve">à prévenir les violences sexuelles à </w:t>
      </w:r>
      <w:r>
        <w:rPr>
          <w:lang w:val="fr-FR"/>
        </w:rPr>
        <w:t xml:space="preserve">l’égard </w:t>
      </w:r>
      <w:r w:rsidRPr="00466CE7">
        <w:rPr>
          <w:lang w:val="fr-FR"/>
        </w:rPr>
        <w:t>des filles</w:t>
      </w:r>
      <w:r>
        <w:rPr>
          <w:lang w:val="fr-FR"/>
        </w:rPr>
        <w:t>. Dans le cadre de ce</w:t>
      </w:r>
      <w:r w:rsidRPr="00466CE7">
        <w:rPr>
          <w:lang w:val="fr-FR"/>
        </w:rPr>
        <w:t xml:space="preserve"> projet, un manuel </w:t>
      </w:r>
      <w:r>
        <w:rPr>
          <w:lang w:val="fr-FR"/>
        </w:rPr>
        <w:t xml:space="preserve">a été mis au point à l’intention des </w:t>
      </w:r>
      <w:r w:rsidRPr="00466CE7">
        <w:rPr>
          <w:lang w:val="fr-FR"/>
        </w:rPr>
        <w:t xml:space="preserve">enseignants </w:t>
      </w:r>
      <w:r>
        <w:rPr>
          <w:lang w:val="fr-FR"/>
        </w:rPr>
        <w:t xml:space="preserve">et des agents </w:t>
      </w:r>
      <w:r w:rsidRPr="00466CE7">
        <w:rPr>
          <w:lang w:val="fr-FR"/>
        </w:rPr>
        <w:t xml:space="preserve">de </w:t>
      </w:r>
      <w:r>
        <w:rPr>
          <w:lang w:val="fr-FR"/>
        </w:rPr>
        <w:t xml:space="preserve">l’Inspection chargée des affaires des mineurs pour les aider à repérer les </w:t>
      </w:r>
      <w:r w:rsidRPr="00466CE7">
        <w:rPr>
          <w:lang w:val="fr-FR"/>
        </w:rPr>
        <w:t xml:space="preserve">enfants victimes </w:t>
      </w:r>
      <w:r>
        <w:rPr>
          <w:lang w:val="fr-FR"/>
        </w:rPr>
        <w:t xml:space="preserve">de violences </w:t>
      </w:r>
      <w:r w:rsidRPr="00466CE7">
        <w:rPr>
          <w:lang w:val="fr-FR"/>
        </w:rPr>
        <w:t>sexuel</w:t>
      </w:r>
      <w:r>
        <w:rPr>
          <w:lang w:val="fr-FR"/>
        </w:rPr>
        <w:t>le</w:t>
      </w:r>
      <w:r w:rsidRPr="00466CE7">
        <w:rPr>
          <w:lang w:val="fr-FR"/>
        </w:rPr>
        <w:t xml:space="preserve">s </w:t>
      </w:r>
      <w:r>
        <w:rPr>
          <w:lang w:val="fr-FR"/>
        </w:rPr>
        <w:t xml:space="preserve">et à leur porter </w:t>
      </w:r>
      <w:r w:rsidRPr="00875787">
        <w:rPr>
          <w:lang w:val="fr-FR"/>
        </w:rPr>
        <w:t>assistance</w:t>
      </w:r>
      <w:r>
        <w:rPr>
          <w:lang w:val="fr-FR"/>
        </w:rPr>
        <w:t>, et</w:t>
      </w:r>
      <w:r w:rsidRPr="00466CE7">
        <w:rPr>
          <w:lang w:val="fr-FR"/>
        </w:rPr>
        <w:t xml:space="preserve"> 200</w:t>
      </w:r>
      <w:r w:rsidR="008315BF">
        <w:rPr>
          <w:lang w:val="fr-FR"/>
        </w:rPr>
        <w:t> </w:t>
      </w:r>
      <w:r>
        <w:rPr>
          <w:lang w:val="fr-FR"/>
        </w:rPr>
        <w:t xml:space="preserve">inspecteurs, </w:t>
      </w:r>
      <w:r w:rsidRPr="00466CE7">
        <w:rPr>
          <w:lang w:val="fr-FR"/>
        </w:rPr>
        <w:t>997</w:t>
      </w:r>
      <w:r w:rsidR="008315BF">
        <w:rPr>
          <w:lang w:val="fr-FR"/>
        </w:rPr>
        <w:t> </w:t>
      </w:r>
      <w:r w:rsidRPr="00466CE7">
        <w:rPr>
          <w:lang w:val="fr-FR"/>
        </w:rPr>
        <w:t>enseignants</w:t>
      </w:r>
      <w:r>
        <w:rPr>
          <w:lang w:val="fr-FR"/>
        </w:rPr>
        <w:t xml:space="preserve"> et quelque </w:t>
      </w:r>
      <w:r w:rsidRPr="00466CE7">
        <w:rPr>
          <w:lang w:val="fr-FR"/>
        </w:rPr>
        <w:t>7</w:t>
      </w:r>
      <w:r w:rsidR="008315BF">
        <w:rPr>
          <w:lang w:val="fr-FR"/>
        </w:rPr>
        <w:t> </w:t>
      </w:r>
      <w:r w:rsidRPr="00466CE7">
        <w:rPr>
          <w:lang w:val="fr-FR"/>
        </w:rPr>
        <w:t>000</w:t>
      </w:r>
      <w:r w:rsidR="008315BF">
        <w:rPr>
          <w:lang w:val="fr-FR"/>
        </w:rPr>
        <w:t> </w:t>
      </w:r>
      <w:r w:rsidRPr="00466CE7">
        <w:rPr>
          <w:lang w:val="fr-FR"/>
        </w:rPr>
        <w:t xml:space="preserve">écolières </w:t>
      </w:r>
      <w:r>
        <w:rPr>
          <w:lang w:val="fr-FR"/>
        </w:rPr>
        <w:t xml:space="preserve">des classes 8 à 11 et </w:t>
      </w:r>
      <w:r w:rsidRPr="00466CE7">
        <w:rPr>
          <w:lang w:val="fr-FR"/>
        </w:rPr>
        <w:t>4</w:t>
      </w:r>
      <w:r w:rsidR="008315BF">
        <w:rPr>
          <w:lang w:val="fr-FR"/>
        </w:rPr>
        <w:t> </w:t>
      </w:r>
      <w:r w:rsidRPr="00466CE7">
        <w:rPr>
          <w:lang w:val="fr-FR"/>
        </w:rPr>
        <w:t>000</w:t>
      </w:r>
      <w:r w:rsidR="008315BF">
        <w:rPr>
          <w:lang w:val="fr-FR"/>
        </w:rPr>
        <w:t> </w:t>
      </w:r>
      <w:r w:rsidRPr="00466CE7">
        <w:rPr>
          <w:lang w:val="fr-FR"/>
        </w:rPr>
        <w:t>mères/tuteurs</w:t>
      </w:r>
      <w:r>
        <w:rPr>
          <w:lang w:val="fr-FR"/>
        </w:rPr>
        <w:t xml:space="preserve"> ont été sensibilisés à la question</w:t>
      </w:r>
      <w:r w:rsidRPr="00466CE7">
        <w:rPr>
          <w:lang w:val="fr-FR"/>
        </w:rPr>
        <w:t xml:space="preserve">. </w:t>
      </w:r>
    </w:p>
    <w:bookmarkEnd w:id="0"/>
    <w:p w14:paraId="6868ECB6" w14:textId="61385E65" w:rsidR="009C6834" w:rsidRPr="00466CE7" w:rsidRDefault="009C6834" w:rsidP="008315BF">
      <w:pPr>
        <w:pStyle w:val="H1G"/>
        <w:rPr>
          <w:lang w:val="fr-FR"/>
        </w:rPr>
      </w:pPr>
      <w:r w:rsidRPr="00466CE7">
        <w:rPr>
          <w:lang w:val="fr-FR"/>
        </w:rPr>
        <w:tab/>
      </w:r>
      <w:r w:rsidRPr="00466CE7">
        <w:rPr>
          <w:lang w:val="fr-FR"/>
        </w:rPr>
        <w:tab/>
      </w:r>
      <w:r w:rsidR="00CB4ECD">
        <w:rPr>
          <w:lang w:val="fr-FR"/>
        </w:rPr>
        <w:t>Article </w:t>
      </w:r>
      <w:r>
        <w:rPr>
          <w:lang w:val="fr-FR"/>
        </w:rPr>
        <w:t>17</w:t>
      </w:r>
      <w:r>
        <w:rPr>
          <w:lang w:val="fr-FR"/>
        </w:rPr>
        <w:br/>
        <w:t>Enlèvement de fiancées</w:t>
      </w:r>
    </w:p>
    <w:p w14:paraId="1C4E010C" w14:textId="410F8A82" w:rsidR="009C6834" w:rsidRPr="00466CE7" w:rsidRDefault="009C6834" w:rsidP="009C6834">
      <w:pPr>
        <w:pStyle w:val="SingleTxtG"/>
        <w:rPr>
          <w:rFonts w:eastAsia="Times New Roman"/>
          <w:lang w:val="fr-FR"/>
        </w:rPr>
      </w:pPr>
      <w:r w:rsidRPr="00466CE7">
        <w:rPr>
          <w:rFonts w:eastAsia="Times New Roman"/>
          <w:lang w:val="fr-FR"/>
        </w:rPr>
        <w:t>246.</w:t>
      </w:r>
      <w:r w:rsidRPr="00466CE7">
        <w:rPr>
          <w:rFonts w:eastAsia="Times New Roman"/>
          <w:lang w:val="fr-FR"/>
        </w:rPr>
        <w:tab/>
        <w:t xml:space="preserve">La République kirghize a pris des mesures pour améliorer le cadre juridique </w:t>
      </w:r>
      <w:r>
        <w:rPr>
          <w:rFonts w:eastAsia="Times New Roman"/>
          <w:lang w:val="fr-FR"/>
        </w:rPr>
        <w:t xml:space="preserve">permettant de lutter </w:t>
      </w:r>
      <w:r w:rsidRPr="00466CE7">
        <w:rPr>
          <w:rFonts w:eastAsia="Times New Roman"/>
          <w:lang w:val="fr-FR"/>
        </w:rPr>
        <w:t>contre l</w:t>
      </w:r>
      <w:r>
        <w:rPr>
          <w:rFonts w:eastAsia="Times New Roman"/>
          <w:lang w:val="fr-FR"/>
        </w:rPr>
        <w:t>’</w:t>
      </w:r>
      <w:r w:rsidRPr="00466CE7">
        <w:rPr>
          <w:rFonts w:eastAsia="Times New Roman"/>
          <w:lang w:val="fr-FR"/>
        </w:rPr>
        <w:t xml:space="preserve">enlèvement de </w:t>
      </w:r>
      <w:r>
        <w:rPr>
          <w:rFonts w:eastAsia="Times New Roman"/>
          <w:lang w:val="fr-FR"/>
        </w:rPr>
        <w:t xml:space="preserve">jeunes filles aux fins de mariage </w:t>
      </w:r>
      <w:r w:rsidRPr="00466CE7">
        <w:rPr>
          <w:rFonts w:eastAsia="Times New Roman"/>
          <w:lang w:val="fr-FR"/>
        </w:rPr>
        <w:t xml:space="preserve">et </w:t>
      </w:r>
      <w:r>
        <w:rPr>
          <w:rFonts w:eastAsia="Times New Roman"/>
          <w:lang w:val="fr-FR"/>
        </w:rPr>
        <w:t xml:space="preserve">contre </w:t>
      </w:r>
      <w:r w:rsidRPr="00466CE7">
        <w:rPr>
          <w:rFonts w:eastAsia="Times New Roman"/>
          <w:lang w:val="fr-FR"/>
        </w:rPr>
        <w:t>le</w:t>
      </w:r>
      <w:r>
        <w:rPr>
          <w:rFonts w:eastAsia="Times New Roman"/>
          <w:lang w:val="fr-FR"/>
        </w:rPr>
        <w:t>s</w:t>
      </w:r>
      <w:r w:rsidRPr="00466CE7">
        <w:rPr>
          <w:rFonts w:eastAsia="Times New Roman"/>
          <w:lang w:val="fr-FR"/>
        </w:rPr>
        <w:t xml:space="preserve"> mariage</w:t>
      </w:r>
      <w:r>
        <w:rPr>
          <w:rFonts w:eastAsia="Times New Roman"/>
          <w:lang w:val="fr-FR"/>
        </w:rPr>
        <w:t>s</w:t>
      </w:r>
      <w:r w:rsidRPr="00466CE7">
        <w:rPr>
          <w:rFonts w:eastAsia="Times New Roman"/>
          <w:lang w:val="fr-FR"/>
        </w:rPr>
        <w:t xml:space="preserve"> précoce</w:t>
      </w:r>
      <w:r>
        <w:rPr>
          <w:rFonts w:eastAsia="Times New Roman"/>
          <w:lang w:val="fr-FR"/>
        </w:rPr>
        <w:t>s</w:t>
      </w:r>
      <w:r w:rsidRPr="00466CE7">
        <w:rPr>
          <w:rFonts w:eastAsia="Times New Roman"/>
          <w:lang w:val="fr-FR"/>
        </w:rPr>
        <w:t>. Le chapitre</w:t>
      </w:r>
      <w:r w:rsidR="008315BF">
        <w:rPr>
          <w:rFonts w:eastAsia="Times New Roman"/>
          <w:lang w:val="fr-FR"/>
        </w:rPr>
        <w:t> </w:t>
      </w:r>
      <w:r w:rsidRPr="00466CE7">
        <w:rPr>
          <w:rFonts w:eastAsia="Times New Roman"/>
          <w:lang w:val="fr-FR"/>
        </w:rPr>
        <w:t xml:space="preserve">28 du </w:t>
      </w:r>
      <w:r w:rsidR="000479B3">
        <w:rPr>
          <w:rFonts w:eastAsia="Times New Roman"/>
          <w:lang w:val="fr-FR"/>
        </w:rPr>
        <w:t>Code pénal</w:t>
      </w:r>
      <w:r w:rsidRPr="00466CE7">
        <w:rPr>
          <w:rFonts w:eastAsia="Times New Roman"/>
          <w:lang w:val="fr-FR"/>
        </w:rPr>
        <w:t xml:space="preserve"> (</w:t>
      </w:r>
      <w:r>
        <w:rPr>
          <w:rFonts w:eastAsia="Times New Roman"/>
          <w:lang w:val="fr-FR"/>
        </w:rPr>
        <w:t xml:space="preserve">tel que modifié en </w:t>
      </w:r>
      <w:r w:rsidRPr="00466CE7">
        <w:rPr>
          <w:rFonts w:eastAsia="Times New Roman"/>
          <w:lang w:val="fr-FR"/>
        </w:rPr>
        <w:t xml:space="preserve">2017) </w:t>
      </w:r>
      <w:r>
        <w:rPr>
          <w:rFonts w:eastAsia="Times New Roman"/>
          <w:lang w:val="fr-FR"/>
        </w:rPr>
        <w:t xml:space="preserve">incrimine </w:t>
      </w:r>
      <w:r w:rsidRPr="00466CE7">
        <w:rPr>
          <w:rFonts w:eastAsia="Times New Roman"/>
          <w:lang w:val="fr-FR"/>
        </w:rPr>
        <w:t xml:space="preserve">les </w:t>
      </w:r>
      <w:r>
        <w:rPr>
          <w:rFonts w:eastAsia="Times New Roman"/>
          <w:lang w:val="fr-FR"/>
        </w:rPr>
        <w:t xml:space="preserve">atteintes aux liens familiaux </w:t>
      </w:r>
      <w:r w:rsidRPr="00466CE7">
        <w:rPr>
          <w:rFonts w:eastAsia="Times New Roman"/>
          <w:lang w:val="fr-FR"/>
        </w:rPr>
        <w:t xml:space="preserve">et </w:t>
      </w:r>
      <w:r>
        <w:rPr>
          <w:rFonts w:eastAsia="Times New Roman"/>
          <w:lang w:val="fr-FR"/>
        </w:rPr>
        <w:t xml:space="preserve">aux </w:t>
      </w:r>
      <w:r w:rsidRPr="00466CE7">
        <w:rPr>
          <w:rFonts w:eastAsia="Times New Roman"/>
          <w:lang w:val="fr-FR"/>
        </w:rPr>
        <w:t>intérêts des mineurs.</w:t>
      </w:r>
    </w:p>
    <w:p w14:paraId="778AF7A8" w14:textId="0086628F" w:rsidR="009C6834" w:rsidRPr="00466CE7" w:rsidRDefault="009C6834" w:rsidP="00E1792A">
      <w:pPr>
        <w:pStyle w:val="SingleTxtG"/>
        <w:keepLines/>
        <w:rPr>
          <w:rFonts w:eastAsia="Times New Roman"/>
          <w:lang w:val="fr-FR"/>
        </w:rPr>
      </w:pPr>
      <w:r w:rsidRPr="00466CE7">
        <w:rPr>
          <w:rFonts w:eastAsia="Times New Roman"/>
          <w:lang w:val="fr-FR"/>
        </w:rPr>
        <w:lastRenderedPageBreak/>
        <w:t>247.</w:t>
      </w:r>
      <w:r w:rsidRPr="00466CE7">
        <w:rPr>
          <w:rFonts w:eastAsia="Times New Roman"/>
          <w:lang w:val="fr-FR"/>
        </w:rPr>
        <w:tab/>
        <w:t xml:space="preserve">Le </w:t>
      </w:r>
      <w:r w:rsidR="000479B3">
        <w:rPr>
          <w:rFonts w:eastAsia="Times New Roman"/>
          <w:lang w:val="fr-FR"/>
        </w:rPr>
        <w:t>Code pénal</w:t>
      </w:r>
      <w:r>
        <w:rPr>
          <w:rFonts w:eastAsia="Times New Roman"/>
          <w:lang w:val="fr-FR"/>
        </w:rPr>
        <w:t xml:space="preserve"> </w:t>
      </w:r>
      <w:r w:rsidRPr="00466CE7">
        <w:rPr>
          <w:rFonts w:eastAsia="Times New Roman"/>
          <w:lang w:val="fr-FR"/>
        </w:rPr>
        <w:t>entré en vigueur le 1</w:t>
      </w:r>
      <w:r w:rsidRPr="006F350B">
        <w:rPr>
          <w:rFonts w:eastAsia="Times New Roman"/>
          <w:vertAlign w:val="superscript"/>
          <w:lang w:val="fr-FR"/>
        </w:rPr>
        <w:t>er</w:t>
      </w:r>
      <w:r>
        <w:rPr>
          <w:rFonts w:eastAsia="Times New Roman"/>
          <w:lang w:val="fr-FR"/>
        </w:rPr>
        <w:t> </w:t>
      </w:r>
      <w:r w:rsidRPr="00466CE7">
        <w:rPr>
          <w:rFonts w:eastAsia="Times New Roman"/>
          <w:lang w:val="fr-FR"/>
        </w:rPr>
        <w:t>janvier 2019</w:t>
      </w:r>
      <w:r>
        <w:rPr>
          <w:rFonts w:eastAsia="Times New Roman"/>
          <w:lang w:val="fr-FR"/>
        </w:rPr>
        <w:t xml:space="preserve"> contient </w:t>
      </w:r>
      <w:r w:rsidRPr="00466CE7">
        <w:rPr>
          <w:rFonts w:eastAsia="Times New Roman"/>
          <w:lang w:val="fr-FR"/>
        </w:rPr>
        <w:t xml:space="preserve">un </w:t>
      </w:r>
      <w:r w:rsidR="00CB4ECD">
        <w:rPr>
          <w:rFonts w:eastAsia="Times New Roman"/>
          <w:lang w:val="fr-FR"/>
        </w:rPr>
        <w:t>article</w:t>
      </w:r>
      <w:r w:rsidR="00824019">
        <w:rPr>
          <w:rFonts w:eastAsia="Times New Roman"/>
          <w:lang w:val="fr-FR"/>
        </w:rPr>
        <w:t xml:space="preserve"> </w:t>
      </w:r>
      <w:r w:rsidRPr="00466CE7">
        <w:rPr>
          <w:rFonts w:eastAsia="Times New Roman"/>
          <w:lang w:val="fr-FR"/>
        </w:rPr>
        <w:t xml:space="preserve">distinct intitulé </w:t>
      </w:r>
      <w:r>
        <w:rPr>
          <w:rFonts w:eastAsia="Times New Roman"/>
          <w:lang w:val="fr-FR"/>
        </w:rPr>
        <w:t>« </w:t>
      </w:r>
      <w:r w:rsidRPr="00466CE7">
        <w:rPr>
          <w:rFonts w:eastAsia="Times New Roman"/>
          <w:lang w:val="fr-FR"/>
        </w:rPr>
        <w:t>Enlèvement d</w:t>
      </w:r>
      <w:r>
        <w:rPr>
          <w:rFonts w:eastAsia="Times New Roman"/>
          <w:lang w:val="fr-FR"/>
        </w:rPr>
        <w:t>’</w:t>
      </w:r>
      <w:r w:rsidRPr="00466CE7">
        <w:rPr>
          <w:rFonts w:eastAsia="Times New Roman"/>
          <w:lang w:val="fr-FR"/>
        </w:rPr>
        <w:t xml:space="preserve">une personne </w:t>
      </w:r>
      <w:r>
        <w:rPr>
          <w:rFonts w:eastAsia="Times New Roman"/>
          <w:lang w:val="fr-FR"/>
        </w:rPr>
        <w:t>dans le but de la marier »</w:t>
      </w:r>
      <w:r w:rsidRPr="00466CE7">
        <w:rPr>
          <w:rFonts w:eastAsia="Times New Roman"/>
          <w:lang w:val="fr-FR"/>
        </w:rPr>
        <w:t xml:space="preserve"> (art</w:t>
      </w:r>
      <w:r>
        <w:rPr>
          <w:rFonts w:eastAsia="Times New Roman"/>
          <w:lang w:val="fr-FR"/>
        </w:rPr>
        <w:t>. </w:t>
      </w:r>
      <w:r w:rsidRPr="00466CE7">
        <w:rPr>
          <w:rFonts w:eastAsia="Times New Roman"/>
          <w:lang w:val="fr-FR"/>
        </w:rPr>
        <w:t>175</w:t>
      </w:r>
      <w:r>
        <w:rPr>
          <w:rFonts w:eastAsia="Times New Roman"/>
          <w:lang w:val="fr-FR"/>
        </w:rPr>
        <w:t xml:space="preserve">). La première partie de cet </w:t>
      </w:r>
      <w:r w:rsidR="00CB4ECD">
        <w:rPr>
          <w:rFonts w:eastAsia="Times New Roman"/>
          <w:lang w:val="fr-FR"/>
        </w:rPr>
        <w:t>article</w:t>
      </w:r>
      <w:r w:rsidR="008315BF">
        <w:rPr>
          <w:rFonts w:eastAsia="Times New Roman"/>
          <w:lang w:val="fr-FR"/>
        </w:rPr>
        <w:t xml:space="preserve"> </w:t>
      </w:r>
      <w:r>
        <w:rPr>
          <w:rFonts w:eastAsia="Times New Roman"/>
          <w:lang w:val="fr-FR"/>
        </w:rPr>
        <w:t xml:space="preserve">prévoit une peine </w:t>
      </w:r>
      <w:r w:rsidRPr="00466CE7">
        <w:rPr>
          <w:rFonts w:eastAsia="Times New Roman"/>
          <w:lang w:val="fr-FR"/>
        </w:rPr>
        <w:t>privati</w:t>
      </w:r>
      <w:r>
        <w:rPr>
          <w:rFonts w:eastAsia="Times New Roman"/>
          <w:lang w:val="fr-FR"/>
        </w:rPr>
        <w:t>ve de liberté de catégorie</w:t>
      </w:r>
      <w:r w:rsidR="008315BF">
        <w:rPr>
          <w:rFonts w:eastAsia="Times New Roman"/>
          <w:lang w:val="fr-FR"/>
        </w:rPr>
        <w:t> </w:t>
      </w:r>
      <w:r>
        <w:rPr>
          <w:rFonts w:eastAsia="Times New Roman"/>
          <w:lang w:val="fr-FR"/>
        </w:rPr>
        <w:t xml:space="preserve">III </w:t>
      </w:r>
      <w:r w:rsidRPr="00466CE7">
        <w:rPr>
          <w:rFonts w:eastAsia="Times New Roman"/>
          <w:lang w:val="fr-FR"/>
        </w:rPr>
        <w:t>(</w:t>
      </w:r>
      <w:r>
        <w:rPr>
          <w:rFonts w:eastAsia="Times New Roman"/>
          <w:lang w:val="fr-FR"/>
        </w:rPr>
        <w:t xml:space="preserve">d’une durée pouvant aller de cinq ans à sept ans et six mois) ; la deuxième partie prévoit </w:t>
      </w:r>
      <w:r w:rsidRPr="00466CE7">
        <w:rPr>
          <w:rFonts w:eastAsia="Times New Roman"/>
          <w:lang w:val="fr-FR"/>
        </w:rPr>
        <w:t xml:space="preserve">une peine </w:t>
      </w:r>
      <w:r>
        <w:rPr>
          <w:rFonts w:eastAsia="Times New Roman"/>
          <w:lang w:val="fr-FR"/>
        </w:rPr>
        <w:t xml:space="preserve">privative </w:t>
      </w:r>
      <w:r w:rsidRPr="00466CE7">
        <w:rPr>
          <w:rFonts w:eastAsia="Times New Roman"/>
          <w:lang w:val="fr-FR"/>
        </w:rPr>
        <w:t>de liberté de catégorie</w:t>
      </w:r>
      <w:r w:rsidR="008315BF">
        <w:rPr>
          <w:rFonts w:eastAsia="Times New Roman"/>
          <w:lang w:val="fr-FR"/>
        </w:rPr>
        <w:t> </w:t>
      </w:r>
      <w:r w:rsidRPr="00466CE7">
        <w:rPr>
          <w:rFonts w:eastAsia="Times New Roman"/>
          <w:lang w:val="fr-FR"/>
        </w:rPr>
        <w:t>IV (</w:t>
      </w:r>
      <w:r>
        <w:rPr>
          <w:rFonts w:eastAsia="Times New Roman"/>
          <w:lang w:val="fr-FR"/>
        </w:rPr>
        <w:t>d’une durée pouvant aller de sept ans et six mois à dix ans</w:t>
      </w:r>
      <w:r w:rsidRPr="00466CE7">
        <w:rPr>
          <w:rFonts w:eastAsia="Times New Roman"/>
          <w:lang w:val="fr-FR"/>
        </w:rPr>
        <w:t>) assortie d</w:t>
      </w:r>
      <w:r>
        <w:rPr>
          <w:rFonts w:eastAsia="Times New Roman"/>
          <w:lang w:val="fr-FR"/>
        </w:rPr>
        <w:t>’</w:t>
      </w:r>
      <w:r w:rsidRPr="00466CE7">
        <w:rPr>
          <w:rFonts w:eastAsia="Times New Roman"/>
          <w:lang w:val="fr-FR"/>
        </w:rPr>
        <w:t>une amende de catégorie</w:t>
      </w:r>
      <w:r w:rsidR="008315BF">
        <w:rPr>
          <w:rFonts w:eastAsia="Times New Roman"/>
          <w:lang w:val="fr-FR"/>
        </w:rPr>
        <w:t> </w:t>
      </w:r>
      <w:r w:rsidRPr="00466CE7">
        <w:rPr>
          <w:rFonts w:eastAsia="Times New Roman"/>
          <w:lang w:val="fr-FR"/>
        </w:rPr>
        <w:t xml:space="preserve">IV. </w:t>
      </w:r>
    </w:p>
    <w:p w14:paraId="294BE11E" w14:textId="7FE9147F" w:rsidR="009C6834" w:rsidRPr="00466CE7" w:rsidRDefault="009C6834" w:rsidP="009C6834">
      <w:pPr>
        <w:pStyle w:val="SingleTxtG"/>
        <w:rPr>
          <w:rFonts w:eastAsia="Times New Roman"/>
          <w:lang w:val="fr-FR"/>
        </w:rPr>
      </w:pPr>
      <w:r w:rsidRPr="00466CE7">
        <w:rPr>
          <w:rFonts w:eastAsia="Times New Roman"/>
          <w:lang w:val="fr-FR"/>
        </w:rPr>
        <w:t>248.</w:t>
      </w:r>
      <w:r w:rsidRPr="00466CE7">
        <w:rPr>
          <w:rFonts w:eastAsia="Times New Roman"/>
          <w:lang w:val="fr-FR"/>
        </w:rPr>
        <w:tab/>
      </w:r>
      <w:r>
        <w:rPr>
          <w:rFonts w:eastAsia="Times New Roman"/>
          <w:lang w:val="fr-FR"/>
        </w:rPr>
        <w:t xml:space="preserve">En </w:t>
      </w:r>
      <w:r w:rsidRPr="00466CE7">
        <w:rPr>
          <w:rFonts w:eastAsia="Times New Roman"/>
          <w:lang w:val="fr-FR"/>
        </w:rPr>
        <w:t>2019, 172</w:t>
      </w:r>
      <w:r w:rsidR="008315BF">
        <w:rPr>
          <w:rFonts w:eastAsia="Times New Roman"/>
          <w:lang w:val="fr-FR"/>
        </w:rPr>
        <w:t> </w:t>
      </w:r>
      <w:r>
        <w:rPr>
          <w:rFonts w:eastAsia="Times New Roman"/>
          <w:lang w:val="fr-FR"/>
        </w:rPr>
        <w:t>plaintes ont été enregistrées dans le registre centralisé des infractions et délits</w:t>
      </w:r>
      <w:r w:rsidRPr="00466CE7">
        <w:rPr>
          <w:rFonts w:eastAsia="Times New Roman"/>
          <w:lang w:val="fr-FR"/>
        </w:rPr>
        <w:t xml:space="preserve"> au titre de l</w:t>
      </w:r>
      <w:r>
        <w:rPr>
          <w:rFonts w:eastAsia="Times New Roman"/>
          <w:lang w:val="fr-FR"/>
        </w:rPr>
        <w:t>’</w:t>
      </w:r>
      <w:r w:rsidR="00CB4ECD">
        <w:rPr>
          <w:rFonts w:eastAsia="Times New Roman"/>
          <w:lang w:val="fr-FR"/>
        </w:rPr>
        <w:t>article </w:t>
      </w:r>
      <w:r w:rsidRPr="00466CE7">
        <w:rPr>
          <w:rFonts w:eastAsia="Times New Roman"/>
          <w:lang w:val="fr-FR"/>
        </w:rPr>
        <w:t xml:space="preserve">175 du </w:t>
      </w:r>
      <w:r w:rsidR="000479B3">
        <w:rPr>
          <w:rFonts w:eastAsia="Times New Roman"/>
          <w:lang w:val="fr-FR"/>
        </w:rPr>
        <w:t>Code pénal</w:t>
      </w:r>
      <w:r w:rsidRPr="00466CE7">
        <w:rPr>
          <w:rFonts w:eastAsia="Times New Roman"/>
          <w:lang w:val="fr-FR"/>
        </w:rPr>
        <w:t xml:space="preserve"> (enlèvement d</w:t>
      </w:r>
      <w:r>
        <w:rPr>
          <w:rFonts w:eastAsia="Times New Roman"/>
          <w:lang w:val="fr-FR"/>
        </w:rPr>
        <w:t>’</w:t>
      </w:r>
      <w:r w:rsidRPr="00466CE7">
        <w:rPr>
          <w:rFonts w:eastAsia="Times New Roman"/>
          <w:lang w:val="fr-FR"/>
        </w:rPr>
        <w:t xml:space="preserve">une personne dans </w:t>
      </w:r>
      <w:r>
        <w:rPr>
          <w:rFonts w:eastAsia="Times New Roman"/>
          <w:lang w:val="fr-FR"/>
        </w:rPr>
        <w:t xml:space="preserve">le but </w:t>
      </w:r>
      <w:r w:rsidRPr="00466CE7">
        <w:rPr>
          <w:rFonts w:eastAsia="Times New Roman"/>
          <w:lang w:val="fr-FR"/>
        </w:rPr>
        <w:t>de la marier), 14</w:t>
      </w:r>
      <w:r>
        <w:rPr>
          <w:rFonts w:eastAsia="Times New Roman"/>
          <w:lang w:val="fr-FR"/>
        </w:rPr>
        <w:t xml:space="preserve"> ont été transmises à la justice</w:t>
      </w:r>
      <w:r w:rsidRPr="00466CE7">
        <w:rPr>
          <w:rFonts w:eastAsia="Times New Roman"/>
          <w:lang w:val="fr-FR"/>
        </w:rPr>
        <w:t xml:space="preserve"> </w:t>
      </w:r>
      <w:r>
        <w:rPr>
          <w:rFonts w:eastAsia="Times New Roman"/>
          <w:lang w:val="fr-FR"/>
        </w:rPr>
        <w:t xml:space="preserve">et </w:t>
      </w:r>
      <w:r w:rsidRPr="00466CE7">
        <w:rPr>
          <w:rFonts w:eastAsia="Times New Roman"/>
          <w:lang w:val="fr-FR"/>
        </w:rPr>
        <w:t>127</w:t>
      </w:r>
      <w:r>
        <w:rPr>
          <w:rFonts w:eastAsia="Times New Roman"/>
          <w:lang w:val="fr-FR"/>
        </w:rPr>
        <w:t xml:space="preserve"> ont été classées sans suite</w:t>
      </w:r>
      <w:r w:rsidRPr="00466CE7">
        <w:rPr>
          <w:rFonts w:eastAsia="Times New Roman"/>
          <w:lang w:val="fr-FR"/>
        </w:rPr>
        <w:t>.</w:t>
      </w:r>
    </w:p>
    <w:p w14:paraId="5F0803C1" w14:textId="77777777" w:rsidR="009C6834" w:rsidRPr="00466CE7" w:rsidRDefault="009C6834" w:rsidP="009C6834">
      <w:pPr>
        <w:pStyle w:val="SingleTxtG"/>
        <w:rPr>
          <w:rFonts w:eastAsia="Times New Roman"/>
          <w:lang w:val="fr-FR"/>
        </w:rPr>
      </w:pPr>
      <w:r w:rsidRPr="00466CE7">
        <w:rPr>
          <w:rFonts w:eastAsia="Times New Roman"/>
          <w:lang w:val="fr-FR"/>
        </w:rPr>
        <w:t>249.</w:t>
      </w:r>
      <w:r w:rsidRPr="00466CE7">
        <w:rPr>
          <w:rFonts w:eastAsia="Times New Roman"/>
          <w:lang w:val="fr-FR"/>
        </w:rPr>
        <w:tab/>
      </w:r>
      <w:r>
        <w:rPr>
          <w:rFonts w:eastAsia="Times New Roman"/>
          <w:lang w:val="fr-FR"/>
        </w:rPr>
        <w:t>L’</w:t>
      </w:r>
      <w:r w:rsidRPr="00466CE7">
        <w:rPr>
          <w:rFonts w:eastAsia="Times New Roman"/>
          <w:lang w:val="fr-FR"/>
        </w:rPr>
        <w:t>enlèvement d</w:t>
      </w:r>
      <w:r>
        <w:rPr>
          <w:rFonts w:eastAsia="Times New Roman"/>
          <w:lang w:val="fr-FR"/>
        </w:rPr>
        <w:t>’</w:t>
      </w:r>
      <w:r w:rsidRPr="00466CE7">
        <w:rPr>
          <w:rFonts w:eastAsia="Times New Roman"/>
          <w:lang w:val="fr-FR"/>
        </w:rPr>
        <w:t xml:space="preserve">une personne </w:t>
      </w:r>
      <w:r>
        <w:rPr>
          <w:rFonts w:eastAsia="Times New Roman"/>
          <w:lang w:val="fr-FR"/>
        </w:rPr>
        <w:t>dans le but de la marier contre son gré, qui</w:t>
      </w:r>
      <w:r w:rsidRPr="00466CE7">
        <w:rPr>
          <w:rFonts w:eastAsia="Times New Roman"/>
          <w:lang w:val="fr-FR"/>
        </w:rPr>
        <w:t xml:space="preserve"> était </w:t>
      </w:r>
      <w:r>
        <w:rPr>
          <w:rFonts w:eastAsia="Times New Roman"/>
          <w:lang w:val="fr-FR"/>
        </w:rPr>
        <w:t xml:space="preserve">auparavant </w:t>
      </w:r>
      <w:r w:rsidRPr="00466CE7">
        <w:rPr>
          <w:rFonts w:eastAsia="Times New Roman"/>
          <w:lang w:val="fr-FR"/>
        </w:rPr>
        <w:t>passible d</w:t>
      </w:r>
      <w:r>
        <w:rPr>
          <w:rFonts w:eastAsia="Times New Roman"/>
          <w:lang w:val="fr-FR"/>
        </w:rPr>
        <w:t>’</w:t>
      </w:r>
      <w:r w:rsidRPr="00466CE7">
        <w:rPr>
          <w:rFonts w:eastAsia="Times New Roman"/>
          <w:lang w:val="fr-FR"/>
        </w:rPr>
        <w:t xml:space="preserve">une peine </w:t>
      </w:r>
      <w:r>
        <w:rPr>
          <w:rFonts w:eastAsia="Times New Roman"/>
          <w:lang w:val="fr-FR"/>
        </w:rPr>
        <w:t xml:space="preserve">privative de liberté d’une durée comprise entre </w:t>
      </w:r>
      <w:r w:rsidRPr="00466CE7">
        <w:rPr>
          <w:rFonts w:eastAsia="Times New Roman"/>
          <w:lang w:val="fr-FR"/>
        </w:rPr>
        <w:t xml:space="preserve">cinq </w:t>
      </w:r>
      <w:r>
        <w:rPr>
          <w:rFonts w:eastAsia="Times New Roman"/>
          <w:lang w:val="fr-FR"/>
        </w:rPr>
        <w:t xml:space="preserve">et </w:t>
      </w:r>
      <w:r w:rsidRPr="00466CE7">
        <w:rPr>
          <w:rFonts w:eastAsia="Times New Roman"/>
          <w:lang w:val="fr-FR"/>
        </w:rPr>
        <w:t xml:space="preserve">sept ans, </w:t>
      </w:r>
      <w:r>
        <w:rPr>
          <w:rFonts w:eastAsia="Times New Roman"/>
          <w:lang w:val="fr-FR"/>
        </w:rPr>
        <w:t xml:space="preserve">emporte depuis le </w:t>
      </w:r>
      <w:r w:rsidRPr="00466CE7">
        <w:rPr>
          <w:rFonts w:eastAsia="Times New Roman"/>
          <w:lang w:val="fr-FR"/>
        </w:rPr>
        <w:t>1</w:t>
      </w:r>
      <w:r w:rsidRPr="006F350B">
        <w:rPr>
          <w:rFonts w:eastAsia="Times New Roman"/>
          <w:vertAlign w:val="superscript"/>
          <w:lang w:val="fr-FR"/>
        </w:rPr>
        <w:t>er</w:t>
      </w:r>
      <w:r>
        <w:rPr>
          <w:rFonts w:eastAsia="Times New Roman"/>
          <w:lang w:val="fr-FR"/>
        </w:rPr>
        <w:t> </w:t>
      </w:r>
      <w:r w:rsidRPr="00466CE7">
        <w:rPr>
          <w:rFonts w:eastAsia="Times New Roman"/>
          <w:lang w:val="fr-FR"/>
        </w:rPr>
        <w:t>janvier 2019</w:t>
      </w:r>
      <w:r>
        <w:rPr>
          <w:rFonts w:eastAsia="Times New Roman"/>
          <w:lang w:val="fr-FR"/>
        </w:rPr>
        <w:t xml:space="preserve"> une peine privative de liberté d’une durée pouvant aller de </w:t>
      </w:r>
      <w:r w:rsidRPr="00466CE7">
        <w:rPr>
          <w:rFonts w:eastAsia="Times New Roman"/>
          <w:lang w:val="fr-FR"/>
        </w:rPr>
        <w:t xml:space="preserve">deux ans et six mois </w:t>
      </w:r>
      <w:r>
        <w:rPr>
          <w:rFonts w:eastAsia="Times New Roman"/>
          <w:lang w:val="fr-FR"/>
        </w:rPr>
        <w:t xml:space="preserve">à </w:t>
      </w:r>
      <w:r w:rsidRPr="00466CE7">
        <w:rPr>
          <w:rFonts w:eastAsia="Times New Roman"/>
          <w:lang w:val="fr-FR"/>
        </w:rPr>
        <w:t>quatre ans</w:t>
      </w:r>
      <w:r w:rsidRPr="005D23DF">
        <w:rPr>
          <w:rFonts w:eastAsia="Times New Roman"/>
          <w:lang w:val="fr-FR"/>
        </w:rPr>
        <w:t xml:space="preserve"> </w:t>
      </w:r>
      <w:r w:rsidRPr="00466CE7">
        <w:rPr>
          <w:rFonts w:eastAsia="Times New Roman"/>
          <w:lang w:val="fr-FR"/>
        </w:rPr>
        <w:t>pour les mineurs</w:t>
      </w:r>
      <w:r>
        <w:rPr>
          <w:rFonts w:eastAsia="Times New Roman"/>
          <w:lang w:val="fr-FR"/>
        </w:rPr>
        <w:t xml:space="preserve">, et de </w:t>
      </w:r>
      <w:r w:rsidRPr="00466CE7">
        <w:rPr>
          <w:rFonts w:eastAsia="Times New Roman"/>
          <w:lang w:val="fr-FR"/>
        </w:rPr>
        <w:t xml:space="preserve">cinq ans </w:t>
      </w:r>
      <w:r>
        <w:rPr>
          <w:rFonts w:eastAsia="Times New Roman"/>
          <w:lang w:val="fr-FR"/>
        </w:rPr>
        <w:t xml:space="preserve">à </w:t>
      </w:r>
      <w:r w:rsidRPr="00466CE7">
        <w:rPr>
          <w:rFonts w:eastAsia="Times New Roman"/>
          <w:lang w:val="fr-FR"/>
        </w:rPr>
        <w:t>sept ans et six mois pour les autres personnes physiques.</w:t>
      </w:r>
    </w:p>
    <w:p w14:paraId="5184E45F" w14:textId="7DBB6283" w:rsidR="009C6834" w:rsidRPr="00466CE7" w:rsidRDefault="009C6834" w:rsidP="009C6834">
      <w:pPr>
        <w:pStyle w:val="SingleTxtG"/>
        <w:rPr>
          <w:rFonts w:eastAsia="Times New Roman"/>
          <w:lang w:val="fr-FR"/>
        </w:rPr>
      </w:pPr>
      <w:r w:rsidRPr="00466CE7">
        <w:rPr>
          <w:rFonts w:eastAsia="Times New Roman"/>
          <w:lang w:val="fr-FR"/>
        </w:rPr>
        <w:t>250.</w:t>
      </w:r>
      <w:r w:rsidRPr="00466CE7">
        <w:rPr>
          <w:rFonts w:eastAsia="Times New Roman"/>
          <w:lang w:val="fr-FR"/>
        </w:rPr>
        <w:tab/>
      </w:r>
      <w:r>
        <w:rPr>
          <w:rFonts w:eastAsia="Times New Roman"/>
          <w:lang w:val="fr-FR"/>
        </w:rPr>
        <w:t>L’</w:t>
      </w:r>
      <w:r w:rsidRPr="00466CE7">
        <w:rPr>
          <w:rFonts w:eastAsia="Times New Roman"/>
          <w:lang w:val="fr-FR"/>
        </w:rPr>
        <w:t>enlèvement d</w:t>
      </w:r>
      <w:r>
        <w:rPr>
          <w:rFonts w:eastAsia="Times New Roman"/>
          <w:lang w:val="fr-FR"/>
        </w:rPr>
        <w:t>’</w:t>
      </w:r>
      <w:r w:rsidRPr="00466CE7">
        <w:rPr>
          <w:rFonts w:eastAsia="Times New Roman"/>
          <w:lang w:val="fr-FR"/>
        </w:rPr>
        <w:t>une personne de moins de 18</w:t>
      </w:r>
      <w:r w:rsidR="008315BF">
        <w:rPr>
          <w:rFonts w:eastAsia="Times New Roman"/>
          <w:lang w:val="fr-FR"/>
        </w:rPr>
        <w:t> </w:t>
      </w:r>
      <w:r w:rsidRPr="00466CE7">
        <w:rPr>
          <w:rFonts w:eastAsia="Times New Roman"/>
          <w:lang w:val="fr-FR"/>
        </w:rPr>
        <w:t xml:space="preserve">ans </w:t>
      </w:r>
      <w:r>
        <w:rPr>
          <w:rFonts w:eastAsia="Times New Roman"/>
          <w:lang w:val="fr-FR"/>
        </w:rPr>
        <w:t>en vue de la contraction de relations matrimoniales de fait ou de la conclusion d’un mariage contre son gré, qui était auparavant puni d’une peine privative de liberté</w:t>
      </w:r>
      <w:r w:rsidRPr="00466CE7">
        <w:rPr>
          <w:rFonts w:eastAsia="Times New Roman"/>
          <w:lang w:val="fr-FR"/>
        </w:rPr>
        <w:t xml:space="preserve"> de cinq à dix ans, </w:t>
      </w:r>
      <w:r>
        <w:rPr>
          <w:rFonts w:eastAsia="Times New Roman"/>
          <w:lang w:val="fr-FR"/>
        </w:rPr>
        <w:t xml:space="preserve">emporte depuis 2019 une </w:t>
      </w:r>
      <w:r w:rsidRPr="00466CE7">
        <w:rPr>
          <w:rFonts w:eastAsia="Times New Roman"/>
          <w:lang w:val="fr-FR"/>
        </w:rPr>
        <w:t xml:space="preserve">peine </w:t>
      </w:r>
      <w:r>
        <w:rPr>
          <w:rFonts w:eastAsia="Times New Roman"/>
          <w:lang w:val="fr-FR"/>
        </w:rPr>
        <w:t>privative de liberté</w:t>
      </w:r>
      <w:r w:rsidRPr="00466CE7">
        <w:rPr>
          <w:rFonts w:eastAsia="Times New Roman"/>
          <w:lang w:val="fr-FR"/>
        </w:rPr>
        <w:t xml:space="preserve"> </w:t>
      </w:r>
      <w:r>
        <w:rPr>
          <w:rFonts w:eastAsia="Times New Roman"/>
          <w:lang w:val="fr-FR"/>
        </w:rPr>
        <w:t xml:space="preserve">d’une durée comprise entre </w:t>
      </w:r>
      <w:r w:rsidRPr="00466CE7">
        <w:rPr>
          <w:rFonts w:eastAsia="Times New Roman"/>
          <w:lang w:val="fr-FR"/>
        </w:rPr>
        <w:t xml:space="preserve">quatre </w:t>
      </w:r>
      <w:r>
        <w:rPr>
          <w:rFonts w:eastAsia="Times New Roman"/>
          <w:lang w:val="fr-FR"/>
        </w:rPr>
        <w:t xml:space="preserve">et </w:t>
      </w:r>
      <w:r w:rsidRPr="00466CE7">
        <w:rPr>
          <w:rFonts w:eastAsia="Times New Roman"/>
          <w:lang w:val="fr-FR"/>
        </w:rPr>
        <w:t xml:space="preserve">six ans pour les mineurs </w:t>
      </w:r>
      <w:r>
        <w:rPr>
          <w:rFonts w:eastAsia="Times New Roman"/>
          <w:lang w:val="fr-FR"/>
        </w:rPr>
        <w:t xml:space="preserve">et entre </w:t>
      </w:r>
      <w:r w:rsidRPr="00466CE7">
        <w:rPr>
          <w:rFonts w:eastAsia="Times New Roman"/>
          <w:lang w:val="fr-FR"/>
        </w:rPr>
        <w:t xml:space="preserve">sept ans </w:t>
      </w:r>
      <w:r>
        <w:rPr>
          <w:rFonts w:eastAsia="Times New Roman"/>
          <w:lang w:val="fr-FR"/>
        </w:rPr>
        <w:t xml:space="preserve">et </w:t>
      </w:r>
      <w:r w:rsidRPr="00466CE7">
        <w:rPr>
          <w:rFonts w:eastAsia="Times New Roman"/>
          <w:lang w:val="fr-FR"/>
        </w:rPr>
        <w:t xml:space="preserve">six mois </w:t>
      </w:r>
      <w:r>
        <w:rPr>
          <w:rFonts w:eastAsia="Times New Roman"/>
          <w:lang w:val="fr-FR"/>
        </w:rPr>
        <w:t xml:space="preserve">et </w:t>
      </w:r>
      <w:r w:rsidRPr="00466CE7">
        <w:rPr>
          <w:rFonts w:eastAsia="Times New Roman"/>
          <w:lang w:val="fr-FR"/>
        </w:rPr>
        <w:t>dix ans</w:t>
      </w:r>
      <w:r w:rsidRPr="005D23DF">
        <w:rPr>
          <w:rFonts w:eastAsia="Times New Roman"/>
          <w:lang w:val="fr-FR"/>
        </w:rPr>
        <w:t xml:space="preserve"> </w:t>
      </w:r>
      <w:r w:rsidRPr="00466CE7">
        <w:rPr>
          <w:rFonts w:eastAsia="Times New Roman"/>
          <w:lang w:val="fr-FR"/>
        </w:rPr>
        <w:t xml:space="preserve">pour les autres personnes physiques, </w:t>
      </w:r>
      <w:r>
        <w:rPr>
          <w:rFonts w:eastAsia="Times New Roman"/>
          <w:lang w:val="fr-FR"/>
        </w:rPr>
        <w:t>assortie d’</w:t>
      </w:r>
      <w:r w:rsidRPr="00466CE7">
        <w:rPr>
          <w:rFonts w:eastAsia="Times New Roman"/>
          <w:lang w:val="fr-FR"/>
        </w:rPr>
        <w:t xml:space="preserve">une amende </w:t>
      </w:r>
      <w:r>
        <w:rPr>
          <w:rFonts w:eastAsia="Times New Roman"/>
          <w:lang w:val="fr-FR"/>
        </w:rPr>
        <w:t>comprise entre 80 </w:t>
      </w:r>
      <w:r w:rsidRPr="00466CE7">
        <w:rPr>
          <w:rFonts w:eastAsia="Times New Roman"/>
          <w:lang w:val="fr-FR"/>
        </w:rPr>
        <w:t xml:space="preserve">000 </w:t>
      </w:r>
      <w:r>
        <w:rPr>
          <w:rFonts w:eastAsia="Times New Roman"/>
          <w:lang w:val="fr-FR"/>
        </w:rPr>
        <w:t xml:space="preserve">et </w:t>
      </w:r>
      <w:r w:rsidRPr="00466CE7">
        <w:rPr>
          <w:rFonts w:eastAsia="Times New Roman"/>
          <w:lang w:val="fr-FR"/>
        </w:rPr>
        <w:t>220</w:t>
      </w:r>
      <w:r w:rsidR="008315BF">
        <w:rPr>
          <w:rFonts w:eastAsia="Times New Roman"/>
          <w:lang w:val="fr-FR"/>
        </w:rPr>
        <w:t> </w:t>
      </w:r>
      <w:r w:rsidRPr="00466CE7">
        <w:rPr>
          <w:rFonts w:eastAsia="Times New Roman"/>
          <w:lang w:val="fr-FR"/>
        </w:rPr>
        <w:t>000</w:t>
      </w:r>
      <w:r w:rsidR="008315BF">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w:t>
      </w:r>
    </w:p>
    <w:p w14:paraId="7239E182" w14:textId="77777777" w:rsidR="009C6834" w:rsidRPr="00466CE7" w:rsidRDefault="009C6834" w:rsidP="009C6834">
      <w:pPr>
        <w:pStyle w:val="SingleTxtG"/>
        <w:rPr>
          <w:rFonts w:eastAsia="Times New Roman"/>
          <w:lang w:val="fr-FR"/>
        </w:rPr>
      </w:pPr>
      <w:r w:rsidRPr="00466CE7">
        <w:rPr>
          <w:rFonts w:eastAsia="Times New Roman"/>
          <w:lang w:val="fr-FR"/>
        </w:rPr>
        <w:t>251.</w:t>
      </w:r>
      <w:r w:rsidRPr="00466CE7">
        <w:rPr>
          <w:rFonts w:eastAsia="Times New Roman"/>
          <w:lang w:val="fr-FR"/>
        </w:rPr>
        <w:tab/>
        <w:t xml:space="preserve">Les </w:t>
      </w:r>
      <w:r>
        <w:rPr>
          <w:rFonts w:eastAsia="Times New Roman"/>
          <w:lang w:val="fr-FR"/>
        </w:rPr>
        <w:t xml:space="preserve">actes précités sont classés dans la catégorie des </w:t>
      </w:r>
      <w:r w:rsidRPr="00466CE7">
        <w:rPr>
          <w:rFonts w:eastAsia="Times New Roman"/>
          <w:lang w:val="fr-FR"/>
        </w:rPr>
        <w:t xml:space="preserve">infractions graves. Par conséquent, les </w:t>
      </w:r>
      <w:r>
        <w:rPr>
          <w:rFonts w:eastAsia="Times New Roman"/>
          <w:lang w:val="fr-FR"/>
        </w:rPr>
        <w:t xml:space="preserve">procédures </w:t>
      </w:r>
      <w:r w:rsidRPr="00466CE7">
        <w:rPr>
          <w:rFonts w:eastAsia="Times New Roman"/>
          <w:lang w:val="fr-FR"/>
        </w:rPr>
        <w:t xml:space="preserve">pénales sont </w:t>
      </w:r>
      <w:r>
        <w:rPr>
          <w:rFonts w:eastAsia="Times New Roman"/>
          <w:lang w:val="fr-FR"/>
        </w:rPr>
        <w:t>ouvertes sans que la partie lésée en fasse la demande,</w:t>
      </w:r>
      <w:r w:rsidRPr="00466CE7">
        <w:rPr>
          <w:rFonts w:eastAsia="Times New Roman"/>
          <w:lang w:val="fr-FR"/>
        </w:rPr>
        <w:t xml:space="preserve"> la personne </w:t>
      </w:r>
      <w:r>
        <w:rPr>
          <w:rFonts w:eastAsia="Times New Roman"/>
          <w:lang w:val="fr-FR"/>
        </w:rPr>
        <w:t xml:space="preserve">inculpée ne peut </w:t>
      </w:r>
      <w:r w:rsidRPr="00466CE7">
        <w:rPr>
          <w:rFonts w:eastAsia="Times New Roman"/>
          <w:lang w:val="fr-FR"/>
        </w:rPr>
        <w:t xml:space="preserve">pas être exemptée de peine </w:t>
      </w:r>
      <w:r>
        <w:rPr>
          <w:rFonts w:eastAsia="Times New Roman"/>
          <w:lang w:val="fr-FR"/>
        </w:rPr>
        <w:t xml:space="preserve">si la </w:t>
      </w:r>
      <w:r w:rsidRPr="00466CE7">
        <w:rPr>
          <w:rFonts w:eastAsia="Times New Roman"/>
          <w:lang w:val="fr-FR"/>
        </w:rPr>
        <w:t xml:space="preserve">victime </w:t>
      </w:r>
      <w:r>
        <w:rPr>
          <w:rFonts w:eastAsia="Times New Roman"/>
          <w:lang w:val="fr-FR"/>
        </w:rPr>
        <w:t>renonce à exercer des poursuites, et aucun non-lieu ne peut être prononcé</w:t>
      </w:r>
      <w:r w:rsidRPr="00466CE7">
        <w:rPr>
          <w:rFonts w:eastAsia="Times New Roman"/>
          <w:lang w:val="fr-FR"/>
        </w:rPr>
        <w:t>.</w:t>
      </w:r>
    </w:p>
    <w:p w14:paraId="318D1FA1" w14:textId="232A88F1" w:rsidR="009C6834" w:rsidRPr="00466CE7" w:rsidRDefault="009C6834" w:rsidP="009C6834">
      <w:pPr>
        <w:pStyle w:val="SingleTxtG"/>
        <w:rPr>
          <w:rFonts w:eastAsia="Times New Roman"/>
          <w:lang w:val="fr-FR"/>
        </w:rPr>
      </w:pPr>
      <w:r w:rsidRPr="00466CE7">
        <w:rPr>
          <w:rFonts w:eastAsia="Times New Roman"/>
          <w:lang w:val="fr-FR"/>
        </w:rPr>
        <w:t>252.</w:t>
      </w:r>
      <w:r w:rsidRPr="00466CE7">
        <w:rPr>
          <w:rFonts w:eastAsia="Times New Roman"/>
          <w:lang w:val="fr-FR"/>
        </w:rPr>
        <w:tab/>
        <w:t>En outre, l</w:t>
      </w:r>
      <w:r>
        <w:rPr>
          <w:rFonts w:eastAsia="Times New Roman"/>
          <w:lang w:val="fr-FR"/>
        </w:rPr>
        <w:t>’</w:t>
      </w:r>
      <w:r w:rsidR="00CB4ECD">
        <w:rPr>
          <w:rFonts w:eastAsia="Times New Roman"/>
          <w:lang w:val="fr-FR"/>
        </w:rPr>
        <w:t>article </w:t>
      </w:r>
      <w:r w:rsidRPr="00466CE7">
        <w:rPr>
          <w:rFonts w:eastAsia="Times New Roman"/>
          <w:lang w:val="fr-FR"/>
        </w:rPr>
        <w:t xml:space="preserve">178 du </w:t>
      </w:r>
      <w:r w:rsidR="000479B3">
        <w:rPr>
          <w:rFonts w:eastAsia="Times New Roman"/>
          <w:lang w:val="fr-FR"/>
        </w:rPr>
        <w:t>Code pénal</w:t>
      </w:r>
      <w:r w:rsidRPr="00466CE7">
        <w:rPr>
          <w:rFonts w:eastAsia="Times New Roman"/>
          <w:lang w:val="fr-FR"/>
        </w:rPr>
        <w:t xml:space="preserve"> (</w:t>
      </w:r>
      <w:r>
        <w:rPr>
          <w:rFonts w:eastAsia="Times New Roman"/>
          <w:lang w:val="fr-FR"/>
        </w:rPr>
        <w:t xml:space="preserve">tel que modifié en </w:t>
      </w:r>
      <w:r w:rsidRPr="00466CE7">
        <w:rPr>
          <w:rFonts w:eastAsia="Times New Roman"/>
          <w:lang w:val="fr-FR"/>
        </w:rPr>
        <w:t>2017) contient une disposition selon laquelle les parents (</w:t>
      </w:r>
      <w:r>
        <w:rPr>
          <w:rFonts w:eastAsia="Times New Roman"/>
          <w:lang w:val="fr-FR"/>
        </w:rPr>
        <w:t xml:space="preserve">ou les </w:t>
      </w:r>
      <w:r w:rsidRPr="00466CE7">
        <w:rPr>
          <w:rFonts w:eastAsia="Times New Roman"/>
          <w:lang w:val="fr-FR"/>
        </w:rPr>
        <w:t xml:space="preserve">personnes </w:t>
      </w:r>
      <w:r>
        <w:rPr>
          <w:rFonts w:eastAsia="Times New Roman"/>
          <w:lang w:val="fr-FR"/>
        </w:rPr>
        <w:t>qui les remplacent</w:t>
      </w:r>
      <w:r w:rsidRPr="00466CE7">
        <w:rPr>
          <w:rFonts w:eastAsia="Times New Roman"/>
          <w:lang w:val="fr-FR"/>
        </w:rPr>
        <w:t>) d</w:t>
      </w:r>
      <w:r>
        <w:rPr>
          <w:rFonts w:eastAsia="Times New Roman"/>
          <w:lang w:val="fr-FR"/>
        </w:rPr>
        <w:t>’</w:t>
      </w:r>
      <w:r w:rsidRPr="00466CE7">
        <w:rPr>
          <w:rFonts w:eastAsia="Times New Roman"/>
          <w:lang w:val="fr-FR"/>
        </w:rPr>
        <w:t xml:space="preserve">une personne </w:t>
      </w:r>
      <w:r>
        <w:rPr>
          <w:rFonts w:eastAsia="Times New Roman"/>
          <w:lang w:val="fr-FR"/>
        </w:rPr>
        <w:t>mineure mariée religieusement</w:t>
      </w:r>
      <w:r w:rsidRPr="00BD768A">
        <w:rPr>
          <w:rFonts w:eastAsia="Times New Roman"/>
          <w:lang w:val="fr-FR"/>
        </w:rPr>
        <w:t xml:space="preserve"> </w:t>
      </w:r>
      <w:r w:rsidRPr="00466CE7">
        <w:rPr>
          <w:rFonts w:eastAsia="Times New Roman"/>
          <w:lang w:val="fr-FR"/>
        </w:rPr>
        <w:t xml:space="preserve">en violation de la législation </w:t>
      </w:r>
      <w:r>
        <w:rPr>
          <w:rFonts w:eastAsia="Times New Roman"/>
          <w:lang w:val="fr-FR"/>
        </w:rPr>
        <w:t xml:space="preserve">sur </w:t>
      </w:r>
      <w:r w:rsidRPr="00466CE7">
        <w:rPr>
          <w:rFonts w:eastAsia="Times New Roman"/>
          <w:lang w:val="fr-FR"/>
        </w:rPr>
        <w:t>l</w:t>
      </w:r>
      <w:r>
        <w:rPr>
          <w:rFonts w:eastAsia="Times New Roman"/>
          <w:lang w:val="fr-FR"/>
        </w:rPr>
        <w:t>’</w:t>
      </w:r>
      <w:r w:rsidRPr="00466CE7">
        <w:rPr>
          <w:rFonts w:eastAsia="Times New Roman"/>
          <w:lang w:val="fr-FR"/>
        </w:rPr>
        <w:t>âge du mariage</w:t>
      </w:r>
      <w:r>
        <w:rPr>
          <w:rFonts w:eastAsia="Times New Roman"/>
          <w:lang w:val="fr-FR"/>
        </w:rPr>
        <w:t xml:space="preserve">, la personne </w:t>
      </w:r>
      <w:r w:rsidRPr="00466CE7">
        <w:rPr>
          <w:rFonts w:eastAsia="Times New Roman"/>
          <w:lang w:val="fr-FR"/>
        </w:rPr>
        <w:t xml:space="preserve">qui a célébré </w:t>
      </w:r>
      <w:r>
        <w:rPr>
          <w:rFonts w:eastAsia="Times New Roman"/>
          <w:lang w:val="fr-FR"/>
        </w:rPr>
        <w:t>la cérémonie religieuse du mariage et la personne majeure mariée religieusement à la personne mineure en question</w:t>
      </w:r>
      <w:r w:rsidRPr="00466CE7">
        <w:rPr>
          <w:rFonts w:eastAsia="Times New Roman"/>
          <w:lang w:val="fr-FR"/>
        </w:rPr>
        <w:t xml:space="preserve"> </w:t>
      </w:r>
      <w:r>
        <w:rPr>
          <w:rFonts w:eastAsia="Times New Roman"/>
          <w:lang w:val="fr-FR"/>
        </w:rPr>
        <w:t xml:space="preserve">encourent </w:t>
      </w:r>
      <w:r w:rsidRPr="00466CE7">
        <w:rPr>
          <w:rFonts w:eastAsia="Times New Roman"/>
          <w:lang w:val="fr-FR"/>
        </w:rPr>
        <w:t xml:space="preserve">une peine </w:t>
      </w:r>
      <w:r>
        <w:rPr>
          <w:rFonts w:eastAsia="Times New Roman"/>
          <w:lang w:val="fr-FR"/>
        </w:rPr>
        <w:t>de privation de liberté d’une durée comprise entre t</w:t>
      </w:r>
      <w:r w:rsidRPr="00466CE7">
        <w:rPr>
          <w:rFonts w:eastAsia="Times New Roman"/>
          <w:lang w:val="fr-FR"/>
        </w:rPr>
        <w:t xml:space="preserve">rois </w:t>
      </w:r>
      <w:r>
        <w:rPr>
          <w:rFonts w:eastAsia="Times New Roman"/>
          <w:lang w:val="fr-FR"/>
        </w:rPr>
        <w:t xml:space="preserve">et </w:t>
      </w:r>
      <w:r w:rsidRPr="00466CE7">
        <w:rPr>
          <w:rFonts w:eastAsia="Times New Roman"/>
          <w:lang w:val="fr-FR"/>
        </w:rPr>
        <w:t>cinq ans.</w:t>
      </w:r>
    </w:p>
    <w:p w14:paraId="0E033071" w14:textId="77777777" w:rsidR="009C6834" w:rsidRPr="00466CE7" w:rsidRDefault="009C6834" w:rsidP="009C6834">
      <w:pPr>
        <w:pStyle w:val="SingleTxtG"/>
        <w:rPr>
          <w:rFonts w:eastAsia="Times New Roman"/>
          <w:lang w:val="fr-FR"/>
        </w:rPr>
      </w:pPr>
      <w:r w:rsidRPr="00466CE7">
        <w:rPr>
          <w:rFonts w:eastAsia="Times New Roman"/>
          <w:lang w:val="fr-FR"/>
        </w:rPr>
        <w:t>253.</w:t>
      </w:r>
      <w:r w:rsidRPr="00466CE7">
        <w:rPr>
          <w:rFonts w:eastAsia="Times New Roman"/>
          <w:lang w:val="fr-FR"/>
        </w:rPr>
        <w:tab/>
        <w:t xml:space="preserve">Ces </w:t>
      </w:r>
      <w:r>
        <w:rPr>
          <w:rFonts w:eastAsia="Times New Roman"/>
          <w:lang w:val="fr-FR"/>
        </w:rPr>
        <w:t xml:space="preserve">mesures </w:t>
      </w:r>
      <w:r w:rsidRPr="00466CE7">
        <w:rPr>
          <w:rFonts w:eastAsia="Times New Roman"/>
          <w:lang w:val="fr-FR"/>
        </w:rPr>
        <w:t>visent à renforcer l</w:t>
      </w:r>
      <w:r>
        <w:rPr>
          <w:rFonts w:eastAsia="Times New Roman"/>
          <w:lang w:val="fr-FR"/>
        </w:rPr>
        <w:t>’</w:t>
      </w:r>
      <w:r w:rsidRPr="00466CE7">
        <w:rPr>
          <w:rFonts w:eastAsia="Times New Roman"/>
          <w:lang w:val="fr-FR"/>
        </w:rPr>
        <w:t xml:space="preserve">institution du mariage et de la famille. </w:t>
      </w:r>
      <w:r>
        <w:rPr>
          <w:rFonts w:eastAsia="Times New Roman"/>
          <w:lang w:val="fr-FR"/>
        </w:rPr>
        <w:t xml:space="preserve">Sont passibles de sanctions </w:t>
      </w:r>
      <w:r w:rsidRPr="00466CE7">
        <w:rPr>
          <w:rFonts w:eastAsia="Times New Roman"/>
          <w:lang w:val="fr-FR"/>
        </w:rPr>
        <w:t>pénale</w:t>
      </w:r>
      <w:r>
        <w:rPr>
          <w:rFonts w:eastAsia="Times New Roman"/>
          <w:lang w:val="fr-FR"/>
        </w:rPr>
        <w:t>s</w:t>
      </w:r>
      <w:r w:rsidRPr="00466CE7">
        <w:rPr>
          <w:rFonts w:eastAsia="Times New Roman"/>
          <w:lang w:val="fr-FR"/>
        </w:rPr>
        <w:t xml:space="preserve"> </w:t>
      </w:r>
      <w:r>
        <w:rPr>
          <w:rFonts w:eastAsia="Times New Roman"/>
          <w:lang w:val="fr-FR"/>
        </w:rPr>
        <w:t>l</w:t>
      </w:r>
      <w:r w:rsidRPr="00466CE7">
        <w:rPr>
          <w:rFonts w:eastAsia="Times New Roman"/>
          <w:lang w:val="fr-FR"/>
        </w:rPr>
        <w:t xml:space="preserve">es ecclésiastiques </w:t>
      </w:r>
      <w:r>
        <w:rPr>
          <w:rFonts w:eastAsia="Times New Roman"/>
          <w:lang w:val="fr-FR"/>
        </w:rPr>
        <w:t xml:space="preserve">qui consacrent un mariage </w:t>
      </w:r>
      <w:r w:rsidRPr="00466CE7">
        <w:rPr>
          <w:rFonts w:eastAsia="Times New Roman"/>
          <w:lang w:val="fr-FR"/>
        </w:rPr>
        <w:t xml:space="preserve">avant </w:t>
      </w:r>
      <w:r>
        <w:rPr>
          <w:rFonts w:eastAsia="Times New Roman"/>
          <w:lang w:val="fr-FR"/>
        </w:rPr>
        <w:t xml:space="preserve">que celui-ci soit enregistré à l’état </w:t>
      </w:r>
      <w:r w:rsidRPr="00466CE7">
        <w:rPr>
          <w:rFonts w:eastAsia="Times New Roman"/>
          <w:lang w:val="fr-FR"/>
        </w:rPr>
        <w:t xml:space="preserve">civil et </w:t>
      </w:r>
      <w:r>
        <w:rPr>
          <w:rFonts w:eastAsia="Times New Roman"/>
          <w:lang w:val="fr-FR"/>
        </w:rPr>
        <w:t xml:space="preserve">qui célèbrent une cérémonie de </w:t>
      </w:r>
      <w:r w:rsidRPr="00466CE7">
        <w:rPr>
          <w:rFonts w:eastAsia="Times New Roman"/>
          <w:lang w:val="fr-FR"/>
        </w:rPr>
        <w:t>mariage avec des mineurs.</w:t>
      </w:r>
    </w:p>
    <w:p w14:paraId="2B66276F" w14:textId="73BE411C" w:rsidR="009C6834" w:rsidRDefault="009C6834" w:rsidP="009C6834">
      <w:pPr>
        <w:pStyle w:val="SingleTxtG"/>
        <w:rPr>
          <w:rFonts w:eastAsia="Times New Roman"/>
          <w:lang w:val="fr-FR"/>
        </w:rPr>
      </w:pPr>
      <w:r w:rsidRPr="00466CE7">
        <w:rPr>
          <w:rFonts w:eastAsia="Times New Roman"/>
          <w:lang w:val="fr-FR"/>
        </w:rPr>
        <w:t>254.</w:t>
      </w:r>
      <w:r w:rsidRPr="00466CE7">
        <w:rPr>
          <w:rFonts w:eastAsia="Times New Roman"/>
          <w:lang w:val="fr-FR"/>
        </w:rPr>
        <w:tab/>
      </w:r>
      <w:r>
        <w:rPr>
          <w:rFonts w:eastAsia="Times New Roman"/>
          <w:lang w:val="fr-FR"/>
        </w:rPr>
        <w:t xml:space="preserve">Malgré </w:t>
      </w:r>
      <w:r w:rsidRPr="00466CE7">
        <w:rPr>
          <w:rFonts w:eastAsia="Times New Roman"/>
          <w:lang w:val="fr-FR"/>
        </w:rPr>
        <w:t>l</w:t>
      </w:r>
      <w:r>
        <w:rPr>
          <w:rFonts w:eastAsia="Times New Roman"/>
          <w:lang w:val="fr-FR"/>
        </w:rPr>
        <w:t>’</w:t>
      </w:r>
      <w:r w:rsidRPr="00466CE7">
        <w:rPr>
          <w:rFonts w:eastAsia="Times New Roman"/>
          <w:lang w:val="fr-FR"/>
        </w:rPr>
        <w:t>humanisation de la législation pénale dans l</w:t>
      </w:r>
      <w:r>
        <w:rPr>
          <w:rFonts w:eastAsia="Times New Roman"/>
          <w:lang w:val="fr-FR"/>
        </w:rPr>
        <w:t>e cadre de la réforme</w:t>
      </w:r>
      <w:r w:rsidRPr="00466CE7">
        <w:rPr>
          <w:rFonts w:eastAsia="Times New Roman"/>
          <w:lang w:val="fr-FR"/>
        </w:rPr>
        <w:t xml:space="preserve"> </w:t>
      </w:r>
      <w:r>
        <w:rPr>
          <w:rFonts w:eastAsia="Times New Roman"/>
          <w:lang w:val="fr-FR"/>
        </w:rPr>
        <w:t xml:space="preserve">en cours, les peines prévues pour les infractions visées à </w:t>
      </w:r>
      <w:r w:rsidRPr="00466CE7">
        <w:rPr>
          <w:rFonts w:eastAsia="Times New Roman"/>
          <w:lang w:val="fr-FR"/>
        </w:rPr>
        <w:t>l</w:t>
      </w:r>
      <w:r>
        <w:rPr>
          <w:rFonts w:eastAsia="Times New Roman"/>
          <w:lang w:val="fr-FR"/>
        </w:rPr>
        <w:t>’</w:t>
      </w:r>
      <w:r w:rsidR="00CB4ECD">
        <w:rPr>
          <w:rFonts w:eastAsia="Times New Roman"/>
          <w:lang w:val="fr-FR"/>
        </w:rPr>
        <w:t>article </w:t>
      </w:r>
      <w:r w:rsidRPr="00466CE7">
        <w:rPr>
          <w:rFonts w:eastAsia="Times New Roman"/>
          <w:lang w:val="fr-FR"/>
        </w:rPr>
        <w:t xml:space="preserve">175 du </w:t>
      </w:r>
      <w:r w:rsidR="000479B3">
        <w:rPr>
          <w:rFonts w:eastAsia="Times New Roman"/>
          <w:lang w:val="fr-FR"/>
        </w:rPr>
        <w:t>Code pénal</w:t>
      </w:r>
      <w:r>
        <w:rPr>
          <w:rFonts w:eastAsia="Times New Roman"/>
          <w:lang w:val="fr-FR"/>
        </w:rPr>
        <w:t xml:space="preserve"> (</w:t>
      </w:r>
      <w:r w:rsidRPr="00466CE7">
        <w:rPr>
          <w:rFonts w:eastAsia="Times New Roman"/>
          <w:lang w:val="fr-FR"/>
        </w:rPr>
        <w:t xml:space="preserve">enlèvement de femmes et de jeunes filles mineures </w:t>
      </w:r>
      <w:r>
        <w:rPr>
          <w:rFonts w:eastAsia="Times New Roman"/>
          <w:lang w:val="fr-FR"/>
        </w:rPr>
        <w:t>dans le but de les marier)</w:t>
      </w:r>
      <w:r w:rsidRPr="00466CE7">
        <w:rPr>
          <w:rFonts w:eastAsia="Times New Roman"/>
          <w:lang w:val="fr-FR"/>
        </w:rPr>
        <w:t xml:space="preserve"> n</w:t>
      </w:r>
      <w:r>
        <w:rPr>
          <w:rFonts w:eastAsia="Times New Roman"/>
          <w:lang w:val="fr-FR"/>
        </w:rPr>
        <w:t xml:space="preserve">’ont </w:t>
      </w:r>
      <w:r w:rsidRPr="00466CE7">
        <w:rPr>
          <w:rFonts w:eastAsia="Times New Roman"/>
          <w:lang w:val="fr-FR"/>
        </w:rPr>
        <w:t>pas été allégée</w:t>
      </w:r>
      <w:r>
        <w:rPr>
          <w:rFonts w:eastAsia="Times New Roman"/>
          <w:lang w:val="fr-FR"/>
        </w:rPr>
        <w:t>s</w:t>
      </w:r>
      <w:r w:rsidRPr="00466CE7">
        <w:rPr>
          <w:rFonts w:eastAsia="Times New Roman"/>
          <w:lang w:val="fr-FR"/>
        </w:rPr>
        <w:t xml:space="preserve"> et</w:t>
      </w:r>
      <w:r>
        <w:rPr>
          <w:rFonts w:eastAsia="Times New Roman"/>
          <w:lang w:val="fr-FR"/>
        </w:rPr>
        <w:t xml:space="preserve"> ces infractions sont classées</w:t>
      </w:r>
      <w:r w:rsidRPr="00466CE7">
        <w:rPr>
          <w:rFonts w:eastAsia="Times New Roman"/>
          <w:lang w:val="fr-FR"/>
        </w:rPr>
        <w:t xml:space="preserve">, </w:t>
      </w:r>
      <w:r>
        <w:rPr>
          <w:rFonts w:eastAsia="Times New Roman"/>
          <w:lang w:val="fr-FR"/>
        </w:rPr>
        <w:t xml:space="preserve">selon </w:t>
      </w:r>
      <w:r w:rsidRPr="00466CE7">
        <w:rPr>
          <w:rFonts w:eastAsia="Times New Roman"/>
          <w:lang w:val="fr-FR"/>
        </w:rPr>
        <w:t>l</w:t>
      </w:r>
      <w:r>
        <w:rPr>
          <w:rFonts w:eastAsia="Times New Roman"/>
          <w:lang w:val="fr-FR"/>
        </w:rPr>
        <w:t>’</w:t>
      </w:r>
      <w:r w:rsidR="00CB4ECD">
        <w:rPr>
          <w:rFonts w:eastAsia="Times New Roman"/>
          <w:lang w:val="fr-FR"/>
        </w:rPr>
        <w:t>article </w:t>
      </w:r>
      <w:r w:rsidRPr="00466CE7">
        <w:rPr>
          <w:rFonts w:eastAsia="Times New Roman"/>
          <w:lang w:val="fr-FR"/>
        </w:rPr>
        <w:t xml:space="preserve">19 du </w:t>
      </w:r>
      <w:r w:rsidR="009603CF">
        <w:rPr>
          <w:rFonts w:eastAsia="Times New Roman"/>
          <w:lang w:val="fr-FR"/>
        </w:rPr>
        <w:t>Code</w:t>
      </w:r>
      <w:r w:rsidRPr="00466CE7">
        <w:rPr>
          <w:rFonts w:eastAsia="Times New Roman"/>
          <w:lang w:val="fr-FR"/>
        </w:rPr>
        <w:t xml:space="preserve">, </w:t>
      </w:r>
      <w:r>
        <w:rPr>
          <w:rFonts w:eastAsia="Times New Roman"/>
          <w:lang w:val="fr-FR"/>
        </w:rPr>
        <w:t xml:space="preserve">parmi les infractions </w:t>
      </w:r>
      <w:r w:rsidRPr="00466CE7">
        <w:rPr>
          <w:rFonts w:eastAsia="Times New Roman"/>
          <w:lang w:val="fr-FR"/>
        </w:rPr>
        <w:t>graves.</w:t>
      </w:r>
    </w:p>
    <w:p w14:paraId="090392A3" w14:textId="510ADFBB" w:rsidR="009C6834" w:rsidRPr="00466CE7" w:rsidRDefault="009C6834" w:rsidP="00E1792A">
      <w:pPr>
        <w:pStyle w:val="SingleTxtG"/>
        <w:rPr>
          <w:rFonts w:eastAsia="Times New Roman"/>
          <w:lang w:val="fr-FR"/>
        </w:rPr>
      </w:pPr>
      <w:r w:rsidRPr="00466CE7">
        <w:rPr>
          <w:rFonts w:eastAsia="Times New Roman"/>
          <w:lang w:val="fr-FR"/>
        </w:rPr>
        <w:t>255.</w:t>
      </w:r>
      <w:r w:rsidRPr="00466CE7">
        <w:rPr>
          <w:rFonts w:eastAsia="Times New Roman"/>
          <w:lang w:val="fr-FR"/>
        </w:rPr>
        <w:tab/>
      </w:r>
      <w:r>
        <w:rPr>
          <w:rFonts w:eastAsia="Times New Roman"/>
          <w:lang w:val="fr-FR"/>
        </w:rPr>
        <w:t xml:space="preserve">Conformément à </w:t>
      </w:r>
      <w:r w:rsidRPr="00466CE7">
        <w:rPr>
          <w:rFonts w:eastAsia="Times New Roman"/>
          <w:lang w:val="fr-FR"/>
        </w:rPr>
        <w:t>l</w:t>
      </w:r>
      <w:r>
        <w:rPr>
          <w:rFonts w:eastAsia="Times New Roman"/>
          <w:lang w:val="fr-FR"/>
        </w:rPr>
        <w:t>’</w:t>
      </w:r>
      <w:r w:rsidR="00CB4ECD">
        <w:rPr>
          <w:rFonts w:eastAsia="Times New Roman"/>
          <w:lang w:val="fr-FR"/>
        </w:rPr>
        <w:t>article </w:t>
      </w:r>
      <w:r w:rsidRPr="00466CE7">
        <w:rPr>
          <w:rFonts w:eastAsia="Times New Roman"/>
          <w:lang w:val="fr-FR"/>
        </w:rPr>
        <w:t xml:space="preserve">23 du </w:t>
      </w:r>
      <w:r w:rsidR="009603CF">
        <w:rPr>
          <w:rFonts w:eastAsia="Times New Roman"/>
          <w:lang w:val="fr-FR"/>
        </w:rPr>
        <w:t>Code</w:t>
      </w:r>
      <w:r w:rsidRPr="00466CE7">
        <w:rPr>
          <w:rFonts w:eastAsia="Times New Roman"/>
          <w:lang w:val="fr-FR"/>
        </w:rPr>
        <w:t xml:space="preserve"> de procédure pénale, </w:t>
      </w:r>
      <w:r>
        <w:rPr>
          <w:rFonts w:eastAsia="Times New Roman"/>
          <w:lang w:val="fr-FR"/>
        </w:rPr>
        <w:t>l</w:t>
      </w:r>
      <w:r w:rsidRPr="00466CE7">
        <w:rPr>
          <w:rFonts w:eastAsia="Times New Roman"/>
          <w:lang w:val="fr-FR"/>
        </w:rPr>
        <w:t xml:space="preserve">es affaires pénales enregistrées </w:t>
      </w:r>
      <w:r>
        <w:rPr>
          <w:rFonts w:eastAsia="Times New Roman"/>
          <w:lang w:val="fr-FR"/>
        </w:rPr>
        <w:t>dans le registre centralisé des infractions et délits</w:t>
      </w:r>
      <w:r w:rsidRPr="00466CE7">
        <w:rPr>
          <w:rFonts w:eastAsia="Times New Roman"/>
          <w:lang w:val="fr-FR"/>
        </w:rPr>
        <w:t xml:space="preserve"> </w:t>
      </w:r>
      <w:r>
        <w:rPr>
          <w:rFonts w:eastAsia="Times New Roman"/>
          <w:lang w:val="fr-FR"/>
        </w:rPr>
        <w:t xml:space="preserve">au titre </w:t>
      </w:r>
      <w:r w:rsidRPr="00466CE7">
        <w:rPr>
          <w:rFonts w:eastAsia="Times New Roman"/>
          <w:lang w:val="fr-FR"/>
        </w:rPr>
        <w:t>de l</w:t>
      </w:r>
      <w:r>
        <w:rPr>
          <w:rFonts w:eastAsia="Times New Roman"/>
          <w:lang w:val="fr-FR"/>
        </w:rPr>
        <w:t>’</w:t>
      </w:r>
      <w:r w:rsidR="00CB4ECD">
        <w:rPr>
          <w:rFonts w:eastAsia="Times New Roman"/>
          <w:lang w:val="fr-FR"/>
        </w:rPr>
        <w:t>article </w:t>
      </w:r>
      <w:r w:rsidRPr="00466CE7">
        <w:rPr>
          <w:rFonts w:eastAsia="Times New Roman"/>
          <w:lang w:val="fr-FR"/>
        </w:rPr>
        <w:t xml:space="preserve">175 du </w:t>
      </w:r>
      <w:r w:rsidR="000479B3">
        <w:rPr>
          <w:rFonts w:eastAsia="Times New Roman"/>
          <w:lang w:val="fr-FR"/>
        </w:rPr>
        <w:t>Code pénal</w:t>
      </w:r>
      <w:r>
        <w:rPr>
          <w:rFonts w:eastAsia="Times New Roman"/>
          <w:lang w:val="fr-FR"/>
        </w:rPr>
        <w:t xml:space="preserve"> sont des </w:t>
      </w:r>
      <w:r w:rsidRPr="00466CE7">
        <w:rPr>
          <w:rFonts w:eastAsia="Times New Roman"/>
          <w:lang w:val="fr-FR"/>
        </w:rPr>
        <w:t xml:space="preserve">affaires </w:t>
      </w:r>
      <w:r>
        <w:rPr>
          <w:rFonts w:eastAsia="Times New Roman"/>
          <w:lang w:val="fr-FR"/>
        </w:rPr>
        <w:t>pour lesquelles l’accusation publique engage d</w:t>
      </w:r>
      <w:r w:rsidRPr="00466CE7">
        <w:rPr>
          <w:rFonts w:eastAsia="Times New Roman"/>
          <w:lang w:val="fr-FR"/>
        </w:rPr>
        <w:t xml:space="preserve">es poursuites pénales </w:t>
      </w:r>
      <w:r>
        <w:rPr>
          <w:rFonts w:eastAsia="Times New Roman"/>
          <w:lang w:val="fr-FR"/>
        </w:rPr>
        <w:t xml:space="preserve">même si les victimes n’ont pas porté plainte </w:t>
      </w:r>
      <w:r w:rsidRPr="00466CE7">
        <w:rPr>
          <w:rFonts w:eastAsia="Times New Roman"/>
          <w:lang w:val="fr-FR"/>
        </w:rPr>
        <w:t xml:space="preserve">et </w:t>
      </w:r>
      <w:r>
        <w:rPr>
          <w:rFonts w:eastAsia="Times New Roman"/>
          <w:lang w:val="fr-FR"/>
        </w:rPr>
        <w:t xml:space="preserve">qui ne sont </w:t>
      </w:r>
      <w:r w:rsidRPr="00466CE7">
        <w:rPr>
          <w:rFonts w:eastAsia="Times New Roman"/>
          <w:lang w:val="fr-FR"/>
        </w:rPr>
        <w:t xml:space="preserve">pas </w:t>
      </w:r>
      <w:r>
        <w:rPr>
          <w:rFonts w:eastAsia="Times New Roman"/>
          <w:lang w:val="fr-FR"/>
        </w:rPr>
        <w:t>classées</w:t>
      </w:r>
      <w:r w:rsidRPr="00466CE7">
        <w:rPr>
          <w:rFonts w:eastAsia="Times New Roman"/>
          <w:lang w:val="fr-FR"/>
        </w:rPr>
        <w:t xml:space="preserve"> </w:t>
      </w:r>
      <w:r>
        <w:rPr>
          <w:rFonts w:eastAsia="Times New Roman"/>
          <w:lang w:val="fr-FR"/>
        </w:rPr>
        <w:t xml:space="preserve">par </w:t>
      </w:r>
      <w:r w:rsidRPr="00466CE7">
        <w:rPr>
          <w:rFonts w:eastAsia="Times New Roman"/>
          <w:lang w:val="fr-FR"/>
        </w:rPr>
        <w:t>conciliation</w:t>
      </w:r>
      <w:r w:rsidR="008315BF">
        <w:rPr>
          <w:rFonts w:eastAsia="Times New Roman"/>
          <w:lang w:val="fr-FR"/>
        </w:rPr>
        <w:t xml:space="preserve"> </w:t>
      </w:r>
      <w:r w:rsidRPr="00466CE7">
        <w:rPr>
          <w:rFonts w:eastAsia="Times New Roman"/>
          <w:lang w:val="fr-FR"/>
        </w:rPr>
        <w:t>des parties.</w:t>
      </w:r>
    </w:p>
    <w:p w14:paraId="691D2B5D" w14:textId="448E1E8C" w:rsidR="009C6834" w:rsidRPr="00466CE7" w:rsidRDefault="009C6834" w:rsidP="009C6834">
      <w:pPr>
        <w:pStyle w:val="SingleTxtG"/>
        <w:rPr>
          <w:rFonts w:eastAsia="Times New Roman"/>
          <w:lang w:val="fr-FR"/>
        </w:rPr>
      </w:pPr>
      <w:r w:rsidRPr="00466CE7">
        <w:rPr>
          <w:rFonts w:eastAsia="Times New Roman"/>
          <w:lang w:val="fr-FR"/>
        </w:rPr>
        <w:t>256.</w:t>
      </w:r>
      <w:r w:rsidRPr="00466CE7">
        <w:rPr>
          <w:rFonts w:eastAsia="Times New Roman"/>
          <w:lang w:val="fr-FR"/>
        </w:rPr>
        <w:tab/>
      </w:r>
      <w:r>
        <w:rPr>
          <w:rFonts w:eastAsia="Times New Roman"/>
          <w:lang w:val="fr-FR"/>
        </w:rPr>
        <w:t xml:space="preserve">Les </w:t>
      </w:r>
      <w:r w:rsidRPr="00466CE7">
        <w:rPr>
          <w:rFonts w:eastAsia="Times New Roman"/>
          <w:lang w:val="fr-FR"/>
        </w:rPr>
        <w:t>auteurs de</w:t>
      </w:r>
      <w:r>
        <w:rPr>
          <w:rFonts w:eastAsia="Times New Roman"/>
          <w:lang w:val="fr-FR"/>
        </w:rPr>
        <w:t xml:space="preserve">s </w:t>
      </w:r>
      <w:r w:rsidRPr="00466CE7">
        <w:rPr>
          <w:rFonts w:eastAsia="Times New Roman"/>
          <w:lang w:val="fr-FR"/>
        </w:rPr>
        <w:t xml:space="preserve">actes </w:t>
      </w:r>
      <w:r>
        <w:rPr>
          <w:rFonts w:eastAsia="Times New Roman"/>
          <w:lang w:val="fr-FR"/>
        </w:rPr>
        <w:t xml:space="preserve">visés par cet </w:t>
      </w:r>
      <w:r w:rsidR="00CB4ECD">
        <w:rPr>
          <w:rFonts w:eastAsia="Times New Roman"/>
          <w:lang w:val="fr-FR"/>
        </w:rPr>
        <w:t>article</w:t>
      </w:r>
      <w:r w:rsidR="00824019">
        <w:rPr>
          <w:rFonts w:eastAsia="Times New Roman"/>
          <w:lang w:val="fr-FR"/>
        </w:rPr>
        <w:t xml:space="preserve"> </w:t>
      </w:r>
      <w:r>
        <w:rPr>
          <w:rFonts w:eastAsia="Times New Roman"/>
          <w:lang w:val="fr-FR"/>
        </w:rPr>
        <w:t xml:space="preserve">ne peuvent donc pas échapper à </w:t>
      </w:r>
      <w:r w:rsidRPr="00466CE7">
        <w:rPr>
          <w:rFonts w:eastAsia="Times New Roman"/>
          <w:lang w:val="fr-FR"/>
        </w:rPr>
        <w:t>leur responsabilité, ce qui garantit</w:t>
      </w:r>
      <w:r>
        <w:rPr>
          <w:rFonts w:eastAsia="Times New Roman"/>
          <w:lang w:val="fr-FR"/>
        </w:rPr>
        <w:t xml:space="preserve"> l’application du </w:t>
      </w:r>
      <w:r w:rsidRPr="00466CE7">
        <w:rPr>
          <w:rFonts w:eastAsia="Times New Roman"/>
          <w:lang w:val="fr-FR"/>
        </w:rPr>
        <w:t>principe</w:t>
      </w:r>
      <w:r>
        <w:rPr>
          <w:rFonts w:eastAsia="Times New Roman"/>
          <w:lang w:val="fr-FR"/>
        </w:rPr>
        <w:t xml:space="preserve"> de l’inéluctabilité de la peine, énoncé à l’</w:t>
      </w:r>
      <w:r w:rsidR="00CB4ECD">
        <w:rPr>
          <w:rFonts w:eastAsia="Times New Roman"/>
          <w:lang w:val="fr-FR"/>
        </w:rPr>
        <w:t>article </w:t>
      </w:r>
      <w:r>
        <w:rPr>
          <w:rFonts w:eastAsia="Times New Roman"/>
          <w:lang w:val="fr-FR"/>
        </w:rPr>
        <w:t xml:space="preserve">10 du </w:t>
      </w:r>
      <w:r w:rsidR="000479B3">
        <w:rPr>
          <w:rFonts w:eastAsia="Times New Roman"/>
          <w:lang w:val="fr-FR"/>
        </w:rPr>
        <w:t>Code pénal</w:t>
      </w:r>
      <w:r w:rsidRPr="00466CE7">
        <w:rPr>
          <w:rFonts w:eastAsia="Times New Roman"/>
          <w:lang w:val="fr-FR"/>
        </w:rPr>
        <w:t>.</w:t>
      </w:r>
    </w:p>
    <w:p w14:paraId="1F1578D0" w14:textId="0DE0884D" w:rsidR="009C6834" w:rsidRPr="00466CE7" w:rsidRDefault="009C6834" w:rsidP="009C6834">
      <w:pPr>
        <w:pStyle w:val="SingleTxtG"/>
        <w:rPr>
          <w:rFonts w:eastAsia="Times New Roman"/>
          <w:lang w:val="fr-FR"/>
        </w:rPr>
      </w:pPr>
      <w:r w:rsidRPr="00466CE7">
        <w:rPr>
          <w:rFonts w:eastAsia="Times New Roman"/>
          <w:lang w:val="fr-FR"/>
        </w:rPr>
        <w:t>257.</w:t>
      </w:r>
      <w:r w:rsidRPr="00466CE7">
        <w:rPr>
          <w:rFonts w:eastAsia="Times New Roman"/>
          <w:lang w:val="fr-FR"/>
        </w:rPr>
        <w:tab/>
        <w:t xml:space="preserve">Il convient également de noter </w:t>
      </w:r>
      <w:r>
        <w:rPr>
          <w:rFonts w:eastAsia="Times New Roman"/>
          <w:lang w:val="fr-FR"/>
        </w:rPr>
        <w:t xml:space="preserve">que, conformément au </w:t>
      </w:r>
      <w:r w:rsidR="000479B3">
        <w:rPr>
          <w:rFonts w:eastAsia="Times New Roman"/>
          <w:lang w:val="fr-FR"/>
        </w:rPr>
        <w:t>Code pénal</w:t>
      </w:r>
      <w:r w:rsidRPr="00466CE7">
        <w:rPr>
          <w:rFonts w:eastAsia="Times New Roman"/>
          <w:lang w:val="fr-FR"/>
        </w:rPr>
        <w:t xml:space="preserve">, </w:t>
      </w:r>
      <w:r>
        <w:rPr>
          <w:rFonts w:eastAsia="Times New Roman"/>
          <w:lang w:val="fr-FR"/>
        </w:rPr>
        <w:t>le fait de contraindre une personne à des relations matrimoniales de fait (art. </w:t>
      </w:r>
      <w:r w:rsidRPr="00466CE7">
        <w:rPr>
          <w:rFonts w:eastAsia="Times New Roman"/>
          <w:lang w:val="fr-FR"/>
        </w:rPr>
        <w:t xml:space="preserve">176), le fait de </w:t>
      </w:r>
      <w:r>
        <w:rPr>
          <w:rFonts w:eastAsia="Times New Roman"/>
          <w:lang w:val="fr-FR"/>
        </w:rPr>
        <w:t xml:space="preserve">contraindre </w:t>
      </w:r>
      <w:r w:rsidRPr="00466CE7">
        <w:rPr>
          <w:rFonts w:eastAsia="Times New Roman"/>
          <w:lang w:val="fr-FR"/>
        </w:rPr>
        <w:t>un</w:t>
      </w:r>
      <w:r>
        <w:rPr>
          <w:rFonts w:eastAsia="Times New Roman"/>
          <w:lang w:val="fr-FR"/>
        </w:rPr>
        <w:t>e personne à se marier (art. </w:t>
      </w:r>
      <w:r w:rsidRPr="00466CE7">
        <w:rPr>
          <w:rFonts w:eastAsia="Times New Roman"/>
          <w:lang w:val="fr-FR"/>
        </w:rPr>
        <w:t xml:space="preserve">177) et la violation de la loi </w:t>
      </w:r>
      <w:r>
        <w:rPr>
          <w:rFonts w:eastAsia="Times New Roman"/>
          <w:lang w:val="fr-FR"/>
        </w:rPr>
        <w:t xml:space="preserve">relative à l’âge du </w:t>
      </w:r>
      <w:r w:rsidRPr="00466CE7">
        <w:rPr>
          <w:rFonts w:eastAsia="Times New Roman"/>
          <w:lang w:val="fr-FR"/>
        </w:rPr>
        <w:t xml:space="preserve">mariage </w:t>
      </w:r>
      <w:r>
        <w:rPr>
          <w:rFonts w:eastAsia="Times New Roman"/>
          <w:lang w:val="fr-FR"/>
        </w:rPr>
        <w:t>lors d’une célébration religieuse de mariage (art. </w:t>
      </w:r>
      <w:r w:rsidRPr="00466CE7">
        <w:rPr>
          <w:rFonts w:eastAsia="Times New Roman"/>
          <w:lang w:val="fr-FR"/>
        </w:rPr>
        <w:t xml:space="preserve">178) </w:t>
      </w:r>
      <w:r>
        <w:rPr>
          <w:rFonts w:eastAsia="Times New Roman"/>
          <w:lang w:val="fr-FR"/>
        </w:rPr>
        <w:t xml:space="preserve">constituent des infractions distinctes, </w:t>
      </w:r>
      <w:r w:rsidRPr="00466CE7">
        <w:rPr>
          <w:rFonts w:eastAsia="Times New Roman"/>
          <w:lang w:val="fr-FR"/>
        </w:rPr>
        <w:t>passibles de peines privatives de liberté.</w:t>
      </w:r>
    </w:p>
    <w:p w14:paraId="15C877DE" w14:textId="77777777" w:rsidR="009C6834" w:rsidRPr="00466CE7" w:rsidRDefault="009C6834" w:rsidP="00E1792A">
      <w:pPr>
        <w:pStyle w:val="SingleTxtG"/>
        <w:keepNext/>
        <w:keepLines/>
        <w:rPr>
          <w:rFonts w:eastAsia="Times New Roman"/>
          <w:lang w:val="fr-FR"/>
        </w:rPr>
      </w:pPr>
      <w:r w:rsidRPr="00466CE7">
        <w:rPr>
          <w:rFonts w:eastAsia="Times New Roman"/>
          <w:lang w:val="fr-FR"/>
        </w:rPr>
        <w:lastRenderedPageBreak/>
        <w:t>258.</w:t>
      </w:r>
      <w:r w:rsidRPr="00466CE7">
        <w:rPr>
          <w:rFonts w:eastAsia="Times New Roman"/>
          <w:lang w:val="fr-FR"/>
        </w:rPr>
        <w:tab/>
      </w:r>
      <w:r>
        <w:rPr>
          <w:rFonts w:eastAsia="Times New Roman"/>
          <w:lang w:val="fr-FR"/>
        </w:rPr>
        <w:t>D’une façon générale</w:t>
      </w:r>
      <w:r w:rsidRPr="00466CE7">
        <w:rPr>
          <w:rFonts w:eastAsia="Times New Roman"/>
          <w:lang w:val="fr-FR"/>
        </w:rPr>
        <w:t xml:space="preserve">, la législation </w:t>
      </w:r>
      <w:r>
        <w:rPr>
          <w:rFonts w:eastAsia="Times New Roman"/>
          <w:lang w:val="fr-FR"/>
        </w:rPr>
        <w:t xml:space="preserve">a durci les peines pour atteinte aux liens familiaux </w:t>
      </w:r>
      <w:r w:rsidRPr="00466CE7">
        <w:rPr>
          <w:rFonts w:eastAsia="Times New Roman"/>
          <w:lang w:val="fr-FR"/>
        </w:rPr>
        <w:t xml:space="preserve">et </w:t>
      </w:r>
      <w:r>
        <w:rPr>
          <w:rFonts w:eastAsia="Times New Roman"/>
          <w:lang w:val="fr-FR"/>
        </w:rPr>
        <w:t xml:space="preserve">aux </w:t>
      </w:r>
      <w:r w:rsidRPr="00466CE7">
        <w:rPr>
          <w:rFonts w:eastAsia="Times New Roman"/>
          <w:lang w:val="fr-FR"/>
        </w:rPr>
        <w:t>intérêts des mineurs.</w:t>
      </w:r>
    </w:p>
    <w:p w14:paraId="46AB2AE2" w14:textId="1E93CBF8" w:rsidR="009C6834" w:rsidRPr="00466CE7" w:rsidRDefault="009C6834" w:rsidP="009C6834">
      <w:pPr>
        <w:pStyle w:val="SingleTxtG"/>
        <w:rPr>
          <w:rFonts w:eastAsia="Times New Roman"/>
          <w:lang w:val="fr-FR"/>
        </w:rPr>
      </w:pPr>
      <w:r>
        <w:rPr>
          <w:rFonts w:eastAsia="Times New Roman"/>
          <w:lang w:val="fr-FR"/>
        </w:rPr>
        <w:t>259.</w:t>
      </w:r>
      <w:r>
        <w:rPr>
          <w:rFonts w:eastAsia="Times New Roman"/>
          <w:lang w:val="fr-FR"/>
        </w:rPr>
        <w:tab/>
        <w:t xml:space="preserve">Le tableau 1 contient </w:t>
      </w:r>
      <w:r w:rsidRPr="00466CE7">
        <w:rPr>
          <w:rFonts w:eastAsia="Times New Roman"/>
          <w:lang w:val="fr-FR"/>
        </w:rPr>
        <w:t xml:space="preserve">des données sur le nombre </w:t>
      </w:r>
      <w:r>
        <w:rPr>
          <w:rFonts w:eastAsia="Times New Roman"/>
          <w:lang w:val="fr-FR"/>
        </w:rPr>
        <w:t xml:space="preserve">de procédures </w:t>
      </w:r>
      <w:r w:rsidRPr="00466CE7">
        <w:rPr>
          <w:rFonts w:eastAsia="Times New Roman"/>
          <w:lang w:val="fr-FR"/>
        </w:rPr>
        <w:t xml:space="preserve">pénales </w:t>
      </w:r>
      <w:r>
        <w:rPr>
          <w:rFonts w:eastAsia="Times New Roman"/>
          <w:lang w:val="fr-FR"/>
        </w:rPr>
        <w:t xml:space="preserve">engagées </w:t>
      </w:r>
      <w:r w:rsidRPr="00466CE7">
        <w:rPr>
          <w:rFonts w:eastAsia="Times New Roman"/>
          <w:lang w:val="fr-FR"/>
        </w:rPr>
        <w:t xml:space="preserve">et </w:t>
      </w:r>
      <w:r>
        <w:rPr>
          <w:rFonts w:eastAsia="Times New Roman"/>
          <w:lang w:val="fr-FR"/>
        </w:rPr>
        <w:t xml:space="preserve">le nombre d’affaires transmises à la justice au titre </w:t>
      </w:r>
      <w:r w:rsidRPr="00466CE7">
        <w:rPr>
          <w:rFonts w:eastAsia="Times New Roman"/>
          <w:lang w:val="fr-FR"/>
        </w:rPr>
        <w:t>des articles</w:t>
      </w:r>
      <w:r w:rsidR="00824019">
        <w:rPr>
          <w:rFonts w:eastAsia="Times New Roman"/>
          <w:lang w:val="fr-FR"/>
        </w:rPr>
        <w:t> </w:t>
      </w:r>
      <w:r w:rsidRPr="00466CE7">
        <w:rPr>
          <w:rFonts w:eastAsia="Times New Roman"/>
          <w:lang w:val="fr-FR"/>
        </w:rPr>
        <w:t xml:space="preserve">154 et 155 du </w:t>
      </w:r>
      <w:r w:rsidR="000479B3">
        <w:rPr>
          <w:rFonts w:eastAsia="Times New Roman"/>
          <w:lang w:val="fr-FR"/>
        </w:rPr>
        <w:t>Code pénal</w:t>
      </w:r>
      <w:r w:rsidRPr="00466CE7">
        <w:rPr>
          <w:rFonts w:eastAsia="Times New Roman"/>
          <w:lang w:val="fr-FR"/>
        </w:rPr>
        <w:t xml:space="preserve"> (tel</w:t>
      </w:r>
      <w:r>
        <w:rPr>
          <w:rFonts w:eastAsia="Times New Roman"/>
          <w:lang w:val="fr-FR"/>
        </w:rPr>
        <w:t>s</w:t>
      </w:r>
      <w:r w:rsidRPr="00466CE7">
        <w:rPr>
          <w:rFonts w:eastAsia="Times New Roman"/>
          <w:lang w:val="fr-FR"/>
        </w:rPr>
        <w:t xml:space="preserve"> que modifiés en 1997)</w:t>
      </w:r>
      <w:r>
        <w:rPr>
          <w:rFonts w:eastAsia="Times New Roman"/>
          <w:lang w:val="fr-FR"/>
        </w:rPr>
        <w:t>,</w:t>
      </w:r>
      <w:r w:rsidRPr="00713EB0">
        <w:rPr>
          <w:rFonts w:eastAsia="Times New Roman"/>
          <w:lang w:val="fr-FR"/>
        </w:rPr>
        <w:t xml:space="preserve"> </w:t>
      </w:r>
      <w:r>
        <w:rPr>
          <w:rFonts w:eastAsia="Times New Roman"/>
          <w:lang w:val="fr-FR"/>
        </w:rPr>
        <w:t xml:space="preserve">entre </w:t>
      </w:r>
      <w:r w:rsidRPr="00466CE7">
        <w:rPr>
          <w:rFonts w:eastAsia="Times New Roman"/>
          <w:lang w:val="fr-FR"/>
        </w:rPr>
        <w:t xml:space="preserve">2014 </w:t>
      </w:r>
      <w:r>
        <w:rPr>
          <w:rFonts w:eastAsia="Times New Roman"/>
          <w:lang w:val="fr-FR"/>
        </w:rPr>
        <w:t xml:space="preserve">et </w:t>
      </w:r>
      <w:r w:rsidRPr="00466CE7">
        <w:rPr>
          <w:rFonts w:eastAsia="Times New Roman"/>
          <w:lang w:val="fr-FR"/>
        </w:rPr>
        <w:t>2018</w:t>
      </w:r>
      <w:r>
        <w:rPr>
          <w:rFonts w:eastAsia="Times New Roman"/>
          <w:lang w:val="fr-FR"/>
        </w:rPr>
        <w:t>.</w:t>
      </w:r>
    </w:p>
    <w:p w14:paraId="2F98F286" w14:textId="77777777" w:rsidR="009C6834" w:rsidRPr="00466CE7" w:rsidRDefault="009C6834" w:rsidP="008315BF">
      <w:pPr>
        <w:pStyle w:val="H23G"/>
        <w:rPr>
          <w:lang w:val="fr-FR"/>
        </w:rPr>
      </w:pPr>
      <w:r w:rsidRPr="00466CE7">
        <w:rPr>
          <w:lang w:val="fr-FR"/>
        </w:rPr>
        <w:tab/>
      </w:r>
      <w:r w:rsidRPr="00466CE7">
        <w:rPr>
          <w:lang w:val="fr-FR"/>
        </w:rPr>
        <w:tab/>
      </w:r>
      <w:r>
        <w:rPr>
          <w:lang w:val="fr-FR"/>
        </w:rPr>
        <w:t>Tableau 1</w:t>
      </w:r>
    </w:p>
    <w:tbl>
      <w:tblPr>
        <w:tblW w:w="7370" w:type="dxa"/>
        <w:tblInd w:w="1134" w:type="dxa"/>
        <w:tblLayout w:type="fixed"/>
        <w:tblCellMar>
          <w:left w:w="0" w:type="dxa"/>
          <w:right w:w="0" w:type="dxa"/>
        </w:tblCellMar>
        <w:tblLook w:val="0400" w:firstRow="0" w:lastRow="0" w:firstColumn="0" w:lastColumn="0" w:noHBand="0" w:noVBand="1"/>
      </w:tblPr>
      <w:tblGrid>
        <w:gridCol w:w="728"/>
        <w:gridCol w:w="1630"/>
        <w:gridCol w:w="1575"/>
        <w:gridCol w:w="87"/>
        <w:gridCol w:w="1513"/>
        <w:gridCol w:w="1837"/>
      </w:tblGrid>
      <w:tr w:rsidR="009C6834" w:rsidRPr="008315BF" w14:paraId="58CA7561" w14:textId="77777777" w:rsidTr="008315BF">
        <w:trPr>
          <w:tblHeader/>
        </w:trPr>
        <w:tc>
          <w:tcPr>
            <w:tcW w:w="729" w:type="dxa"/>
            <w:vMerge w:val="restart"/>
            <w:tcBorders>
              <w:top w:val="single" w:sz="4" w:space="0" w:color="auto"/>
              <w:bottom w:val="single" w:sz="12" w:space="0" w:color="auto"/>
            </w:tcBorders>
            <w:shd w:val="clear" w:color="auto" w:fill="auto"/>
            <w:tcMar>
              <w:left w:w="28" w:type="dxa"/>
              <w:right w:w="28" w:type="dxa"/>
            </w:tcMar>
            <w:vAlign w:val="bottom"/>
          </w:tcPr>
          <w:p w14:paraId="199CD107" w14:textId="77777777" w:rsidR="009C6834" w:rsidRPr="008315BF" w:rsidRDefault="009C6834" w:rsidP="008315BF">
            <w:pPr>
              <w:suppressAutoHyphens w:val="0"/>
              <w:spacing w:before="80" w:after="80" w:line="200" w:lineRule="exact"/>
              <w:rPr>
                <w:i/>
                <w:sz w:val="16"/>
                <w:lang w:val="fr-FR"/>
              </w:rPr>
            </w:pPr>
            <w:r w:rsidRPr="008315BF">
              <w:rPr>
                <w:i/>
                <w:sz w:val="16"/>
                <w:lang w:val="fr-FR"/>
              </w:rPr>
              <w:t xml:space="preserve">Année </w:t>
            </w:r>
          </w:p>
        </w:tc>
        <w:tc>
          <w:tcPr>
            <w:tcW w:w="3205" w:type="dxa"/>
            <w:gridSpan w:val="2"/>
            <w:tcBorders>
              <w:top w:val="single" w:sz="4" w:space="0" w:color="auto"/>
              <w:bottom w:val="single" w:sz="4" w:space="0" w:color="auto"/>
            </w:tcBorders>
            <w:shd w:val="clear" w:color="auto" w:fill="auto"/>
            <w:tcMar>
              <w:left w:w="28" w:type="dxa"/>
              <w:right w:w="28" w:type="dxa"/>
            </w:tcMar>
            <w:vAlign w:val="bottom"/>
          </w:tcPr>
          <w:p w14:paraId="300BC4EC" w14:textId="1C76A063" w:rsidR="009C6834" w:rsidRPr="008315BF" w:rsidRDefault="009C6834" w:rsidP="008315BF">
            <w:pPr>
              <w:suppressAutoHyphens w:val="0"/>
              <w:spacing w:before="80" w:after="80" w:line="200" w:lineRule="exact"/>
              <w:jc w:val="center"/>
              <w:rPr>
                <w:i/>
                <w:sz w:val="16"/>
                <w:lang w:val="fr-FR"/>
              </w:rPr>
            </w:pPr>
            <w:r w:rsidRPr="008315BF">
              <w:rPr>
                <w:i/>
                <w:sz w:val="16"/>
                <w:lang w:val="fr-FR"/>
              </w:rPr>
              <w:t xml:space="preserve">Art. 154 du </w:t>
            </w:r>
            <w:r w:rsidR="000479B3">
              <w:rPr>
                <w:i/>
                <w:sz w:val="16"/>
                <w:lang w:val="fr-FR"/>
              </w:rPr>
              <w:t>Code pénal</w:t>
            </w:r>
            <w:r w:rsidRPr="008315BF">
              <w:rPr>
                <w:i/>
                <w:sz w:val="16"/>
                <w:lang w:val="fr-FR"/>
              </w:rPr>
              <w:br/>
              <w:t xml:space="preserve">Fait de contraindre à des relations matrimoniales de fait avec une personne </w:t>
            </w:r>
            <w:r w:rsidR="008315BF">
              <w:rPr>
                <w:i/>
                <w:sz w:val="16"/>
                <w:lang w:val="fr-FR"/>
              </w:rPr>
              <w:br/>
            </w:r>
            <w:r w:rsidRPr="008315BF">
              <w:rPr>
                <w:i/>
                <w:sz w:val="16"/>
                <w:lang w:val="fr-FR"/>
              </w:rPr>
              <w:t>de moins de 17 ans</w:t>
            </w:r>
          </w:p>
        </w:tc>
        <w:tc>
          <w:tcPr>
            <w:tcW w:w="87" w:type="dxa"/>
            <w:tcBorders>
              <w:top w:val="single" w:sz="4" w:space="0" w:color="auto"/>
              <w:bottom w:val="single" w:sz="4" w:space="0" w:color="auto"/>
            </w:tcBorders>
            <w:shd w:val="clear" w:color="auto" w:fill="auto"/>
            <w:vAlign w:val="bottom"/>
          </w:tcPr>
          <w:p w14:paraId="4E8E613C" w14:textId="77777777" w:rsidR="009C6834" w:rsidRPr="008315BF" w:rsidRDefault="009C6834" w:rsidP="008315BF">
            <w:pPr>
              <w:suppressAutoHyphens w:val="0"/>
              <w:spacing w:before="80" w:after="80" w:line="200" w:lineRule="exact"/>
              <w:jc w:val="center"/>
              <w:rPr>
                <w:i/>
                <w:sz w:val="16"/>
                <w:lang w:val="fr-FR"/>
              </w:rPr>
            </w:pPr>
          </w:p>
        </w:tc>
        <w:tc>
          <w:tcPr>
            <w:tcW w:w="3351" w:type="dxa"/>
            <w:gridSpan w:val="2"/>
            <w:tcBorders>
              <w:top w:val="single" w:sz="4" w:space="0" w:color="auto"/>
              <w:bottom w:val="single" w:sz="4" w:space="0" w:color="auto"/>
            </w:tcBorders>
            <w:shd w:val="clear" w:color="auto" w:fill="auto"/>
            <w:tcMar>
              <w:left w:w="28" w:type="dxa"/>
              <w:right w:w="28" w:type="dxa"/>
            </w:tcMar>
            <w:vAlign w:val="bottom"/>
          </w:tcPr>
          <w:p w14:paraId="473509EC" w14:textId="5C80AEA1" w:rsidR="009C6834" w:rsidRPr="008315BF" w:rsidRDefault="009C6834" w:rsidP="008315BF">
            <w:pPr>
              <w:suppressAutoHyphens w:val="0"/>
              <w:spacing w:before="80" w:after="80" w:line="200" w:lineRule="exact"/>
              <w:jc w:val="center"/>
              <w:rPr>
                <w:i/>
                <w:sz w:val="16"/>
                <w:lang w:val="fr-FR"/>
              </w:rPr>
            </w:pPr>
            <w:r w:rsidRPr="008315BF">
              <w:rPr>
                <w:i/>
                <w:sz w:val="16"/>
                <w:lang w:val="fr-FR"/>
              </w:rPr>
              <w:t xml:space="preserve">Art. 155 du </w:t>
            </w:r>
            <w:r w:rsidR="000479B3">
              <w:rPr>
                <w:i/>
                <w:sz w:val="16"/>
                <w:lang w:val="fr-FR"/>
              </w:rPr>
              <w:t>Code pénal</w:t>
            </w:r>
            <w:r w:rsidRPr="008315BF">
              <w:rPr>
                <w:i/>
                <w:sz w:val="16"/>
                <w:lang w:val="fr-FR"/>
              </w:rPr>
              <w:br/>
              <w:t xml:space="preserve">Fait de contraindre une femme à se marier, enlèvement d’une femme dans le but </w:t>
            </w:r>
            <w:r w:rsidR="008315BF">
              <w:rPr>
                <w:i/>
                <w:sz w:val="16"/>
                <w:lang w:val="fr-FR"/>
              </w:rPr>
              <w:br/>
            </w:r>
            <w:r w:rsidRPr="008315BF">
              <w:rPr>
                <w:i/>
                <w:sz w:val="16"/>
                <w:lang w:val="fr-FR"/>
              </w:rPr>
              <w:t>de la marier ou entrave au mariage</w:t>
            </w:r>
          </w:p>
        </w:tc>
      </w:tr>
      <w:tr w:rsidR="009C6834" w:rsidRPr="008315BF" w14:paraId="6CD3F820" w14:textId="77777777" w:rsidTr="008315BF">
        <w:trPr>
          <w:tblHeader/>
        </w:trPr>
        <w:tc>
          <w:tcPr>
            <w:tcW w:w="729" w:type="dxa"/>
            <w:vMerge/>
            <w:tcBorders>
              <w:top w:val="single" w:sz="12" w:space="0" w:color="auto"/>
              <w:bottom w:val="single" w:sz="12" w:space="0" w:color="auto"/>
            </w:tcBorders>
            <w:shd w:val="clear" w:color="auto" w:fill="auto"/>
            <w:tcMar>
              <w:left w:w="28" w:type="dxa"/>
              <w:right w:w="28" w:type="dxa"/>
            </w:tcMar>
            <w:vAlign w:val="bottom"/>
          </w:tcPr>
          <w:p w14:paraId="6A05F17D" w14:textId="77777777" w:rsidR="009C6834" w:rsidRPr="008315BF" w:rsidRDefault="009C6834" w:rsidP="008315BF">
            <w:pPr>
              <w:suppressAutoHyphens w:val="0"/>
              <w:spacing w:before="40" w:after="40" w:line="220" w:lineRule="exact"/>
              <w:rPr>
                <w:sz w:val="18"/>
                <w:lang w:val="fr-FR"/>
              </w:rPr>
            </w:pPr>
          </w:p>
        </w:tc>
        <w:tc>
          <w:tcPr>
            <w:tcW w:w="1630" w:type="dxa"/>
            <w:tcBorders>
              <w:top w:val="single" w:sz="4" w:space="0" w:color="auto"/>
              <w:bottom w:val="single" w:sz="12" w:space="0" w:color="auto"/>
            </w:tcBorders>
            <w:shd w:val="clear" w:color="auto" w:fill="auto"/>
            <w:tcMar>
              <w:left w:w="28" w:type="dxa"/>
              <w:right w:w="28" w:type="dxa"/>
            </w:tcMar>
            <w:vAlign w:val="bottom"/>
          </w:tcPr>
          <w:p w14:paraId="010E2DCB" w14:textId="77777777" w:rsidR="009C6834" w:rsidRPr="008315BF" w:rsidRDefault="009C6834" w:rsidP="008315BF">
            <w:pPr>
              <w:suppressAutoHyphens w:val="0"/>
              <w:spacing w:before="80" w:after="80" w:line="200" w:lineRule="exact"/>
              <w:jc w:val="right"/>
              <w:rPr>
                <w:i/>
                <w:iCs/>
                <w:sz w:val="16"/>
                <w:szCs w:val="18"/>
                <w:lang w:val="fr-FR"/>
              </w:rPr>
            </w:pPr>
            <w:r w:rsidRPr="008315BF">
              <w:rPr>
                <w:i/>
                <w:iCs/>
                <w:sz w:val="16"/>
                <w:szCs w:val="18"/>
                <w:lang w:val="fr-FR"/>
              </w:rPr>
              <w:t>Procédures engagées</w:t>
            </w:r>
          </w:p>
        </w:tc>
        <w:tc>
          <w:tcPr>
            <w:tcW w:w="1575" w:type="dxa"/>
            <w:tcBorders>
              <w:top w:val="single" w:sz="4" w:space="0" w:color="auto"/>
              <w:bottom w:val="single" w:sz="12" w:space="0" w:color="auto"/>
            </w:tcBorders>
            <w:shd w:val="clear" w:color="auto" w:fill="auto"/>
            <w:tcMar>
              <w:left w:w="28" w:type="dxa"/>
              <w:right w:w="28" w:type="dxa"/>
            </w:tcMar>
            <w:vAlign w:val="bottom"/>
          </w:tcPr>
          <w:p w14:paraId="17FF6F02" w14:textId="77777777" w:rsidR="009C6834" w:rsidRPr="008315BF" w:rsidRDefault="009C6834" w:rsidP="008315BF">
            <w:pPr>
              <w:suppressAutoHyphens w:val="0"/>
              <w:spacing w:before="80" w:after="80" w:line="200" w:lineRule="exact"/>
              <w:jc w:val="right"/>
              <w:rPr>
                <w:i/>
                <w:iCs/>
                <w:sz w:val="16"/>
                <w:szCs w:val="18"/>
                <w:lang w:val="fr-FR"/>
              </w:rPr>
            </w:pPr>
            <w:r w:rsidRPr="008315BF">
              <w:rPr>
                <w:i/>
                <w:iCs/>
                <w:sz w:val="16"/>
                <w:szCs w:val="18"/>
                <w:lang w:val="fr-FR"/>
              </w:rPr>
              <w:t>Transmises à la justice</w:t>
            </w:r>
          </w:p>
        </w:tc>
        <w:tc>
          <w:tcPr>
            <w:tcW w:w="87" w:type="dxa"/>
            <w:tcBorders>
              <w:top w:val="single" w:sz="4" w:space="0" w:color="auto"/>
              <w:bottom w:val="single" w:sz="12" w:space="0" w:color="auto"/>
            </w:tcBorders>
            <w:shd w:val="clear" w:color="auto" w:fill="auto"/>
            <w:vAlign w:val="bottom"/>
          </w:tcPr>
          <w:p w14:paraId="3D52644A" w14:textId="77777777" w:rsidR="009C6834" w:rsidRPr="008315BF" w:rsidRDefault="009C6834" w:rsidP="008315BF">
            <w:pPr>
              <w:suppressAutoHyphens w:val="0"/>
              <w:spacing w:before="80" w:after="80" w:line="200" w:lineRule="exact"/>
              <w:jc w:val="right"/>
              <w:rPr>
                <w:i/>
                <w:iCs/>
                <w:sz w:val="16"/>
                <w:szCs w:val="18"/>
                <w:lang w:val="fr-FR"/>
              </w:rPr>
            </w:pPr>
          </w:p>
        </w:tc>
        <w:tc>
          <w:tcPr>
            <w:tcW w:w="1513" w:type="dxa"/>
            <w:tcBorders>
              <w:top w:val="single" w:sz="4" w:space="0" w:color="auto"/>
              <w:bottom w:val="single" w:sz="12" w:space="0" w:color="auto"/>
            </w:tcBorders>
            <w:shd w:val="clear" w:color="auto" w:fill="auto"/>
            <w:tcMar>
              <w:left w:w="28" w:type="dxa"/>
              <w:right w:w="28" w:type="dxa"/>
            </w:tcMar>
            <w:vAlign w:val="bottom"/>
          </w:tcPr>
          <w:p w14:paraId="1CDE3195" w14:textId="77777777" w:rsidR="009C6834" w:rsidRPr="008315BF" w:rsidRDefault="009C6834" w:rsidP="008315BF">
            <w:pPr>
              <w:suppressAutoHyphens w:val="0"/>
              <w:spacing w:before="80" w:after="80" w:line="200" w:lineRule="exact"/>
              <w:jc w:val="right"/>
              <w:rPr>
                <w:i/>
                <w:iCs/>
                <w:sz w:val="16"/>
                <w:szCs w:val="18"/>
                <w:lang w:val="fr-FR"/>
              </w:rPr>
            </w:pPr>
            <w:r w:rsidRPr="008315BF">
              <w:rPr>
                <w:i/>
                <w:iCs/>
                <w:sz w:val="16"/>
                <w:szCs w:val="18"/>
                <w:lang w:val="fr-FR"/>
              </w:rPr>
              <w:t>Procédures engagées</w:t>
            </w:r>
          </w:p>
        </w:tc>
        <w:tc>
          <w:tcPr>
            <w:tcW w:w="1838" w:type="dxa"/>
            <w:tcBorders>
              <w:top w:val="single" w:sz="4" w:space="0" w:color="auto"/>
              <w:bottom w:val="single" w:sz="12" w:space="0" w:color="auto"/>
            </w:tcBorders>
            <w:shd w:val="clear" w:color="auto" w:fill="auto"/>
            <w:tcMar>
              <w:left w:w="28" w:type="dxa"/>
              <w:right w:w="28" w:type="dxa"/>
            </w:tcMar>
            <w:vAlign w:val="bottom"/>
          </w:tcPr>
          <w:p w14:paraId="1320CFE3" w14:textId="77777777" w:rsidR="009C6834" w:rsidRPr="008315BF" w:rsidRDefault="009C6834" w:rsidP="008315BF">
            <w:pPr>
              <w:suppressAutoHyphens w:val="0"/>
              <w:spacing w:before="80" w:after="80" w:line="200" w:lineRule="exact"/>
              <w:jc w:val="right"/>
              <w:rPr>
                <w:i/>
                <w:iCs/>
                <w:sz w:val="16"/>
                <w:szCs w:val="18"/>
                <w:lang w:val="fr-FR"/>
              </w:rPr>
            </w:pPr>
            <w:r w:rsidRPr="008315BF">
              <w:rPr>
                <w:i/>
                <w:iCs/>
                <w:sz w:val="16"/>
                <w:szCs w:val="18"/>
                <w:lang w:val="fr-FR"/>
              </w:rPr>
              <w:t xml:space="preserve">Transmises à la justice </w:t>
            </w:r>
          </w:p>
        </w:tc>
      </w:tr>
      <w:tr w:rsidR="009C6834" w:rsidRPr="008315BF" w14:paraId="69E63A87" w14:textId="77777777" w:rsidTr="008315BF">
        <w:tc>
          <w:tcPr>
            <w:tcW w:w="729" w:type="dxa"/>
            <w:tcBorders>
              <w:top w:val="single" w:sz="12" w:space="0" w:color="auto"/>
            </w:tcBorders>
            <w:shd w:val="clear" w:color="auto" w:fill="auto"/>
            <w:tcMar>
              <w:left w:w="28" w:type="dxa"/>
              <w:right w:w="28" w:type="dxa"/>
            </w:tcMar>
          </w:tcPr>
          <w:p w14:paraId="1AE2DA77" w14:textId="77777777" w:rsidR="009C6834" w:rsidRPr="008315BF" w:rsidRDefault="009C6834" w:rsidP="008315BF">
            <w:pPr>
              <w:suppressAutoHyphens w:val="0"/>
              <w:spacing w:before="40" w:after="40" w:line="220" w:lineRule="exact"/>
              <w:rPr>
                <w:sz w:val="18"/>
                <w:lang w:val="fr-FR"/>
              </w:rPr>
            </w:pPr>
            <w:r w:rsidRPr="008315BF">
              <w:rPr>
                <w:sz w:val="18"/>
                <w:lang w:val="fr-FR"/>
              </w:rPr>
              <w:t>2014</w:t>
            </w:r>
          </w:p>
        </w:tc>
        <w:tc>
          <w:tcPr>
            <w:tcW w:w="1630" w:type="dxa"/>
            <w:tcBorders>
              <w:top w:val="single" w:sz="12" w:space="0" w:color="auto"/>
            </w:tcBorders>
            <w:shd w:val="clear" w:color="auto" w:fill="auto"/>
            <w:tcMar>
              <w:left w:w="28" w:type="dxa"/>
              <w:right w:w="28" w:type="dxa"/>
            </w:tcMar>
            <w:vAlign w:val="bottom"/>
          </w:tcPr>
          <w:p w14:paraId="0BE3BE02"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6</w:t>
            </w:r>
          </w:p>
        </w:tc>
        <w:tc>
          <w:tcPr>
            <w:tcW w:w="1575" w:type="dxa"/>
            <w:tcBorders>
              <w:top w:val="single" w:sz="12" w:space="0" w:color="auto"/>
            </w:tcBorders>
            <w:shd w:val="clear" w:color="auto" w:fill="auto"/>
            <w:tcMar>
              <w:left w:w="28" w:type="dxa"/>
              <w:right w:w="28" w:type="dxa"/>
            </w:tcMar>
            <w:vAlign w:val="bottom"/>
          </w:tcPr>
          <w:p w14:paraId="3AFCFDBC"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6</w:t>
            </w:r>
          </w:p>
        </w:tc>
        <w:tc>
          <w:tcPr>
            <w:tcW w:w="87" w:type="dxa"/>
            <w:tcBorders>
              <w:top w:val="single" w:sz="12" w:space="0" w:color="auto"/>
            </w:tcBorders>
            <w:shd w:val="clear" w:color="auto" w:fill="auto"/>
            <w:vAlign w:val="bottom"/>
          </w:tcPr>
          <w:p w14:paraId="169EF92E" w14:textId="77777777" w:rsidR="009C6834" w:rsidRPr="008315BF" w:rsidRDefault="009C6834" w:rsidP="008315BF">
            <w:pPr>
              <w:suppressAutoHyphens w:val="0"/>
              <w:spacing w:before="40" w:after="40" w:line="220" w:lineRule="exact"/>
              <w:jc w:val="right"/>
              <w:rPr>
                <w:sz w:val="18"/>
                <w:lang w:val="fr-FR"/>
              </w:rPr>
            </w:pPr>
          </w:p>
        </w:tc>
        <w:tc>
          <w:tcPr>
            <w:tcW w:w="1513" w:type="dxa"/>
            <w:tcBorders>
              <w:top w:val="single" w:sz="12" w:space="0" w:color="auto"/>
            </w:tcBorders>
            <w:shd w:val="clear" w:color="auto" w:fill="auto"/>
            <w:tcMar>
              <w:left w:w="28" w:type="dxa"/>
              <w:right w:w="28" w:type="dxa"/>
            </w:tcMar>
            <w:vAlign w:val="bottom"/>
          </w:tcPr>
          <w:p w14:paraId="6BCA120E"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33</w:t>
            </w:r>
          </w:p>
        </w:tc>
        <w:tc>
          <w:tcPr>
            <w:tcW w:w="1838" w:type="dxa"/>
            <w:tcBorders>
              <w:top w:val="single" w:sz="12" w:space="0" w:color="auto"/>
            </w:tcBorders>
            <w:shd w:val="clear" w:color="auto" w:fill="auto"/>
            <w:tcMar>
              <w:left w:w="28" w:type="dxa"/>
              <w:right w:w="28" w:type="dxa"/>
            </w:tcMar>
            <w:vAlign w:val="bottom"/>
          </w:tcPr>
          <w:p w14:paraId="422393B4"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33</w:t>
            </w:r>
          </w:p>
        </w:tc>
      </w:tr>
      <w:tr w:rsidR="009C6834" w:rsidRPr="008315BF" w14:paraId="5289DCF0" w14:textId="77777777" w:rsidTr="008315BF">
        <w:tc>
          <w:tcPr>
            <w:tcW w:w="729" w:type="dxa"/>
            <w:shd w:val="clear" w:color="auto" w:fill="auto"/>
            <w:tcMar>
              <w:left w:w="28" w:type="dxa"/>
              <w:right w:w="28" w:type="dxa"/>
            </w:tcMar>
          </w:tcPr>
          <w:p w14:paraId="40603A97" w14:textId="77777777" w:rsidR="009C6834" w:rsidRPr="008315BF" w:rsidRDefault="009C6834" w:rsidP="008315BF">
            <w:pPr>
              <w:suppressAutoHyphens w:val="0"/>
              <w:spacing w:before="40" w:after="40" w:line="220" w:lineRule="exact"/>
              <w:rPr>
                <w:sz w:val="18"/>
                <w:lang w:val="fr-FR"/>
              </w:rPr>
            </w:pPr>
            <w:r w:rsidRPr="008315BF">
              <w:rPr>
                <w:sz w:val="18"/>
                <w:lang w:val="fr-FR"/>
              </w:rPr>
              <w:t>2015</w:t>
            </w:r>
          </w:p>
        </w:tc>
        <w:tc>
          <w:tcPr>
            <w:tcW w:w="1630" w:type="dxa"/>
            <w:shd w:val="clear" w:color="auto" w:fill="auto"/>
            <w:tcMar>
              <w:left w:w="28" w:type="dxa"/>
              <w:right w:w="28" w:type="dxa"/>
            </w:tcMar>
            <w:vAlign w:val="bottom"/>
          </w:tcPr>
          <w:p w14:paraId="46B47BC3"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 xml:space="preserve">4 </w:t>
            </w:r>
          </w:p>
        </w:tc>
        <w:tc>
          <w:tcPr>
            <w:tcW w:w="1575" w:type="dxa"/>
            <w:shd w:val="clear" w:color="auto" w:fill="auto"/>
            <w:tcMar>
              <w:left w:w="28" w:type="dxa"/>
              <w:right w:w="28" w:type="dxa"/>
            </w:tcMar>
            <w:vAlign w:val="bottom"/>
          </w:tcPr>
          <w:p w14:paraId="14FCB791"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4</w:t>
            </w:r>
          </w:p>
        </w:tc>
        <w:tc>
          <w:tcPr>
            <w:tcW w:w="87" w:type="dxa"/>
            <w:shd w:val="clear" w:color="auto" w:fill="auto"/>
            <w:vAlign w:val="bottom"/>
          </w:tcPr>
          <w:p w14:paraId="3E1AF358" w14:textId="77777777" w:rsidR="009C6834" w:rsidRPr="008315BF" w:rsidRDefault="009C6834" w:rsidP="008315BF">
            <w:pPr>
              <w:suppressAutoHyphens w:val="0"/>
              <w:spacing w:before="40" w:after="40" w:line="220" w:lineRule="exact"/>
              <w:jc w:val="right"/>
              <w:rPr>
                <w:sz w:val="18"/>
                <w:lang w:val="fr-FR"/>
              </w:rPr>
            </w:pPr>
          </w:p>
        </w:tc>
        <w:tc>
          <w:tcPr>
            <w:tcW w:w="1513" w:type="dxa"/>
            <w:shd w:val="clear" w:color="auto" w:fill="auto"/>
            <w:tcMar>
              <w:left w:w="28" w:type="dxa"/>
              <w:right w:w="28" w:type="dxa"/>
            </w:tcMar>
            <w:vAlign w:val="bottom"/>
          </w:tcPr>
          <w:p w14:paraId="2AF63D41"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32</w:t>
            </w:r>
          </w:p>
        </w:tc>
        <w:tc>
          <w:tcPr>
            <w:tcW w:w="1838" w:type="dxa"/>
            <w:shd w:val="clear" w:color="auto" w:fill="auto"/>
            <w:tcMar>
              <w:left w:w="28" w:type="dxa"/>
              <w:right w:w="28" w:type="dxa"/>
            </w:tcMar>
            <w:vAlign w:val="bottom"/>
          </w:tcPr>
          <w:p w14:paraId="4398A8A0"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32</w:t>
            </w:r>
          </w:p>
        </w:tc>
      </w:tr>
      <w:tr w:rsidR="009C6834" w:rsidRPr="008315BF" w14:paraId="07B889E0" w14:textId="77777777" w:rsidTr="008315BF">
        <w:tc>
          <w:tcPr>
            <w:tcW w:w="729" w:type="dxa"/>
            <w:shd w:val="clear" w:color="auto" w:fill="auto"/>
            <w:tcMar>
              <w:left w:w="28" w:type="dxa"/>
              <w:right w:w="28" w:type="dxa"/>
            </w:tcMar>
          </w:tcPr>
          <w:p w14:paraId="0DEDC2B9" w14:textId="77777777" w:rsidR="009C6834" w:rsidRPr="008315BF" w:rsidRDefault="009C6834" w:rsidP="008315BF">
            <w:pPr>
              <w:suppressAutoHyphens w:val="0"/>
              <w:spacing w:before="40" w:after="40" w:line="220" w:lineRule="exact"/>
              <w:rPr>
                <w:sz w:val="18"/>
                <w:lang w:val="fr-FR"/>
              </w:rPr>
            </w:pPr>
            <w:r w:rsidRPr="008315BF">
              <w:rPr>
                <w:sz w:val="18"/>
                <w:lang w:val="fr-FR"/>
              </w:rPr>
              <w:t>2016</w:t>
            </w:r>
          </w:p>
        </w:tc>
        <w:tc>
          <w:tcPr>
            <w:tcW w:w="1630" w:type="dxa"/>
            <w:shd w:val="clear" w:color="auto" w:fill="auto"/>
            <w:tcMar>
              <w:left w:w="28" w:type="dxa"/>
              <w:right w:w="28" w:type="dxa"/>
            </w:tcMar>
            <w:vAlign w:val="bottom"/>
          </w:tcPr>
          <w:p w14:paraId="7553FD62"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10</w:t>
            </w:r>
          </w:p>
        </w:tc>
        <w:tc>
          <w:tcPr>
            <w:tcW w:w="1575" w:type="dxa"/>
            <w:shd w:val="clear" w:color="auto" w:fill="auto"/>
            <w:tcMar>
              <w:left w:w="28" w:type="dxa"/>
              <w:right w:w="28" w:type="dxa"/>
            </w:tcMar>
            <w:vAlign w:val="bottom"/>
          </w:tcPr>
          <w:p w14:paraId="322C9210"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10</w:t>
            </w:r>
          </w:p>
        </w:tc>
        <w:tc>
          <w:tcPr>
            <w:tcW w:w="87" w:type="dxa"/>
            <w:shd w:val="clear" w:color="auto" w:fill="auto"/>
            <w:vAlign w:val="bottom"/>
          </w:tcPr>
          <w:p w14:paraId="72EC3438" w14:textId="77777777" w:rsidR="009C6834" w:rsidRPr="008315BF" w:rsidRDefault="009C6834" w:rsidP="008315BF">
            <w:pPr>
              <w:suppressAutoHyphens w:val="0"/>
              <w:spacing w:before="40" w:after="40" w:line="220" w:lineRule="exact"/>
              <w:jc w:val="right"/>
              <w:rPr>
                <w:sz w:val="18"/>
                <w:lang w:val="fr-FR"/>
              </w:rPr>
            </w:pPr>
          </w:p>
        </w:tc>
        <w:tc>
          <w:tcPr>
            <w:tcW w:w="1513" w:type="dxa"/>
            <w:shd w:val="clear" w:color="auto" w:fill="auto"/>
            <w:tcMar>
              <w:left w:w="28" w:type="dxa"/>
              <w:right w:w="28" w:type="dxa"/>
            </w:tcMar>
            <w:vAlign w:val="bottom"/>
          </w:tcPr>
          <w:p w14:paraId="6A9C4253"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26</w:t>
            </w:r>
          </w:p>
        </w:tc>
        <w:tc>
          <w:tcPr>
            <w:tcW w:w="1838" w:type="dxa"/>
            <w:shd w:val="clear" w:color="auto" w:fill="auto"/>
            <w:tcMar>
              <w:left w:w="28" w:type="dxa"/>
              <w:right w:w="28" w:type="dxa"/>
            </w:tcMar>
            <w:vAlign w:val="bottom"/>
          </w:tcPr>
          <w:p w14:paraId="07A95F45"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26</w:t>
            </w:r>
          </w:p>
        </w:tc>
      </w:tr>
      <w:tr w:rsidR="009C6834" w:rsidRPr="008315BF" w14:paraId="1A419594" w14:textId="77777777" w:rsidTr="008315BF">
        <w:tc>
          <w:tcPr>
            <w:tcW w:w="729" w:type="dxa"/>
            <w:shd w:val="clear" w:color="auto" w:fill="auto"/>
            <w:tcMar>
              <w:left w:w="28" w:type="dxa"/>
              <w:right w:w="28" w:type="dxa"/>
            </w:tcMar>
          </w:tcPr>
          <w:p w14:paraId="4D8E0581" w14:textId="77777777" w:rsidR="009C6834" w:rsidRPr="008315BF" w:rsidRDefault="009C6834" w:rsidP="008315BF">
            <w:pPr>
              <w:suppressAutoHyphens w:val="0"/>
              <w:spacing w:before="40" w:after="40" w:line="220" w:lineRule="exact"/>
              <w:rPr>
                <w:sz w:val="18"/>
                <w:lang w:val="fr-FR"/>
              </w:rPr>
            </w:pPr>
            <w:r w:rsidRPr="008315BF">
              <w:rPr>
                <w:sz w:val="18"/>
                <w:lang w:val="fr-FR"/>
              </w:rPr>
              <w:t>2017</w:t>
            </w:r>
          </w:p>
        </w:tc>
        <w:tc>
          <w:tcPr>
            <w:tcW w:w="1630" w:type="dxa"/>
            <w:shd w:val="clear" w:color="auto" w:fill="auto"/>
            <w:tcMar>
              <w:left w:w="28" w:type="dxa"/>
              <w:right w:w="28" w:type="dxa"/>
            </w:tcMar>
            <w:vAlign w:val="bottom"/>
          </w:tcPr>
          <w:p w14:paraId="5C76095E"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4</w:t>
            </w:r>
          </w:p>
        </w:tc>
        <w:tc>
          <w:tcPr>
            <w:tcW w:w="1575" w:type="dxa"/>
            <w:shd w:val="clear" w:color="auto" w:fill="auto"/>
            <w:tcMar>
              <w:left w:w="28" w:type="dxa"/>
              <w:right w:w="28" w:type="dxa"/>
            </w:tcMar>
            <w:vAlign w:val="bottom"/>
          </w:tcPr>
          <w:p w14:paraId="37523D61"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4</w:t>
            </w:r>
          </w:p>
        </w:tc>
        <w:tc>
          <w:tcPr>
            <w:tcW w:w="87" w:type="dxa"/>
            <w:shd w:val="clear" w:color="auto" w:fill="auto"/>
            <w:vAlign w:val="bottom"/>
          </w:tcPr>
          <w:p w14:paraId="69099118" w14:textId="77777777" w:rsidR="009C6834" w:rsidRPr="008315BF" w:rsidRDefault="009C6834" w:rsidP="008315BF">
            <w:pPr>
              <w:suppressAutoHyphens w:val="0"/>
              <w:spacing w:before="40" w:after="40" w:line="220" w:lineRule="exact"/>
              <w:jc w:val="right"/>
              <w:rPr>
                <w:sz w:val="18"/>
                <w:lang w:val="fr-FR"/>
              </w:rPr>
            </w:pPr>
          </w:p>
        </w:tc>
        <w:tc>
          <w:tcPr>
            <w:tcW w:w="1513" w:type="dxa"/>
            <w:shd w:val="clear" w:color="auto" w:fill="auto"/>
            <w:tcMar>
              <w:left w:w="28" w:type="dxa"/>
              <w:right w:w="28" w:type="dxa"/>
            </w:tcMar>
            <w:vAlign w:val="bottom"/>
          </w:tcPr>
          <w:p w14:paraId="2F104446"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19</w:t>
            </w:r>
          </w:p>
        </w:tc>
        <w:tc>
          <w:tcPr>
            <w:tcW w:w="1838" w:type="dxa"/>
            <w:shd w:val="clear" w:color="auto" w:fill="auto"/>
            <w:tcMar>
              <w:left w:w="28" w:type="dxa"/>
              <w:right w:w="28" w:type="dxa"/>
            </w:tcMar>
            <w:vAlign w:val="bottom"/>
          </w:tcPr>
          <w:p w14:paraId="1E180341"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19</w:t>
            </w:r>
          </w:p>
        </w:tc>
      </w:tr>
      <w:tr w:rsidR="009C6834" w:rsidRPr="008315BF" w14:paraId="3BD50674" w14:textId="77777777" w:rsidTr="008315BF">
        <w:tc>
          <w:tcPr>
            <w:tcW w:w="729" w:type="dxa"/>
            <w:tcBorders>
              <w:bottom w:val="single" w:sz="12" w:space="0" w:color="auto"/>
            </w:tcBorders>
            <w:shd w:val="clear" w:color="auto" w:fill="auto"/>
            <w:tcMar>
              <w:left w:w="28" w:type="dxa"/>
              <w:right w:w="28" w:type="dxa"/>
            </w:tcMar>
          </w:tcPr>
          <w:p w14:paraId="611414BF" w14:textId="77777777" w:rsidR="009C6834" w:rsidRPr="008315BF" w:rsidRDefault="009C6834" w:rsidP="008315BF">
            <w:pPr>
              <w:suppressAutoHyphens w:val="0"/>
              <w:spacing w:before="40" w:after="40" w:line="220" w:lineRule="exact"/>
              <w:rPr>
                <w:sz w:val="18"/>
                <w:lang w:val="fr-FR"/>
              </w:rPr>
            </w:pPr>
            <w:r w:rsidRPr="008315BF">
              <w:rPr>
                <w:sz w:val="18"/>
                <w:lang w:val="fr-FR"/>
              </w:rPr>
              <w:t>2018</w:t>
            </w:r>
          </w:p>
        </w:tc>
        <w:tc>
          <w:tcPr>
            <w:tcW w:w="1630" w:type="dxa"/>
            <w:tcBorders>
              <w:bottom w:val="single" w:sz="12" w:space="0" w:color="auto"/>
            </w:tcBorders>
            <w:shd w:val="clear" w:color="auto" w:fill="auto"/>
            <w:tcMar>
              <w:left w:w="28" w:type="dxa"/>
              <w:right w:w="28" w:type="dxa"/>
            </w:tcMar>
            <w:vAlign w:val="bottom"/>
          </w:tcPr>
          <w:p w14:paraId="5A6CD640"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w:t>
            </w:r>
          </w:p>
        </w:tc>
        <w:tc>
          <w:tcPr>
            <w:tcW w:w="1575" w:type="dxa"/>
            <w:tcBorders>
              <w:bottom w:val="single" w:sz="12" w:space="0" w:color="auto"/>
            </w:tcBorders>
            <w:shd w:val="clear" w:color="auto" w:fill="auto"/>
            <w:tcMar>
              <w:left w:w="28" w:type="dxa"/>
              <w:right w:w="28" w:type="dxa"/>
            </w:tcMar>
            <w:vAlign w:val="bottom"/>
          </w:tcPr>
          <w:p w14:paraId="1C64408D"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w:t>
            </w:r>
          </w:p>
        </w:tc>
        <w:tc>
          <w:tcPr>
            <w:tcW w:w="87" w:type="dxa"/>
            <w:tcBorders>
              <w:bottom w:val="single" w:sz="12" w:space="0" w:color="auto"/>
            </w:tcBorders>
            <w:shd w:val="clear" w:color="auto" w:fill="auto"/>
            <w:vAlign w:val="bottom"/>
          </w:tcPr>
          <w:p w14:paraId="4D0D18E5" w14:textId="77777777" w:rsidR="009C6834" w:rsidRPr="008315BF" w:rsidRDefault="009C6834" w:rsidP="008315BF">
            <w:pPr>
              <w:suppressAutoHyphens w:val="0"/>
              <w:spacing w:before="40" w:after="40" w:line="220" w:lineRule="exact"/>
              <w:jc w:val="right"/>
              <w:rPr>
                <w:sz w:val="18"/>
                <w:lang w:val="fr-FR"/>
              </w:rPr>
            </w:pPr>
          </w:p>
        </w:tc>
        <w:tc>
          <w:tcPr>
            <w:tcW w:w="1513" w:type="dxa"/>
            <w:tcBorders>
              <w:bottom w:val="single" w:sz="12" w:space="0" w:color="auto"/>
            </w:tcBorders>
            <w:shd w:val="clear" w:color="auto" w:fill="auto"/>
            <w:tcMar>
              <w:left w:w="28" w:type="dxa"/>
              <w:right w:w="28" w:type="dxa"/>
            </w:tcMar>
            <w:vAlign w:val="bottom"/>
          </w:tcPr>
          <w:p w14:paraId="0A80E176"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37</w:t>
            </w:r>
          </w:p>
        </w:tc>
        <w:tc>
          <w:tcPr>
            <w:tcW w:w="1838" w:type="dxa"/>
            <w:tcBorders>
              <w:bottom w:val="single" w:sz="12" w:space="0" w:color="auto"/>
            </w:tcBorders>
            <w:shd w:val="clear" w:color="auto" w:fill="auto"/>
            <w:tcMar>
              <w:left w:w="28" w:type="dxa"/>
              <w:right w:w="28" w:type="dxa"/>
            </w:tcMar>
            <w:vAlign w:val="bottom"/>
          </w:tcPr>
          <w:p w14:paraId="0D561E4C" w14:textId="77777777" w:rsidR="009C6834" w:rsidRPr="008315BF" w:rsidRDefault="009C6834" w:rsidP="008315BF">
            <w:pPr>
              <w:suppressAutoHyphens w:val="0"/>
              <w:spacing w:before="40" w:after="40" w:line="220" w:lineRule="exact"/>
              <w:jc w:val="right"/>
              <w:rPr>
                <w:sz w:val="18"/>
                <w:lang w:val="fr-FR"/>
              </w:rPr>
            </w:pPr>
            <w:r w:rsidRPr="008315BF">
              <w:rPr>
                <w:sz w:val="18"/>
                <w:lang w:val="fr-FR"/>
              </w:rPr>
              <w:t>37</w:t>
            </w:r>
          </w:p>
        </w:tc>
      </w:tr>
    </w:tbl>
    <w:p w14:paraId="28B4357B" w14:textId="27049F58" w:rsidR="009C6834" w:rsidRDefault="009C6834" w:rsidP="008315BF">
      <w:pPr>
        <w:pStyle w:val="SingleTxtG"/>
        <w:spacing w:before="240"/>
        <w:rPr>
          <w:rFonts w:eastAsia="Times New Roman"/>
          <w:lang w:val="fr-FR"/>
        </w:rPr>
      </w:pPr>
      <w:r>
        <w:rPr>
          <w:rFonts w:eastAsia="Times New Roman"/>
          <w:lang w:val="fr-FR"/>
        </w:rPr>
        <w:t>260.</w:t>
      </w:r>
      <w:r>
        <w:rPr>
          <w:rFonts w:eastAsia="Times New Roman"/>
          <w:lang w:val="fr-FR"/>
        </w:rPr>
        <w:tab/>
        <w:t xml:space="preserve">Il convient en outre de noter </w:t>
      </w:r>
      <w:r w:rsidRPr="00466CE7">
        <w:rPr>
          <w:rFonts w:eastAsia="Times New Roman"/>
          <w:lang w:val="fr-FR"/>
        </w:rPr>
        <w:t>qu</w:t>
      </w:r>
      <w:r>
        <w:rPr>
          <w:rFonts w:eastAsia="Times New Roman"/>
          <w:lang w:val="fr-FR"/>
        </w:rPr>
        <w:t>’</w:t>
      </w:r>
      <w:r w:rsidRPr="00466CE7">
        <w:rPr>
          <w:rFonts w:eastAsia="Times New Roman"/>
          <w:lang w:val="fr-FR"/>
        </w:rPr>
        <w:t>en 2016, avant l</w:t>
      </w:r>
      <w:r>
        <w:rPr>
          <w:rFonts w:eastAsia="Times New Roman"/>
          <w:lang w:val="fr-FR"/>
        </w:rPr>
        <w:t>’</w:t>
      </w:r>
      <w:r w:rsidRPr="00466CE7">
        <w:rPr>
          <w:rFonts w:eastAsia="Times New Roman"/>
          <w:lang w:val="fr-FR"/>
        </w:rPr>
        <w:t xml:space="preserve">entrée en vigueur des nouveaux codes adoptés dans le cadre de la réforme juridique </w:t>
      </w:r>
      <w:r>
        <w:rPr>
          <w:rFonts w:eastAsia="Times New Roman"/>
          <w:lang w:val="fr-FR"/>
        </w:rPr>
        <w:t xml:space="preserve">et judiciaire </w:t>
      </w:r>
      <w:r w:rsidRPr="00466CE7">
        <w:rPr>
          <w:rFonts w:eastAsia="Times New Roman"/>
          <w:lang w:val="fr-FR"/>
        </w:rPr>
        <w:t>(</w:t>
      </w:r>
      <w:r w:rsidR="000479B3">
        <w:rPr>
          <w:rFonts w:eastAsia="Times New Roman"/>
          <w:lang w:val="fr-FR"/>
        </w:rPr>
        <w:t>Code pénal</w:t>
      </w:r>
      <w:r>
        <w:rPr>
          <w:rFonts w:eastAsia="Times New Roman"/>
          <w:lang w:val="fr-FR"/>
        </w:rPr>
        <w:t xml:space="preserve">, </w:t>
      </w:r>
      <w:r w:rsidR="009603CF">
        <w:rPr>
          <w:rFonts w:eastAsia="Times New Roman"/>
          <w:lang w:val="fr-FR"/>
        </w:rPr>
        <w:t>Code</w:t>
      </w:r>
      <w:r>
        <w:rPr>
          <w:rFonts w:eastAsia="Times New Roman"/>
          <w:lang w:val="fr-FR"/>
        </w:rPr>
        <w:t xml:space="preserve"> de procédure pénale</w:t>
      </w:r>
      <w:r w:rsidRPr="00466CE7">
        <w:rPr>
          <w:rFonts w:eastAsia="Times New Roman"/>
          <w:lang w:val="fr-FR"/>
        </w:rPr>
        <w:t xml:space="preserve">), </w:t>
      </w:r>
      <w:r>
        <w:rPr>
          <w:rFonts w:eastAsia="Times New Roman"/>
          <w:lang w:val="fr-FR"/>
        </w:rPr>
        <w:t xml:space="preserve">une </w:t>
      </w:r>
      <w:r w:rsidRPr="00466CE7">
        <w:rPr>
          <w:rFonts w:eastAsia="Times New Roman"/>
          <w:lang w:val="fr-FR"/>
        </w:rPr>
        <w:t xml:space="preserve">loi </w:t>
      </w:r>
      <w:r>
        <w:rPr>
          <w:rFonts w:eastAsia="Times New Roman"/>
          <w:lang w:val="fr-FR"/>
        </w:rPr>
        <w:t>portant modification</w:t>
      </w:r>
      <w:r w:rsidRPr="00466CE7">
        <w:rPr>
          <w:rFonts w:eastAsia="Times New Roman"/>
          <w:lang w:val="fr-FR"/>
        </w:rPr>
        <w:t xml:space="preserve"> </w:t>
      </w:r>
      <w:r>
        <w:rPr>
          <w:rFonts w:eastAsia="Times New Roman"/>
          <w:lang w:val="fr-FR"/>
        </w:rPr>
        <w:t>de certains actes législatifs (</w:t>
      </w:r>
      <w:r w:rsidR="009603CF">
        <w:rPr>
          <w:rFonts w:eastAsia="Times New Roman"/>
          <w:lang w:val="fr-FR"/>
        </w:rPr>
        <w:t>Code</w:t>
      </w:r>
      <w:r w:rsidRPr="00466CE7">
        <w:rPr>
          <w:rFonts w:eastAsia="Times New Roman"/>
          <w:lang w:val="fr-FR"/>
        </w:rPr>
        <w:t xml:space="preserve"> de la famille, </w:t>
      </w:r>
      <w:r w:rsidR="000479B3">
        <w:rPr>
          <w:rFonts w:eastAsia="Times New Roman"/>
          <w:lang w:val="fr-FR"/>
        </w:rPr>
        <w:t>Code pénal</w:t>
      </w:r>
      <w:r w:rsidRPr="00466CE7">
        <w:rPr>
          <w:rFonts w:eastAsia="Times New Roman"/>
          <w:lang w:val="fr-FR"/>
        </w:rPr>
        <w:t>) a été adoptée.</w:t>
      </w:r>
      <w:r>
        <w:rPr>
          <w:rFonts w:eastAsia="Times New Roman"/>
          <w:lang w:val="fr-FR"/>
        </w:rPr>
        <w:t xml:space="preserve"> L’</w:t>
      </w:r>
      <w:r w:rsidR="00CB4ECD">
        <w:rPr>
          <w:rFonts w:eastAsia="Times New Roman"/>
          <w:lang w:val="fr-FR"/>
        </w:rPr>
        <w:t>article </w:t>
      </w:r>
      <w:r w:rsidRPr="00466CE7">
        <w:rPr>
          <w:rFonts w:eastAsia="Times New Roman"/>
          <w:lang w:val="fr-FR"/>
        </w:rPr>
        <w:t xml:space="preserve">14 du </w:t>
      </w:r>
      <w:r w:rsidR="009603CF">
        <w:rPr>
          <w:rFonts w:eastAsia="Times New Roman"/>
          <w:lang w:val="fr-FR"/>
        </w:rPr>
        <w:t>Code</w:t>
      </w:r>
      <w:r w:rsidRPr="00466CE7">
        <w:rPr>
          <w:rFonts w:eastAsia="Times New Roman"/>
          <w:lang w:val="fr-FR"/>
        </w:rPr>
        <w:t xml:space="preserve"> de la famille a </w:t>
      </w:r>
      <w:r>
        <w:rPr>
          <w:rFonts w:eastAsia="Times New Roman"/>
          <w:lang w:val="fr-FR"/>
        </w:rPr>
        <w:t xml:space="preserve">ainsi </w:t>
      </w:r>
      <w:r w:rsidRPr="00466CE7">
        <w:rPr>
          <w:rFonts w:eastAsia="Times New Roman"/>
          <w:lang w:val="fr-FR"/>
        </w:rPr>
        <w:t xml:space="preserve">été </w:t>
      </w:r>
      <w:r>
        <w:rPr>
          <w:rFonts w:eastAsia="Times New Roman"/>
          <w:lang w:val="fr-FR"/>
        </w:rPr>
        <w:t>complété par le paragraphe</w:t>
      </w:r>
      <w:r w:rsidR="008361E5">
        <w:rPr>
          <w:rFonts w:eastAsia="Times New Roman"/>
          <w:lang w:val="fr-FR"/>
        </w:rPr>
        <w:t> </w:t>
      </w:r>
      <w:r>
        <w:rPr>
          <w:rFonts w:eastAsia="Times New Roman"/>
          <w:lang w:val="fr-FR"/>
        </w:rPr>
        <w:t>3 suivant :</w:t>
      </w:r>
      <w:r w:rsidRPr="00466CE7">
        <w:rPr>
          <w:rFonts w:eastAsia="Times New Roman"/>
          <w:lang w:val="fr-FR"/>
        </w:rPr>
        <w:t xml:space="preserve"> </w:t>
      </w:r>
      <w:r>
        <w:rPr>
          <w:rFonts w:eastAsia="Times New Roman"/>
          <w:lang w:val="fr-FR"/>
        </w:rPr>
        <w:t>« </w:t>
      </w:r>
      <w:r w:rsidRPr="00466CE7">
        <w:rPr>
          <w:rFonts w:eastAsia="Times New Roman"/>
          <w:lang w:val="fr-FR"/>
        </w:rPr>
        <w:t>Les personnes reconnues coupables d</w:t>
      </w:r>
      <w:r>
        <w:rPr>
          <w:rFonts w:eastAsia="Times New Roman"/>
          <w:lang w:val="fr-FR"/>
        </w:rPr>
        <w:t>’</w:t>
      </w:r>
      <w:r w:rsidRPr="00466CE7">
        <w:rPr>
          <w:rFonts w:eastAsia="Times New Roman"/>
          <w:lang w:val="fr-FR"/>
        </w:rPr>
        <w:t xml:space="preserve">avoir </w:t>
      </w:r>
      <w:r>
        <w:rPr>
          <w:rFonts w:eastAsia="Times New Roman"/>
          <w:lang w:val="fr-FR"/>
        </w:rPr>
        <w:t>enfreint les dispositions relatives à l’</w:t>
      </w:r>
      <w:r w:rsidRPr="00466CE7">
        <w:rPr>
          <w:rFonts w:eastAsia="Times New Roman"/>
          <w:lang w:val="fr-FR"/>
        </w:rPr>
        <w:t xml:space="preserve">âge du mariage </w:t>
      </w:r>
      <w:r>
        <w:rPr>
          <w:rFonts w:eastAsia="Times New Roman"/>
          <w:lang w:val="fr-FR"/>
        </w:rPr>
        <w:t xml:space="preserve">énoncées par </w:t>
      </w:r>
      <w:r w:rsidRPr="00466CE7">
        <w:rPr>
          <w:rFonts w:eastAsia="Times New Roman"/>
          <w:lang w:val="fr-FR"/>
        </w:rPr>
        <w:t xml:space="preserve">le </w:t>
      </w:r>
      <w:r w:rsidR="009603CF">
        <w:rPr>
          <w:rFonts w:eastAsia="Times New Roman"/>
          <w:lang w:val="fr-FR"/>
        </w:rPr>
        <w:t>Code</w:t>
      </w:r>
      <w:r w:rsidRPr="00466CE7">
        <w:rPr>
          <w:rFonts w:eastAsia="Times New Roman"/>
          <w:lang w:val="fr-FR"/>
        </w:rPr>
        <w:t xml:space="preserve"> </w:t>
      </w:r>
      <w:r>
        <w:rPr>
          <w:rFonts w:eastAsia="Times New Roman"/>
          <w:lang w:val="fr-FR"/>
        </w:rPr>
        <w:t xml:space="preserve">encourent les peines prévues par </w:t>
      </w:r>
      <w:r w:rsidRPr="00466CE7">
        <w:rPr>
          <w:rFonts w:eastAsia="Times New Roman"/>
          <w:lang w:val="fr-FR"/>
        </w:rPr>
        <w:t>la loi</w:t>
      </w:r>
      <w:r>
        <w:rPr>
          <w:rFonts w:eastAsia="Times New Roman"/>
          <w:lang w:val="fr-FR"/>
        </w:rPr>
        <w:t> »</w:t>
      </w:r>
      <w:r w:rsidRPr="00466CE7">
        <w:rPr>
          <w:rFonts w:eastAsia="Times New Roman"/>
          <w:lang w:val="fr-FR"/>
        </w:rPr>
        <w:t>. L</w:t>
      </w:r>
      <w:r>
        <w:rPr>
          <w:rFonts w:eastAsia="Times New Roman"/>
          <w:lang w:val="fr-FR"/>
        </w:rPr>
        <w:t>’</w:t>
      </w:r>
      <w:r w:rsidR="00CB4ECD">
        <w:rPr>
          <w:rFonts w:eastAsia="Times New Roman"/>
          <w:lang w:val="fr-FR"/>
        </w:rPr>
        <w:t>article </w:t>
      </w:r>
      <w:r w:rsidRPr="00466CE7">
        <w:rPr>
          <w:rFonts w:eastAsia="Times New Roman"/>
          <w:lang w:val="fr-FR"/>
        </w:rPr>
        <w:t>155</w:t>
      </w:r>
      <w:r w:rsidRPr="008361E5">
        <w:rPr>
          <w:rFonts w:eastAsia="Times New Roman"/>
          <w:sz w:val="18"/>
          <w:szCs w:val="18"/>
          <w:vertAlign w:val="superscript"/>
          <w:lang w:val="fr-FR"/>
        </w:rPr>
        <w:t>1</w:t>
      </w:r>
      <w:r w:rsidRPr="00466CE7">
        <w:rPr>
          <w:rFonts w:eastAsia="Times New Roman"/>
          <w:lang w:val="fr-FR"/>
        </w:rPr>
        <w:t xml:space="preserve"> </w:t>
      </w:r>
      <w:r>
        <w:rPr>
          <w:rFonts w:eastAsia="Times New Roman"/>
          <w:lang w:val="fr-FR"/>
        </w:rPr>
        <w:t xml:space="preserve">ci-après </w:t>
      </w:r>
      <w:r w:rsidRPr="00466CE7">
        <w:rPr>
          <w:rFonts w:eastAsia="Times New Roman"/>
          <w:lang w:val="fr-FR"/>
        </w:rPr>
        <w:t xml:space="preserve">a </w:t>
      </w:r>
      <w:r>
        <w:rPr>
          <w:rFonts w:eastAsia="Times New Roman"/>
          <w:lang w:val="fr-FR"/>
        </w:rPr>
        <w:t xml:space="preserve">de même </w:t>
      </w:r>
      <w:r w:rsidRPr="00466CE7">
        <w:rPr>
          <w:rFonts w:eastAsia="Times New Roman"/>
          <w:lang w:val="fr-FR"/>
        </w:rPr>
        <w:t xml:space="preserve">été ajouté au </w:t>
      </w:r>
      <w:r w:rsidR="000479B3">
        <w:rPr>
          <w:rFonts w:eastAsia="Times New Roman"/>
          <w:lang w:val="fr-FR"/>
        </w:rPr>
        <w:t>Code pénal</w:t>
      </w:r>
      <w:r w:rsidRPr="00466CE7">
        <w:rPr>
          <w:rFonts w:eastAsia="Times New Roman"/>
          <w:lang w:val="fr-FR"/>
        </w:rPr>
        <w:t xml:space="preserve"> (tel que modifié en 1997)</w:t>
      </w:r>
      <w:r>
        <w:rPr>
          <w:rFonts w:eastAsia="Times New Roman"/>
          <w:lang w:val="fr-FR"/>
        </w:rPr>
        <w:t> :</w:t>
      </w:r>
      <w:r w:rsidRPr="00466CE7">
        <w:rPr>
          <w:rFonts w:eastAsia="Times New Roman"/>
          <w:lang w:val="fr-FR"/>
        </w:rPr>
        <w:t xml:space="preserve"> </w:t>
      </w:r>
      <w:r>
        <w:rPr>
          <w:rFonts w:eastAsia="Times New Roman"/>
          <w:lang w:val="fr-FR"/>
        </w:rPr>
        <w:t>« </w:t>
      </w:r>
      <w:r w:rsidRPr="00466CE7">
        <w:rPr>
          <w:rFonts w:eastAsia="Times New Roman"/>
          <w:lang w:val="fr-FR"/>
        </w:rPr>
        <w:t xml:space="preserve">Les parents (ou les personnes </w:t>
      </w:r>
      <w:r>
        <w:rPr>
          <w:rFonts w:eastAsia="Times New Roman"/>
          <w:lang w:val="fr-FR"/>
        </w:rPr>
        <w:t>qui en tiennent lieu</w:t>
      </w:r>
      <w:r w:rsidRPr="00466CE7">
        <w:rPr>
          <w:rFonts w:eastAsia="Times New Roman"/>
          <w:lang w:val="fr-FR"/>
        </w:rPr>
        <w:t>) d</w:t>
      </w:r>
      <w:r>
        <w:rPr>
          <w:rFonts w:eastAsia="Times New Roman"/>
          <w:lang w:val="fr-FR"/>
        </w:rPr>
        <w:t>’</w:t>
      </w:r>
      <w:r w:rsidRPr="00466CE7">
        <w:rPr>
          <w:rFonts w:eastAsia="Times New Roman"/>
          <w:lang w:val="fr-FR"/>
        </w:rPr>
        <w:t xml:space="preserve">une personne </w:t>
      </w:r>
      <w:r>
        <w:rPr>
          <w:rFonts w:eastAsia="Times New Roman"/>
          <w:lang w:val="fr-FR"/>
        </w:rPr>
        <w:t xml:space="preserve">mariée religieusement, la </w:t>
      </w:r>
      <w:r w:rsidRPr="00466CE7">
        <w:rPr>
          <w:rFonts w:eastAsia="Times New Roman"/>
          <w:lang w:val="fr-FR"/>
        </w:rPr>
        <w:t xml:space="preserve">personne qui a célébré </w:t>
      </w:r>
      <w:r>
        <w:rPr>
          <w:rFonts w:eastAsia="Times New Roman"/>
          <w:lang w:val="fr-FR"/>
        </w:rPr>
        <w:t xml:space="preserve">la </w:t>
      </w:r>
      <w:r w:rsidRPr="00466CE7">
        <w:rPr>
          <w:rFonts w:eastAsia="Times New Roman"/>
          <w:lang w:val="fr-FR"/>
        </w:rPr>
        <w:t xml:space="preserve">cérémonie religieuse </w:t>
      </w:r>
      <w:r>
        <w:rPr>
          <w:rFonts w:eastAsia="Times New Roman"/>
          <w:lang w:val="fr-FR"/>
        </w:rPr>
        <w:t xml:space="preserve">du </w:t>
      </w:r>
      <w:r w:rsidRPr="00466CE7">
        <w:rPr>
          <w:rFonts w:eastAsia="Times New Roman"/>
          <w:lang w:val="fr-FR"/>
        </w:rPr>
        <w:t>mariage</w:t>
      </w:r>
      <w:r>
        <w:rPr>
          <w:rFonts w:eastAsia="Times New Roman"/>
          <w:lang w:val="fr-FR"/>
        </w:rPr>
        <w:t xml:space="preserve"> et la personne majeure mariée religieusement à une personne mineure, en </w:t>
      </w:r>
      <w:r w:rsidRPr="00466CE7">
        <w:rPr>
          <w:rFonts w:eastAsia="Times New Roman"/>
          <w:lang w:val="fr-FR"/>
        </w:rPr>
        <w:t>violation de la législation sur l</w:t>
      </w:r>
      <w:r>
        <w:rPr>
          <w:rFonts w:eastAsia="Times New Roman"/>
          <w:lang w:val="fr-FR"/>
        </w:rPr>
        <w:t>’</w:t>
      </w:r>
      <w:r w:rsidRPr="00466CE7">
        <w:rPr>
          <w:rFonts w:eastAsia="Times New Roman"/>
          <w:lang w:val="fr-FR"/>
        </w:rPr>
        <w:t>âge du mariage,</w:t>
      </w:r>
      <w:r>
        <w:rPr>
          <w:rFonts w:eastAsia="Times New Roman"/>
          <w:lang w:val="fr-FR"/>
        </w:rPr>
        <w:t xml:space="preserve"> encourent une </w:t>
      </w:r>
      <w:r w:rsidRPr="00466CE7">
        <w:rPr>
          <w:rFonts w:eastAsia="Times New Roman"/>
          <w:lang w:val="fr-FR"/>
        </w:rPr>
        <w:t xml:space="preserve">peine </w:t>
      </w:r>
      <w:r>
        <w:rPr>
          <w:rFonts w:eastAsia="Times New Roman"/>
          <w:lang w:val="fr-FR"/>
        </w:rPr>
        <w:t xml:space="preserve">de privation de liberté d’une durée comprise entre </w:t>
      </w:r>
      <w:r w:rsidRPr="00466CE7">
        <w:rPr>
          <w:rFonts w:eastAsia="Times New Roman"/>
          <w:lang w:val="fr-FR"/>
        </w:rPr>
        <w:t xml:space="preserve">trois </w:t>
      </w:r>
      <w:r>
        <w:rPr>
          <w:rFonts w:eastAsia="Times New Roman"/>
          <w:lang w:val="fr-FR"/>
        </w:rPr>
        <w:t xml:space="preserve">et </w:t>
      </w:r>
      <w:r w:rsidRPr="00466CE7">
        <w:rPr>
          <w:rFonts w:eastAsia="Times New Roman"/>
          <w:lang w:val="fr-FR"/>
        </w:rPr>
        <w:t>cinq ans</w:t>
      </w:r>
      <w:r w:rsidR="00824019">
        <w:rPr>
          <w:rFonts w:eastAsia="Times New Roman"/>
          <w:lang w:val="fr-FR"/>
        </w:rPr>
        <w:t>.</w:t>
      </w:r>
      <w:r>
        <w:rPr>
          <w:rFonts w:eastAsia="Times New Roman"/>
          <w:lang w:val="fr-FR"/>
        </w:rPr>
        <w:t> »</w:t>
      </w:r>
      <w:r w:rsidRPr="00466CE7">
        <w:rPr>
          <w:rFonts w:eastAsia="Times New Roman"/>
          <w:lang w:val="fr-FR"/>
        </w:rPr>
        <w:t>.</w:t>
      </w:r>
    </w:p>
    <w:p w14:paraId="24748687" w14:textId="77777777" w:rsidR="009C6834" w:rsidRPr="00466CE7" w:rsidRDefault="009C6834" w:rsidP="009C6834">
      <w:pPr>
        <w:pStyle w:val="SingleTxtG"/>
        <w:rPr>
          <w:rFonts w:eastAsia="Times New Roman"/>
          <w:lang w:val="fr-FR"/>
        </w:rPr>
      </w:pPr>
      <w:r w:rsidRPr="00466CE7">
        <w:rPr>
          <w:rFonts w:eastAsia="Times New Roman"/>
          <w:lang w:val="fr-FR"/>
        </w:rPr>
        <w:t>261.</w:t>
      </w:r>
      <w:r w:rsidRPr="00466CE7">
        <w:rPr>
          <w:rFonts w:eastAsia="Times New Roman"/>
          <w:lang w:val="fr-FR"/>
        </w:rPr>
        <w:tab/>
      </w:r>
      <w:r>
        <w:rPr>
          <w:rFonts w:eastAsia="Times New Roman"/>
          <w:lang w:val="fr-FR"/>
        </w:rPr>
        <w:t>L</w:t>
      </w:r>
      <w:r w:rsidRPr="00466CE7">
        <w:rPr>
          <w:rFonts w:eastAsia="Times New Roman"/>
          <w:lang w:val="fr-FR"/>
        </w:rPr>
        <w:t>e plan</w:t>
      </w:r>
      <w:r>
        <w:rPr>
          <w:rFonts w:eastAsia="Times New Roman"/>
          <w:lang w:val="fr-FR"/>
        </w:rPr>
        <w:t xml:space="preserve"> d’application</w:t>
      </w:r>
      <w:r w:rsidRPr="00466CE7">
        <w:rPr>
          <w:rFonts w:eastAsia="Times New Roman"/>
          <w:lang w:val="fr-FR"/>
        </w:rPr>
        <w:t xml:space="preserve"> de la loi précitée pour la période 2017-2018 </w:t>
      </w:r>
      <w:r>
        <w:rPr>
          <w:rFonts w:eastAsia="Times New Roman"/>
          <w:lang w:val="fr-FR"/>
        </w:rPr>
        <w:t xml:space="preserve">a été approuvé par </w:t>
      </w:r>
      <w:r w:rsidRPr="00466CE7">
        <w:rPr>
          <w:rFonts w:eastAsia="Times New Roman"/>
          <w:lang w:val="fr-FR"/>
        </w:rPr>
        <w:t xml:space="preserve">arrêté interministériel (2017), ainsi que </w:t>
      </w:r>
      <w:r>
        <w:rPr>
          <w:rFonts w:eastAsia="Times New Roman"/>
          <w:lang w:val="fr-FR"/>
        </w:rPr>
        <w:t>les modalités de coopération des organes de l’</w:t>
      </w:r>
      <w:r w:rsidRPr="00466CE7">
        <w:rPr>
          <w:rFonts w:eastAsia="Times New Roman"/>
          <w:lang w:val="fr-FR"/>
        </w:rPr>
        <w:t xml:space="preserve">État </w:t>
      </w:r>
      <w:r>
        <w:rPr>
          <w:rFonts w:eastAsia="Times New Roman"/>
          <w:lang w:val="fr-FR"/>
        </w:rPr>
        <w:t xml:space="preserve">en matière de prévention des </w:t>
      </w:r>
      <w:r w:rsidRPr="00466CE7">
        <w:rPr>
          <w:rFonts w:eastAsia="Times New Roman"/>
          <w:lang w:val="fr-FR"/>
        </w:rPr>
        <w:t xml:space="preserve">mariages </w:t>
      </w:r>
      <w:r>
        <w:rPr>
          <w:rFonts w:eastAsia="Times New Roman"/>
          <w:lang w:val="fr-FR"/>
        </w:rPr>
        <w:t xml:space="preserve">de </w:t>
      </w:r>
      <w:r w:rsidRPr="00466CE7">
        <w:rPr>
          <w:rFonts w:eastAsia="Times New Roman"/>
          <w:lang w:val="fr-FR"/>
        </w:rPr>
        <w:t xml:space="preserve">mineurs et </w:t>
      </w:r>
      <w:r>
        <w:rPr>
          <w:rFonts w:eastAsia="Times New Roman"/>
          <w:lang w:val="fr-FR"/>
        </w:rPr>
        <w:t xml:space="preserve">des </w:t>
      </w:r>
      <w:r w:rsidRPr="00466CE7">
        <w:rPr>
          <w:rFonts w:eastAsia="Times New Roman"/>
          <w:lang w:val="fr-FR"/>
        </w:rPr>
        <w:t xml:space="preserve">mariages précoces (2018). </w:t>
      </w:r>
    </w:p>
    <w:p w14:paraId="2559B087" w14:textId="05BF3767" w:rsidR="009C6834" w:rsidRPr="00466CE7" w:rsidRDefault="009C6834" w:rsidP="008361E5">
      <w:pPr>
        <w:pStyle w:val="SingleTxtG"/>
        <w:rPr>
          <w:rFonts w:eastAsia="Times New Roman"/>
          <w:lang w:val="fr-FR"/>
        </w:rPr>
      </w:pPr>
      <w:r w:rsidRPr="00466CE7">
        <w:rPr>
          <w:rFonts w:eastAsia="Times New Roman"/>
          <w:lang w:val="fr-FR"/>
        </w:rPr>
        <w:t>262.</w:t>
      </w:r>
      <w:r w:rsidRPr="00466CE7">
        <w:rPr>
          <w:rFonts w:eastAsia="Times New Roman"/>
          <w:lang w:val="fr-FR"/>
        </w:rPr>
        <w:tab/>
      </w:r>
      <w:r>
        <w:rPr>
          <w:rFonts w:eastAsia="Times New Roman"/>
          <w:lang w:val="fr-FR"/>
        </w:rPr>
        <w:t xml:space="preserve">L’évaluation de l’application de ce </w:t>
      </w:r>
      <w:r w:rsidRPr="00466CE7">
        <w:rPr>
          <w:rFonts w:eastAsia="Times New Roman"/>
          <w:lang w:val="fr-FR"/>
        </w:rPr>
        <w:t>plan d</w:t>
      </w:r>
      <w:r>
        <w:rPr>
          <w:rFonts w:eastAsia="Times New Roman"/>
          <w:lang w:val="fr-FR"/>
        </w:rPr>
        <w:t>’</w:t>
      </w:r>
      <w:r w:rsidRPr="00466CE7">
        <w:rPr>
          <w:rFonts w:eastAsia="Times New Roman"/>
          <w:lang w:val="fr-FR"/>
        </w:rPr>
        <w:t xml:space="preserve">action </w:t>
      </w:r>
      <w:r>
        <w:rPr>
          <w:rFonts w:eastAsia="Times New Roman"/>
          <w:lang w:val="fr-FR"/>
        </w:rPr>
        <w:t>effectuée en mars 2019 a permis de constater ce qui suit</w:t>
      </w:r>
      <w:r w:rsidR="008361E5">
        <w:rPr>
          <w:rFonts w:eastAsia="Times New Roman"/>
          <w:lang w:val="fr-FR"/>
        </w:rPr>
        <w:t>.</w:t>
      </w:r>
    </w:p>
    <w:p w14:paraId="7CD5E974" w14:textId="38D374A3" w:rsidR="009C6834" w:rsidRPr="00466CE7" w:rsidRDefault="009C6834" w:rsidP="009C6834">
      <w:pPr>
        <w:pStyle w:val="SingleTxtG"/>
        <w:rPr>
          <w:rFonts w:eastAsia="Times New Roman"/>
          <w:lang w:val="fr-FR"/>
        </w:rPr>
      </w:pPr>
      <w:r>
        <w:rPr>
          <w:rFonts w:eastAsia="Times New Roman"/>
          <w:lang w:val="fr-FR"/>
        </w:rPr>
        <w:t>263.</w:t>
      </w:r>
      <w:r w:rsidR="008361E5">
        <w:rPr>
          <w:rFonts w:eastAsia="Times New Roman"/>
          <w:lang w:val="fr-FR"/>
        </w:rPr>
        <w:tab/>
      </w:r>
      <w:r>
        <w:rPr>
          <w:rFonts w:eastAsia="Times New Roman"/>
          <w:lang w:val="fr-FR"/>
        </w:rPr>
        <w:t>L</w:t>
      </w:r>
      <w:r w:rsidRPr="00466CE7">
        <w:rPr>
          <w:rFonts w:eastAsia="Times New Roman"/>
          <w:lang w:val="fr-FR"/>
        </w:rPr>
        <w:t xml:space="preserve">es documents juridiques </w:t>
      </w:r>
      <w:r>
        <w:rPr>
          <w:rFonts w:eastAsia="Times New Roman"/>
          <w:lang w:val="fr-FR"/>
        </w:rPr>
        <w:t xml:space="preserve">et réglementaires </w:t>
      </w:r>
      <w:r w:rsidRPr="00466CE7">
        <w:rPr>
          <w:rFonts w:eastAsia="Times New Roman"/>
          <w:lang w:val="fr-FR"/>
        </w:rPr>
        <w:t xml:space="preserve">et </w:t>
      </w:r>
      <w:r>
        <w:rPr>
          <w:rFonts w:eastAsia="Times New Roman"/>
          <w:lang w:val="fr-FR"/>
        </w:rPr>
        <w:t>d’</w:t>
      </w:r>
      <w:r w:rsidRPr="00466CE7">
        <w:rPr>
          <w:rFonts w:eastAsia="Times New Roman"/>
          <w:lang w:val="fr-FR"/>
        </w:rPr>
        <w:t xml:space="preserve">autres </w:t>
      </w:r>
      <w:r>
        <w:rPr>
          <w:rFonts w:eastAsia="Times New Roman"/>
          <w:lang w:val="fr-FR"/>
        </w:rPr>
        <w:t xml:space="preserve">textes </w:t>
      </w:r>
      <w:r w:rsidRPr="00466CE7">
        <w:rPr>
          <w:rFonts w:eastAsia="Times New Roman"/>
          <w:lang w:val="fr-FR"/>
        </w:rPr>
        <w:t xml:space="preserve">ont été mis en conformité avec la loi </w:t>
      </w:r>
      <w:r>
        <w:rPr>
          <w:rFonts w:eastAsia="Times New Roman"/>
          <w:lang w:val="fr-FR"/>
        </w:rPr>
        <w:t xml:space="preserve">portant modification </w:t>
      </w:r>
      <w:r w:rsidRPr="00466CE7">
        <w:rPr>
          <w:rFonts w:eastAsia="Times New Roman"/>
          <w:lang w:val="fr-FR"/>
        </w:rPr>
        <w:t xml:space="preserve">de certains actes législatifs </w:t>
      </w:r>
      <w:r>
        <w:rPr>
          <w:rFonts w:eastAsia="Times New Roman"/>
          <w:lang w:val="fr-FR"/>
        </w:rPr>
        <w:t>de la République kirghize (</w:t>
      </w:r>
      <w:r w:rsidR="009603CF">
        <w:rPr>
          <w:rFonts w:eastAsia="Times New Roman"/>
          <w:lang w:val="fr-FR"/>
        </w:rPr>
        <w:t>Code</w:t>
      </w:r>
      <w:r>
        <w:rPr>
          <w:rFonts w:eastAsia="Times New Roman"/>
          <w:lang w:val="fr-FR"/>
        </w:rPr>
        <w:t xml:space="preserve"> de la famille, </w:t>
      </w:r>
      <w:r w:rsidR="000479B3">
        <w:rPr>
          <w:rFonts w:eastAsia="Times New Roman"/>
          <w:lang w:val="fr-FR"/>
        </w:rPr>
        <w:t>Code pénal</w:t>
      </w:r>
      <w:r>
        <w:rPr>
          <w:rFonts w:eastAsia="Times New Roman"/>
          <w:lang w:val="fr-FR"/>
        </w:rPr>
        <w:t xml:space="preserve">), qui prévoit </w:t>
      </w:r>
      <w:r w:rsidRPr="00466CE7">
        <w:rPr>
          <w:rFonts w:eastAsia="Times New Roman"/>
          <w:lang w:val="fr-FR"/>
        </w:rPr>
        <w:t>l</w:t>
      </w:r>
      <w:r>
        <w:rPr>
          <w:rFonts w:eastAsia="Times New Roman"/>
          <w:lang w:val="fr-FR"/>
        </w:rPr>
        <w:t>’</w:t>
      </w:r>
      <w:r w:rsidRPr="00466CE7">
        <w:rPr>
          <w:rFonts w:eastAsia="Times New Roman"/>
          <w:lang w:val="fr-FR"/>
        </w:rPr>
        <w:t xml:space="preserve">interdiction </w:t>
      </w:r>
      <w:r>
        <w:rPr>
          <w:rFonts w:eastAsia="Times New Roman"/>
          <w:lang w:val="fr-FR"/>
        </w:rPr>
        <w:t xml:space="preserve">de célébrer des </w:t>
      </w:r>
      <w:r w:rsidRPr="00466CE7">
        <w:rPr>
          <w:rFonts w:eastAsia="Times New Roman"/>
          <w:lang w:val="fr-FR"/>
        </w:rPr>
        <w:t>mariage</w:t>
      </w:r>
      <w:r>
        <w:rPr>
          <w:rFonts w:eastAsia="Times New Roman"/>
          <w:lang w:val="fr-FR"/>
        </w:rPr>
        <w:t>s</w:t>
      </w:r>
      <w:r w:rsidRPr="00466CE7">
        <w:rPr>
          <w:rFonts w:eastAsia="Times New Roman"/>
          <w:lang w:val="fr-FR"/>
        </w:rPr>
        <w:t xml:space="preserve"> religieux avec des mineurs. </w:t>
      </w:r>
    </w:p>
    <w:p w14:paraId="356A131C" w14:textId="77777777" w:rsidR="009C6834" w:rsidRPr="00466CE7" w:rsidRDefault="009C6834" w:rsidP="009C6834">
      <w:pPr>
        <w:pStyle w:val="SingleTxtG"/>
        <w:rPr>
          <w:rFonts w:eastAsia="Times New Roman"/>
          <w:lang w:val="fr-FR"/>
        </w:rPr>
      </w:pPr>
      <w:r w:rsidRPr="00466CE7">
        <w:rPr>
          <w:rFonts w:eastAsia="Times New Roman"/>
          <w:lang w:val="fr-FR"/>
        </w:rPr>
        <w:t>264.</w:t>
      </w:r>
      <w:r w:rsidRPr="00466CE7">
        <w:rPr>
          <w:rFonts w:eastAsia="Times New Roman"/>
          <w:lang w:val="fr-FR"/>
        </w:rPr>
        <w:tab/>
      </w:r>
      <w:r>
        <w:rPr>
          <w:rFonts w:eastAsia="Times New Roman"/>
          <w:lang w:val="fr-FR"/>
        </w:rPr>
        <w:t xml:space="preserve">Un </w:t>
      </w:r>
      <w:r w:rsidRPr="00466CE7">
        <w:rPr>
          <w:rFonts w:eastAsia="Times New Roman"/>
          <w:lang w:val="fr-FR"/>
        </w:rPr>
        <w:t xml:space="preserve">groupe de travail a élaboré cinq règlements </w:t>
      </w:r>
      <w:r>
        <w:rPr>
          <w:rFonts w:eastAsia="Times New Roman"/>
          <w:lang w:val="fr-FR"/>
        </w:rPr>
        <w:t xml:space="preserve">concernant les modalités de </w:t>
      </w:r>
      <w:r w:rsidRPr="00466CE7">
        <w:rPr>
          <w:rFonts w:eastAsia="Times New Roman"/>
          <w:lang w:val="fr-FR"/>
        </w:rPr>
        <w:t xml:space="preserve">coopération </w:t>
      </w:r>
      <w:r>
        <w:rPr>
          <w:rFonts w:eastAsia="Times New Roman"/>
          <w:lang w:val="fr-FR"/>
        </w:rPr>
        <w:t xml:space="preserve">des organes de l’État en matière de prévention des </w:t>
      </w:r>
      <w:r w:rsidRPr="00466CE7">
        <w:rPr>
          <w:rFonts w:eastAsia="Times New Roman"/>
          <w:lang w:val="fr-FR"/>
        </w:rPr>
        <w:t xml:space="preserve">mariages avec des mineurs et </w:t>
      </w:r>
      <w:r>
        <w:rPr>
          <w:rFonts w:eastAsia="Times New Roman"/>
          <w:lang w:val="fr-FR"/>
        </w:rPr>
        <w:t>d</w:t>
      </w:r>
      <w:r w:rsidRPr="00466CE7">
        <w:rPr>
          <w:rFonts w:eastAsia="Times New Roman"/>
          <w:lang w:val="fr-FR"/>
        </w:rPr>
        <w:t xml:space="preserve">es mariages précoces. </w:t>
      </w:r>
      <w:r>
        <w:rPr>
          <w:rFonts w:eastAsia="Times New Roman"/>
          <w:lang w:val="fr-FR"/>
        </w:rPr>
        <w:t xml:space="preserve">Le travail d’élaboration et de présentation </w:t>
      </w:r>
      <w:r w:rsidRPr="00466CE7">
        <w:rPr>
          <w:rFonts w:eastAsia="Times New Roman"/>
          <w:lang w:val="fr-FR"/>
        </w:rPr>
        <w:t xml:space="preserve">de recommandations méthodologiques </w:t>
      </w:r>
      <w:r>
        <w:rPr>
          <w:rFonts w:eastAsia="Times New Roman"/>
          <w:lang w:val="fr-FR"/>
        </w:rPr>
        <w:t>est important</w:t>
      </w:r>
      <w:r w:rsidRPr="00957607">
        <w:rPr>
          <w:rFonts w:eastAsia="Times New Roman"/>
          <w:lang w:val="fr-FR"/>
        </w:rPr>
        <w:t xml:space="preserve"> </w:t>
      </w:r>
      <w:r>
        <w:rPr>
          <w:rFonts w:eastAsia="Times New Roman"/>
          <w:lang w:val="fr-FR"/>
        </w:rPr>
        <w:t>également</w:t>
      </w:r>
      <w:r w:rsidRPr="00466CE7">
        <w:rPr>
          <w:rFonts w:eastAsia="Times New Roman"/>
          <w:lang w:val="fr-FR"/>
        </w:rPr>
        <w:t xml:space="preserve">. Un </w:t>
      </w:r>
      <w:r>
        <w:rPr>
          <w:rFonts w:eastAsia="Times New Roman"/>
          <w:lang w:val="fr-FR"/>
        </w:rPr>
        <w:t xml:space="preserve">dispositif permettant de </w:t>
      </w:r>
      <w:r w:rsidRPr="00466CE7">
        <w:rPr>
          <w:rFonts w:eastAsia="Times New Roman"/>
          <w:lang w:val="fr-FR"/>
        </w:rPr>
        <w:t xml:space="preserve">recevoir </w:t>
      </w:r>
      <w:r>
        <w:rPr>
          <w:rFonts w:eastAsia="Times New Roman"/>
          <w:lang w:val="fr-FR"/>
        </w:rPr>
        <w:t xml:space="preserve">les signalements de cas de </w:t>
      </w:r>
      <w:r w:rsidRPr="00466CE7">
        <w:rPr>
          <w:rFonts w:eastAsia="Times New Roman"/>
          <w:lang w:val="fr-FR"/>
        </w:rPr>
        <w:t>mariages précoces</w:t>
      </w:r>
      <w:r>
        <w:rPr>
          <w:rFonts w:eastAsia="Times New Roman"/>
          <w:lang w:val="fr-FR"/>
        </w:rPr>
        <w:t xml:space="preserve"> </w:t>
      </w:r>
      <w:r w:rsidRPr="00466CE7">
        <w:rPr>
          <w:rFonts w:eastAsia="Times New Roman"/>
          <w:lang w:val="fr-FR"/>
        </w:rPr>
        <w:t xml:space="preserve">et </w:t>
      </w:r>
      <w:r>
        <w:rPr>
          <w:rFonts w:eastAsia="Times New Roman"/>
          <w:lang w:val="fr-FR"/>
        </w:rPr>
        <w:t xml:space="preserve">de les </w:t>
      </w:r>
      <w:r w:rsidRPr="00466CE7">
        <w:rPr>
          <w:rFonts w:eastAsia="Times New Roman"/>
          <w:lang w:val="fr-FR"/>
        </w:rPr>
        <w:t>transmettre aux forces de l</w:t>
      </w:r>
      <w:r>
        <w:rPr>
          <w:rFonts w:eastAsia="Times New Roman"/>
          <w:lang w:val="fr-FR"/>
        </w:rPr>
        <w:t>’</w:t>
      </w:r>
      <w:r w:rsidRPr="00466CE7">
        <w:rPr>
          <w:rFonts w:eastAsia="Times New Roman"/>
          <w:lang w:val="fr-FR"/>
        </w:rPr>
        <w:t>ordre</w:t>
      </w:r>
      <w:r w:rsidRPr="00D810AF">
        <w:rPr>
          <w:rFonts w:eastAsia="Times New Roman"/>
          <w:lang w:val="fr-FR"/>
        </w:rPr>
        <w:t xml:space="preserve"> </w:t>
      </w:r>
      <w:r w:rsidRPr="00466CE7">
        <w:rPr>
          <w:rFonts w:eastAsia="Times New Roman"/>
          <w:lang w:val="fr-FR"/>
        </w:rPr>
        <w:t xml:space="preserve">a été </w:t>
      </w:r>
      <w:r>
        <w:rPr>
          <w:rFonts w:eastAsia="Times New Roman"/>
          <w:lang w:val="fr-FR"/>
        </w:rPr>
        <w:t xml:space="preserve">conçu </w:t>
      </w:r>
      <w:r w:rsidRPr="00466CE7">
        <w:rPr>
          <w:rFonts w:eastAsia="Times New Roman"/>
          <w:lang w:val="fr-FR"/>
        </w:rPr>
        <w:t xml:space="preserve">et </w:t>
      </w:r>
      <w:r>
        <w:rPr>
          <w:rFonts w:eastAsia="Times New Roman"/>
          <w:lang w:val="fr-FR"/>
        </w:rPr>
        <w:t>mis en place. Il a été intégré dans le système informatisé du r</w:t>
      </w:r>
      <w:r w:rsidRPr="00466CE7">
        <w:rPr>
          <w:rFonts w:eastAsia="Times New Roman"/>
          <w:lang w:val="fr-FR"/>
        </w:rPr>
        <w:t xml:space="preserve">egistre </w:t>
      </w:r>
      <w:r>
        <w:rPr>
          <w:rFonts w:eastAsia="Times New Roman"/>
          <w:lang w:val="fr-FR"/>
        </w:rPr>
        <w:t xml:space="preserve">centralisé </w:t>
      </w:r>
      <w:r w:rsidRPr="00466CE7">
        <w:rPr>
          <w:rFonts w:eastAsia="Times New Roman"/>
          <w:lang w:val="fr-FR"/>
        </w:rPr>
        <w:t>des infractions et délits.</w:t>
      </w:r>
    </w:p>
    <w:p w14:paraId="416BD856" w14:textId="77777777" w:rsidR="009C6834" w:rsidRPr="00466CE7" w:rsidRDefault="009C6834" w:rsidP="009C6834">
      <w:pPr>
        <w:pStyle w:val="SingleTxtG"/>
        <w:rPr>
          <w:rFonts w:eastAsia="Times New Roman"/>
          <w:lang w:val="fr-FR"/>
        </w:rPr>
      </w:pPr>
      <w:r w:rsidRPr="00466CE7">
        <w:rPr>
          <w:rFonts w:eastAsia="Times New Roman"/>
          <w:lang w:val="fr-FR"/>
        </w:rPr>
        <w:t>265.</w:t>
      </w:r>
      <w:r w:rsidRPr="00466CE7">
        <w:rPr>
          <w:rFonts w:eastAsia="Times New Roman"/>
          <w:lang w:val="fr-FR"/>
        </w:rPr>
        <w:tab/>
        <w:t xml:space="preserve">Des matériels méthodologiques </w:t>
      </w:r>
      <w:r>
        <w:rPr>
          <w:rFonts w:eastAsia="Times New Roman"/>
          <w:lang w:val="fr-FR"/>
        </w:rPr>
        <w:t xml:space="preserve">et pédagogiques </w:t>
      </w:r>
      <w:r w:rsidRPr="00466CE7">
        <w:rPr>
          <w:rFonts w:eastAsia="Times New Roman"/>
          <w:lang w:val="fr-FR"/>
        </w:rPr>
        <w:t xml:space="preserve">ont été </w:t>
      </w:r>
      <w:r>
        <w:rPr>
          <w:rFonts w:eastAsia="Times New Roman"/>
          <w:lang w:val="fr-FR"/>
        </w:rPr>
        <w:t xml:space="preserve">mis au point pour aider les différentes </w:t>
      </w:r>
      <w:r w:rsidRPr="00466CE7">
        <w:rPr>
          <w:rFonts w:eastAsia="Times New Roman"/>
          <w:lang w:val="fr-FR"/>
        </w:rPr>
        <w:t xml:space="preserve">parties </w:t>
      </w:r>
      <w:r>
        <w:rPr>
          <w:rFonts w:eastAsia="Times New Roman"/>
          <w:lang w:val="fr-FR"/>
        </w:rPr>
        <w:t xml:space="preserve">prenantes à prévenir les </w:t>
      </w:r>
      <w:r w:rsidRPr="00466CE7">
        <w:rPr>
          <w:rFonts w:eastAsia="Times New Roman"/>
          <w:lang w:val="fr-FR"/>
        </w:rPr>
        <w:t>mariages précoces.</w:t>
      </w:r>
    </w:p>
    <w:p w14:paraId="615739CD" w14:textId="43838FA6" w:rsidR="009C6834" w:rsidRPr="00466CE7" w:rsidRDefault="009C6834" w:rsidP="009C6834">
      <w:pPr>
        <w:pStyle w:val="SingleTxtG"/>
        <w:rPr>
          <w:rFonts w:eastAsia="Times New Roman"/>
          <w:lang w:val="fr-FR"/>
        </w:rPr>
      </w:pPr>
      <w:r w:rsidRPr="00466CE7">
        <w:rPr>
          <w:rFonts w:eastAsia="Times New Roman"/>
          <w:lang w:val="fr-FR"/>
        </w:rPr>
        <w:t>266.</w:t>
      </w:r>
      <w:r w:rsidRPr="00466CE7">
        <w:rPr>
          <w:rFonts w:eastAsia="Times New Roman"/>
          <w:lang w:val="fr-FR"/>
        </w:rPr>
        <w:tab/>
        <w:t xml:space="preserve">La population </w:t>
      </w:r>
      <w:r>
        <w:rPr>
          <w:rFonts w:eastAsia="Times New Roman"/>
          <w:lang w:val="fr-FR"/>
        </w:rPr>
        <w:t xml:space="preserve">a été </w:t>
      </w:r>
      <w:r w:rsidRPr="00466CE7">
        <w:rPr>
          <w:rFonts w:eastAsia="Times New Roman"/>
          <w:lang w:val="fr-FR"/>
        </w:rPr>
        <w:t xml:space="preserve">informée </w:t>
      </w:r>
      <w:r>
        <w:rPr>
          <w:rFonts w:eastAsia="Times New Roman"/>
          <w:lang w:val="fr-FR"/>
        </w:rPr>
        <w:t xml:space="preserve">assez rapidement </w:t>
      </w:r>
      <w:r w:rsidRPr="00466CE7">
        <w:rPr>
          <w:rFonts w:eastAsia="Times New Roman"/>
          <w:lang w:val="fr-FR"/>
        </w:rPr>
        <w:t>de</w:t>
      </w:r>
      <w:r>
        <w:rPr>
          <w:rFonts w:eastAsia="Times New Roman"/>
          <w:lang w:val="fr-FR"/>
        </w:rPr>
        <w:t>s dispositions de</w:t>
      </w:r>
      <w:r w:rsidRPr="00466CE7">
        <w:rPr>
          <w:rFonts w:eastAsia="Times New Roman"/>
          <w:lang w:val="fr-FR"/>
        </w:rPr>
        <w:t xml:space="preserve"> la loi </w:t>
      </w:r>
      <w:r>
        <w:rPr>
          <w:rFonts w:eastAsia="Times New Roman"/>
          <w:lang w:val="fr-FR"/>
        </w:rPr>
        <w:t xml:space="preserve">portant modification </w:t>
      </w:r>
      <w:r w:rsidRPr="00466CE7">
        <w:rPr>
          <w:rFonts w:eastAsia="Times New Roman"/>
          <w:lang w:val="fr-FR"/>
        </w:rPr>
        <w:t>de certains actes législatifs (</w:t>
      </w:r>
      <w:r w:rsidR="009603CF">
        <w:rPr>
          <w:rFonts w:eastAsia="Times New Roman"/>
          <w:lang w:val="fr-FR"/>
        </w:rPr>
        <w:t>Code</w:t>
      </w:r>
      <w:r>
        <w:rPr>
          <w:rFonts w:eastAsia="Times New Roman"/>
          <w:lang w:val="fr-FR"/>
        </w:rPr>
        <w:t xml:space="preserve"> de la famille, </w:t>
      </w:r>
      <w:r w:rsidR="000479B3">
        <w:rPr>
          <w:rFonts w:eastAsia="Times New Roman"/>
          <w:lang w:val="fr-FR"/>
        </w:rPr>
        <w:t>Code pénal</w:t>
      </w:r>
      <w:r>
        <w:rPr>
          <w:rFonts w:eastAsia="Times New Roman"/>
          <w:lang w:val="fr-FR"/>
        </w:rPr>
        <w:t xml:space="preserve">) interdisant la célébration religieuse de mariages avec des mineurs, et des </w:t>
      </w:r>
      <w:r w:rsidRPr="00466CE7">
        <w:rPr>
          <w:rFonts w:eastAsia="Times New Roman"/>
          <w:lang w:val="fr-FR"/>
        </w:rPr>
        <w:t xml:space="preserve">règlements et </w:t>
      </w:r>
      <w:r>
        <w:rPr>
          <w:rFonts w:eastAsia="Times New Roman"/>
          <w:lang w:val="fr-FR"/>
        </w:rPr>
        <w:t xml:space="preserve">textes administratifs </w:t>
      </w:r>
      <w:r w:rsidRPr="00466CE7">
        <w:rPr>
          <w:rFonts w:eastAsia="Times New Roman"/>
          <w:lang w:val="fr-FR"/>
        </w:rPr>
        <w:t>connexes.</w:t>
      </w:r>
    </w:p>
    <w:p w14:paraId="6A515027" w14:textId="67EA7776" w:rsidR="009C6834" w:rsidRPr="00466CE7" w:rsidRDefault="009C6834" w:rsidP="009C6834">
      <w:pPr>
        <w:pStyle w:val="SingleTxtG"/>
        <w:rPr>
          <w:rFonts w:eastAsia="Times New Roman"/>
          <w:lang w:val="fr-FR"/>
        </w:rPr>
      </w:pPr>
      <w:r w:rsidRPr="00466CE7">
        <w:rPr>
          <w:rFonts w:eastAsia="Times New Roman"/>
          <w:lang w:val="fr-FR"/>
        </w:rPr>
        <w:lastRenderedPageBreak/>
        <w:t>267.</w:t>
      </w:r>
      <w:r w:rsidRPr="00466CE7">
        <w:rPr>
          <w:rFonts w:eastAsia="Times New Roman"/>
          <w:lang w:val="fr-FR"/>
        </w:rPr>
        <w:tab/>
      </w:r>
      <w:r>
        <w:rPr>
          <w:rFonts w:eastAsia="Times New Roman"/>
          <w:lang w:val="fr-FR"/>
        </w:rPr>
        <w:t xml:space="preserve">Un </w:t>
      </w:r>
      <w:r w:rsidRPr="00466CE7">
        <w:rPr>
          <w:rFonts w:eastAsia="Times New Roman"/>
          <w:lang w:val="fr-FR"/>
        </w:rPr>
        <w:t xml:space="preserve">arrêté conjoint </w:t>
      </w:r>
      <w:r>
        <w:rPr>
          <w:rFonts w:eastAsia="Times New Roman"/>
          <w:lang w:val="fr-FR"/>
        </w:rPr>
        <w:t xml:space="preserve">approuvant le </w:t>
      </w:r>
      <w:r w:rsidRPr="00466CE7">
        <w:rPr>
          <w:rFonts w:eastAsia="Times New Roman"/>
          <w:lang w:val="fr-FR"/>
        </w:rPr>
        <w:t xml:space="preserve">plan </w:t>
      </w:r>
      <w:r>
        <w:rPr>
          <w:rFonts w:eastAsia="Times New Roman"/>
          <w:lang w:val="fr-FR"/>
        </w:rPr>
        <w:t xml:space="preserve">d’application pour la période </w:t>
      </w:r>
      <w:r w:rsidRPr="00466CE7">
        <w:rPr>
          <w:rFonts w:eastAsia="Times New Roman"/>
          <w:lang w:val="fr-FR"/>
        </w:rPr>
        <w:t>2020-2021 de la loi n</w:t>
      </w:r>
      <w:r w:rsidR="008361E5" w:rsidRPr="008361E5">
        <w:rPr>
          <w:rFonts w:eastAsia="Times New Roman"/>
          <w:vertAlign w:val="superscript"/>
          <w:lang w:val="fr-FR"/>
        </w:rPr>
        <w:t>o</w:t>
      </w:r>
      <w:r w:rsidR="008361E5">
        <w:rPr>
          <w:rFonts w:eastAsia="Times New Roman"/>
          <w:lang w:val="fr-FR"/>
        </w:rPr>
        <w:t> </w:t>
      </w:r>
      <w:r w:rsidRPr="00466CE7">
        <w:rPr>
          <w:rFonts w:eastAsia="Times New Roman"/>
          <w:lang w:val="fr-FR"/>
        </w:rPr>
        <w:t>1</w:t>
      </w:r>
      <w:r>
        <w:rPr>
          <w:rFonts w:eastAsia="Times New Roman"/>
          <w:lang w:val="fr-FR"/>
        </w:rPr>
        <w:t>7</w:t>
      </w:r>
      <w:r w:rsidRPr="00466CE7">
        <w:rPr>
          <w:rFonts w:eastAsia="Times New Roman"/>
          <w:lang w:val="fr-FR"/>
        </w:rPr>
        <w:t>9</w:t>
      </w:r>
      <w:r>
        <w:rPr>
          <w:rFonts w:eastAsia="Times New Roman"/>
          <w:lang w:val="fr-FR"/>
        </w:rPr>
        <w:t xml:space="preserve"> </w:t>
      </w:r>
      <w:r w:rsidRPr="00466CE7">
        <w:rPr>
          <w:rFonts w:eastAsia="Times New Roman"/>
          <w:lang w:val="fr-FR"/>
        </w:rPr>
        <w:t>du 17</w:t>
      </w:r>
      <w:r w:rsidR="008361E5">
        <w:rPr>
          <w:rFonts w:eastAsia="Times New Roman"/>
          <w:lang w:val="fr-FR"/>
        </w:rPr>
        <w:t> </w:t>
      </w:r>
      <w:r w:rsidRPr="00466CE7">
        <w:rPr>
          <w:rFonts w:eastAsia="Times New Roman"/>
          <w:lang w:val="fr-FR"/>
        </w:rPr>
        <w:t>novembre 2016</w:t>
      </w:r>
      <w:r>
        <w:rPr>
          <w:rFonts w:eastAsia="Times New Roman"/>
          <w:lang w:val="fr-FR"/>
        </w:rPr>
        <w:t xml:space="preserve"> portant modification de certains actes législatifs (</w:t>
      </w:r>
      <w:r w:rsidR="009603CF">
        <w:rPr>
          <w:rFonts w:eastAsia="Times New Roman"/>
          <w:lang w:val="fr-FR"/>
        </w:rPr>
        <w:t>Code</w:t>
      </w:r>
      <w:r w:rsidRPr="00466CE7">
        <w:rPr>
          <w:rFonts w:eastAsia="Times New Roman"/>
          <w:lang w:val="fr-FR"/>
        </w:rPr>
        <w:t xml:space="preserve"> de la famille, </w:t>
      </w:r>
      <w:r w:rsidR="000479B3">
        <w:rPr>
          <w:rFonts w:eastAsia="Times New Roman"/>
          <w:lang w:val="fr-FR"/>
        </w:rPr>
        <w:t>Code pénal</w:t>
      </w:r>
      <w:r>
        <w:rPr>
          <w:rFonts w:eastAsia="Times New Roman"/>
          <w:lang w:val="fr-FR"/>
        </w:rPr>
        <w:t>) et de l’</w:t>
      </w:r>
      <w:r w:rsidR="00CB4ECD">
        <w:rPr>
          <w:rFonts w:eastAsia="Times New Roman"/>
          <w:lang w:val="fr-FR"/>
        </w:rPr>
        <w:t>article </w:t>
      </w:r>
      <w:r w:rsidRPr="00466CE7">
        <w:rPr>
          <w:rFonts w:eastAsia="Times New Roman"/>
          <w:lang w:val="fr-FR"/>
        </w:rPr>
        <w:t>178</w:t>
      </w:r>
      <w:r>
        <w:rPr>
          <w:rFonts w:eastAsia="Times New Roman"/>
          <w:lang w:val="fr-FR"/>
        </w:rPr>
        <w:t xml:space="preserve"> du Code pénal</w:t>
      </w:r>
      <w:r w:rsidRPr="006F350B">
        <w:rPr>
          <w:lang w:val="fr-FR"/>
        </w:rPr>
        <w:t xml:space="preserve"> (n</w:t>
      </w:r>
      <w:r w:rsidR="008361E5" w:rsidRPr="008361E5">
        <w:rPr>
          <w:vertAlign w:val="superscript"/>
          <w:lang w:val="fr-FR"/>
        </w:rPr>
        <w:t>o</w:t>
      </w:r>
      <w:r w:rsidR="008361E5">
        <w:rPr>
          <w:lang w:val="fr-FR"/>
        </w:rPr>
        <w:t> </w:t>
      </w:r>
      <w:r>
        <w:rPr>
          <w:lang w:val="fr-FR"/>
        </w:rPr>
        <w:t>19 du 2</w:t>
      </w:r>
      <w:r w:rsidR="008361E5">
        <w:rPr>
          <w:lang w:val="fr-FR"/>
        </w:rPr>
        <w:t> </w:t>
      </w:r>
      <w:r>
        <w:rPr>
          <w:lang w:val="fr-FR"/>
        </w:rPr>
        <w:t>février 2017)</w:t>
      </w:r>
      <w:r>
        <w:rPr>
          <w:rFonts w:eastAsia="Times New Roman"/>
          <w:lang w:val="fr-FR"/>
        </w:rPr>
        <w:t xml:space="preserve">, ainsi que </w:t>
      </w:r>
      <w:r w:rsidRPr="00466CE7">
        <w:rPr>
          <w:rFonts w:eastAsia="Times New Roman"/>
          <w:lang w:val="fr-FR"/>
        </w:rPr>
        <w:t xml:space="preserve">la stratégie de communication </w:t>
      </w:r>
      <w:r>
        <w:rPr>
          <w:rFonts w:eastAsia="Times New Roman"/>
          <w:lang w:val="fr-FR"/>
        </w:rPr>
        <w:t xml:space="preserve">visant à lutter contre les </w:t>
      </w:r>
      <w:r w:rsidRPr="00466CE7">
        <w:rPr>
          <w:rFonts w:eastAsia="Times New Roman"/>
          <w:lang w:val="fr-FR"/>
        </w:rPr>
        <w:t>mariage</w:t>
      </w:r>
      <w:r>
        <w:rPr>
          <w:rFonts w:eastAsia="Times New Roman"/>
          <w:lang w:val="fr-FR"/>
        </w:rPr>
        <w:t>s</w:t>
      </w:r>
      <w:r w:rsidRPr="00466CE7">
        <w:rPr>
          <w:rFonts w:eastAsia="Times New Roman"/>
          <w:lang w:val="fr-FR"/>
        </w:rPr>
        <w:t xml:space="preserve"> </w:t>
      </w:r>
      <w:r>
        <w:rPr>
          <w:rFonts w:eastAsia="Times New Roman"/>
          <w:lang w:val="fr-FR"/>
        </w:rPr>
        <w:t xml:space="preserve">de </w:t>
      </w:r>
      <w:r w:rsidRPr="00466CE7">
        <w:rPr>
          <w:rFonts w:eastAsia="Times New Roman"/>
          <w:lang w:val="fr-FR"/>
        </w:rPr>
        <w:t>personnes n</w:t>
      </w:r>
      <w:r>
        <w:rPr>
          <w:rFonts w:eastAsia="Times New Roman"/>
          <w:lang w:val="fr-FR"/>
        </w:rPr>
        <w:t>’</w:t>
      </w:r>
      <w:r w:rsidRPr="00466CE7">
        <w:rPr>
          <w:rFonts w:eastAsia="Times New Roman"/>
          <w:lang w:val="fr-FR"/>
        </w:rPr>
        <w:t>ayant pas atteint l</w:t>
      </w:r>
      <w:r>
        <w:rPr>
          <w:rFonts w:eastAsia="Times New Roman"/>
          <w:lang w:val="fr-FR"/>
        </w:rPr>
        <w:t>’</w:t>
      </w:r>
      <w:r w:rsidRPr="00466CE7">
        <w:rPr>
          <w:rFonts w:eastAsia="Times New Roman"/>
          <w:lang w:val="fr-FR"/>
        </w:rPr>
        <w:t xml:space="preserve">âge du mariage, </w:t>
      </w:r>
      <w:r>
        <w:rPr>
          <w:rFonts w:eastAsia="Times New Roman"/>
          <w:lang w:val="fr-FR"/>
        </w:rPr>
        <w:t xml:space="preserve">a été adopté et transmis pour application </w:t>
      </w:r>
      <w:r w:rsidRPr="00466CE7">
        <w:rPr>
          <w:rFonts w:eastAsia="Times New Roman"/>
          <w:lang w:val="fr-FR"/>
        </w:rPr>
        <w:t xml:space="preserve">aux </w:t>
      </w:r>
      <w:r>
        <w:rPr>
          <w:rFonts w:eastAsia="Times New Roman"/>
          <w:lang w:val="fr-FR"/>
        </w:rPr>
        <w:t>organes de l’État compétents</w:t>
      </w:r>
      <w:r w:rsidRPr="00466CE7">
        <w:rPr>
          <w:rFonts w:eastAsia="Times New Roman"/>
          <w:lang w:val="fr-FR"/>
        </w:rPr>
        <w:t>.</w:t>
      </w:r>
    </w:p>
    <w:p w14:paraId="4C7CCA79" w14:textId="7B269375" w:rsidR="009C6834" w:rsidRPr="00466CE7" w:rsidRDefault="009C6834" w:rsidP="009C6834">
      <w:pPr>
        <w:pStyle w:val="SingleTxtG"/>
        <w:rPr>
          <w:rFonts w:eastAsia="Times New Roman"/>
          <w:lang w:val="fr-FR"/>
        </w:rPr>
      </w:pPr>
      <w:r w:rsidRPr="00466CE7">
        <w:rPr>
          <w:rFonts w:eastAsia="Times New Roman"/>
          <w:lang w:val="fr-FR"/>
        </w:rPr>
        <w:t>268.</w:t>
      </w:r>
      <w:r w:rsidRPr="00466CE7">
        <w:rPr>
          <w:rFonts w:eastAsia="Times New Roman"/>
          <w:lang w:val="fr-FR"/>
        </w:rPr>
        <w:tab/>
      </w:r>
      <w:r>
        <w:rPr>
          <w:rFonts w:eastAsia="Times New Roman"/>
          <w:lang w:val="fr-FR"/>
        </w:rPr>
        <w:t>Le p</w:t>
      </w:r>
      <w:r w:rsidRPr="00466CE7">
        <w:rPr>
          <w:rFonts w:eastAsia="Times New Roman"/>
          <w:lang w:val="fr-FR"/>
        </w:rPr>
        <w:t xml:space="preserve">lan </w:t>
      </w:r>
      <w:r>
        <w:rPr>
          <w:rFonts w:eastAsia="Times New Roman"/>
          <w:lang w:val="fr-FR"/>
        </w:rPr>
        <w:t xml:space="preserve">national </w:t>
      </w:r>
      <w:r w:rsidRPr="00466CE7">
        <w:rPr>
          <w:rFonts w:eastAsia="Times New Roman"/>
          <w:lang w:val="fr-FR"/>
        </w:rPr>
        <w:t>d</w:t>
      </w:r>
      <w:r>
        <w:rPr>
          <w:rFonts w:eastAsia="Times New Roman"/>
          <w:lang w:val="fr-FR"/>
        </w:rPr>
        <w:t>’</w:t>
      </w:r>
      <w:r w:rsidRPr="00466CE7">
        <w:rPr>
          <w:rFonts w:eastAsia="Times New Roman"/>
          <w:lang w:val="fr-FR"/>
        </w:rPr>
        <w:t>action pour l</w:t>
      </w:r>
      <w:r>
        <w:rPr>
          <w:rFonts w:eastAsia="Times New Roman"/>
          <w:lang w:val="fr-FR"/>
        </w:rPr>
        <w:t>’</w:t>
      </w:r>
      <w:r w:rsidRPr="00466CE7">
        <w:rPr>
          <w:rFonts w:eastAsia="Times New Roman"/>
          <w:lang w:val="fr-FR"/>
        </w:rPr>
        <w:t xml:space="preserve">égalité des sexes </w:t>
      </w:r>
      <w:r>
        <w:rPr>
          <w:rFonts w:eastAsia="Times New Roman"/>
          <w:lang w:val="fr-FR"/>
        </w:rPr>
        <w:t xml:space="preserve">pour la période </w:t>
      </w:r>
      <w:r w:rsidRPr="00466CE7">
        <w:rPr>
          <w:rFonts w:eastAsia="Times New Roman"/>
          <w:lang w:val="fr-FR"/>
        </w:rPr>
        <w:t>2018-2020</w:t>
      </w:r>
      <w:r>
        <w:rPr>
          <w:rFonts w:eastAsia="Times New Roman"/>
          <w:lang w:val="fr-FR"/>
        </w:rPr>
        <w:t>,</w:t>
      </w:r>
      <w:r w:rsidRPr="00466CE7">
        <w:rPr>
          <w:rFonts w:eastAsia="Times New Roman"/>
          <w:lang w:val="fr-FR"/>
        </w:rPr>
        <w:t xml:space="preserve"> approuvé par </w:t>
      </w:r>
      <w:r>
        <w:rPr>
          <w:rFonts w:eastAsia="Times New Roman"/>
          <w:lang w:val="fr-FR"/>
        </w:rPr>
        <w:t xml:space="preserve">une décision du </w:t>
      </w:r>
      <w:r w:rsidR="00824019">
        <w:rPr>
          <w:rFonts w:eastAsia="Times New Roman"/>
          <w:lang w:val="fr-FR"/>
        </w:rPr>
        <w:t xml:space="preserve">Gouvernement </w:t>
      </w:r>
      <w:r>
        <w:rPr>
          <w:rFonts w:eastAsia="Times New Roman"/>
          <w:lang w:val="fr-FR"/>
        </w:rPr>
        <w:t xml:space="preserve">en </w:t>
      </w:r>
      <w:r w:rsidRPr="00466CE7">
        <w:rPr>
          <w:rFonts w:eastAsia="Times New Roman"/>
          <w:lang w:val="fr-FR"/>
        </w:rPr>
        <w:t xml:space="preserve">2018, </w:t>
      </w:r>
      <w:r>
        <w:rPr>
          <w:rFonts w:eastAsia="Times New Roman"/>
          <w:lang w:val="fr-FR"/>
        </w:rPr>
        <w:t xml:space="preserve">prévoit d’autre part l’inclusion dans le programme scolaire, à tous les degrés de l’enseignement, d’activités de prévention de la violence à </w:t>
      </w:r>
      <w:r w:rsidRPr="00466CE7">
        <w:rPr>
          <w:rFonts w:eastAsia="Times New Roman"/>
          <w:lang w:val="fr-FR"/>
        </w:rPr>
        <w:t>l</w:t>
      </w:r>
      <w:r>
        <w:rPr>
          <w:rFonts w:eastAsia="Times New Roman"/>
          <w:lang w:val="fr-FR"/>
        </w:rPr>
        <w:t>’</w:t>
      </w:r>
      <w:r w:rsidRPr="00466CE7">
        <w:rPr>
          <w:rFonts w:eastAsia="Times New Roman"/>
          <w:lang w:val="fr-FR"/>
        </w:rPr>
        <w:t>égard des femmes et des filles</w:t>
      </w:r>
      <w:r>
        <w:rPr>
          <w:rFonts w:eastAsia="Times New Roman"/>
          <w:lang w:val="fr-FR"/>
        </w:rPr>
        <w:t xml:space="preserve"> et</w:t>
      </w:r>
      <w:r w:rsidRPr="00466CE7">
        <w:rPr>
          <w:rFonts w:eastAsia="Times New Roman"/>
          <w:lang w:val="fr-FR"/>
        </w:rPr>
        <w:t xml:space="preserve"> </w:t>
      </w:r>
      <w:r>
        <w:rPr>
          <w:rFonts w:eastAsia="Times New Roman"/>
          <w:lang w:val="fr-FR"/>
        </w:rPr>
        <w:t>d</w:t>
      </w:r>
      <w:r w:rsidRPr="00466CE7">
        <w:rPr>
          <w:rFonts w:eastAsia="Times New Roman"/>
          <w:lang w:val="fr-FR"/>
        </w:rPr>
        <w:t xml:space="preserve">es pratiques traditionnelles discriminatoires telles que le mariage </w:t>
      </w:r>
      <w:r>
        <w:rPr>
          <w:rFonts w:eastAsia="Times New Roman"/>
          <w:lang w:val="fr-FR"/>
        </w:rPr>
        <w:t xml:space="preserve">avec des mineurs ou l’enlèvement </w:t>
      </w:r>
      <w:r w:rsidRPr="00466CE7">
        <w:rPr>
          <w:rFonts w:eastAsia="Times New Roman"/>
          <w:lang w:val="fr-FR"/>
        </w:rPr>
        <w:t xml:space="preserve">de </w:t>
      </w:r>
      <w:r>
        <w:rPr>
          <w:rFonts w:eastAsia="Times New Roman"/>
          <w:lang w:val="fr-FR"/>
        </w:rPr>
        <w:t>fiancées</w:t>
      </w:r>
      <w:r w:rsidRPr="00466CE7">
        <w:rPr>
          <w:rFonts w:eastAsia="Times New Roman"/>
          <w:lang w:val="fr-FR"/>
        </w:rPr>
        <w:t xml:space="preserve">. </w:t>
      </w:r>
    </w:p>
    <w:p w14:paraId="6A7069C8" w14:textId="54BA356B" w:rsidR="009C6834" w:rsidRPr="00466CE7" w:rsidRDefault="009C6834" w:rsidP="009C6834">
      <w:pPr>
        <w:pStyle w:val="SingleTxtG"/>
        <w:rPr>
          <w:rFonts w:eastAsia="Times New Roman"/>
          <w:lang w:val="fr-FR"/>
        </w:rPr>
      </w:pPr>
      <w:r w:rsidRPr="00466CE7">
        <w:rPr>
          <w:rFonts w:eastAsia="Times New Roman"/>
          <w:lang w:val="fr-FR"/>
        </w:rPr>
        <w:t>269.</w:t>
      </w:r>
      <w:r w:rsidRPr="00466CE7">
        <w:rPr>
          <w:rFonts w:eastAsia="Times New Roman"/>
          <w:lang w:val="fr-FR"/>
        </w:rPr>
        <w:tab/>
      </w:r>
      <w:r>
        <w:rPr>
          <w:rFonts w:eastAsia="Times New Roman"/>
          <w:lang w:val="fr-FR"/>
        </w:rPr>
        <w:t xml:space="preserve">Dans le cadre de </w:t>
      </w:r>
      <w:r w:rsidRPr="00466CE7">
        <w:rPr>
          <w:rFonts w:eastAsia="Times New Roman"/>
          <w:lang w:val="fr-FR"/>
        </w:rPr>
        <w:t>la mise en œuvre du plan d</w:t>
      </w:r>
      <w:r>
        <w:rPr>
          <w:rFonts w:eastAsia="Times New Roman"/>
          <w:lang w:val="fr-FR"/>
        </w:rPr>
        <w:t>’</w:t>
      </w:r>
      <w:r w:rsidRPr="00466CE7">
        <w:rPr>
          <w:rFonts w:eastAsia="Times New Roman"/>
          <w:lang w:val="fr-FR"/>
        </w:rPr>
        <w:t>action pour l</w:t>
      </w:r>
      <w:r>
        <w:rPr>
          <w:rFonts w:eastAsia="Times New Roman"/>
          <w:lang w:val="fr-FR"/>
        </w:rPr>
        <w:t>’</w:t>
      </w:r>
      <w:r w:rsidRPr="00466CE7">
        <w:rPr>
          <w:rFonts w:eastAsia="Times New Roman"/>
          <w:lang w:val="fr-FR"/>
        </w:rPr>
        <w:t xml:space="preserve">application du décret présidentiel </w:t>
      </w:r>
      <w:r>
        <w:rPr>
          <w:rFonts w:eastAsia="Times New Roman"/>
          <w:lang w:val="fr-FR"/>
        </w:rPr>
        <w:t xml:space="preserve">proclamant </w:t>
      </w:r>
      <w:r w:rsidRPr="00466CE7">
        <w:rPr>
          <w:rFonts w:eastAsia="Times New Roman"/>
          <w:lang w:val="fr-FR"/>
        </w:rPr>
        <w:t xml:space="preserve">2018 </w:t>
      </w:r>
      <w:r>
        <w:rPr>
          <w:rFonts w:eastAsia="Times New Roman"/>
          <w:lang w:val="fr-FR"/>
        </w:rPr>
        <w:t>Année du développement des régions, ainsi que</w:t>
      </w:r>
      <w:r w:rsidRPr="00466CE7">
        <w:rPr>
          <w:rFonts w:eastAsia="Times New Roman"/>
          <w:lang w:val="fr-FR"/>
        </w:rPr>
        <w:t xml:space="preserve"> du </w:t>
      </w:r>
      <w:r>
        <w:rPr>
          <w:rFonts w:eastAsia="Times New Roman"/>
          <w:lang w:val="fr-FR"/>
        </w:rPr>
        <w:t xml:space="preserve">cadre conceptuel de la </w:t>
      </w:r>
      <w:r w:rsidRPr="00466CE7">
        <w:rPr>
          <w:rFonts w:eastAsia="Times New Roman"/>
          <w:lang w:val="fr-FR"/>
        </w:rPr>
        <w:t xml:space="preserve">politique régionale pour la période 2018-2022, </w:t>
      </w:r>
      <w:r>
        <w:rPr>
          <w:rFonts w:eastAsia="Times New Roman"/>
          <w:lang w:val="fr-FR"/>
        </w:rPr>
        <w:t xml:space="preserve">il convient de noter que, </w:t>
      </w:r>
      <w:r w:rsidRPr="00466CE7">
        <w:rPr>
          <w:rFonts w:eastAsia="Times New Roman"/>
          <w:lang w:val="fr-FR"/>
        </w:rPr>
        <w:t>conformément au plan d</w:t>
      </w:r>
      <w:r>
        <w:rPr>
          <w:rFonts w:eastAsia="Times New Roman"/>
          <w:lang w:val="fr-FR"/>
        </w:rPr>
        <w:t>’</w:t>
      </w:r>
      <w:r w:rsidRPr="00466CE7">
        <w:rPr>
          <w:rFonts w:eastAsia="Times New Roman"/>
          <w:lang w:val="fr-FR"/>
        </w:rPr>
        <w:t xml:space="preserve">exécution de </w:t>
      </w:r>
      <w:r>
        <w:rPr>
          <w:rFonts w:eastAsia="Times New Roman"/>
          <w:lang w:val="fr-FR"/>
        </w:rPr>
        <w:t xml:space="preserve">la commande publique </w:t>
      </w:r>
      <w:r w:rsidRPr="00466CE7">
        <w:rPr>
          <w:rFonts w:eastAsia="Times New Roman"/>
          <w:lang w:val="fr-FR"/>
        </w:rPr>
        <w:t xml:space="preserve">pour 2018 approuvé par </w:t>
      </w:r>
      <w:r>
        <w:rPr>
          <w:rFonts w:eastAsia="Times New Roman"/>
          <w:lang w:val="fr-FR"/>
        </w:rPr>
        <w:t xml:space="preserve">le </w:t>
      </w:r>
      <w:r w:rsidRPr="00466CE7">
        <w:rPr>
          <w:rFonts w:eastAsia="Times New Roman"/>
          <w:lang w:val="fr-FR"/>
        </w:rPr>
        <w:t>M</w:t>
      </w:r>
      <w:r>
        <w:rPr>
          <w:rFonts w:eastAsia="Times New Roman"/>
          <w:lang w:val="fr-FR"/>
        </w:rPr>
        <w:t xml:space="preserve">inistère du travail et du développement social </w:t>
      </w:r>
      <w:r w:rsidRPr="00466CE7">
        <w:rPr>
          <w:rFonts w:eastAsia="Times New Roman"/>
          <w:lang w:val="fr-FR"/>
        </w:rPr>
        <w:t xml:space="preserve">(2018), les centres de crise ont fourni aux </w:t>
      </w:r>
      <w:r>
        <w:rPr>
          <w:rFonts w:eastAsia="Times New Roman"/>
          <w:lang w:val="fr-FR"/>
        </w:rPr>
        <w:t>victimes de violence familiale</w:t>
      </w:r>
      <w:r w:rsidRPr="00937E3D">
        <w:rPr>
          <w:rFonts w:eastAsia="Times New Roman"/>
          <w:lang w:val="fr-FR"/>
        </w:rPr>
        <w:t xml:space="preserve"> </w:t>
      </w:r>
      <w:r w:rsidRPr="00466CE7">
        <w:rPr>
          <w:rFonts w:eastAsia="Times New Roman"/>
          <w:lang w:val="fr-FR"/>
        </w:rPr>
        <w:t xml:space="preserve">une assistance </w:t>
      </w:r>
      <w:r>
        <w:rPr>
          <w:rFonts w:eastAsia="Times New Roman"/>
          <w:lang w:val="fr-FR"/>
        </w:rPr>
        <w:t xml:space="preserve">globale </w:t>
      </w:r>
      <w:r w:rsidRPr="00466CE7">
        <w:rPr>
          <w:rFonts w:eastAsia="Times New Roman"/>
          <w:lang w:val="fr-FR"/>
        </w:rPr>
        <w:t>pour un montant de 2</w:t>
      </w:r>
      <w:r>
        <w:rPr>
          <w:rFonts w:eastAsia="Times New Roman"/>
          <w:lang w:val="fr-FR"/>
        </w:rPr>
        <w:t> </w:t>
      </w:r>
      <w:r w:rsidRPr="00466CE7">
        <w:rPr>
          <w:rFonts w:eastAsia="Times New Roman"/>
          <w:lang w:val="fr-FR"/>
        </w:rPr>
        <w:t>740</w:t>
      </w:r>
      <w:r w:rsidR="008361E5">
        <w:rPr>
          <w:rFonts w:eastAsia="Times New Roman"/>
          <w:lang w:val="fr-FR"/>
        </w:rPr>
        <w:t> </w:t>
      </w:r>
      <w:r w:rsidRPr="00466CE7">
        <w:rPr>
          <w:rFonts w:eastAsia="Times New Roman"/>
          <w:lang w:val="fr-FR"/>
        </w:rPr>
        <w:t>5</w:t>
      </w:r>
      <w:r>
        <w:rPr>
          <w:rFonts w:eastAsia="Times New Roman"/>
          <w:lang w:val="fr-FR"/>
        </w:rPr>
        <w:t>00</w:t>
      </w:r>
      <w:r w:rsidR="008361E5">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w:t>
      </w:r>
    </w:p>
    <w:p w14:paraId="75971816" w14:textId="77777777" w:rsidR="009C6834" w:rsidRPr="00466CE7" w:rsidRDefault="009C6834" w:rsidP="009C6834">
      <w:pPr>
        <w:pStyle w:val="SingleTxtG"/>
        <w:rPr>
          <w:rFonts w:eastAsia="Times New Roman"/>
          <w:lang w:val="fr-FR"/>
        </w:rPr>
      </w:pPr>
      <w:r>
        <w:rPr>
          <w:rFonts w:eastAsia="Times New Roman"/>
          <w:lang w:val="fr-FR"/>
        </w:rPr>
        <w:t>270.</w:t>
      </w:r>
      <w:r>
        <w:rPr>
          <w:rFonts w:eastAsia="Times New Roman"/>
          <w:lang w:val="fr-FR"/>
        </w:rPr>
        <w:tab/>
        <w:t>Le Ministère de la s</w:t>
      </w:r>
      <w:r w:rsidRPr="00466CE7">
        <w:rPr>
          <w:rFonts w:eastAsia="Times New Roman"/>
          <w:lang w:val="fr-FR"/>
        </w:rPr>
        <w:t xml:space="preserve">anté a </w:t>
      </w:r>
      <w:r>
        <w:rPr>
          <w:rFonts w:eastAsia="Times New Roman"/>
          <w:lang w:val="fr-FR"/>
        </w:rPr>
        <w:t xml:space="preserve">adopté en 2018 </w:t>
      </w:r>
      <w:r w:rsidRPr="00466CE7">
        <w:rPr>
          <w:rFonts w:eastAsia="Times New Roman"/>
          <w:lang w:val="fr-FR"/>
        </w:rPr>
        <w:t xml:space="preserve">une ordonnance sur les mesures </w:t>
      </w:r>
      <w:r>
        <w:rPr>
          <w:rFonts w:eastAsia="Times New Roman"/>
          <w:lang w:val="fr-FR"/>
        </w:rPr>
        <w:t xml:space="preserve">propres à prévenir les </w:t>
      </w:r>
      <w:r w:rsidRPr="00466CE7">
        <w:rPr>
          <w:rFonts w:eastAsia="Times New Roman"/>
          <w:lang w:val="fr-FR"/>
        </w:rPr>
        <w:t>mariage</w:t>
      </w:r>
      <w:r>
        <w:rPr>
          <w:rFonts w:eastAsia="Times New Roman"/>
          <w:lang w:val="fr-FR"/>
        </w:rPr>
        <w:t xml:space="preserve">s précoces </w:t>
      </w:r>
      <w:r w:rsidRPr="00466CE7">
        <w:rPr>
          <w:rFonts w:eastAsia="Times New Roman"/>
          <w:lang w:val="fr-FR"/>
        </w:rPr>
        <w:t>et approuvé un plan d</w:t>
      </w:r>
      <w:r>
        <w:rPr>
          <w:rFonts w:eastAsia="Times New Roman"/>
          <w:lang w:val="fr-FR"/>
        </w:rPr>
        <w:t>’</w:t>
      </w:r>
      <w:r w:rsidRPr="00466CE7">
        <w:rPr>
          <w:rFonts w:eastAsia="Times New Roman"/>
          <w:lang w:val="fr-FR"/>
        </w:rPr>
        <w:t xml:space="preserve">action pour </w:t>
      </w:r>
      <w:r>
        <w:rPr>
          <w:rFonts w:eastAsia="Times New Roman"/>
          <w:lang w:val="fr-FR"/>
        </w:rPr>
        <w:t xml:space="preserve">l’application </w:t>
      </w:r>
      <w:r w:rsidRPr="00466CE7">
        <w:rPr>
          <w:rFonts w:eastAsia="Times New Roman"/>
          <w:lang w:val="fr-FR"/>
        </w:rPr>
        <w:t xml:space="preserve">de la loi susmentionnée. </w:t>
      </w:r>
    </w:p>
    <w:p w14:paraId="4083FC8D" w14:textId="7DC857BB" w:rsidR="009C6834" w:rsidRPr="00466CE7" w:rsidRDefault="009C6834" w:rsidP="009C6834">
      <w:pPr>
        <w:pStyle w:val="SingleTxtG"/>
        <w:rPr>
          <w:rFonts w:eastAsia="Times New Roman"/>
          <w:lang w:val="fr-FR"/>
        </w:rPr>
      </w:pPr>
      <w:r w:rsidRPr="00466CE7">
        <w:rPr>
          <w:rFonts w:eastAsia="Times New Roman"/>
          <w:lang w:val="fr-FR"/>
        </w:rPr>
        <w:t>271.</w:t>
      </w:r>
      <w:r w:rsidRPr="00466CE7">
        <w:rPr>
          <w:rFonts w:eastAsia="Times New Roman"/>
          <w:lang w:val="fr-FR"/>
        </w:rPr>
        <w:tab/>
        <w:t>Le M</w:t>
      </w:r>
      <w:r>
        <w:rPr>
          <w:rFonts w:eastAsia="Times New Roman"/>
          <w:lang w:val="fr-FR"/>
        </w:rPr>
        <w:t xml:space="preserve">inistère du travail et du développement social a produit </w:t>
      </w:r>
      <w:r w:rsidRPr="00466CE7">
        <w:rPr>
          <w:rFonts w:eastAsia="Times New Roman"/>
          <w:lang w:val="fr-FR"/>
        </w:rPr>
        <w:t xml:space="preserve">des vidéos sous une forme accessible et </w:t>
      </w:r>
      <w:r>
        <w:rPr>
          <w:rFonts w:eastAsia="Times New Roman"/>
          <w:lang w:val="fr-FR"/>
        </w:rPr>
        <w:t>attrayante</w:t>
      </w:r>
      <w:r w:rsidRPr="00466CE7">
        <w:rPr>
          <w:rFonts w:eastAsia="Times New Roman"/>
          <w:lang w:val="fr-FR"/>
        </w:rPr>
        <w:t xml:space="preserve"> </w:t>
      </w:r>
      <w:r>
        <w:rPr>
          <w:rFonts w:eastAsia="Times New Roman"/>
          <w:lang w:val="fr-FR"/>
        </w:rPr>
        <w:t>sur différents thèmes :</w:t>
      </w:r>
      <w:r w:rsidRPr="00466CE7">
        <w:rPr>
          <w:rFonts w:eastAsia="Times New Roman"/>
          <w:lang w:val="fr-FR"/>
        </w:rPr>
        <w:t xml:space="preserve"> Particularités de l</w:t>
      </w:r>
      <w:r>
        <w:rPr>
          <w:rFonts w:eastAsia="Times New Roman"/>
          <w:lang w:val="fr-FR"/>
        </w:rPr>
        <w:t>’</w:t>
      </w:r>
      <w:r w:rsidRPr="00466CE7">
        <w:rPr>
          <w:rFonts w:eastAsia="Times New Roman"/>
          <w:lang w:val="fr-FR"/>
        </w:rPr>
        <w:t>ado</w:t>
      </w:r>
      <w:r>
        <w:rPr>
          <w:rFonts w:eastAsia="Times New Roman"/>
          <w:lang w:val="fr-FR"/>
        </w:rPr>
        <w:t>lescence</w:t>
      </w:r>
      <w:r w:rsidRPr="00466CE7">
        <w:rPr>
          <w:rFonts w:eastAsia="Times New Roman"/>
          <w:lang w:val="fr-FR"/>
        </w:rPr>
        <w:t xml:space="preserve">, </w:t>
      </w:r>
      <w:r>
        <w:rPr>
          <w:rFonts w:eastAsia="Times New Roman"/>
          <w:lang w:val="fr-FR"/>
        </w:rPr>
        <w:t xml:space="preserve">Développer chez les jeunes une </w:t>
      </w:r>
      <w:r w:rsidRPr="00466CE7">
        <w:rPr>
          <w:rFonts w:eastAsia="Times New Roman"/>
          <w:lang w:val="fr-FR"/>
        </w:rPr>
        <w:t xml:space="preserve">culture </w:t>
      </w:r>
      <w:r>
        <w:rPr>
          <w:rFonts w:eastAsia="Times New Roman"/>
          <w:lang w:val="fr-FR"/>
        </w:rPr>
        <w:t>des relations entre les sexes</w:t>
      </w:r>
      <w:r w:rsidRPr="00466CE7">
        <w:rPr>
          <w:rFonts w:eastAsia="Times New Roman"/>
          <w:lang w:val="fr-FR"/>
        </w:rPr>
        <w:t xml:space="preserve">, Prévention de la consommation de </w:t>
      </w:r>
      <w:r>
        <w:rPr>
          <w:rFonts w:eastAsia="Times New Roman"/>
          <w:lang w:val="fr-FR"/>
        </w:rPr>
        <w:t>substances psychotropes</w:t>
      </w:r>
      <w:r w:rsidRPr="00466CE7">
        <w:rPr>
          <w:rFonts w:eastAsia="Times New Roman"/>
          <w:lang w:val="fr-FR"/>
        </w:rPr>
        <w:t>, Prévention</w:t>
      </w:r>
      <w:r>
        <w:rPr>
          <w:rFonts w:eastAsia="Times New Roman"/>
          <w:lang w:val="fr-FR"/>
        </w:rPr>
        <w:t xml:space="preserve"> de la violence chez les jeunes</w:t>
      </w:r>
      <w:r w:rsidRPr="00466CE7">
        <w:rPr>
          <w:rFonts w:eastAsia="Times New Roman"/>
          <w:lang w:val="fr-FR"/>
        </w:rPr>
        <w:t xml:space="preserve">, Santé </w:t>
      </w:r>
      <w:r>
        <w:rPr>
          <w:rFonts w:eastAsia="Times New Roman"/>
          <w:lang w:val="fr-FR"/>
        </w:rPr>
        <w:t>procréative et relations sexuelles</w:t>
      </w:r>
      <w:r w:rsidRPr="00466CE7">
        <w:rPr>
          <w:rFonts w:eastAsia="Times New Roman"/>
          <w:lang w:val="fr-FR"/>
        </w:rPr>
        <w:t xml:space="preserve">, </w:t>
      </w:r>
      <w:r>
        <w:rPr>
          <w:rFonts w:eastAsia="Times New Roman"/>
          <w:lang w:val="fr-FR"/>
        </w:rPr>
        <w:t>P</w:t>
      </w:r>
      <w:r w:rsidRPr="00466CE7">
        <w:rPr>
          <w:rFonts w:eastAsia="Times New Roman"/>
          <w:lang w:val="fr-FR"/>
        </w:rPr>
        <w:t xml:space="preserve">révention </w:t>
      </w:r>
      <w:r>
        <w:rPr>
          <w:rFonts w:eastAsia="Times New Roman"/>
          <w:lang w:val="fr-FR"/>
        </w:rPr>
        <w:t xml:space="preserve">du VIH/sida et des infections sexuellement transmissibles, </w:t>
      </w:r>
      <w:r w:rsidRPr="00466CE7">
        <w:rPr>
          <w:rFonts w:eastAsia="Times New Roman"/>
          <w:lang w:val="fr-FR"/>
        </w:rPr>
        <w:t>Relations interpersonnelles et résolution des conflits</w:t>
      </w:r>
      <w:r>
        <w:rPr>
          <w:rFonts w:eastAsia="Times New Roman"/>
          <w:lang w:val="fr-FR"/>
        </w:rPr>
        <w:t>,</w:t>
      </w:r>
      <w:r w:rsidRPr="00466CE7">
        <w:rPr>
          <w:rFonts w:eastAsia="Times New Roman"/>
          <w:lang w:val="fr-FR"/>
        </w:rPr>
        <w:t xml:space="preserve"> et Prévention de la dépendance à l</w:t>
      </w:r>
      <w:r>
        <w:rPr>
          <w:rFonts w:eastAsia="Times New Roman"/>
          <w:lang w:val="fr-FR"/>
        </w:rPr>
        <w:t>’</w:t>
      </w:r>
      <w:r w:rsidRPr="00466CE7">
        <w:rPr>
          <w:rFonts w:eastAsia="Times New Roman"/>
          <w:lang w:val="fr-FR"/>
        </w:rPr>
        <w:t>ordinateur et de la violence en ligne chez les jeunes.</w:t>
      </w:r>
    </w:p>
    <w:p w14:paraId="227C911B" w14:textId="77777777" w:rsidR="009C6834" w:rsidRDefault="009C6834" w:rsidP="009C6834">
      <w:pPr>
        <w:pStyle w:val="SingleTxtG"/>
        <w:rPr>
          <w:rFonts w:eastAsia="Times New Roman"/>
          <w:lang w:val="fr-FR"/>
        </w:rPr>
      </w:pPr>
      <w:r w:rsidRPr="00466CE7">
        <w:rPr>
          <w:rFonts w:eastAsia="Times New Roman"/>
          <w:lang w:val="fr-FR"/>
        </w:rPr>
        <w:t>272.</w:t>
      </w:r>
      <w:r w:rsidRPr="00466CE7">
        <w:rPr>
          <w:rFonts w:eastAsia="Times New Roman"/>
          <w:lang w:val="fr-FR"/>
        </w:rPr>
        <w:tab/>
        <w:t>Dans les établissements d</w:t>
      </w:r>
      <w:r>
        <w:rPr>
          <w:rFonts w:eastAsia="Times New Roman"/>
          <w:lang w:val="fr-FR"/>
        </w:rPr>
        <w:t>’</w:t>
      </w:r>
      <w:r w:rsidRPr="00466CE7">
        <w:rPr>
          <w:rFonts w:eastAsia="Times New Roman"/>
          <w:lang w:val="fr-FR"/>
        </w:rPr>
        <w:t xml:space="preserve">enseignement général, </w:t>
      </w:r>
      <w:r>
        <w:rPr>
          <w:rFonts w:eastAsia="Times New Roman"/>
          <w:lang w:val="fr-FR"/>
        </w:rPr>
        <w:t>d</w:t>
      </w:r>
      <w:r w:rsidRPr="00466CE7">
        <w:rPr>
          <w:rFonts w:eastAsia="Times New Roman"/>
          <w:lang w:val="fr-FR"/>
        </w:rPr>
        <w:t xml:space="preserve">es matières </w:t>
      </w:r>
      <w:r>
        <w:rPr>
          <w:rFonts w:eastAsia="Times New Roman"/>
          <w:lang w:val="fr-FR"/>
        </w:rPr>
        <w:t xml:space="preserve">telles que « L’individu </w:t>
      </w:r>
      <w:r w:rsidRPr="00466CE7">
        <w:rPr>
          <w:rFonts w:eastAsia="Times New Roman"/>
          <w:lang w:val="fr-FR"/>
        </w:rPr>
        <w:t xml:space="preserve">et </w:t>
      </w:r>
      <w:r>
        <w:rPr>
          <w:rFonts w:eastAsia="Times New Roman"/>
          <w:lang w:val="fr-FR"/>
        </w:rPr>
        <w:t xml:space="preserve">la </w:t>
      </w:r>
      <w:r w:rsidRPr="00466CE7">
        <w:rPr>
          <w:rFonts w:eastAsia="Times New Roman"/>
          <w:lang w:val="fr-FR"/>
        </w:rPr>
        <w:t>société</w:t>
      </w:r>
      <w:r>
        <w:rPr>
          <w:rFonts w:eastAsia="Times New Roman"/>
          <w:lang w:val="fr-FR"/>
        </w:rPr>
        <w:t> » ou « </w:t>
      </w:r>
      <w:proofErr w:type="spellStart"/>
      <w:r w:rsidRPr="00466CE7">
        <w:rPr>
          <w:rFonts w:eastAsia="Times New Roman"/>
          <w:lang w:val="fr-FR"/>
        </w:rPr>
        <w:t>Adep</w:t>
      </w:r>
      <w:proofErr w:type="spellEnd"/>
      <w:r w:rsidRPr="00466CE7">
        <w:rPr>
          <w:rFonts w:eastAsia="Times New Roman"/>
          <w:lang w:val="fr-FR"/>
        </w:rPr>
        <w:t xml:space="preserve"> </w:t>
      </w:r>
      <w:proofErr w:type="spellStart"/>
      <w:r w:rsidRPr="00466CE7">
        <w:rPr>
          <w:rFonts w:eastAsia="Times New Roman"/>
          <w:lang w:val="fr-FR"/>
        </w:rPr>
        <w:t>Sabagy</w:t>
      </w:r>
      <w:proofErr w:type="spellEnd"/>
      <w:r>
        <w:rPr>
          <w:rFonts w:eastAsia="Times New Roman"/>
          <w:lang w:val="fr-FR"/>
        </w:rPr>
        <w:t> »</w:t>
      </w:r>
      <w:r w:rsidRPr="00466CE7">
        <w:rPr>
          <w:rFonts w:eastAsia="Times New Roman"/>
          <w:lang w:val="fr-FR"/>
        </w:rPr>
        <w:t xml:space="preserve"> </w:t>
      </w:r>
      <w:r>
        <w:rPr>
          <w:rFonts w:eastAsia="Times New Roman"/>
          <w:lang w:val="fr-FR"/>
        </w:rPr>
        <w:t xml:space="preserve">permettent d’informer et de sensibiliser les élèves sur des questions relatives aux </w:t>
      </w:r>
      <w:r w:rsidRPr="00466CE7">
        <w:rPr>
          <w:rFonts w:eastAsia="Times New Roman"/>
          <w:lang w:val="fr-FR"/>
        </w:rPr>
        <w:t>droits de l</w:t>
      </w:r>
      <w:r>
        <w:rPr>
          <w:rFonts w:eastAsia="Times New Roman"/>
          <w:lang w:val="fr-FR"/>
        </w:rPr>
        <w:t>’</w:t>
      </w:r>
      <w:r w:rsidRPr="00466CE7">
        <w:rPr>
          <w:rFonts w:eastAsia="Times New Roman"/>
          <w:lang w:val="fr-FR"/>
        </w:rPr>
        <w:t xml:space="preserve">homme, </w:t>
      </w:r>
      <w:r>
        <w:rPr>
          <w:rFonts w:eastAsia="Times New Roman"/>
          <w:lang w:val="fr-FR"/>
        </w:rPr>
        <w:t xml:space="preserve">notamment la question de </w:t>
      </w:r>
      <w:r w:rsidRPr="00466CE7">
        <w:rPr>
          <w:rFonts w:eastAsia="Times New Roman"/>
          <w:lang w:val="fr-FR"/>
        </w:rPr>
        <w:t xml:space="preserve">la violence </w:t>
      </w:r>
      <w:r>
        <w:rPr>
          <w:rFonts w:eastAsia="Times New Roman"/>
          <w:lang w:val="fr-FR"/>
        </w:rPr>
        <w:t xml:space="preserve">à l’égard des </w:t>
      </w:r>
      <w:r w:rsidRPr="00466CE7">
        <w:rPr>
          <w:rFonts w:eastAsia="Times New Roman"/>
          <w:lang w:val="fr-FR"/>
        </w:rPr>
        <w:t>femmes.</w:t>
      </w:r>
    </w:p>
    <w:p w14:paraId="271CD5C9" w14:textId="29E73B01" w:rsidR="009C6834" w:rsidRPr="00A65056" w:rsidRDefault="008361E5" w:rsidP="008361E5">
      <w:pPr>
        <w:pStyle w:val="H1G"/>
        <w:rPr>
          <w:lang w:val="fr-FR"/>
        </w:rPr>
      </w:pPr>
      <w:r>
        <w:rPr>
          <w:lang w:val="fr-FR"/>
        </w:rPr>
        <w:tab/>
      </w:r>
      <w:r>
        <w:rPr>
          <w:lang w:val="fr-FR"/>
        </w:rPr>
        <w:tab/>
      </w:r>
      <w:r w:rsidR="00CB4ECD">
        <w:rPr>
          <w:lang w:val="fr-FR"/>
        </w:rPr>
        <w:t>Article </w:t>
      </w:r>
      <w:r w:rsidR="009C6834" w:rsidRPr="00A65056">
        <w:rPr>
          <w:lang w:val="fr-FR"/>
        </w:rPr>
        <w:t>18</w:t>
      </w:r>
      <w:r>
        <w:rPr>
          <w:lang w:val="fr-FR"/>
        </w:rPr>
        <w:br/>
      </w:r>
      <w:r w:rsidR="009C6834" w:rsidRPr="00A65056">
        <w:rPr>
          <w:lang w:val="fr-FR"/>
        </w:rPr>
        <w:t xml:space="preserve">Conditions de détention </w:t>
      </w:r>
    </w:p>
    <w:p w14:paraId="18425A16" w14:textId="7A6CC560" w:rsidR="009C6834" w:rsidRPr="00466CE7" w:rsidRDefault="009C6834" w:rsidP="009C6834">
      <w:pPr>
        <w:pStyle w:val="SingleTxtG"/>
        <w:rPr>
          <w:rFonts w:eastAsia="Times New Roman"/>
          <w:lang w:val="fr-FR"/>
        </w:rPr>
      </w:pPr>
      <w:r w:rsidRPr="00466CE7">
        <w:rPr>
          <w:rFonts w:eastAsia="Times New Roman"/>
          <w:lang w:val="fr-FR"/>
        </w:rPr>
        <w:t>273.</w:t>
      </w:r>
      <w:r w:rsidRPr="00466CE7">
        <w:rPr>
          <w:rFonts w:eastAsia="Times New Roman"/>
          <w:lang w:val="fr-FR"/>
        </w:rPr>
        <w:tab/>
      </w:r>
      <w:r>
        <w:rPr>
          <w:rFonts w:eastAsia="Times New Roman"/>
          <w:lang w:val="fr-FR"/>
        </w:rPr>
        <w:t>Conformément à l’</w:t>
      </w:r>
      <w:r w:rsidR="00CB4ECD">
        <w:rPr>
          <w:rFonts w:eastAsia="Times New Roman"/>
          <w:lang w:val="fr-FR"/>
        </w:rPr>
        <w:t>article </w:t>
      </w:r>
      <w:r w:rsidRPr="00466CE7">
        <w:rPr>
          <w:rFonts w:eastAsia="Times New Roman"/>
          <w:lang w:val="fr-FR"/>
        </w:rPr>
        <w:t xml:space="preserve">19 du </w:t>
      </w:r>
      <w:r w:rsidR="009603CF">
        <w:rPr>
          <w:rFonts w:eastAsia="Times New Roman"/>
          <w:lang w:val="fr-FR"/>
        </w:rPr>
        <w:t>Code</w:t>
      </w:r>
      <w:r w:rsidRPr="00466CE7">
        <w:rPr>
          <w:rFonts w:eastAsia="Times New Roman"/>
          <w:lang w:val="fr-FR"/>
        </w:rPr>
        <w:t xml:space="preserve"> d</w:t>
      </w:r>
      <w:r>
        <w:rPr>
          <w:rFonts w:eastAsia="Times New Roman"/>
          <w:lang w:val="fr-FR"/>
        </w:rPr>
        <w:t>’</w:t>
      </w:r>
      <w:r w:rsidRPr="00466CE7">
        <w:rPr>
          <w:rFonts w:eastAsia="Times New Roman"/>
          <w:lang w:val="fr-FR"/>
        </w:rPr>
        <w:t>application des peines</w:t>
      </w:r>
      <w:r>
        <w:rPr>
          <w:rFonts w:eastAsia="Times New Roman"/>
          <w:lang w:val="fr-FR"/>
        </w:rPr>
        <w:t>, les détenus condamnés</w:t>
      </w:r>
      <w:r w:rsidRPr="00466CE7">
        <w:rPr>
          <w:rFonts w:eastAsia="Times New Roman"/>
          <w:lang w:val="fr-FR"/>
        </w:rPr>
        <w:t xml:space="preserve"> </w:t>
      </w:r>
      <w:r>
        <w:rPr>
          <w:rFonts w:eastAsia="Times New Roman"/>
          <w:lang w:val="fr-FR"/>
        </w:rPr>
        <w:t xml:space="preserve">dont la sécurité personnelle </w:t>
      </w:r>
      <w:r w:rsidRPr="00466CE7">
        <w:rPr>
          <w:rFonts w:eastAsia="Times New Roman"/>
          <w:lang w:val="fr-FR"/>
        </w:rPr>
        <w:t>est menacée par d</w:t>
      </w:r>
      <w:r>
        <w:rPr>
          <w:rFonts w:eastAsia="Times New Roman"/>
          <w:lang w:val="fr-FR"/>
        </w:rPr>
        <w:t>’</w:t>
      </w:r>
      <w:r w:rsidRPr="00466CE7">
        <w:rPr>
          <w:rFonts w:eastAsia="Times New Roman"/>
          <w:lang w:val="fr-FR"/>
        </w:rPr>
        <w:t>autres condamnés ou d</w:t>
      </w:r>
      <w:r>
        <w:rPr>
          <w:rFonts w:eastAsia="Times New Roman"/>
          <w:lang w:val="fr-FR"/>
        </w:rPr>
        <w:t>’</w:t>
      </w:r>
      <w:r w:rsidRPr="00466CE7">
        <w:rPr>
          <w:rFonts w:eastAsia="Times New Roman"/>
          <w:lang w:val="fr-FR"/>
        </w:rPr>
        <w:t>autres personnes</w:t>
      </w:r>
      <w:r w:rsidRPr="009F72F6">
        <w:rPr>
          <w:rFonts w:eastAsia="Times New Roman"/>
          <w:lang w:val="fr-FR"/>
        </w:rPr>
        <w:t xml:space="preserve"> </w:t>
      </w:r>
      <w:r>
        <w:rPr>
          <w:rFonts w:eastAsia="Times New Roman"/>
          <w:lang w:val="fr-FR"/>
        </w:rPr>
        <w:t xml:space="preserve">ont </w:t>
      </w:r>
      <w:r w:rsidRPr="00466CE7">
        <w:rPr>
          <w:rFonts w:eastAsia="Times New Roman"/>
          <w:lang w:val="fr-FR"/>
        </w:rPr>
        <w:t xml:space="preserve">droit à </w:t>
      </w:r>
      <w:r>
        <w:rPr>
          <w:rFonts w:eastAsia="Times New Roman"/>
          <w:lang w:val="fr-FR"/>
        </w:rPr>
        <w:t>une protection</w:t>
      </w:r>
      <w:r w:rsidRPr="00466CE7">
        <w:rPr>
          <w:rFonts w:eastAsia="Times New Roman"/>
          <w:lang w:val="fr-FR"/>
        </w:rPr>
        <w:t xml:space="preserve">. En décembre 2019, </w:t>
      </w:r>
      <w:r>
        <w:rPr>
          <w:rFonts w:eastAsia="Times New Roman"/>
          <w:lang w:val="fr-FR"/>
        </w:rPr>
        <w:t>sur les 6</w:t>
      </w:r>
      <w:r w:rsidR="008361E5">
        <w:rPr>
          <w:rFonts w:eastAsia="Times New Roman"/>
          <w:lang w:val="fr-FR"/>
        </w:rPr>
        <w:t> </w:t>
      </w:r>
      <w:r>
        <w:rPr>
          <w:rFonts w:eastAsia="Times New Roman"/>
          <w:lang w:val="fr-FR"/>
        </w:rPr>
        <w:t>9</w:t>
      </w:r>
      <w:r w:rsidRPr="00466CE7">
        <w:rPr>
          <w:rFonts w:eastAsia="Times New Roman"/>
          <w:lang w:val="fr-FR"/>
        </w:rPr>
        <w:t>93</w:t>
      </w:r>
      <w:r w:rsidR="008361E5">
        <w:rPr>
          <w:rFonts w:eastAsia="Times New Roman"/>
          <w:lang w:val="fr-FR"/>
        </w:rPr>
        <w:t> </w:t>
      </w:r>
      <w:r>
        <w:rPr>
          <w:rFonts w:eastAsia="Times New Roman"/>
          <w:lang w:val="fr-FR"/>
        </w:rPr>
        <w:t>personnes détenues</w:t>
      </w:r>
      <w:r w:rsidRPr="00805592">
        <w:rPr>
          <w:rFonts w:eastAsia="Times New Roman"/>
          <w:lang w:val="fr-FR"/>
        </w:rPr>
        <w:t xml:space="preserve"> </w:t>
      </w:r>
      <w:r w:rsidRPr="00466CE7">
        <w:rPr>
          <w:rFonts w:eastAsia="Times New Roman"/>
          <w:lang w:val="fr-FR"/>
        </w:rPr>
        <w:t xml:space="preserve">dans les établissements </w:t>
      </w:r>
      <w:r>
        <w:rPr>
          <w:rFonts w:eastAsia="Times New Roman"/>
          <w:lang w:val="fr-FR"/>
        </w:rPr>
        <w:t>relevant de l’administration pénitentiaire</w:t>
      </w:r>
      <w:r w:rsidRPr="00466CE7">
        <w:rPr>
          <w:rFonts w:eastAsia="Times New Roman"/>
          <w:lang w:val="fr-FR"/>
        </w:rPr>
        <w:t>, 95</w:t>
      </w:r>
      <w:r w:rsidR="008361E5">
        <w:rPr>
          <w:rFonts w:eastAsia="Times New Roman"/>
          <w:lang w:val="fr-FR"/>
        </w:rPr>
        <w:t xml:space="preserve"> </w:t>
      </w:r>
      <w:r>
        <w:rPr>
          <w:rFonts w:eastAsia="Times New Roman"/>
          <w:lang w:val="fr-FR"/>
        </w:rPr>
        <w:t>bénéficiaient des dispositions de l’</w:t>
      </w:r>
      <w:r w:rsidR="00CB4ECD">
        <w:rPr>
          <w:rFonts w:eastAsia="Times New Roman"/>
          <w:lang w:val="fr-FR"/>
        </w:rPr>
        <w:t>article </w:t>
      </w:r>
      <w:r w:rsidRPr="00466CE7">
        <w:rPr>
          <w:rFonts w:eastAsia="Times New Roman"/>
          <w:lang w:val="fr-FR"/>
        </w:rPr>
        <w:t>19.</w:t>
      </w:r>
    </w:p>
    <w:p w14:paraId="4486BE35" w14:textId="28BAE228" w:rsidR="009C6834" w:rsidRPr="00466CE7" w:rsidRDefault="009C6834" w:rsidP="009C6834">
      <w:pPr>
        <w:pStyle w:val="SingleTxtG"/>
        <w:rPr>
          <w:rFonts w:eastAsia="Times New Roman"/>
          <w:lang w:val="fr-FR"/>
        </w:rPr>
      </w:pPr>
      <w:r w:rsidRPr="00466CE7">
        <w:rPr>
          <w:rFonts w:eastAsia="Times New Roman"/>
          <w:lang w:val="fr-FR"/>
        </w:rPr>
        <w:t>274.</w:t>
      </w:r>
      <w:r w:rsidRPr="00466CE7">
        <w:rPr>
          <w:rFonts w:eastAsia="Times New Roman"/>
          <w:lang w:val="fr-FR"/>
        </w:rPr>
        <w:tab/>
        <w:t>Afin d</w:t>
      </w:r>
      <w:r>
        <w:rPr>
          <w:rFonts w:eastAsia="Times New Roman"/>
          <w:lang w:val="fr-FR"/>
        </w:rPr>
        <w:t>’</w:t>
      </w:r>
      <w:r w:rsidRPr="00466CE7">
        <w:rPr>
          <w:rFonts w:eastAsia="Times New Roman"/>
          <w:lang w:val="fr-FR"/>
        </w:rPr>
        <w:t>assurer la sécurité de la population, d</w:t>
      </w:r>
      <w:r>
        <w:rPr>
          <w:rFonts w:eastAsia="Times New Roman"/>
          <w:lang w:val="fr-FR"/>
        </w:rPr>
        <w:t>’</w:t>
      </w:r>
      <w:r w:rsidRPr="00466CE7">
        <w:rPr>
          <w:rFonts w:eastAsia="Times New Roman"/>
          <w:lang w:val="fr-FR"/>
        </w:rPr>
        <w:t xml:space="preserve">améliorer les infrastructures </w:t>
      </w:r>
      <w:r>
        <w:rPr>
          <w:rFonts w:eastAsia="Times New Roman"/>
          <w:lang w:val="fr-FR"/>
        </w:rPr>
        <w:t xml:space="preserve">à </w:t>
      </w:r>
      <w:r w:rsidRPr="00466CE7">
        <w:rPr>
          <w:rFonts w:eastAsia="Times New Roman"/>
          <w:lang w:val="fr-FR"/>
        </w:rPr>
        <w:t xml:space="preserve">Bichkek </w:t>
      </w:r>
      <w:r>
        <w:rPr>
          <w:rFonts w:eastAsia="Times New Roman"/>
          <w:lang w:val="fr-FR"/>
        </w:rPr>
        <w:t xml:space="preserve">ainsi que </w:t>
      </w:r>
      <w:r w:rsidRPr="00466CE7">
        <w:rPr>
          <w:rFonts w:eastAsia="Times New Roman"/>
          <w:lang w:val="fr-FR"/>
        </w:rPr>
        <w:t xml:space="preserve">les conditions de détention des </w:t>
      </w:r>
      <w:r>
        <w:rPr>
          <w:rFonts w:eastAsia="Times New Roman"/>
          <w:lang w:val="fr-FR"/>
        </w:rPr>
        <w:t>prévenus</w:t>
      </w:r>
      <w:r w:rsidRPr="00466CE7">
        <w:rPr>
          <w:rFonts w:eastAsia="Times New Roman"/>
          <w:lang w:val="fr-FR"/>
        </w:rPr>
        <w:t xml:space="preserve"> et des condamnés, un groupe de travail </w:t>
      </w:r>
      <w:r>
        <w:rPr>
          <w:rFonts w:eastAsia="Times New Roman"/>
          <w:lang w:val="fr-FR"/>
        </w:rPr>
        <w:t xml:space="preserve">interministériel </w:t>
      </w:r>
      <w:r w:rsidRPr="00466CE7">
        <w:rPr>
          <w:rFonts w:eastAsia="Times New Roman"/>
          <w:lang w:val="fr-FR"/>
        </w:rPr>
        <w:t xml:space="preserve">a été créé par </w:t>
      </w:r>
      <w:r>
        <w:rPr>
          <w:rFonts w:eastAsia="Times New Roman"/>
          <w:lang w:val="fr-FR"/>
        </w:rPr>
        <w:t xml:space="preserve">décision du </w:t>
      </w:r>
      <w:r w:rsidR="00224CCB">
        <w:rPr>
          <w:rFonts w:eastAsia="Times New Roman"/>
          <w:lang w:val="fr-FR"/>
        </w:rPr>
        <w:t xml:space="preserve">Gouvernement </w:t>
      </w:r>
      <w:r w:rsidRPr="00466CE7">
        <w:rPr>
          <w:rFonts w:eastAsia="Times New Roman"/>
          <w:lang w:val="fr-FR"/>
        </w:rPr>
        <w:t xml:space="preserve">(2019) </w:t>
      </w:r>
      <w:r>
        <w:rPr>
          <w:rFonts w:eastAsia="Times New Roman"/>
          <w:lang w:val="fr-FR"/>
        </w:rPr>
        <w:t xml:space="preserve">en vue du déplacement des établissements pénitentiaires </w:t>
      </w:r>
      <w:r w:rsidRPr="00466CE7">
        <w:rPr>
          <w:rFonts w:eastAsia="Times New Roman"/>
          <w:lang w:val="fr-FR"/>
        </w:rPr>
        <w:t>n</w:t>
      </w:r>
      <w:r w:rsidR="008361E5" w:rsidRPr="008361E5">
        <w:rPr>
          <w:rFonts w:eastAsia="Times New Roman"/>
          <w:vertAlign w:val="superscript"/>
          <w:lang w:val="fr-FR"/>
        </w:rPr>
        <w:t>o</w:t>
      </w:r>
      <w:r w:rsidR="008361E5">
        <w:rPr>
          <w:rFonts w:eastAsia="Times New Roman"/>
          <w:lang w:val="fr-FR"/>
        </w:rPr>
        <w:t> </w:t>
      </w:r>
      <w:r w:rsidRPr="00466CE7">
        <w:rPr>
          <w:rFonts w:eastAsia="Times New Roman"/>
          <w:lang w:val="fr-FR"/>
        </w:rPr>
        <w:t>21 et n</w:t>
      </w:r>
      <w:r w:rsidR="008361E5" w:rsidRPr="008361E5">
        <w:rPr>
          <w:rFonts w:eastAsia="Times New Roman"/>
          <w:vertAlign w:val="superscript"/>
          <w:lang w:val="fr-FR"/>
        </w:rPr>
        <w:t>o</w:t>
      </w:r>
      <w:r>
        <w:rPr>
          <w:rFonts w:eastAsia="Times New Roman"/>
          <w:lang w:val="fr-FR"/>
        </w:rPr>
        <w:t> </w:t>
      </w:r>
      <w:r w:rsidRPr="00466CE7">
        <w:rPr>
          <w:rFonts w:eastAsia="Times New Roman"/>
          <w:lang w:val="fr-FR"/>
        </w:rPr>
        <w:t>47 en dehors de la ville.</w:t>
      </w:r>
    </w:p>
    <w:p w14:paraId="003BC449" w14:textId="1F94E802" w:rsidR="009C6834" w:rsidRPr="00466CE7" w:rsidRDefault="009C6834" w:rsidP="009C6834">
      <w:pPr>
        <w:pStyle w:val="SingleTxtG"/>
        <w:rPr>
          <w:rFonts w:eastAsia="Times New Roman"/>
          <w:lang w:val="fr-FR"/>
        </w:rPr>
      </w:pPr>
      <w:r w:rsidRPr="00466CE7">
        <w:rPr>
          <w:rFonts w:eastAsia="Times New Roman"/>
          <w:lang w:val="fr-FR"/>
        </w:rPr>
        <w:t>275.</w:t>
      </w:r>
      <w:r w:rsidRPr="00466CE7">
        <w:rPr>
          <w:rFonts w:eastAsia="Times New Roman"/>
          <w:lang w:val="fr-FR"/>
        </w:rPr>
        <w:tab/>
        <w:t xml:space="preserve">Il est prévu de </w:t>
      </w:r>
      <w:r>
        <w:rPr>
          <w:rFonts w:eastAsia="Times New Roman"/>
          <w:lang w:val="fr-FR"/>
        </w:rPr>
        <w:t xml:space="preserve">transférer </w:t>
      </w:r>
      <w:r w:rsidRPr="00466CE7">
        <w:rPr>
          <w:rFonts w:eastAsia="Times New Roman"/>
          <w:lang w:val="fr-FR"/>
        </w:rPr>
        <w:t>l</w:t>
      </w:r>
      <w:r>
        <w:rPr>
          <w:rFonts w:eastAsia="Times New Roman"/>
          <w:lang w:val="fr-FR"/>
        </w:rPr>
        <w:t>’</w:t>
      </w:r>
      <w:r w:rsidRPr="00466CE7">
        <w:rPr>
          <w:rFonts w:eastAsia="Times New Roman"/>
          <w:lang w:val="fr-FR"/>
        </w:rPr>
        <w:t>établissement n</w:t>
      </w:r>
      <w:r w:rsidR="008361E5" w:rsidRPr="008361E5">
        <w:rPr>
          <w:rFonts w:eastAsia="Times New Roman"/>
          <w:vertAlign w:val="superscript"/>
          <w:lang w:val="fr-FR"/>
        </w:rPr>
        <w:t>o</w:t>
      </w:r>
      <w:r w:rsidR="008361E5">
        <w:rPr>
          <w:rFonts w:eastAsia="Times New Roman"/>
          <w:lang w:val="fr-FR"/>
        </w:rPr>
        <w:t> </w:t>
      </w:r>
      <w:r w:rsidRPr="00466CE7">
        <w:rPr>
          <w:rFonts w:eastAsia="Times New Roman"/>
          <w:lang w:val="fr-FR"/>
        </w:rPr>
        <w:t xml:space="preserve">47 de Bichkek </w:t>
      </w:r>
      <w:r>
        <w:rPr>
          <w:rFonts w:eastAsia="Times New Roman"/>
          <w:lang w:val="fr-FR"/>
        </w:rPr>
        <w:t>dans l’enceinte du centre antituberculeux</w:t>
      </w:r>
      <w:r w:rsidRPr="00466CE7">
        <w:rPr>
          <w:rFonts w:eastAsia="Times New Roman"/>
          <w:lang w:val="fr-FR"/>
        </w:rPr>
        <w:t xml:space="preserve"> n</w:t>
      </w:r>
      <w:r w:rsidR="008361E5" w:rsidRPr="008361E5">
        <w:rPr>
          <w:rFonts w:eastAsia="Times New Roman"/>
          <w:vertAlign w:val="superscript"/>
          <w:lang w:val="fr-FR"/>
        </w:rPr>
        <w:t>o</w:t>
      </w:r>
      <w:r w:rsidR="008361E5">
        <w:rPr>
          <w:rFonts w:eastAsia="Times New Roman"/>
          <w:lang w:val="fr-FR"/>
        </w:rPr>
        <w:t> </w:t>
      </w:r>
      <w:r w:rsidRPr="00466CE7">
        <w:rPr>
          <w:rFonts w:eastAsia="Times New Roman"/>
          <w:lang w:val="fr-FR"/>
        </w:rPr>
        <w:t>31</w:t>
      </w:r>
      <w:r>
        <w:rPr>
          <w:rFonts w:eastAsia="Times New Roman"/>
          <w:lang w:val="fr-FR"/>
        </w:rPr>
        <w:t>,</w:t>
      </w:r>
      <w:r w:rsidRPr="00466CE7">
        <w:rPr>
          <w:rFonts w:eastAsia="Times New Roman"/>
          <w:lang w:val="fr-FR"/>
        </w:rPr>
        <w:t xml:space="preserve"> dans le village de </w:t>
      </w:r>
      <w:proofErr w:type="spellStart"/>
      <w:r w:rsidRPr="00466CE7">
        <w:rPr>
          <w:rFonts w:eastAsia="Times New Roman"/>
          <w:lang w:val="fr-FR"/>
        </w:rPr>
        <w:t>Moldovanovka</w:t>
      </w:r>
      <w:proofErr w:type="spellEnd"/>
      <w:r w:rsidRPr="00466CE7">
        <w:rPr>
          <w:rFonts w:eastAsia="Times New Roman"/>
          <w:lang w:val="fr-FR"/>
        </w:rPr>
        <w:t xml:space="preserve"> </w:t>
      </w:r>
      <w:r>
        <w:rPr>
          <w:rFonts w:eastAsia="Times New Roman"/>
          <w:lang w:val="fr-FR"/>
        </w:rPr>
        <w:t xml:space="preserve">(région </w:t>
      </w:r>
      <w:r w:rsidRPr="00466CE7">
        <w:rPr>
          <w:rFonts w:eastAsia="Times New Roman"/>
          <w:lang w:val="fr-FR"/>
        </w:rPr>
        <w:t xml:space="preserve">de </w:t>
      </w:r>
      <w:proofErr w:type="spellStart"/>
      <w:r>
        <w:rPr>
          <w:rFonts w:eastAsia="Times New Roman"/>
          <w:lang w:val="fr-FR"/>
        </w:rPr>
        <w:t>Tc</w:t>
      </w:r>
      <w:r w:rsidRPr="00466CE7">
        <w:rPr>
          <w:rFonts w:eastAsia="Times New Roman"/>
          <w:lang w:val="fr-FR"/>
        </w:rPr>
        <w:t>h</w:t>
      </w:r>
      <w:r>
        <w:rPr>
          <w:rFonts w:eastAsia="Times New Roman"/>
          <w:lang w:val="fr-FR"/>
        </w:rPr>
        <w:t>o</w:t>
      </w:r>
      <w:r w:rsidRPr="00466CE7">
        <w:rPr>
          <w:rFonts w:eastAsia="Times New Roman"/>
          <w:lang w:val="fr-FR"/>
        </w:rPr>
        <w:t>u</w:t>
      </w:r>
      <w:r>
        <w:rPr>
          <w:rFonts w:eastAsia="Times New Roman"/>
          <w:lang w:val="fr-FR"/>
        </w:rPr>
        <w:t>ï</w:t>
      </w:r>
      <w:proofErr w:type="spellEnd"/>
      <w:r>
        <w:rPr>
          <w:rFonts w:eastAsia="Times New Roman"/>
          <w:lang w:val="fr-FR"/>
        </w:rPr>
        <w:t xml:space="preserve">), puis de créer </w:t>
      </w:r>
      <w:r w:rsidRPr="00466CE7">
        <w:rPr>
          <w:rFonts w:eastAsia="Times New Roman"/>
          <w:lang w:val="fr-FR"/>
        </w:rPr>
        <w:t xml:space="preserve">un hôpital spécialisé </w:t>
      </w:r>
      <w:r>
        <w:rPr>
          <w:rFonts w:eastAsia="Times New Roman"/>
          <w:lang w:val="fr-FR"/>
        </w:rPr>
        <w:t xml:space="preserve">relevant de l’administration pénitentiaire qui assurera la prise en charge de </w:t>
      </w:r>
      <w:r w:rsidRPr="00466CE7">
        <w:rPr>
          <w:rFonts w:eastAsia="Times New Roman"/>
          <w:lang w:val="fr-FR"/>
        </w:rPr>
        <w:t xml:space="preserve">tous les types de maladies des différentes catégories de détenus. </w:t>
      </w:r>
      <w:r>
        <w:rPr>
          <w:rFonts w:eastAsia="Times New Roman"/>
          <w:lang w:val="fr-FR"/>
        </w:rPr>
        <w:t xml:space="preserve">Toutes les installations hospitalières </w:t>
      </w:r>
      <w:r w:rsidRPr="00466CE7">
        <w:rPr>
          <w:rFonts w:eastAsia="Times New Roman"/>
          <w:lang w:val="fr-FR"/>
        </w:rPr>
        <w:t xml:space="preserve">du système </w:t>
      </w:r>
      <w:r>
        <w:rPr>
          <w:rFonts w:eastAsia="Times New Roman"/>
          <w:lang w:val="fr-FR"/>
        </w:rPr>
        <w:t>pénitentiaire seront ainsi regroupées dans un même lieu</w:t>
      </w:r>
      <w:r w:rsidRPr="00466CE7">
        <w:rPr>
          <w:rFonts w:eastAsia="Times New Roman"/>
          <w:lang w:val="fr-FR"/>
        </w:rPr>
        <w:t xml:space="preserve">. Les travaux du groupe de travail </w:t>
      </w:r>
      <w:r>
        <w:rPr>
          <w:rFonts w:eastAsia="Times New Roman"/>
          <w:lang w:val="fr-FR"/>
        </w:rPr>
        <w:t xml:space="preserve">interministériel </w:t>
      </w:r>
      <w:r w:rsidRPr="00466CE7">
        <w:rPr>
          <w:rFonts w:eastAsia="Times New Roman"/>
          <w:lang w:val="fr-FR"/>
        </w:rPr>
        <w:t>ont abouti à l</w:t>
      </w:r>
      <w:r>
        <w:rPr>
          <w:rFonts w:eastAsia="Times New Roman"/>
          <w:lang w:val="fr-FR"/>
        </w:rPr>
        <w:t>’</w:t>
      </w:r>
      <w:r w:rsidRPr="00466CE7">
        <w:rPr>
          <w:rFonts w:eastAsia="Times New Roman"/>
          <w:lang w:val="fr-FR"/>
        </w:rPr>
        <w:t>élaboration d</w:t>
      </w:r>
      <w:r>
        <w:rPr>
          <w:rFonts w:eastAsia="Times New Roman"/>
          <w:lang w:val="fr-FR"/>
        </w:rPr>
        <w:t>’</w:t>
      </w:r>
      <w:r w:rsidRPr="00466CE7">
        <w:rPr>
          <w:rFonts w:eastAsia="Times New Roman"/>
          <w:lang w:val="fr-FR"/>
        </w:rPr>
        <w:t>un projet</w:t>
      </w:r>
      <w:r>
        <w:rPr>
          <w:rFonts w:eastAsia="Times New Roman"/>
          <w:lang w:val="fr-FR"/>
        </w:rPr>
        <w:t xml:space="preserve"> de conception</w:t>
      </w:r>
      <w:r w:rsidRPr="00466CE7">
        <w:rPr>
          <w:rFonts w:eastAsia="Times New Roman"/>
          <w:lang w:val="fr-FR"/>
        </w:rPr>
        <w:t xml:space="preserve">, </w:t>
      </w:r>
      <w:r>
        <w:rPr>
          <w:rFonts w:eastAsia="Times New Roman"/>
          <w:lang w:val="fr-FR"/>
        </w:rPr>
        <w:t xml:space="preserve">accompagné d’une </w:t>
      </w:r>
      <w:r w:rsidRPr="00466CE7">
        <w:rPr>
          <w:rFonts w:eastAsia="Times New Roman"/>
          <w:lang w:val="fr-FR"/>
        </w:rPr>
        <w:t>partie techn</w:t>
      </w:r>
      <w:r>
        <w:rPr>
          <w:rFonts w:eastAsia="Times New Roman"/>
          <w:lang w:val="fr-FR"/>
        </w:rPr>
        <w:t>ique</w:t>
      </w:r>
      <w:r w:rsidRPr="00466CE7">
        <w:rPr>
          <w:rFonts w:eastAsia="Times New Roman"/>
          <w:lang w:val="fr-FR"/>
        </w:rPr>
        <w:t xml:space="preserve">, et </w:t>
      </w:r>
      <w:r>
        <w:rPr>
          <w:rFonts w:eastAsia="Times New Roman"/>
          <w:lang w:val="fr-FR"/>
        </w:rPr>
        <w:t xml:space="preserve">de documents de planification et </w:t>
      </w:r>
      <w:r w:rsidRPr="00466CE7">
        <w:rPr>
          <w:rFonts w:eastAsia="Times New Roman"/>
          <w:lang w:val="fr-FR"/>
        </w:rPr>
        <w:t>d</w:t>
      </w:r>
      <w:r>
        <w:rPr>
          <w:rFonts w:eastAsia="Times New Roman"/>
          <w:lang w:val="fr-FR"/>
        </w:rPr>
        <w:t>’</w:t>
      </w:r>
      <w:r w:rsidRPr="00466CE7">
        <w:rPr>
          <w:rFonts w:eastAsia="Times New Roman"/>
          <w:lang w:val="fr-FR"/>
        </w:rPr>
        <w:t xml:space="preserve">estimation </w:t>
      </w:r>
      <w:r>
        <w:rPr>
          <w:rFonts w:eastAsia="Times New Roman"/>
          <w:lang w:val="fr-FR"/>
        </w:rPr>
        <w:t xml:space="preserve">des coûts </w:t>
      </w:r>
      <w:r w:rsidRPr="00466CE7">
        <w:rPr>
          <w:rFonts w:eastAsia="Times New Roman"/>
          <w:lang w:val="fr-FR"/>
        </w:rPr>
        <w:t xml:space="preserve">pour la construction de </w:t>
      </w:r>
      <w:r>
        <w:rPr>
          <w:rFonts w:eastAsia="Times New Roman"/>
          <w:lang w:val="fr-FR"/>
        </w:rPr>
        <w:t xml:space="preserve">cet </w:t>
      </w:r>
      <w:r w:rsidRPr="00466CE7">
        <w:rPr>
          <w:rFonts w:eastAsia="Times New Roman"/>
          <w:lang w:val="fr-FR"/>
        </w:rPr>
        <w:t>hôpital central.</w:t>
      </w:r>
    </w:p>
    <w:p w14:paraId="0FE5CD82" w14:textId="6A7494C6" w:rsidR="009C6834" w:rsidRPr="00466CE7" w:rsidRDefault="009C6834" w:rsidP="00E1792A">
      <w:pPr>
        <w:pStyle w:val="SingleTxtG"/>
        <w:keepLines/>
        <w:rPr>
          <w:rFonts w:eastAsia="Times New Roman"/>
          <w:lang w:val="fr-FR"/>
        </w:rPr>
      </w:pPr>
      <w:r w:rsidRPr="00466CE7">
        <w:rPr>
          <w:rFonts w:eastAsia="Times New Roman"/>
          <w:lang w:val="fr-FR"/>
        </w:rPr>
        <w:lastRenderedPageBreak/>
        <w:t>276.</w:t>
      </w:r>
      <w:r w:rsidRPr="00466CE7">
        <w:rPr>
          <w:rFonts w:eastAsia="Times New Roman"/>
          <w:lang w:val="fr-FR"/>
        </w:rPr>
        <w:tab/>
      </w:r>
      <w:r>
        <w:rPr>
          <w:rFonts w:eastAsia="Times New Roman"/>
          <w:lang w:val="fr-FR"/>
        </w:rPr>
        <w:t>D</w:t>
      </w:r>
      <w:r w:rsidRPr="00466CE7">
        <w:rPr>
          <w:rFonts w:eastAsia="Times New Roman"/>
          <w:lang w:val="fr-FR"/>
        </w:rPr>
        <w:t xml:space="preserve">es </w:t>
      </w:r>
      <w:r>
        <w:rPr>
          <w:rFonts w:eastAsia="Times New Roman"/>
          <w:lang w:val="fr-FR"/>
        </w:rPr>
        <w:t>mesures sont prises parallèlement pour déplacer l’établissement n</w:t>
      </w:r>
      <w:r w:rsidR="00426750" w:rsidRPr="00426750">
        <w:rPr>
          <w:rFonts w:eastAsia="Times New Roman"/>
          <w:vertAlign w:val="superscript"/>
          <w:lang w:val="fr-FR"/>
        </w:rPr>
        <w:t>o</w:t>
      </w:r>
      <w:r>
        <w:rPr>
          <w:lang w:val="fr-FR"/>
        </w:rPr>
        <w:t> </w:t>
      </w:r>
      <w:r>
        <w:rPr>
          <w:rFonts w:eastAsia="Times New Roman"/>
          <w:lang w:val="fr-FR"/>
        </w:rPr>
        <w:t xml:space="preserve">21 </w:t>
      </w:r>
      <w:r w:rsidRPr="00466CE7">
        <w:rPr>
          <w:rFonts w:eastAsia="Times New Roman"/>
          <w:lang w:val="fr-FR"/>
        </w:rPr>
        <w:t>(centre de détention provisoire n</w:t>
      </w:r>
      <w:r w:rsidR="00426750" w:rsidRPr="00426750">
        <w:rPr>
          <w:rFonts w:eastAsia="Times New Roman"/>
          <w:vertAlign w:val="superscript"/>
          <w:lang w:val="fr-FR"/>
        </w:rPr>
        <w:t>o</w:t>
      </w:r>
      <w:r w:rsidR="00426750">
        <w:rPr>
          <w:rFonts w:eastAsia="Times New Roman"/>
          <w:lang w:val="fr-FR"/>
        </w:rPr>
        <w:t> </w:t>
      </w:r>
      <w:r w:rsidRPr="00466CE7">
        <w:rPr>
          <w:rFonts w:eastAsia="Times New Roman"/>
          <w:lang w:val="fr-FR"/>
        </w:rPr>
        <w:t xml:space="preserve">1) de </w:t>
      </w:r>
      <w:r>
        <w:rPr>
          <w:rFonts w:eastAsia="Times New Roman"/>
          <w:lang w:val="fr-FR"/>
        </w:rPr>
        <w:t>Bichkek</w:t>
      </w:r>
      <w:r w:rsidRPr="00466CE7">
        <w:rPr>
          <w:rFonts w:eastAsia="Times New Roman"/>
          <w:lang w:val="fr-FR"/>
        </w:rPr>
        <w:t xml:space="preserve"> </w:t>
      </w:r>
      <w:r>
        <w:rPr>
          <w:rFonts w:eastAsia="Times New Roman"/>
          <w:lang w:val="fr-FR"/>
        </w:rPr>
        <w:t xml:space="preserve">dans l’enceinte de </w:t>
      </w:r>
      <w:r w:rsidRPr="00466CE7">
        <w:rPr>
          <w:rFonts w:eastAsia="Times New Roman"/>
          <w:lang w:val="fr-FR"/>
        </w:rPr>
        <w:t>l</w:t>
      </w:r>
      <w:r>
        <w:rPr>
          <w:rFonts w:eastAsia="Times New Roman"/>
          <w:lang w:val="fr-FR"/>
        </w:rPr>
        <w:t>’</w:t>
      </w:r>
      <w:r w:rsidRPr="00466CE7">
        <w:rPr>
          <w:rFonts w:eastAsia="Times New Roman"/>
          <w:lang w:val="fr-FR"/>
        </w:rPr>
        <w:t>établissement n</w:t>
      </w:r>
      <w:r w:rsidR="00426750" w:rsidRPr="00426750">
        <w:rPr>
          <w:rFonts w:eastAsia="Times New Roman"/>
          <w:vertAlign w:val="superscript"/>
          <w:lang w:val="fr-FR"/>
        </w:rPr>
        <w:t>o</w:t>
      </w:r>
      <w:r w:rsidR="00426750">
        <w:rPr>
          <w:rFonts w:eastAsia="Times New Roman"/>
          <w:lang w:val="fr-FR"/>
        </w:rPr>
        <w:t> </w:t>
      </w:r>
      <w:r w:rsidRPr="00466CE7">
        <w:rPr>
          <w:rFonts w:eastAsia="Times New Roman"/>
          <w:lang w:val="fr-FR"/>
        </w:rPr>
        <w:t>50</w:t>
      </w:r>
      <w:r>
        <w:rPr>
          <w:rFonts w:eastAsia="Times New Roman"/>
          <w:lang w:val="fr-FR"/>
        </w:rPr>
        <w:t xml:space="preserve">, à </w:t>
      </w:r>
      <w:proofErr w:type="spellStart"/>
      <w:r w:rsidRPr="00466CE7">
        <w:rPr>
          <w:rFonts w:eastAsia="Times New Roman"/>
          <w:lang w:val="fr-FR"/>
        </w:rPr>
        <w:t>Nizhny</w:t>
      </w:r>
      <w:proofErr w:type="spellEnd"/>
      <w:r w:rsidRPr="00466CE7">
        <w:rPr>
          <w:rFonts w:eastAsia="Times New Roman"/>
          <w:lang w:val="fr-FR"/>
        </w:rPr>
        <w:t xml:space="preserve"> </w:t>
      </w:r>
      <w:proofErr w:type="spellStart"/>
      <w:r w:rsidRPr="00466CE7">
        <w:rPr>
          <w:rFonts w:eastAsia="Times New Roman"/>
          <w:lang w:val="fr-FR"/>
        </w:rPr>
        <w:t>Nor</w:t>
      </w:r>
      <w:r>
        <w:rPr>
          <w:rFonts w:eastAsia="Times New Roman"/>
          <w:lang w:val="fr-FR"/>
        </w:rPr>
        <w:t>o</w:t>
      </w:r>
      <w:r w:rsidRPr="00466CE7">
        <w:rPr>
          <w:rFonts w:eastAsia="Times New Roman"/>
          <w:lang w:val="fr-FR"/>
        </w:rPr>
        <w:t>us</w:t>
      </w:r>
      <w:proofErr w:type="spellEnd"/>
      <w:r w:rsidRPr="00466CE7">
        <w:rPr>
          <w:rFonts w:eastAsia="Times New Roman"/>
          <w:lang w:val="fr-FR"/>
        </w:rPr>
        <w:t xml:space="preserve"> </w:t>
      </w:r>
      <w:r>
        <w:rPr>
          <w:rFonts w:eastAsia="Times New Roman"/>
          <w:lang w:val="fr-FR"/>
        </w:rPr>
        <w:t xml:space="preserve">(région </w:t>
      </w:r>
      <w:r w:rsidRPr="00466CE7">
        <w:rPr>
          <w:rFonts w:eastAsia="Times New Roman"/>
          <w:lang w:val="fr-FR"/>
        </w:rPr>
        <w:t xml:space="preserve">de </w:t>
      </w:r>
      <w:proofErr w:type="spellStart"/>
      <w:r>
        <w:rPr>
          <w:rFonts w:eastAsia="Times New Roman"/>
          <w:lang w:val="fr-FR"/>
        </w:rPr>
        <w:t>Tc</w:t>
      </w:r>
      <w:r w:rsidRPr="00466CE7">
        <w:rPr>
          <w:rFonts w:eastAsia="Times New Roman"/>
          <w:lang w:val="fr-FR"/>
        </w:rPr>
        <w:t>h</w:t>
      </w:r>
      <w:r>
        <w:rPr>
          <w:rFonts w:eastAsia="Times New Roman"/>
          <w:lang w:val="fr-FR"/>
        </w:rPr>
        <w:t>o</w:t>
      </w:r>
      <w:r w:rsidRPr="00466CE7">
        <w:rPr>
          <w:rFonts w:eastAsia="Times New Roman"/>
          <w:lang w:val="fr-FR"/>
        </w:rPr>
        <w:t>u</w:t>
      </w:r>
      <w:r>
        <w:rPr>
          <w:rFonts w:eastAsia="Times New Roman"/>
          <w:lang w:val="fr-FR"/>
        </w:rPr>
        <w:t>ï</w:t>
      </w:r>
      <w:proofErr w:type="spellEnd"/>
      <w:r>
        <w:rPr>
          <w:rFonts w:eastAsia="Times New Roman"/>
          <w:lang w:val="fr-FR"/>
        </w:rPr>
        <w:t>)</w:t>
      </w:r>
      <w:r w:rsidRPr="00466CE7">
        <w:rPr>
          <w:rFonts w:eastAsia="Times New Roman"/>
          <w:lang w:val="fr-FR"/>
        </w:rPr>
        <w:t xml:space="preserve">. </w:t>
      </w:r>
      <w:r>
        <w:rPr>
          <w:rFonts w:eastAsia="Times New Roman"/>
          <w:lang w:val="fr-FR"/>
        </w:rPr>
        <w:t xml:space="preserve">Les plans des bâtiments et des équipements ainsi que </w:t>
      </w:r>
      <w:r w:rsidRPr="00466CE7">
        <w:rPr>
          <w:rFonts w:eastAsia="Times New Roman"/>
          <w:lang w:val="fr-FR"/>
        </w:rPr>
        <w:t xml:space="preserve">les spécifications techniques pour la construction </w:t>
      </w:r>
      <w:r>
        <w:rPr>
          <w:rFonts w:eastAsia="Times New Roman"/>
          <w:lang w:val="fr-FR"/>
        </w:rPr>
        <w:t xml:space="preserve">du nouveau </w:t>
      </w:r>
      <w:r w:rsidRPr="00466CE7">
        <w:rPr>
          <w:rFonts w:eastAsia="Times New Roman"/>
          <w:lang w:val="fr-FR"/>
        </w:rPr>
        <w:t>centre de détention provisoire</w:t>
      </w:r>
      <w:r w:rsidRPr="000320E1">
        <w:rPr>
          <w:rFonts w:eastAsia="Times New Roman"/>
          <w:lang w:val="fr-FR"/>
        </w:rPr>
        <w:t xml:space="preserve"> </w:t>
      </w:r>
      <w:r w:rsidRPr="00466CE7">
        <w:rPr>
          <w:rFonts w:eastAsia="Times New Roman"/>
          <w:lang w:val="fr-FR"/>
        </w:rPr>
        <w:t xml:space="preserve">sont </w:t>
      </w:r>
      <w:r>
        <w:rPr>
          <w:rFonts w:eastAsia="Times New Roman"/>
          <w:lang w:val="fr-FR"/>
        </w:rPr>
        <w:t>en cours d’élaboration</w:t>
      </w:r>
      <w:r w:rsidRPr="00466CE7">
        <w:rPr>
          <w:rFonts w:eastAsia="Times New Roman"/>
          <w:lang w:val="fr-FR"/>
        </w:rPr>
        <w:t>.</w:t>
      </w:r>
    </w:p>
    <w:p w14:paraId="7E09B56A" w14:textId="59D1529F" w:rsidR="009C6834" w:rsidRPr="00466CE7" w:rsidRDefault="009C6834" w:rsidP="009C6834">
      <w:pPr>
        <w:pStyle w:val="SingleTxtG"/>
        <w:rPr>
          <w:rFonts w:eastAsia="Times New Roman"/>
          <w:lang w:val="fr-FR"/>
        </w:rPr>
      </w:pPr>
      <w:r w:rsidRPr="00466CE7">
        <w:rPr>
          <w:rFonts w:eastAsia="Times New Roman"/>
          <w:lang w:val="fr-FR"/>
        </w:rPr>
        <w:t>277.</w:t>
      </w:r>
      <w:r w:rsidRPr="00466CE7">
        <w:rPr>
          <w:rFonts w:eastAsia="Times New Roman"/>
          <w:lang w:val="fr-FR"/>
        </w:rPr>
        <w:tab/>
        <w:t>Dans le cadre de la coopération avec la mission du Comité international de la Croix</w:t>
      </w:r>
      <w:r w:rsidR="00426750">
        <w:rPr>
          <w:rFonts w:eastAsia="Times New Roman"/>
          <w:lang w:val="fr-FR"/>
        </w:rPr>
        <w:noBreakHyphen/>
      </w:r>
      <w:r w:rsidRPr="00466CE7">
        <w:rPr>
          <w:rFonts w:eastAsia="Times New Roman"/>
          <w:lang w:val="fr-FR"/>
        </w:rPr>
        <w:t xml:space="preserve">Rouge, </w:t>
      </w:r>
      <w:r>
        <w:rPr>
          <w:rFonts w:eastAsia="Times New Roman"/>
          <w:lang w:val="fr-FR"/>
        </w:rPr>
        <w:t xml:space="preserve">de nouveaux bâtiments ont été construits dans la partie médicale </w:t>
      </w:r>
      <w:r w:rsidRPr="00466CE7">
        <w:rPr>
          <w:rFonts w:eastAsia="Times New Roman"/>
          <w:lang w:val="fr-FR"/>
        </w:rPr>
        <w:t>de l</w:t>
      </w:r>
      <w:r>
        <w:rPr>
          <w:rFonts w:eastAsia="Times New Roman"/>
          <w:lang w:val="fr-FR"/>
        </w:rPr>
        <w:t xml:space="preserve">’établissement </w:t>
      </w:r>
      <w:r w:rsidRPr="00466CE7">
        <w:rPr>
          <w:rFonts w:eastAsia="Times New Roman"/>
          <w:lang w:val="fr-FR"/>
        </w:rPr>
        <w:t>n</w:t>
      </w:r>
      <w:r w:rsidR="00426750" w:rsidRPr="00426750">
        <w:rPr>
          <w:rFonts w:eastAsia="Times New Roman"/>
          <w:vertAlign w:val="superscript"/>
          <w:lang w:val="fr-FR"/>
        </w:rPr>
        <w:t>o</w:t>
      </w:r>
      <w:r w:rsidR="00426750">
        <w:rPr>
          <w:rFonts w:eastAsia="Times New Roman"/>
          <w:lang w:val="fr-FR"/>
        </w:rPr>
        <w:t> </w:t>
      </w:r>
      <w:r w:rsidRPr="00466CE7">
        <w:rPr>
          <w:rFonts w:eastAsia="Times New Roman"/>
          <w:lang w:val="fr-FR"/>
        </w:rPr>
        <w:t>2.</w:t>
      </w:r>
    </w:p>
    <w:p w14:paraId="55818CC3" w14:textId="2C0344F5" w:rsidR="009C6834" w:rsidRPr="00466CE7" w:rsidRDefault="009C6834" w:rsidP="009C6834">
      <w:pPr>
        <w:pStyle w:val="SingleTxtG"/>
        <w:rPr>
          <w:rFonts w:eastAsia="Times New Roman"/>
          <w:lang w:val="fr-FR"/>
        </w:rPr>
      </w:pPr>
      <w:r w:rsidRPr="00466CE7">
        <w:rPr>
          <w:rFonts w:eastAsia="Times New Roman"/>
          <w:lang w:val="fr-FR"/>
        </w:rPr>
        <w:t>278.</w:t>
      </w:r>
      <w:r w:rsidRPr="00466CE7">
        <w:rPr>
          <w:rFonts w:eastAsia="Times New Roman"/>
          <w:lang w:val="fr-FR"/>
        </w:rPr>
        <w:tab/>
      </w:r>
      <w:r>
        <w:rPr>
          <w:rFonts w:eastAsia="Times New Roman"/>
          <w:lang w:val="fr-FR"/>
        </w:rPr>
        <w:t xml:space="preserve">Dans le cadre de la coopération avec </w:t>
      </w:r>
      <w:r w:rsidRPr="00466CE7">
        <w:rPr>
          <w:rFonts w:eastAsia="Times New Roman"/>
          <w:lang w:val="fr-FR"/>
        </w:rPr>
        <w:t>l</w:t>
      </w:r>
      <w:r>
        <w:rPr>
          <w:rFonts w:eastAsia="Times New Roman"/>
          <w:lang w:val="fr-FR"/>
        </w:rPr>
        <w:t>’</w:t>
      </w:r>
      <w:r w:rsidRPr="00466CE7">
        <w:rPr>
          <w:rFonts w:eastAsia="Times New Roman"/>
          <w:lang w:val="fr-FR"/>
        </w:rPr>
        <w:t>O</w:t>
      </w:r>
      <w:r>
        <w:rPr>
          <w:rFonts w:eastAsia="Times New Roman"/>
          <w:lang w:val="fr-FR"/>
        </w:rPr>
        <w:t>ffice des Nations Unies contre la drogue et le crime (O</w:t>
      </w:r>
      <w:r w:rsidRPr="00466CE7">
        <w:rPr>
          <w:rFonts w:eastAsia="Times New Roman"/>
          <w:lang w:val="fr-FR"/>
        </w:rPr>
        <w:t>NUDC</w:t>
      </w:r>
      <w:r>
        <w:rPr>
          <w:rFonts w:eastAsia="Times New Roman"/>
          <w:lang w:val="fr-FR"/>
        </w:rPr>
        <w:t>)</w:t>
      </w:r>
      <w:r w:rsidRPr="00466CE7">
        <w:rPr>
          <w:rFonts w:eastAsia="Times New Roman"/>
          <w:lang w:val="fr-FR"/>
        </w:rPr>
        <w:t xml:space="preserve">, </w:t>
      </w:r>
      <w:r>
        <w:rPr>
          <w:rFonts w:eastAsia="Times New Roman"/>
          <w:lang w:val="fr-FR"/>
        </w:rPr>
        <w:t xml:space="preserve">les travaux de </w:t>
      </w:r>
      <w:r w:rsidRPr="00466CE7">
        <w:rPr>
          <w:rFonts w:eastAsia="Times New Roman"/>
          <w:lang w:val="fr-FR"/>
        </w:rPr>
        <w:t xml:space="preserve">rénovation de la boulangerie, </w:t>
      </w:r>
      <w:r>
        <w:rPr>
          <w:rFonts w:eastAsia="Times New Roman"/>
          <w:lang w:val="fr-FR"/>
        </w:rPr>
        <w:t xml:space="preserve">de </w:t>
      </w:r>
      <w:r w:rsidRPr="00466CE7">
        <w:rPr>
          <w:rFonts w:eastAsia="Times New Roman"/>
          <w:lang w:val="fr-FR"/>
        </w:rPr>
        <w:t>création d</w:t>
      </w:r>
      <w:r>
        <w:rPr>
          <w:rFonts w:eastAsia="Times New Roman"/>
          <w:lang w:val="fr-FR"/>
        </w:rPr>
        <w:t>’</w:t>
      </w:r>
      <w:r w:rsidRPr="00466CE7">
        <w:rPr>
          <w:rFonts w:eastAsia="Times New Roman"/>
          <w:lang w:val="fr-FR"/>
        </w:rPr>
        <w:t xml:space="preserve">un atelier de </w:t>
      </w:r>
      <w:r>
        <w:rPr>
          <w:rFonts w:eastAsia="Times New Roman"/>
          <w:lang w:val="fr-FR"/>
        </w:rPr>
        <w:t xml:space="preserve">cordonnerie </w:t>
      </w:r>
      <w:r w:rsidRPr="00466CE7">
        <w:rPr>
          <w:rFonts w:eastAsia="Times New Roman"/>
          <w:lang w:val="fr-FR"/>
        </w:rPr>
        <w:t xml:space="preserve">et </w:t>
      </w:r>
      <w:r>
        <w:rPr>
          <w:rFonts w:eastAsia="Times New Roman"/>
          <w:lang w:val="fr-FR"/>
        </w:rPr>
        <w:t xml:space="preserve">d’installation </w:t>
      </w:r>
      <w:r w:rsidRPr="00466CE7">
        <w:rPr>
          <w:rFonts w:eastAsia="Times New Roman"/>
          <w:lang w:val="fr-FR"/>
        </w:rPr>
        <w:t>d</w:t>
      </w:r>
      <w:r>
        <w:rPr>
          <w:rFonts w:eastAsia="Times New Roman"/>
          <w:lang w:val="fr-FR"/>
        </w:rPr>
        <w:t>’</w:t>
      </w:r>
      <w:r w:rsidRPr="00466CE7">
        <w:rPr>
          <w:rFonts w:eastAsia="Times New Roman"/>
          <w:lang w:val="fr-FR"/>
        </w:rPr>
        <w:t>un atelier de couture dans l</w:t>
      </w:r>
      <w:r>
        <w:rPr>
          <w:rFonts w:eastAsia="Times New Roman"/>
          <w:lang w:val="fr-FR"/>
        </w:rPr>
        <w:t xml:space="preserve">’établissement </w:t>
      </w:r>
      <w:r w:rsidRPr="00466CE7">
        <w:rPr>
          <w:rFonts w:eastAsia="Times New Roman"/>
          <w:lang w:val="fr-FR"/>
        </w:rPr>
        <w:t>n</w:t>
      </w:r>
      <w:r w:rsidR="00426750" w:rsidRPr="00426750">
        <w:rPr>
          <w:rFonts w:eastAsia="Times New Roman"/>
          <w:vertAlign w:val="superscript"/>
          <w:lang w:val="fr-FR"/>
        </w:rPr>
        <w:t>o</w:t>
      </w:r>
      <w:r w:rsidR="00426750">
        <w:rPr>
          <w:rFonts w:eastAsia="Times New Roman"/>
          <w:lang w:val="fr-FR"/>
        </w:rPr>
        <w:t> </w:t>
      </w:r>
      <w:r w:rsidRPr="00466CE7">
        <w:rPr>
          <w:rFonts w:eastAsia="Times New Roman"/>
          <w:lang w:val="fr-FR"/>
        </w:rPr>
        <w:t>3 ont été achevés.</w:t>
      </w:r>
    </w:p>
    <w:p w14:paraId="6601FE69" w14:textId="0BC2FF1A" w:rsidR="009C6834" w:rsidRPr="00466CE7" w:rsidRDefault="009C6834" w:rsidP="009C6834">
      <w:pPr>
        <w:pStyle w:val="SingleTxtG"/>
        <w:rPr>
          <w:rFonts w:eastAsia="Times New Roman"/>
          <w:lang w:val="fr-FR"/>
        </w:rPr>
      </w:pPr>
      <w:r w:rsidRPr="00466CE7">
        <w:rPr>
          <w:rFonts w:eastAsia="Times New Roman"/>
          <w:lang w:val="fr-FR"/>
        </w:rPr>
        <w:t>279.</w:t>
      </w:r>
      <w:r w:rsidRPr="00466CE7">
        <w:rPr>
          <w:rFonts w:eastAsia="Times New Roman"/>
          <w:lang w:val="fr-FR"/>
        </w:rPr>
        <w:tab/>
      </w:r>
      <w:r>
        <w:rPr>
          <w:rFonts w:eastAsia="Times New Roman"/>
          <w:lang w:val="fr-FR"/>
        </w:rPr>
        <w:t xml:space="preserve">Conformément au </w:t>
      </w:r>
      <w:r w:rsidRPr="00466CE7">
        <w:rPr>
          <w:rFonts w:eastAsia="Times New Roman"/>
          <w:lang w:val="fr-FR"/>
        </w:rPr>
        <w:t>paragraphe</w:t>
      </w:r>
      <w:r w:rsidR="00426750">
        <w:rPr>
          <w:rFonts w:eastAsia="Times New Roman"/>
          <w:lang w:val="fr-FR"/>
        </w:rPr>
        <w:t> </w:t>
      </w:r>
      <w:r w:rsidRPr="00466CE7">
        <w:rPr>
          <w:rFonts w:eastAsia="Times New Roman"/>
          <w:lang w:val="fr-FR"/>
        </w:rPr>
        <w:t xml:space="preserve">29 de la liste des catégories de citoyens ayant droit à des soins médicaux gratuits </w:t>
      </w:r>
      <w:r>
        <w:rPr>
          <w:rFonts w:eastAsia="Times New Roman"/>
          <w:lang w:val="fr-FR"/>
        </w:rPr>
        <w:t>ou à tarif réduit</w:t>
      </w:r>
      <w:r w:rsidRPr="00466CE7">
        <w:rPr>
          <w:rFonts w:eastAsia="Times New Roman"/>
          <w:lang w:val="fr-FR"/>
        </w:rPr>
        <w:t xml:space="preserve"> </w:t>
      </w:r>
      <w:r>
        <w:rPr>
          <w:rFonts w:eastAsia="Times New Roman"/>
          <w:lang w:val="fr-FR"/>
        </w:rPr>
        <w:t xml:space="preserve">au titre </w:t>
      </w:r>
      <w:r w:rsidRPr="00466CE7">
        <w:rPr>
          <w:rFonts w:eastAsia="Times New Roman"/>
          <w:lang w:val="fr-FR"/>
        </w:rPr>
        <w:t>du programme de garanties de l</w:t>
      </w:r>
      <w:r>
        <w:rPr>
          <w:rFonts w:eastAsia="Times New Roman"/>
          <w:lang w:val="fr-FR"/>
        </w:rPr>
        <w:t>’</w:t>
      </w:r>
      <w:r w:rsidRPr="00466CE7">
        <w:rPr>
          <w:rFonts w:eastAsia="Times New Roman"/>
          <w:lang w:val="fr-FR"/>
        </w:rPr>
        <w:t>État</w:t>
      </w:r>
      <w:r>
        <w:rPr>
          <w:rFonts w:eastAsia="Times New Roman"/>
          <w:lang w:val="fr-FR"/>
        </w:rPr>
        <w:t xml:space="preserve">, font partie de ces catégories les </w:t>
      </w:r>
      <w:r w:rsidRPr="00466CE7">
        <w:rPr>
          <w:rFonts w:eastAsia="Times New Roman"/>
          <w:lang w:val="fr-FR"/>
        </w:rPr>
        <w:t xml:space="preserve">personnes </w:t>
      </w:r>
      <w:r>
        <w:rPr>
          <w:rFonts w:eastAsia="Times New Roman"/>
          <w:lang w:val="fr-FR"/>
        </w:rPr>
        <w:t>visées par une enquête préliminaire</w:t>
      </w:r>
      <w:r w:rsidRPr="00466CE7">
        <w:rPr>
          <w:rFonts w:eastAsia="Times New Roman"/>
          <w:lang w:val="fr-FR"/>
        </w:rPr>
        <w:t xml:space="preserve"> </w:t>
      </w:r>
      <w:r>
        <w:rPr>
          <w:rFonts w:eastAsia="Times New Roman"/>
          <w:lang w:val="fr-FR"/>
        </w:rPr>
        <w:t>et l</w:t>
      </w:r>
      <w:r w:rsidRPr="00466CE7">
        <w:rPr>
          <w:rFonts w:eastAsia="Times New Roman"/>
          <w:lang w:val="fr-FR"/>
        </w:rPr>
        <w:t>es personnes purgeant une peine</w:t>
      </w:r>
      <w:r>
        <w:rPr>
          <w:rFonts w:eastAsia="Times New Roman"/>
          <w:lang w:val="fr-FR"/>
        </w:rPr>
        <w:t xml:space="preserve"> qui se trouvent dans un état critique et nécessitent des soins ne pouvant pas leur être dispensés </w:t>
      </w:r>
      <w:r w:rsidRPr="00466CE7">
        <w:rPr>
          <w:rFonts w:eastAsia="Times New Roman"/>
          <w:lang w:val="fr-FR"/>
        </w:rPr>
        <w:t xml:space="preserve">dans les services médicaux du système pénitentiaire, </w:t>
      </w:r>
      <w:r>
        <w:rPr>
          <w:rFonts w:eastAsia="Times New Roman"/>
          <w:lang w:val="fr-FR"/>
        </w:rPr>
        <w:t xml:space="preserve">les maisons d’arrêt relevant </w:t>
      </w:r>
      <w:r w:rsidRPr="00466CE7">
        <w:rPr>
          <w:rFonts w:eastAsia="Times New Roman"/>
          <w:lang w:val="fr-FR"/>
        </w:rPr>
        <w:t xml:space="preserve">du Comité </w:t>
      </w:r>
      <w:r>
        <w:rPr>
          <w:rFonts w:eastAsia="Times New Roman"/>
          <w:lang w:val="fr-FR"/>
        </w:rPr>
        <w:t xml:space="preserve">d’État pour la sécurité nationale </w:t>
      </w:r>
      <w:r w:rsidRPr="00466CE7">
        <w:rPr>
          <w:rFonts w:eastAsia="Times New Roman"/>
          <w:lang w:val="fr-FR"/>
        </w:rPr>
        <w:t xml:space="preserve">ou </w:t>
      </w:r>
      <w:r>
        <w:rPr>
          <w:rFonts w:eastAsia="Times New Roman"/>
          <w:lang w:val="fr-FR"/>
        </w:rPr>
        <w:t>l</w:t>
      </w:r>
      <w:r w:rsidRPr="00466CE7">
        <w:rPr>
          <w:rFonts w:eastAsia="Times New Roman"/>
          <w:lang w:val="fr-FR"/>
        </w:rPr>
        <w:t xml:space="preserve">es centres de détention temporaire relevant du </w:t>
      </w:r>
      <w:r>
        <w:rPr>
          <w:rFonts w:eastAsia="Times New Roman"/>
          <w:lang w:val="fr-FR"/>
        </w:rPr>
        <w:t>M</w:t>
      </w:r>
      <w:r w:rsidRPr="00466CE7">
        <w:rPr>
          <w:rFonts w:eastAsia="Times New Roman"/>
          <w:lang w:val="fr-FR"/>
        </w:rPr>
        <w:t>inistère de l</w:t>
      </w:r>
      <w:r>
        <w:rPr>
          <w:rFonts w:eastAsia="Times New Roman"/>
          <w:lang w:val="fr-FR"/>
        </w:rPr>
        <w:t>’i</w:t>
      </w:r>
      <w:r w:rsidRPr="00466CE7">
        <w:rPr>
          <w:rFonts w:eastAsia="Times New Roman"/>
          <w:lang w:val="fr-FR"/>
        </w:rPr>
        <w:t>ntérieur.</w:t>
      </w:r>
    </w:p>
    <w:p w14:paraId="7589FFB9" w14:textId="4EE0D4F3" w:rsidR="009C6834" w:rsidRDefault="009C6834" w:rsidP="009C6834">
      <w:pPr>
        <w:pStyle w:val="SingleTxtG"/>
        <w:rPr>
          <w:rFonts w:eastAsia="Times New Roman"/>
          <w:lang w:val="fr-FR"/>
        </w:rPr>
      </w:pPr>
      <w:r>
        <w:rPr>
          <w:rFonts w:eastAsia="Times New Roman"/>
          <w:lang w:val="fr-FR"/>
        </w:rPr>
        <w:t>280.</w:t>
      </w:r>
      <w:r>
        <w:rPr>
          <w:rFonts w:eastAsia="Times New Roman"/>
          <w:lang w:val="fr-FR"/>
        </w:rPr>
        <w:tab/>
        <w:t xml:space="preserve">Conformément à la décision du </w:t>
      </w:r>
      <w:r w:rsidR="00224CCB">
        <w:rPr>
          <w:rFonts w:eastAsia="Times New Roman"/>
          <w:lang w:val="fr-FR"/>
        </w:rPr>
        <w:t xml:space="preserve">Gouvernement </w:t>
      </w:r>
      <w:r>
        <w:rPr>
          <w:rFonts w:eastAsia="Times New Roman"/>
          <w:lang w:val="fr-FR"/>
        </w:rPr>
        <w:t xml:space="preserve">portant approbation des normes relatives aux prestations journalières pour les </w:t>
      </w:r>
      <w:r w:rsidRPr="00466CE7">
        <w:rPr>
          <w:rFonts w:eastAsia="Times New Roman"/>
          <w:lang w:val="fr-FR"/>
        </w:rPr>
        <w:t xml:space="preserve">personnes condamnées à </w:t>
      </w:r>
      <w:r>
        <w:rPr>
          <w:rFonts w:eastAsia="Times New Roman"/>
          <w:lang w:val="fr-FR"/>
        </w:rPr>
        <w:t>une peine de privation de liberté et l</w:t>
      </w:r>
      <w:r w:rsidRPr="00466CE7">
        <w:rPr>
          <w:rFonts w:eastAsia="Times New Roman"/>
          <w:lang w:val="fr-FR"/>
        </w:rPr>
        <w:t xml:space="preserve">es </w:t>
      </w:r>
      <w:r>
        <w:rPr>
          <w:rFonts w:eastAsia="Times New Roman"/>
          <w:lang w:val="fr-FR"/>
        </w:rPr>
        <w:t xml:space="preserve">prévenus placés </w:t>
      </w:r>
      <w:r w:rsidRPr="00466CE7">
        <w:rPr>
          <w:rFonts w:eastAsia="Times New Roman"/>
          <w:lang w:val="fr-FR"/>
        </w:rPr>
        <w:t xml:space="preserve">dans les centres de détention provisoire du système pénitentiaire (2008), au cours de la période 2015-2020, les condamnés et les prévenus </w:t>
      </w:r>
      <w:r>
        <w:rPr>
          <w:rFonts w:eastAsia="Times New Roman"/>
          <w:lang w:val="fr-FR"/>
        </w:rPr>
        <w:t xml:space="preserve">se trouvant dans des établissements de détention </w:t>
      </w:r>
      <w:r w:rsidRPr="00466CE7">
        <w:rPr>
          <w:rFonts w:eastAsia="Times New Roman"/>
          <w:lang w:val="fr-FR"/>
        </w:rPr>
        <w:t xml:space="preserve">ont </w:t>
      </w:r>
      <w:r>
        <w:rPr>
          <w:rFonts w:eastAsia="Times New Roman"/>
          <w:lang w:val="fr-FR"/>
        </w:rPr>
        <w:t xml:space="preserve">reçu une ration alimentaire comportant </w:t>
      </w:r>
      <w:r w:rsidRPr="00466CE7">
        <w:rPr>
          <w:rFonts w:eastAsia="Times New Roman"/>
          <w:lang w:val="fr-FR"/>
        </w:rPr>
        <w:t>19</w:t>
      </w:r>
      <w:r w:rsidR="00426750">
        <w:rPr>
          <w:rFonts w:eastAsia="Times New Roman"/>
          <w:lang w:val="fr-FR"/>
        </w:rPr>
        <w:t> </w:t>
      </w:r>
      <w:r w:rsidRPr="00466CE7">
        <w:rPr>
          <w:rFonts w:eastAsia="Times New Roman"/>
          <w:lang w:val="fr-FR"/>
        </w:rPr>
        <w:t xml:space="preserve">articles </w:t>
      </w:r>
      <w:r>
        <w:rPr>
          <w:rFonts w:eastAsia="Times New Roman"/>
          <w:lang w:val="fr-FR"/>
        </w:rPr>
        <w:t>entièrement financés par le budget de l’État</w:t>
      </w:r>
      <w:r w:rsidR="00426750">
        <w:rPr>
          <w:rFonts w:eastAsia="Times New Roman"/>
          <w:lang w:val="fr-FR"/>
        </w:rPr>
        <w:t xml:space="preserve"> </w:t>
      </w:r>
      <w:r>
        <w:rPr>
          <w:rFonts w:eastAsia="Times New Roman"/>
          <w:lang w:val="fr-FR"/>
        </w:rPr>
        <w:t>(6</w:t>
      </w:r>
      <w:r w:rsidR="00426750">
        <w:rPr>
          <w:rFonts w:eastAsia="Times New Roman"/>
          <w:lang w:val="fr-FR"/>
        </w:rPr>
        <w:t> </w:t>
      </w:r>
      <w:r>
        <w:rPr>
          <w:rFonts w:eastAsia="Times New Roman"/>
          <w:lang w:val="fr-FR"/>
        </w:rPr>
        <w:t>articles</w:t>
      </w:r>
      <w:r w:rsidRPr="00466CE7">
        <w:rPr>
          <w:rFonts w:eastAsia="Times New Roman"/>
          <w:lang w:val="fr-FR"/>
        </w:rPr>
        <w:t xml:space="preserve"> d</w:t>
      </w:r>
      <w:r>
        <w:rPr>
          <w:rFonts w:eastAsia="Times New Roman"/>
          <w:lang w:val="fr-FR"/>
        </w:rPr>
        <w:t xml:space="preserve">ans les établissements de soins), </w:t>
      </w:r>
      <w:r w:rsidRPr="00466CE7">
        <w:rPr>
          <w:rFonts w:eastAsia="Times New Roman"/>
          <w:lang w:val="fr-FR"/>
        </w:rPr>
        <w:t>c</w:t>
      </w:r>
      <w:r>
        <w:rPr>
          <w:rFonts w:eastAsia="Times New Roman"/>
          <w:lang w:val="fr-FR"/>
        </w:rPr>
        <w:t>’</w:t>
      </w:r>
      <w:r w:rsidRPr="00466CE7">
        <w:rPr>
          <w:rFonts w:eastAsia="Times New Roman"/>
          <w:lang w:val="fr-FR"/>
        </w:rPr>
        <w:t xml:space="preserve">est-à-dire que les condamnés et les prévenus reçoivent </w:t>
      </w:r>
      <w:r>
        <w:rPr>
          <w:rFonts w:eastAsia="Times New Roman"/>
          <w:lang w:val="fr-FR"/>
        </w:rPr>
        <w:t xml:space="preserve">tous les produits </w:t>
      </w:r>
      <w:r w:rsidRPr="00466CE7">
        <w:rPr>
          <w:rFonts w:eastAsia="Times New Roman"/>
          <w:lang w:val="fr-FR"/>
        </w:rPr>
        <w:t xml:space="preserve">alimentaires </w:t>
      </w:r>
      <w:r>
        <w:rPr>
          <w:rFonts w:eastAsia="Times New Roman"/>
          <w:lang w:val="fr-FR"/>
        </w:rPr>
        <w:t>prévus par le règlement.</w:t>
      </w:r>
    </w:p>
    <w:p w14:paraId="4A244688" w14:textId="21426609" w:rsidR="009C6834" w:rsidRDefault="009C6834" w:rsidP="00426750">
      <w:pPr>
        <w:pStyle w:val="SingleTxtG"/>
        <w:keepNext/>
        <w:rPr>
          <w:rFonts w:eastAsia="Times New Roman"/>
          <w:lang w:val="fr-FR"/>
        </w:rPr>
      </w:pPr>
      <w:r w:rsidRPr="00466CE7">
        <w:rPr>
          <w:rFonts w:eastAsia="Times New Roman"/>
          <w:lang w:val="fr-FR"/>
        </w:rPr>
        <w:t>281.</w:t>
      </w:r>
      <w:r w:rsidRPr="00466CE7">
        <w:rPr>
          <w:rFonts w:eastAsia="Times New Roman"/>
          <w:lang w:val="fr-FR"/>
        </w:rPr>
        <w:tab/>
        <w:t xml:space="preserve">Au cours de la période susmentionnée, </w:t>
      </w:r>
      <w:r>
        <w:rPr>
          <w:rFonts w:eastAsia="Times New Roman"/>
          <w:lang w:val="fr-FR"/>
        </w:rPr>
        <w:t>les dépenses d’alimentation par</w:t>
      </w:r>
      <w:r w:rsidRPr="00466CE7">
        <w:rPr>
          <w:rFonts w:eastAsia="Times New Roman"/>
          <w:lang w:val="fr-FR"/>
        </w:rPr>
        <w:t xml:space="preserve"> personne </w:t>
      </w:r>
      <w:r>
        <w:rPr>
          <w:rFonts w:eastAsia="Times New Roman"/>
          <w:lang w:val="fr-FR"/>
        </w:rPr>
        <w:t>s’établissaient comme suit :</w:t>
      </w:r>
    </w:p>
    <w:p w14:paraId="6CB29FA7" w14:textId="4909C975" w:rsidR="009C6834" w:rsidRPr="005D0263" w:rsidRDefault="00426750" w:rsidP="00426750">
      <w:pPr>
        <w:pStyle w:val="Bullet1G"/>
        <w:rPr>
          <w:lang w:val="fr-FR"/>
        </w:rPr>
      </w:pPr>
      <w:r>
        <w:rPr>
          <w:lang w:val="fr-FR"/>
        </w:rPr>
        <w:t>D</w:t>
      </w:r>
      <w:r w:rsidRPr="005D0263">
        <w:rPr>
          <w:lang w:val="fr-FR"/>
        </w:rPr>
        <w:t xml:space="preserve">ans </w:t>
      </w:r>
      <w:r w:rsidR="009C6834" w:rsidRPr="005D0263">
        <w:rPr>
          <w:lang w:val="fr-FR"/>
        </w:rPr>
        <w:t>les</w:t>
      </w:r>
      <w:r w:rsidR="009C6834">
        <w:rPr>
          <w:lang w:val="fr-FR"/>
        </w:rPr>
        <w:t xml:space="preserve"> établissements </w:t>
      </w:r>
      <w:r w:rsidR="009C6834" w:rsidRPr="005D0263">
        <w:rPr>
          <w:lang w:val="fr-FR"/>
        </w:rPr>
        <w:t xml:space="preserve">de </w:t>
      </w:r>
      <w:r w:rsidR="009C6834">
        <w:rPr>
          <w:lang w:val="fr-FR"/>
        </w:rPr>
        <w:t xml:space="preserve">détention, </w:t>
      </w:r>
      <w:r w:rsidR="009C6834" w:rsidRPr="005D0263">
        <w:rPr>
          <w:lang w:val="fr-FR"/>
        </w:rPr>
        <w:t>90</w:t>
      </w:r>
      <w:r>
        <w:rPr>
          <w:lang w:val="fr-FR"/>
        </w:rPr>
        <w:t> </w:t>
      </w:r>
      <w:proofErr w:type="spellStart"/>
      <w:r w:rsidR="009C6834" w:rsidRPr="005D0263">
        <w:rPr>
          <w:lang w:val="fr-FR"/>
        </w:rPr>
        <w:t>soms</w:t>
      </w:r>
      <w:proofErr w:type="spellEnd"/>
      <w:r w:rsidR="009C6834">
        <w:rPr>
          <w:lang w:val="fr-FR"/>
        </w:rPr>
        <w:t xml:space="preserve"> (</w:t>
      </w:r>
      <w:r w:rsidR="009C6834" w:rsidRPr="005D0263">
        <w:rPr>
          <w:lang w:val="fr-FR"/>
        </w:rPr>
        <w:t>3</w:t>
      </w:r>
      <w:r>
        <w:rPr>
          <w:lang w:val="fr-FR"/>
        </w:rPr>
        <w:t> </w:t>
      </w:r>
      <w:r w:rsidR="009C6834" w:rsidRPr="005D0263">
        <w:rPr>
          <w:lang w:val="fr-FR"/>
        </w:rPr>
        <w:t>333</w:t>
      </w:r>
      <w:r>
        <w:rPr>
          <w:lang w:val="fr-FR"/>
        </w:rPr>
        <w:t> </w:t>
      </w:r>
      <w:r w:rsidR="009C6834" w:rsidRPr="005D0263">
        <w:rPr>
          <w:lang w:val="fr-FR"/>
        </w:rPr>
        <w:t>kcal</w:t>
      </w:r>
      <w:r w:rsidR="009C6834">
        <w:rPr>
          <w:lang w:val="fr-FR"/>
        </w:rPr>
        <w:t>)</w:t>
      </w:r>
      <w:r>
        <w:rPr>
          <w:lang w:val="fr-FR"/>
        </w:rPr>
        <w:t> </w:t>
      </w:r>
      <w:r w:rsidR="009C6834" w:rsidRPr="005D0263">
        <w:rPr>
          <w:lang w:val="fr-FR"/>
        </w:rPr>
        <w:t xml:space="preserve">; </w:t>
      </w:r>
    </w:p>
    <w:p w14:paraId="1BA3B81D" w14:textId="02A28144" w:rsidR="009C6834" w:rsidRPr="005D0263" w:rsidRDefault="00426750" w:rsidP="00426750">
      <w:pPr>
        <w:pStyle w:val="Bullet1G"/>
        <w:rPr>
          <w:lang w:val="fr-FR"/>
        </w:rPr>
      </w:pPr>
      <w:r>
        <w:rPr>
          <w:lang w:val="fr-FR"/>
        </w:rPr>
        <w:t>D</w:t>
      </w:r>
      <w:r w:rsidRPr="005D0263">
        <w:rPr>
          <w:lang w:val="fr-FR"/>
        </w:rPr>
        <w:t xml:space="preserve">ans </w:t>
      </w:r>
      <w:r w:rsidR="009C6834">
        <w:rPr>
          <w:lang w:val="fr-FR"/>
        </w:rPr>
        <w:t xml:space="preserve">les établissements pour enfants, </w:t>
      </w:r>
      <w:r w:rsidR="009C6834" w:rsidRPr="005D0263">
        <w:rPr>
          <w:lang w:val="fr-FR"/>
        </w:rPr>
        <w:t>110</w:t>
      </w:r>
      <w:r>
        <w:rPr>
          <w:lang w:val="fr-FR"/>
        </w:rPr>
        <w:t> </w:t>
      </w:r>
      <w:proofErr w:type="spellStart"/>
      <w:r w:rsidR="009C6834" w:rsidRPr="005D0263">
        <w:rPr>
          <w:lang w:val="fr-FR"/>
        </w:rPr>
        <w:t>soms</w:t>
      </w:r>
      <w:proofErr w:type="spellEnd"/>
      <w:r w:rsidR="009C6834" w:rsidRPr="005D0263">
        <w:rPr>
          <w:lang w:val="fr-FR"/>
        </w:rPr>
        <w:t xml:space="preserve"> </w:t>
      </w:r>
      <w:r w:rsidR="009C6834">
        <w:rPr>
          <w:lang w:val="fr-FR"/>
        </w:rPr>
        <w:t>(</w:t>
      </w:r>
      <w:r w:rsidR="009C6834" w:rsidRPr="005D0263">
        <w:rPr>
          <w:lang w:val="fr-FR"/>
        </w:rPr>
        <w:t>3</w:t>
      </w:r>
      <w:r>
        <w:rPr>
          <w:lang w:val="fr-FR"/>
        </w:rPr>
        <w:t> </w:t>
      </w:r>
      <w:r w:rsidR="009C6834" w:rsidRPr="005D0263">
        <w:rPr>
          <w:lang w:val="fr-FR"/>
        </w:rPr>
        <w:t>685</w:t>
      </w:r>
      <w:r>
        <w:rPr>
          <w:lang w:val="fr-FR"/>
        </w:rPr>
        <w:t> </w:t>
      </w:r>
      <w:r w:rsidR="009C6834" w:rsidRPr="005D0263">
        <w:rPr>
          <w:lang w:val="fr-FR"/>
        </w:rPr>
        <w:t>kcal</w:t>
      </w:r>
      <w:r w:rsidR="009C6834">
        <w:rPr>
          <w:lang w:val="fr-FR"/>
        </w:rPr>
        <w:t>)</w:t>
      </w:r>
      <w:r>
        <w:rPr>
          <w:lang w:val="fr-FR"/>
        </w:rPr>
        <w:t> </w:t>
      </w:r>
      <w:r w:rsidR="009C6834" w:rsidRPr="005D0263">
        <w:rPr>
          <w:lang w:val="fr-FR"/>
        </w:rPr>
        <w:t>;</w:t>
      </w:r>
    </w:p>
    <w:p w14:paraId="72DB007B" w14:textId="0A37D18D" w:rsidR="009C6834" w:rsidRPr="005D0263" w:rsidRDefault="00426750" w:rsidP="00426750">
      <w:pPr>
        <w:pStyle w:val="Bullet1G"/>
        <w:rPr>
          <w:lang w:val="fr-FR"/>
        </w:rPr>
      </w:pPr>
      <w:r>
        <w:rPr>
          <w:lang w:val="fr-FR"/>
        </w:rPr>
        <w:t>D</w:t>
      </w:r>
      <w:r w:rsidRPr="005D0263">
        <w:rPr>
          <w:lang w:val="fr-FR"/>
        </w:rPr>
        <w:t xml:space="preserve">ans </w:t>
      </w:r>
      <w:r w:rsidR="009C6834" w:rsidRPr="005D0263">
        <w:rPr>
          <w:lang w:val="fr-FR"/>
        </w:rPr>
        <w:t>les établissements de soins</w:t>
      </w:r>
      <w:r w:rsidR="009C6834">
        <w:rPr>
          <w:lang w:val="fr-FR"/>
        </w:rPr>
        <w:t> :</w:t>
      </w:r>
      <w:r w:rsidR="009C6834" w:rsidRPr="005D0263">
        <w:rPr>
          <w:lang w:val="fr-FR"/>
        </w:rPr>
        <w:t xml:space="preserve"> 120</w:t>
      </w:r>
      <w:r>
        <w:rPr>
          <w:lang w:val="fr-FR"/>
        </w:rPr>
        <w:t> </w:t>
      </w:r>
      <w:proofErr w:type="spellStart"/>
      <w:r w:rsidR="009C6834" w:rsidRPr="005D0263">
        <w:rPr>
          <w:lang w:val="fr-FR"/>
        </w:rPr>
        <w:t>soms</w:t>
      </w:r>
      <w:proofErr w:type="spellEnd"/>
      <w:r w:rsidR="009C6834">
        <w:rPr>
          <w:lang w:val="fr-FR"/>
        </w:rPr>
        <w:t xml:space="preserve"> (</w:t>
      </w:r>
      <w:r w:rsidR="009C6834" w:rsidRPr="005D0263">
        <w:rPr>
          <w:lang w:val="fr-FR"/>
        </w:rPr>
        <w:t>4</w:t>
      </w:r>
      <w:r>
        <w:rPr>
          <w:lang w:val="fr-FR"/>
        </w:rPr>
        <w:t> </w:t>
      </w:r>
      <w:r w:rsidR="009C6834" w:rsidRPr="005D0263">
        <w:rPr>
          <w:lang w:val="fr-FR"/>
        </w:rPr>
        <w:t>510</w:t>
      </w:r>
      <w:r>
        <w:rPr>
          <w:lang w:val="fr-FR"/>
        </w:rPr>
        <w:t> </w:t>
      </w:r>
      <w:r w:rsidR="009C6834" w:rsidRPr="005D0263">
        <w:rPr>
          <w:lang w:val="fr-FR"/>
        </w:rPr>
        <w:t>kcal</w:t>
      </w:r>
      <w:r w:rsidR="009C6834">
        <w:rPr>
          <w:lang w:val="fr-FR"/>
        </w:rPr>
        <w:t>)</w:t>
      </w:r>
      <w:r w:rsidR="009C6834" w:rsidRPr="005D0263">
        <w:rPr>
          <w:lang w:val="fr-FR"/>
        </w:rPr>
        <w:t>.</w:t>
      </w:r>
    </w:p>
    <w:p w14:paraId="56AE679E" w14:textId="48FD64BB" w:rsidR="009C6834" w:rsidRPr="00466CE7" w:rsidRDefault="009C6834" w:rsidP="00E1792A">
      <w:pPr>
        <w:pStyle w:val="SingleTxtG"/>
        <w:rPr>
          <w:rFonts w:eastAsia="Times New Roman"/>
          <w:lang w:val="fr-FR"/>
        </w:rPr>
      </w:pPr>
      <w:r w:rsidRPr="00466CE7">
        <w:rPr>
          <w:rFonts w:eastAsia="Times New Roman"/>
          <w:lang w:val="fr-FR"/>
        </w:rPr>
        <w:t>282.</w:t>
      </w:r>
      <w:r w:rsidRPr="00466CE7">
        <w:rPr>
          <w:rFonts w:eastAsia="Times New Roman"/>
          <w:lang w:val="fr-FR"/>
        </w:rPr>
        <w:tab/>
        <w:t>L</w:t>
      </w:r>
      <w:r>
        <w:rPr>
          <w:rFonts w:eastAsia="Times New Roman"/>
          <w:lang w:val="fr-FR"/>
        </w:rPr>
        <w:t>’administration pénitentiaire</w:t>
      </w:r>
      <w:r w:rsidRPr="00466CE7">
        <w:rPr>
          <w:rFonts w:eastAsia="Times New Roman"/>
          <w:lang w:val="fr-FR"/>
        </w:rPr>
        <w:t>, en coopération avec des organisations internationales et non gouvernementales, a réalisé</w:t>
      </w:r>
      <w:r>
        <w:rPr>
          <w:rFonts w:eastAsia="Times New Roman"/>
          <w:lang w:val="fr-FR"/>
        </w:rPr>
        <w:t xml:space="preserve"> et réalise</w:t>
      </w:r>
      <w:r w:rsidRPr="00466CE7">
        <w:rPr>
          <w:rFonts w:eastAsia="Times New Roman"/>
          <w:lang w:val="fr-FR"/>
        </w:rPr>
        <w:t xml:space="preserve"> divers travaux de construction, </w:t>
      </w:r>
      <w:r>
        <w:rPr>
          <w:rFonts w:eastAsia="Times New Roman"/>
          <w:lang w:val="fr-FR"/>
        </w:rPr>
        <w:t xml:space="preserve">réfection </w:t>
      </w:r>
      <w:r w:rsidRPr="00466CE7">
        <w:rPr>
          <w:rFonts w:eastAsia="Times New Roman"/>
          <w:lang w:val="fr-FR"/>
        </w:rPr>
        <w:t xml:space="preserve">et autres dans neuf établissements pénitentiaires </w:t>
      </w:r>
      <w:r>
        <w:rPr>
          <w:rFonts w:eastAsia="Times New Roman"/>
          <w:lang w:val="fr-FR"/>
        </w:rPr>
        <w:t xml:space="preserve">du pays </w:t>
      </w:r>
      <w:r w:rsidRPr="00466CE7">
        <w:rPr>
          <w:rFonts w:eastAsia="Times New Roman"/>
          <w:lang w:val="fr-FR"/>
        </w:rPr>
        <w:t>(établissements n</w:t>
      </w:r>
      <w:r w:rsidR="00426750" w:rsidRPr="00426750">
        <w:rPr>
          <w:rFonts w:eastAsia="Times New Roman"/>
          <w:vertAlign w:val="superscript"/>
          <w:lang w:val="fr-FR"/>
        </w:rPr>
        <w:t>os</w:t>
      </w:r>
      <w:r w:rsidR="00426750">
        <w:rPr>
          <w:rFonts w:eastAsia="Times New Roman"/>
          <w:lang w:val="fr-FR"/>
        </w:rPr>
        <w:t> </w:t>
      </w:r>
      <w:r w:rsidRPr="00466CE7">
        <w:rPr>
          <w:rFonts w:eastAsia="Times New Roman"/>
          <w:lang w:val="fr-FR"/>
        </w:rPr>
        <w:t xml:space="preserve">1, 2, 3, 8, 10, 14, 19, 16 et 47) </w:t>
      </w:r>
      <w:r>
        <w:rPr>
          <w:rFonts w:eastAsia="Times New Roman"/>
          <w:lang w:val="fr-FR"/>
        </w:rPr>
        <w:t xml:space="preserve">et a mis en œuvre </w:t>
      </w:r>
      <w:r w:rsidRPr="00466CE7">
        <w:rPr>
          <w:rFonts w:eastAsia="Times New Roman"/>
          <w:lang w:val="fr-FR"/>
        </w:rPr>
        <w:t xml:space="preserve">les projets et programmes </w:t>
      </w:r>
      <w:r>
        <w:rPr>
          <w:rFonts w:eastAsia="Times New Roman"/>
          <w:lang w:val="fr-FR"/>
        </w:rPr>
        <w:t>ci-après</w:t>
      </w:r>
      <w:r w:rsidR="00426750">
        <w:rPr>
          <w:rFonts w:eastAsia="Times New Roman"/>
          <w:lang w:val="fr-FR"/>
        </w:rPr>
        <w:t>.</w:t>
      </w:r>
    </w:p>
    <w:p w14:paraId="7BC9F8D4" w14:textId="0644375C" w:rsidR="009C6834" w:rsidRPr="00466CE7" w:rsidRDefault="009C6834" w:rsidP="009C6834">
      <w:pPr>
        <w:pStyle w:val="SingleTxtG"/>
        <w:rPr>
          <w:rFonts w:eastAsia="Times New Roman"/>
          <w:lang w:val="fr-FR"/>
        </w:rPr>
      </w:pPr>
      <w:r w:rsidRPr="00466CE7">
        <w:rPr>
          <w:rFonts w:eastAsia="Times New Roman"/>
          <w:lang w:val="fr-FR"/>
        </w:rPr>
        <w:t>283.</w:t>
      </w:r>
      <w:r w:rsidRPr="00466CE7">
        <w:rPr>
          <w:rFonts w:eastAsia="Times New Roman"/>
          <w:lang w:val="fr-FR"/>
        </w:rPr>
        <w:tab/>
      </w:r>
      <w:r>
        <w:rPr>
          <w:rFonts w:eastAsia="Times New Roman"/>
          <w:lang w:val="fr-FR"/>
        </w:rPr>
        <w:t>Appui à</w:t>
      </w:r>
      <w:r w:rsidRPr="00466CE7">
        <w:rPr>
          <w:rFonts w:eastAsia="Times New Roman"/>
          <w:lang w:val="fr-FR"/>
        </w:rPr>
        <w:t xml:space="preserve"> la réforme du système pénitentiaire </w:t>
      </w:r>
      <w:r>
        <w:rPr>
          <w:rFonts w:eastAsia="Times New Roman"/>
          <w:lang w:val="fr-FR"/>
        </w:rPr>
        <w:t xml:space="preserve">dans la </w:t>
      </w:r>
      <w:r w:rsidRPr="00466CE7">
        <w:rPr>
          <w:rFonts w:eastAsia="Times New Roman"/>
          <w:lang w:val="fr-FR"/>
        </w:rPr>
        <w:t xml:space="preserve">République kirghize, </w:t>
      </w:r>
      <w:r>
        <w:rPr>
          <w:rFonts w:eastAsia="Times New Roman"/>
          <w:lang w:val="fr-FR"/>
        </w:rPr>
        <w:t xml:space="preserve">programme </w:t>
      </w:r>
      <w:r w:rsidRPr="00466CE7">
        <w:rPr>
          <w:rFonts w:eastAsia="Times New Roman"/>
          <w:lang w:val="fr-FR"/>
        </w:rPr>
        <w:t>mis en œuvre par l</w:t>
      </w:r>
      <w:r>
        <w:rPr>
          <w:rFonts w:eastAsia="Times New Roman"/>
          <w:lang w:val="fr-FR"/>
        </w:rPr>
        <w:t>’ONUDC</w:t>
      </w:r>
      <w:r w:rsidRPr="00466CE7">
        <w:rPr>
          <w:rFonts w:eastAsia="Times New Roman"/>
          <w:lang w:val="fr-FR"/>
        </w:rPr>
        <w:t xml:space="preserve"> et l</w:t>
      </w:r>
      <w:r>
        <w:rPr>
          <w:rFonts w:eastAsia="Times New Roman"/>
          <w:lang w:val="fr-FR"/>
        </w:rPr>
        <w:t>’</w:t>
      </w:r>
      <w:r w:rsidRPr="00466CE7">
        <w:rPr>
          <w:rFonts w:eastAsia="Times New Roman"/>
          <w:lang w:val="fr-FR"/>
        </w:rPr>
        <w:t xml:space="preserve">Union européenne (amélioration des conditions dans les établissements pénitentiaires, </w:t>
      </w:r>
      <w:r>
        <w:rPr>
          <w:rFonts w:eastAsia="Times New Roman"/>
          <w:lang w:val="fr-FR"/>
        </w:rPr>
        <w:t xml:space="preserve">amélioration </w:t>
      </w:r>
      <w:r w:rsidRPr="00466CE7">
        <w:rPr>
          <w:rFonts w:eastAsia="Times New Roman"/>
          <w:lang w:val="fr-FR"/>
        </w:rPr>
        <w:t>de la capacité de gestion du système pénitentiaire et développement de la production et de l</w:t>
      </w:r>
      <w:r>
        <w:rPr>
          <w:rFonts w:eastAsia="Times New Roman"/>
          <w:lang w:val="fr-FR"/>
        </w:rPr>
        <w:t>’</w:t>
      </w:r>
      <w:r w:rsidRPr="00466CE7">
        <w:rPr>
          <w:rFonts w:eastAsia="Times New Roman"/>
          <w:lang w:val="fr-FR"/>
        </w:rPr>
        <w:t>enseignement professionnel</w:t>
      </w:r>
      <w:r>
        <w:rPr>
          <w:rFonts w:eastAsia="Times New Roman"/>
          <w:lang w:val="fr-FR"/>
        </w:rPr>
        <w:t xml:space="preserve"> et technique</w:t>
      </w:r>
      <w:r w:rsidRPr="00466CE7">
        <w:rPr>
          <w:rFonts w:eastAsia="Times New Roman"/>
          <w:lang w:val="fr-FR"/>
        </w:rPr>
        <w:t>) (2010</w:t>
      </w:r>
      <w:r w:rsidR="00426750">
        <w:rPr>
          <w:rFonts w:eastAsia="Times New Roman"/>
          <w:lang w:val="fr-FR"/>
        </w:rPr>
        <w:noBreakHyphen/>
      </w:r>
      <w:r w:rsidRPr="00466CE7">
        <w:rPr>
          <w:rFonts w:eastAsia="Times New Roman"/>
          <w:lang w:val="fr-FR"/>
        </w:rPr>
        <w:t>2012).</w:t>
      </w:r>
    </w:p>
    <w:p w14:paraId="0E5BD474" w14:textId="0DD6987C" w:rsidR="009C6834" w:rsidRPr="00466CE7" w:rsidRDefault="009C6834" w:rsidP="009C6834">
      <w:pPr>
        <w:pStyle w:val="SingleTxtG"/>
        <w:rPr>
          <w:rFonts w:eastAsia="Times New Roman"/>
          <w:lang w:val="fr-FR"/>
        </w:rPr>
      </w:pPr>
      <w:r w:rsidRPr="00466CE7">
        <w:rPr>
          <w:rFonts w:eastAsia="Times New Roman"/>
          <w:lang w:val="fr-FR"/>
        </w:rPr>
        <w:t>284.</w:t>
      </w:r>
      <w:r w:rsidRPr="00466CE7">
        <w:rPr>
          <w:rFonts w:eastAsia="Times New Roman"/>
          <w:lang w:val="fr-FR"/>
        </w:rPr>
        <w:tab/>
      </w:r>
      <w:r>
        <w:rPr>
          <w:rFonts w:eastAsia="Times New Roman"/>
          <w:lang w:val="fr-FR"/>
        </w:rPr>
        <w:t xml:space="preserve">« La formation pour </w:t>
      </w:r>
      <w:r w:rsidRPr="00466CE7">
        <w:rPr>
          <w:rFonts w:eastAsia="Times New Roman"/>
          <w:lang w:val="fr-FR"/>
        </w:rPr>
        <w:t>adultes dans les établissements pénitentiaires</w:t>
      </w:r>
      <w:r>
        <w:rPr>
          <w:rFonts w:eastAsia="Times New Roman"/>
          <w:lang w:val="fr-FR"/>
        </w:rPr>
        <w:t> :</w:t>
      </w:r>
      <w:r w:rsidRPr="00466CE7">
        <w:rPr>
          <w:rFonts w:eastAsia="Times New Roman"/>
          <w:lang w:val="fr-FR"/>
        </w:rPr>
        <w:t xml:space="preserve"> une chance pour un avenir meilleur</w:t>
      </w:r>
      <w:r>
        <w:rPr>
          <w:rFonts w:eastAsia="Times New Roman"/>
          <w:lang w:val="fr-FR"/>
        </w:rPr>
        <w:t> »</w:t>
      </w:r>
      <w:r w:rsidRPr="00466CE7">
        <w:rPr>
          <w:rFonts w:eastAsia="Times New Roman"/>
          <w:lang w:val="fr-FR"/>
        </w:rPr>
        <w:t xml:space="preserve">, </w:t>
      </w:r>
      <w:r>
        <w:rPr>
          <w:rFonts w:eastAsia="Times New Roman"/>
          <w:lang w:val="fr-FR"/>
        </w:rPr>
        <w:t xml:space="preserve">programme </w:t>
      </w:r>
      <w:r w:rsidRPr="00466CE7">
        <w:rPr>
          <w:rFonts w:eastAsia="Times New Roman"/>
          <w:lang w:val="fr-FR"/>
        </w:rPr>
        <w:t>mis en œuvre par l</w:t>
      </w:r>
      <w:r>
        <w:rPr>
          <w:rFonts w:eastAsia="Times New Roman"/>
          <w:lang w:val="fr-FR"/>
        </w:rPr>
        <w:t>’</w:t>
      </w:r>
      <w:r w:rsidRPr="00466CE7">
        <w:rPr>
          <w:rFonts w:eastAsia="Times New Roman"/>
          <w:lang w:val="fr-FR"/>
        </w:rPr>
        <w:t>Institut de coopération internationale de la Confédération allemande pour l</w:t>
      </w:r>
      <w:r>
        <w:rPr>
          <w:rFonts w:eastAsia="Times New Roman"/>
          <w:lang w:val="fr-FR"/>
        </w:rPr>
        <w:t>’</w:t>
      </w:r>
      <w:r w:rsidRPr="00466CE7">
        <w:rPr>
          <w:rFonts w:eastAsia="Times New Roman"/>
          <w:lang w:val="fr-FR"/>
        </w:rPr>
        <w:t>éducation des adultes (</w:t>
      </w:r>
      <w:r>
        <w:rPr>
          <w:rFonts w:eastAsia="Times New Roman"/>
          <w:lang w:val="fr-FR"/>
        </w:rPr>
        <w:t xml:space="preserve">amélioration </w:t>
      </w:r>
      <w:r w:rsidRPr="00466CE7">
        <w:rPr>
          <w:rFonts w:eastAsia="Times New Roman"/>
          <w:lang w:val="fr-FR"/>
        </w:rPr>
        <w:t xml:space="preserve">et </w:t>
      </w:r>
      <w:r>
        <w:rPr>
          <w:rFonts w:eastAsia="Times New Roman"/>
          <w:lang w:val="fr-FR"/>
        </w:rPr>
        <w:t xml:space="preserve">remise en état </w:t>
      </w:r>
      <w:r w:rsidRPr="00466CE7">
        <w:rPr>
          <w:rFonts w:eastAsia="Times New Roman"/>
          <w:lang w:val="fr-FR"/>
        </w:rPr>
        <w:t>de l</w:t>
      </w:r>
      <w:r>
        <w:rPr>
          <w:rFonts w:eastAsia="Times New Roman"/>
          <w:lang w:val="fr-FR"/>
        </w:rPr>
        <w:t>’</w:t>
      </w:r>
      <w:r w:rsidRPr="00466CE7">
        <w:rPr>
          <w:rFonts w:eastAsia="Times New Roman"/>
          <w:lang w:val="fr-FR"/>
        </w:rPr>
        <w:t xml:space="preserve">infrastructure des écoles professionnelles </w:t>
      </w:r>
      <w:r>
        <w:rPr>
          <w:rFonts w:eastAsia="Times New Roman"/>
          <w:lang w:val="fr-FR"/>
        </w:rPr>
        <w:t xml:space="preserve">et techniques </w:t>
      </w:r>
      <w:r w:rsidRPr="00466CE7">
        <w:rPr>
          <w:rFonts w:eastAsia="Times New Roman"/>
          <w:lang w:val="fr-FR"/>
        </w:rPr>
        <w:t>dans les établissements n</w:t>
      </w:r>
      <w:r w:rsidR="00426750" w:rsidRPr="00426750">
        <w:rPr>
          <w:rFonts w:eastAsia="Times New Roman"/>
          <w:vertAlign w:val="superscript"/>
          <w:lang w:val="fr-FR"/>
        </w:rPr>
        <w:t>os</w:t>
      </w:r>
      <w:r w:rsidR="00426750">
        <w:rPr>
          <w:rFonts w:eastAsia="Times New Roman"/>
          <w:lang w:val="fr-FR"/>
        </w:rPr>
        <w:t> </w:t>
      </w:r>
      <w:r w:rsidRPr="00466CE7">
        <w:rPr>
          <w:rFonts w:eastAsia="Times New Roman"/>
          <w:lang w:val="fr-FR"/>
        </w:rPr>
        <w:t xml:space="preserve">1, 2 et 3, </w:t>
      </w:r>
      <w:r>
        <w:rPr>
          <w:rFonts w:eastAsia="Times New Roman"/>
          <w:lang w:val="fr-FR"/>
        </w:rPr>
        <w:t xml:space="preserve">renforcement des compétences </w:t>
      </w:r>
      <w:r w:rsidRPr="00466CE7">
        <w:rPr>
          <w:rFonts w:eastAsia="Times New Roman"/>
          <w:lang w:val="fr-FR"/>
        </w:rPr>
        <w:t xml:space="preserve">du personnel </w:t>
      </w:r>
      <w:r>
        <w:rPr>
          <w:rFonts w:eastAsia="Times New Roman"/>
          <w:lang w:val="fr-FR"/>
        </w:rPr>
        <w:t xml:space="preserve">des </w:t>
      </w:r>
      <w:r w:rsidRPr="00466CE7">
        <w:rPr>
          <w:rFonts w:eastAsia="Times New Roman"/>
          <w:lang w:val="fr-FR"/>
        </w:rPr>
        <w:t xml:space="preserve">établissements et </w:t>
      </w:r>
      <w:r>
        <w:rPr>
          <w:rFonts w:eastAsia="Times New Roman"/>
          <w:lang w:val="fr-FR"/>
        </w:rPr>
        <w:t xml:space="preserve">des bases </w:t>
      </w:r>
      <w:r w:rsidRPr="00466CE7">
        <w:rPr>
          <w:rFonts w:eastAsia="Times New Roman"/>
          <w:lang w:val="fr-FR"/>
        </w:rPr>
        <w:t>méthodologique</w:t>
      </w:r>
      <w:r>
        <w:rPr>
          <w:rFonts w:eastAsia="Times New Roman"/>
          <w:lang w:val="fr-FR"/>
        </w:rPr>
        <w:t>s</w:t>
      </w:r>
      <w:r w:rsidRPr="00466CE7">
        <w:rPr>
          <w:rFonts w:eastAsia="Times New Roman"/>
          <w:lang w:val="fr-FR"/>
        </w:rPr>
        <w:t xml:space="preserve"> de l</w:t>
      </w:r>
      <w:r>
        <w:rPr>
          <w:rFonts w:eastAsia="Times New Roman"/>
          <w:lang w:val="fr-FR"/>
        </w:rPr>
        <w:t>’</w:t>
      </w:r>
      <w:r w:rsidRPr="00466CE7">
        <w:rPr>
          <w:rFonts w:eastAsia="Times New Roman"/>
          <w:lang w:val="fr-FR"/>
        </w:rPr>
        <w:t>école professionnelle</w:t>
      </w:r>
      <w:r>
        <w:rPr>
          <w:rFonts w:eastAsia="Times New Roman"/>
          <w:lang w:val="fr-FR"/>
        </w:rPr>
        <w:t xml:space="preserve"> et</w:t>
      </w:r>
      <w:r w:rsidRPr="000320E1">
        <w:rPr>
          <w:rFonts w:eastAsia="Times New Roman"/>
          <w:lang w:val="fr-FR"/>
        </w:rPr>
        <w:t xml:space="preserve"> </w:t>
      </w:r>
      <w:r w:rsidRPr="00466CE7">
        <w:rPr>
          <w:rFonts w:eastAsia="Times New Roman"/>
          <w:lang w:val="fr-FR"/>
        </w:rPr>
        <w:t>technique, etc.) (2012-2013).</w:t>
      </w:r>
    </w:p>
    <w:p w14:paraId="73F22E4B" w14:textId="3730A1C7" w:rsidR="009C6834" w:rsidRPr="00466CE7" w:rsidRDefault="009C6834" w:rsidP="009C6834">
      <w:pPr>
        <w:pStyle w:val="SingleTxtG"/>
        <w:rPr>
          <w:rFonts w:eastAsia="Times New Roman"/>
          <w:lang w:val="fr-FR"/>
        </w:rPr>
      </w:pPr>
      <w:r w:rsidRPr="00466CE7">
        <w:rPr>
          <w:rFonts w:eastAsia="Times New Roman"/>
          <w:lang w:val="fr-FR"/>
        </w:rPr>
        <w:t>285.</w:t>
      </w:r>
      <w:r w:rsidRPr="00466CE7">
        <w:rPr>
          <w:rFonts w:eastAsia="Times New Roman"/>
          <w:lang w:val="fr-FR"/>
        </w:rPr>
        <w:tab/>
        <w:t xml:space="preserve">Promotion des principes </w:t>
      </w:r>
      <w:r>
        <w:rPr>
          <w:rFonts w:eastAsia="Times New Roman"/>
          <w:lang w:val="fr-FR"/>
        </w:rPr>
        <w:t xml:space="preserve">de la primauté du droit et </w:t>
      </w:r>
      <w:r w:rsidRPr="00466CE7">
        <w:rPr>
          <w:rFonts w:eastAsia="Times New Roman"/>
          <w:lang w:val="fr-FR"/>
        </w:rPr>
        <w:t>des droits de l</w:t>
      </w:r>
      <w:r>
        <w:rPr>
          <w:rFonts w:eastAsia="Times New Roman"/>
          <w:lang w:val="fr-FR"/>
        </w:rPr>
        <w:t>’</w:t>
      </w:r>
      <w:r w:rsidRPr="00466CE7">
        <w:rPr>
          <w:rFonts w:eastAsia="Times New Roman"/>
          <w:lang w:val="fr-FR"/>
        </w:rPr>
        <w:t>homme dans le système pénitent</w:t>
      </w:r>
      <w:r>
        <w:rPr>
          <w:rFonts w:eastAsia="Times New Roman"/>
          <w:lang w:val="fr-FR"/>
        </w:rPr>
        <w:t>iaire de la République kirghize</w:t>
      </w:r>
      <w:r w:rsidRPr="00466CE7">
        <w:rPr>
          <w:rFonts w:eastAsia="Times New Roman"/>
          <w:lang w:val="fr-FR"/>
        </w:rPr>
        <w:t>, projet mis en œuvre par l</w:t>
      </w:r>
      <w:r>
        <w:rPr>
          <w:rFonts w:eastAsia="Times New Roman"/>
          <w:lang w:val="fr-FR"/>
        </w:rPr>
        <w:t>’</w:t>
      </w:r>
      <w:r w:rsidRPr="00466CE7">
        <w:rPr>
          <w:rFonts w:eastAsia="Times New Roman"/>
          <w:lang w:val="fr-FR"/>
        </w:rPr>
        <w:t>OSCE (création d</w:t>
      </w:r>
      <w:r>
        <w:rPr>
          <w:rFonts w:eastAsia="Times New Roman"/>
          <w:lang w:val="fr-FR"/>
        </w:rPr>
        <w:t>’</w:t>
      </w:r>
      <w:r w:rsidRPr="00466CE7">
        <w:rPr>
          <w:rFonts w:eastAsia="Times New Roman"/>
          <w:lang w:val="fr-FR"/>
        </w:rPr>
        <w:t xml:space="preserve">un quartier </w:t>
      </w:r>
      <w:r>
        <w:rPr>
          <w:rFonts w:eastAsia="Times New Roman"/>
          <w:lang w:val="fr-FR"/>
        </w:rPr>
        <w:t xml:space="preserve">réservé aux </w:t>
      </w:r>
      <w:r w:rsidRPr="00466CE7">
        <w:rPr>
          <w:rFonts w:eastAsia="Times New Roman"/>
          <w:lang w:val="fr-FR"/>
        </w:rPr>
        <w:t xml:space="preserve">détenus </w:t>
      </w:r>
      <w:r>
        <w:rPr>
          <w:rFonts w:eastAsia="Times New Roman"/>
          <w:lang w:val="fr-FR"/>
        </w:rPr>
        <w:t>condamnés à de longues peines</w:t>
      </w:r>
      <w:r w:rsidRPr="000320E1">
        <w:rPr>
          <w:rFonts w:eastAsia="Times New Roman"/>
          <w:lang w:val="fr-FR"/>
        </w:rPr>
        <w:t xml:space="preserve"> </w:t>
      </w:r>
      <w:r w:rsidRPr="00466CE7">
        <w:rPr>
          <w:rFonts w:eastAsia="Times New Roman"/>
          <w:lang w:val="fr-FR"/>
        </w:rPr>
        <w:t>dans l</w:t>
      </w:r>
      <w:r>
        <w:rPr>
          <w:rFonts w:eastAsia="Times New Roman"/>
          <w:lang w:val="fr-FR"/>
        </w:rPr>
        <w:t>’</w:t>
      </w:r>
      <w:r w:rsidRPr="00466CE7">
        <w:rPr>
          <w:rFonts w:eastAsia="Times New Roman"/>
          <w:lang w:val="fr-FR"/>
        </w:rPr>
        <w:t>établissement n</w:t>
      </w:r>
      <w:r w:rsidR="00426750" w:rsidRPr="00426750">
        <w:rPr>
          <w:rFonts w:eastAsia="Times New Roman"/>
          <w:vertAlign w:val="superscript"/>
          <w:lang w:val="fr-FR"/>
        </w:rPr>
        <w:t>o</w:t>
      </w:r>
      <w:r w:rsidR="00426750">
        <w:rPr>
          <w:rFonts w:eastAsia="Times New Roman"/>
          <w:lang w:val="fr-FR"/>
        </w:rPr>
        <w:t> </w:t>
      </w:r>
      <w:r w:rsidRPr="00466CE7">
        <w:rPr>
          <w:rFonts w:eastAsia="Times New Roman"/>
          <w:lang w:val="fr-FR"/>
        </w:rPr>
        <w:t xml:space="preserve">3, soutien aux activités des centres de </w:t>
      </w:r>
      <w:r>
        <w:rPr>
          <w:rFonts w:eastAsia="Times New Roman"/>
          <w:lang w:val="fr-FR"/>
        </w:rPr>
        <w:t>réinsertion</w:t>
      </w:r>
      <w:r w:rsidRPr="00466CE7">
        <w:rPr>
          <w:rFonts w:eastAsia="Times New Roman"/>
          <w:lang w:val="fr-FR"/>
        </w:rPr>
        <w:t xml:space="preserve"> Atlantis et du Centre de </w:t>
      </w:r>
      <w:r>
        <w:rPr>
          <w:rFonts w:eastAsia="Times New Roman"/>
          <w:lang w:val="fr-FR"/>
        </w:rPr>
        <w:t xml:space="preserve">réinsertion </w:t>
      </w:r>
      <w:r w:rsidRPr="00466CE7">
        <w:rPr>
          <w:rFonts w:eastAsia="Times New Roman"/>
          <w:lang w:val="fr-FR"/>
        </w:rPr>
        <w:t>et d</w:t>
      </w:r>
      <w:r>
        <w:rPr>
          <w:rFonts w:eastAsia="Times New Roman"/>
          <w:lang w:val="fr-FR"/>
        </w:rPr>
        <w:t>’</w:t>
      </w:r>
      <w:r w:rsidRPr="00466CE7">
        <w:rPr>
          <w:rFonts w:eastAsia="Times New Roman"/>
          <w:lang w:val="fr-FR"/>
        </w:rPr>
        <w:t>adaptation sociale (2013-2015).</w:t>
      </w:r>
    </w:p>
    <w:p w14:paraId="2CE6F061" w14:textId="4BA2AF25" w:rsidR="009C6834" w:rsidRPr="00466CE7" w:rsidRDefault="009C6834" w:rsidP="009C6834">
      <w:pPr>
        <w:pStyle w:val="SingleTxtG"/>
        <w:rPr>
          <w:rFonts w:eastAsia="Times New Roman"/>
          <w:lang w:val="fr-FR"/>
        </w:rPr>
      </w:pPr>
      <w:r w:rsidRPr="00466CE7">
        <w:rPr>
          <w:rFonts w:eastAsia="Times New Roman"/>
          <w:lang w:val="fr-FR"/>
        </w:rPr>
        <w:lastRenderedPageBreak/>
        <w:t>286.</w:t>
      </w:r>
      <w:r w:rsidRPr="00466CE7">
        <w:rPr>
          <w:rFonts w:eastAsia="Times New Roman"/>
          <w:lang w:val="fr-FR"/>
        </w:rPr>
        <w:tab/>
        <w:t>Fonds mondial de lutte contre le sida,</w:t>
      </w:r>
      <w:r>
        <w:rPr>
          <w:rFonts w:eastAsia="Times New Roman"/>
          <w:lang w:val="fr-FR"/>
        </w:rPr>
        <w:t xml:space="preserve"> la tuberculose et le paludisme :</w:t>
      </w:r>
      <w:r w:rsidRPr="00466CE7">
        <w:rPr>
          <w:rFonts w:eastAsia="Times New Roman"/>
          <w:lang w:val="fr-FR"/>
        </w:rPr>
        <w:t xml:space="preserve"> ouverture de cinq </w:t>
      </w:r>
      <w:r>
        <w:rPr>
          <w:rFonts w:eastAsia="Times New Roman"/>
          <w:lang w:val="fr-FR"/>
        </w:rPr>
        <w:t xml:space="preserve">points de traitement de maintien </w:t>
      </w:r>
      <w:r w:rsidRPr="00466CE7">
        <w:rPr>
          <w:rFonts w:eastAsia="Times New Roman"/>
          <w:lang w:val="fr-FR"/>
        </w:rPr>
        <w:t xml:space="preserve">à la méthadone dans les établissements </w:t>
      </w:r>
      <w:r>
        <w:rPr>
          <w:rFonts w:eastAsia="Times New Roman"/>
          <w:lang w:val="fr-FR"/>
        </w:rPr>
        <w:t xml:space="preserve">pénitentiaires </w:t>
      </w:r>
      <w:r w:rsidRPr="00466CE7">
        <w:rPr>
          <w:rFonts w:eastAsia="Times New Roman"/>
          <w:lang w:val="fr-FR"/>
        </w:rPr>
        <w:t>n</w:t>
      </w:r>
      <w:r w:rsidR="00426750" w:rsidRPr="00426750">
        <w:rPr>
          <w:rFonts w:eastAsia="Times New Roman"/>
          <w:vertAlign w:val="superscript"/>
          <w:lang w:val="fr-FR"/>
        </w:rPr>
        <w:t>os</w:t>
      </w:r>
      <w:r w:rsidR="00426750">
        <w:rPr>
          <w:rFonts w:eastAsia="Times New Roman"/>
          <w:lang w:val="fr-FR"/>
        </w:rPr>
        <w:t> </w:t>
      </w:r>
      <w:r w:rsidRPr="00466CE7">
        <w:rPr>
          <w:rFonts w:eastAsia="Times New Roman"/>
          <w:lang w:val="fr-FR"/>
        </w:rPr>
        <w:t>1, 3, 47, 21, 25 (2014-2015).</w:t>
      </w:r>
    </w:p>
    <w:p w14:paraId="32A079E7" w14:textId="330F0523" w:rsidR="009C6834" w:rsidRPr="00466CE7" w:rsidRDefault="009C6834" w:rsidP="009C6834">
      <w:pPr>
        <w:pStyle w:val="SingleTxtG"/>
        <w:rPr>
          <w:rFonts w:eastAsia="Times New Roman"/>
          <w:lang w:val="fr-FR"/>
        </w:rPr>
      </w:pPr>
      <w:r w:rsidRPr="00466CE7">
        <w:rPr>
          <w:rFonts w:eastAsia="Times New Roman"/>
          <w:lang w:val="fr-FR"/>
        </w:rPr>
        <w:t>287.</w:t>
      </w:r>
      <w:r w:rsidRPr="00466CE7">
        <w:rPr>
          <w:rFonts w:eastAsia="Times New Roman"/>
          <w:lang w:val="fr-FR"/>
        </w:rPr>
        <w:tab/>
        <w:t xml:space="preserve">Renforcement de la capacité </w:t>
      </w:r>
      <w:r>
        <w:rPr>
          <w:rFonts w:eastAsia="Times New Roman"/>
          <w:lang w:val="fr-FR"/>
        </w:rPr>
        <w:t xml:space="preserve">de l’administration pénitentiaire </w:t>
      </w:r>
      <w:r w:rsidRPr="00466CE7">
        <w:rPr>
          <w:rFonts w:eastAsia="Times New Roman"/>
          <w:lang w:val="fr-FR"/>
        </w:rPr>
        <w:t xml:space="preserve">à </w:t>
      </w:r>
      <w:r>
        <w:rPr>
          <w:rFonts w:eastAsia="Times New Roman"/>
          <w:lang w:val="fr-FR"/>
        </w:rPr>
        <w:t>combattre l’extrémisme violent</w:t>
      </w:r>
      <w:r w:rsidRPr="00466CE7">
        <w:rPr>
          <w:rFonts w:eastAsia="Times New Roman"/>
          <w:lang w:val="fr-FR"/>
        </w:rPr>
        <w:t xml:space="preserve"> </w:t>
      </w:r>
      <w:r>
        <w:rPr>
          <w:rFonts w:eastAsia="Times New Roman"/>
          <w:lang w:val="fr-FR"/>
        </w:rPr>
        <w:t xml:space="preserve">chez les détenus : mise en place </w:t>
      </w:r>
      <w:r w:rsidRPr="00466CE7">
        <w:rPr>
          <w:rFonts w:eastAsia="Times New Roman"/>
          <w:lang w:val="fr-FR"/>
        </w:rPr>
        <w:t>de cellules de production pour la resocialisation des détenus, équipement de</w:t>
      </w:r>
      <w:r>
        <w:rPr>
          <w:rFonts w:eastAsia="Times New Roman"/>
          <w:lang w:val="fr-FR"/>
        </w:rPr>
        <w:t xml:space="preserve">s bibliothèques et des cabinets </w:t>
      </w:r>
      <w:r w:rsidRPr="00466CE7">
        <w:rPr>
          <w:rFonts w:eastAsia="Times New Roman"/>
          <w:lang w:val="fr-FR"/>
        </w:rPr>
        <w:t xml:space="preserve">de psychologues dans trois </w:t>
      </w:r>
      <w:r>
        <w:rPr>
          <w:rFonts w:eastAsia="Times New Roman"/>
          <w:lang w:val="fr-FR"/>
        </w:rPr>
        <w:t>établissements, système d’</w:t>
      </w:r>
      <w:r w:rsidRPr="00466CE7">
        <w:rPr>
          <w:rFonts w:eastAsia="Times New Roman"/>
          <w:lang w:val="fr-FR"/>
        </w:rPr>
        <w:t>enregistrement électronique des visiteurs et des colis (2017).</w:t>
      </w:r>
    </w:p>
    <w:p w14:paraId="51716364" w14:textId="4CCCA402" w:rsidR="009C6834" w:rsidRPr="00466CE7" w:rsidRDefault="009C6834" w:rsidP="009C6834">
      <w:pPr>
        <w:pStyle w:val="SingleTxtG"/>
        <w:rPr>
          <w:rFonts w:eastAsia="Times New Roman"/>
          <w:lang w:val="fr-FR"/>
        </w:rPr>
      </w:pPr>
      <w:r w:rsidRPr="00466CE7">
        <w:rPr>
          <w:rFonts w:eastAsia="Times New Roman"/>
          <w:lang w:val="fr-FR"/>
        </w:rPr>
        <w:t>288.</w:t>
      </w:r>
      <w:r w:rsidRPr="00466CE7">
        <w:rPr>
          <w:rFonts w:eastAsia="Times New Roman"/>
          <w:lang w:val="fr-FR"/>
        </w:rPr>
        <w:tab/>
      </w:r>
      <w:r>
        <w:rPr>
          <w:rFonts w:eastAsia="Times New Roman"/>
          <w:lang w:val="fr-FR"/>
        </w:rPr>
        <w:t xml:space="preserve">Création d’un centre </w:t>
      </w:r>
      <w:r w:rsidRPr="00466CE7">
        <w:rPr>
          <w:rFonts w:eastAsia="Times New Roman"/>
          <w:lang w:val="fr-FR"/>
        </w:rPr>
        <w:t xml:space="preserve">de </w:t>
      </w:r>
      <w:r>
        <w:rPr>
          <w:rFonts w:eastAsia="Times New Roman"/>
          <w:lang w:val="fr-FR"/>
        </w:rPr>
        <w:t xml:space="preserve">réinsertion </w:t>
      </w:r>
      <w:r w:rsidRPr="00466CE7">
        <w:rPr>
          <w:rFonts w:eastAsia="Times New Roman"/>
          <w:lang w:val="fr-FR"/>
        </w:rPr>
        <w:t>et d</w:t>
      </w:r>
      <w:r>
        <w:rPr>
          <w:rFonts w:eastAsia="Times New Roman"/>
          <w:lang w:val="fr-FR"/>
        </w:rPr>
        <w:t>’</w:t>
      </w:r>
      <w:r w:rsidRPr="00466CE7">
        <w:rPr>
          <w:rFonts w:eastAsia="Times New Roman"/>
          <w:lang w:val="fr-FR"/>
        </w:rPr>
        <w:t xml:space="preserve">adaptation sociale pour les </w:t>
      </w:r>
      <w:r>
        <w:rPr>
          <w:rFonts w:eastAsia="Times New Roman"/>
          <w:lang w:val="fr-FR"/>
        </w:rPr>
        <w:t xml:space="preserve">détenues </w:t>
      </w:r>
      <w:r w:rsidRPr="00466CE7">
        <w:rPr>
          <w:rFonts w:eastAsia="Times New Roman"/>
          <w:lang w:val="fr-FR"/>
        </w:rPr>
        <w:t>toxicomanes dans l</w:t>
      </w:r>
      <w:r>
        <w:rPr>
          <w:rFonts w:eastAsia="Times New Roman"/>
          <w:lang w:val="fr-FR"/>
        </w:rPr>
        <w:t xml:space="preserve">’établissement </w:t>
      </w:r>
      <w:r w:rsidRPr="00466CE7">
        <w:rPr>
          <w:rFonts w:eastAsia="Times New Roman"/>
          <w:lang w:val="fr-FR"/>
        </w:rPr>
        <w:t>n</w:t>
      </w:r>
      <w:r w:rsidR="00426750" w:rsidRPr="00426750">
        <w:rPr>
          <w:rFonts w:eastAsia="Times New Roman"/>
          <w:vertAlign w:val="superscript"/>
          <w:lang w:val="fr-FR"/>
        </w:rPr>
        <w:t>o</w:t>
      </w:r>
      <w:r w:rsidR="00426750">
        <w:rPr>
          <w:rFonts w:eastAsia="Times New Roman"/>
          <w:lang w:val="fr-FR"/>
        </w:rPr>
        <w:t> </w:t>
      </w:r>
      <w:r w:rsidRPr="00466CE7">
        <w:rPr>
          <w:rFonts w:eastAsia="Times New Roman"/>
          <w:lang w:val="fr-FR"/>
        </w:rPr>
        <w:t xml:space="preserve">2 </w:t>
      </w:r>
      <w:r>
        <w:rPr>
          <w:rFonts w:eastAsia="Times New Roman"/>
          <w:lang w:val="fr-FR"/>
        </w:rPr>
        <w:t>(</w:t>
      </w:r>
      <w:r w:rsidRPr="00466CE7">
        <w:rPr>
          <w:rFonts w:eastAsia="Times New Roman"/>
          <w:lang w:val="fr-FR"/>
        </w:rPr>
        <w:t>programme</w:t>
      </w:r>
      <w:r>
        <w:rPr>
          <w:rFonts w:eastAsia="Times New Roman"/>
          <w:lang w:val="fr-FR"/>
        </w:rPr>
        <w:t xml:space="preserve"> d’action contre la drogue en Asie centrale </w:t>
      </w:r>
      <w:r w:rsidR="00426750">
        <w:rPr>
          <w:rFonts w:eastAsia="Times New Roman"/>
          <w:lang w:val="fr-FR"/>
        </w:rPr>
        <w:t>− </w:t>
      </w:r>
      <w:r>
        <w:rPr>
          <w:rFonts w:eastAsia="Times New Roman"/>
          <w:lang w:val="fr-FR"/>
        </w:rPr>
        <w:t>C</w:t>
      </w:r>
      <w:r w:rsidRPr="00466CE7">
        <w:rPr>
          <w:rFonts w:eastAsia="Times New Roman"/>
          <w:lang w:val="fr-FR"/>
        </w:rPr>
        <w:t>ADAP</w:t>
      </w:r>
      <w:r>
        <w:rPr>
          <w:rFonts w:eastAsia="Times New Roman"/>
          <w:lang w:val="fr-FR"/>
        </w:rPr>
        <w:t>-6) : mise en place et équipement du centre (2018)</w:t>
      </w:r>
      <w:r w:rsidRPr="00466CE7">
        <w:rPr>
          <w:rFonts w:eastAsia="Times New Roman"/>
          <w:lang w:val="fr-FR"/>
        </w:rPr>
        <w:t>.</w:t>
      </w:r>
    </w:p>
    <w:p w14:paraId="05FED051" w14:textId="77777777" w:rsidR="009C6834" w:rsidRPr="00466CE7" w:rsidRDefault="009C6834" w:rsidP="009C6834">
      <w:pPr>
        <w:pStyle w:val="SingleTxtG"/>
        <w:rPr>
          <w:rFonts w:eastAsia="Times New Roman"/>
          <w:lang w:val="fr-FR"/>
        </w:rPr>
      </w:pPr>
      <w:r>
        <w:rPr>
          <w:rFonts w:eastAsia="Times New Roman"/>
          <w:lang w:val="fr-FR"/>
        </w:rPr>
        <w:t>289.</w:t>
      </w:r>
      <w:r>
        <w:rPr>
          <w:rFonts w:eastAsia="Times New Roman"/>
          <w:lang w:val="fr-FR"/>
        </w:rPr>
        <w:tab/>
        <w:t xml:space="preserve">Réadaptation </w:t>
      </w:r>
      <w:r w:rsidRPr="00466CE7">
        <w:rPr>
          <w:rFonts w:eastAsia="Times New Roman"/>
          <w:lang w:val="fr-FR"/>
        </w:rPr>
        <w:t>soci</w:t>
      </w:r>
      <w:r>
        <w:rPr>
          <w:rFonts w:eastAsia="Times New Roman"/>
          <w:lang w:val="fr-FR"/>
        </w:rPr>
        <w:t>ale et réinsertion des détenus</w:t>
      </w:r>
      <w:r w:rsidRPr="00466CE7">
        <w:rPr>
          <w:rFonts w:eastAsia="Times New Roman"/>
          <w:lang w:val="fr-FR"/>
        </w:rPr>
        <w:t>, projet mis en œuvre par l</w:t>
      </w:r>
      <w:r>
        <w:rPr>
          <w:rFonts w:eastAsia="Times New Roman"/>
          <w:lang w:val="fr-FR"/>
        </w:rPr>
        <w:t>’</w:t>
      </w:r>
      <w:r w:rsidRPr="00466CE7">
        <w:rPr>
          <w:rFonts w:eastAsia="Times New Roman"/>
          <w:lang w:val="fr-FR"/>
        </w:rPr>
        <w:t>ONUDC (création de deux sites de production</w:t>
      </w:r>
      <w:r>
        <w:rPr>
          <w:rFonts w:eastAsia="Times New Roman"/>
          <w:lang w:val="fr-FR"/>
        </w:rPr>
        <w:t>)</w:t>
      </w:r>
      <w:r w:rsidRPr="00466CE7">
        <w:rPr>
          <w:rFonts w:eastAsia="Times New Roman"/>
          <w:lang w:val="fr-FR"/>
        </w:rPr>
        <w:t xml:space="preserve"> (2018-2019).</w:t>
      </w:r>
    </w:p>
    <w:p w14:paraId="1B8A76DD" w14:textId="77777777" w:rsidR="009C6834" w:rsidRPr="00466CE7" w:rsidRDefault="009C6834" w:rsidP="009C6834">
      <w:pPr>
        <w:pStyle w:val="SingleTxtG"/>
        <w:rPr>
          <w:rFonts w:eastAsia="Times New Roman"/>
          <w:lang w:val="fr-FR"/>
        </w:rPr>
      </w:pPr>
      <w:r w:rsidRPr="00466CE7">
        <w:rPr>
          <w:rFonts w:eastAsia="Times New Roman"/>
          <w:lang w:val="fr-FR"/>
        </w:rPr>
        <w:t>290.</w:t>
      </w:r>
      <w:r w:rsidRPr="00466CE7">
        <w:rPr>
          <w:rFonts w:eastAsia="Times New Roman"/>
          <w:lang w:val="fr-FR"/>
        </w:rPr>
        <w:tab/>
        <w:t>Avec le soutien d</w:t>
      </w:r>
      <w:r>
        <w:rPr>
          <w:rFonts w:eastAsia="Times New Roman"/>
          <w:lang w:val="fr-FR"/>
        </w:rPr>
        <w:t>’</w:t>
      </w:r>
      <w:r w:rsidRPr="00466CE7">
        <w:rPr>
          <w:rFonts w:eastAsia="Times New Roman"/>
          <w:lang w:val="fr-FR"/>
        </w:rPr>
        <w:t xml:space="preserve">organisations internationales, </w:t>
      </w:r>
      <w:r>
        <w:rPr>
          <w:rFonts w:eastAsia="Times New Roman"/>
          <w:lang w:val="fr-FR"/>
        </w:rPr>
        <w:t xml:space="preserve">l’administration pénitentiaire </w:t>
      </w:r>
      <w:r w:rsidRPr="00466CE7">
        <w:rPr>
          <w:rFonts w:eastAsia="Times New Roman"/>
          <w:lang w:val="fr-FR"/>
        </w:rPr>
        <w:t xml:space="preserve">continue à former les détenus à divers métiers (couture, poterie, etc.). </w:t>
      </w:r>
    </w:p>
    <w:p w14:paraId="29FEC20C" w14:textId="77777777" w:rsidR="009C6834" w:rsidRPr="00466CE7" w:rsidRDefault="009C6834" w:rsidP="009C6834">
      <w:pPr>
        <w:pStyle w:val="SingleTxtG"/>
        <w:rPr>
          <w:rFonts w:eastAsia="Times New Roman"/>
          <w:lang w:val="fr-FR"/>
        </w:rPr>
      </w:pPr>
      <w:r w:rsidRPr="00466CE7">
        <w:rPr>
          <w:rFonts w:eastAsia="Times New Roman"/>
          <w:lang w:val="fr-FR"/>
        </w:rPr>
        <w:t>291.</w:t>
      </w:r>
      <w:r w:rsidRPr="00466CE7">
        <w:rPr>
          <w:rFonts w:eastAsia="Times New Roman"/>
          <w:lang w:val="fr-FR"/>
        </w:rPr>
        <w:tab/>
        <w:t xml:space="preserve">Compte tenu </w:t>
      </w:r>
      <w:r>
        <w:rPr>
          <w:rFonts w:eastAsia="Times New Roman"/>
          <w:lang w:val="fr-FR"/>
        </w:rPr>
        <w:t xml:space="preserve">du développement de la </w:t>
      </w:r>
      <w:r w:rsidRPr="00466CE7">
        <w:rPr>
          <w:rFonts w:eastAsia="Times New Roman"/>
          <w:lang w:val="fr-FR"/>
        </w:rPr>
        <w:t xml:space="preserve">production </w:t>
      </w:r>
      <w:r>
        <w:rPr>
          <w:rFonts w:eastAsia="Times New Roman"/>
          <w:lang w:val="fr-FR"/>
        </w:rPr>
        <w:t xml:space="preserve">au sein du </w:t>
      </w:r>
      <w:r w:rsidRPr="00466CE7">
        <w:rPr>
          <w:rFonts w:eastAsia="Times New Roman"/>
          <w:lang w:val="fr-FR"/>
        </w:rPr>
        <w:t>système pénitentiaire,</w:t>
      </w:r>
      <w:r w:rsidRPr="00133619">
        <w:rPr>
          <w:rFonts w:eastAsia="Times New Roman"/>
          <w:lang w:val="fr-FR"/>
        </w:rPr>
        <w:t xml:space="preserve"> </w:t>
      </w:r>
      <w:r>
        <w:rPr>
          <w:rFonts w:eastAsia="Times New Roman"/>
          <w:lang w:val="fr-FR"/>
        </w:rPr>
        <w:t xml:space="preserve">l’administration pénitentiaire emploie </w:t>
      </w:r>
      <w:r w:rsidRPr="00466CE7">
        <w:rPr>
          <w:rFonts w:eastAsia="Times New Roman"/>
          <w:lang w:val="fr-FR"/>
        </w:rPr>
        <w:t xml:space="preserve">des détenus sur </w:t>
      </w:r>
      <w:r>
        <w:rPr>
          <w:rFonts w:eastAsia="Times New Roman"/>
          <w:lang w:val="fr-FR"/>
        </w:rPr>
        <w:t>d</w:t>
      </w:r>
      <w:r w:rsidRPr="00466CE7">
        <w:rPr>
          <w:rFonts w:eastAsia="Times New Roman"/>
          <w:lang w:val="fr-FR"/>
        </w:rPr>
        <w:t xml:space="preserve">es sites de production </w:t>
      </w:r>
      <w:r>
        <w:rPr>
          <w:rFonts w:eastAsia="Times New Roman"/>
          <w:lang w:val="fr-FR"/>
        </w:rPr>
        <w:t xml:space="preserve">dans les </w:t>
      </w:r>
      <w:r w:rsidRPr="00466CE7">
        <w:rPr>
          <w:rFonts w:eastAsia="Times New Roman"/>
          <w:lang w:val="fr-FR"/>
        </w:rPr>
        <w:t xml:space="preserve">colonies pénitentiaires </w:t>
      </w:r>
      <w:r>
        <w:rPr>
          <w:rFonts w:eastAsia="Times New Roman"/>
          <w:lang w:val="fr-FR"/>
        </w:rPr>
        <w:t xml:space="preserve">comme </w:t>
      </w:r>
      <w:r w:rsidRPr="00466CE7">
        <w:rPr>
          <w:rFonts w:eastAsia="Times New Roman"/>
          <w:lang w:val="fr-FR"/>
        </w:rPr>
        <w:t xml:space="preserve">dans les établissements </w:t>
      </w:r>
      <w:r>
        <w:rPr>
          <w:rFonts w:eastAsia="Times New Roman"/>
          <w:lang w:val="fr-FR"/>
        </w:rPr>
        <w:t>semi-ouverts</w:t>
      </w:r>
      <w:r w:rsidRPr="00466CE7">
        <w:rPr>
          <w:rFonts w:eastAsia="Times New Roman"/>
          <w:lang w:val="fr-FR"/>
        </w:rPr>
        <w:t>.</w:t>
      </w:r>
    </w:p>
    <w:p w14:paraId="2E3504AF" w14:textId="77777777" w:rsidR="00607AF1" w:rsidRDefault="009C6834" w:rsidP="00E1792A">
      <w:pPr>
        <w:pStyle w:val="SingleTxtG"/>
        <w:keepNext/>
        <w:rPr>
          <w:rFonts w:eastAsia="Times New Roman"/>
          <w:lang w:val="fr-FR"/>
        </w:rPr>
      </w:pPr>
      <w:r w:rsidRPr="00466CE7">
        <w:rPr>
          <w:rFonts w:eastAsia="Times New Roman"/>
          <w:lang w:val="fr-FR"/>
        </w:rPr>
        <w:t>292.</w:t>
      </w:r>
      <w:r w:rsidRPr="00466CE7">
        <w:rPr>
          <w:rFonts w:eastAsia="Times New Roman"/>
          <w:lang w:val="fr-FR"/>
        </w:rPr>
        <w:tab/>
      </w:r>
      <w:r>
        <w:rPr>
          <w:rFonts w:eastAsia="Times New Roman"/>
          <w:lang w:val="fr-FR"/>
        </w:rPr>
        <w:t xml:space="preserve">Au cours de la période </w:t>
      </w:r>
      <w:r w:rsidRPr="00466CE7">
        <w:rPr>
          <w:rFonts w:eastAsia="Times New Roman"/>
          <w:lang w:val="fr-FR"/>
        </w:rPr>
        <w:t>2017-2020, 1</w:t>
      </w:r>
      <w:r w:rsidR="00426750">
        <w:rPr>
          <w:rFonts w:eastAsia="Times New Roman"/>
          <w:lang w:val="fr-FR"/>
        </w:rPr>
        <w:t> </w:t>
      </w:r>
      <w:r w:rsidRPr="00466CE7">
        <w:rPr>
          <w:rFonts w:eastAsia="Times New Roman"/>
          <w:lang w:val="fr-FR"/>
        </w:rPr>
        <w:t>074</w:t>
      </w:r>
      <w:r w:rsidR="00426750">
        <w:rPr>
          <w:rFonts w:eastAsia="Times New Roman"/>
          <w:lang w:val="fr-FR"/>
        </w:rPr>
        <w:t> </w:t>
      </w:r>
      <w:r>
        <w:rPr>
          <w:rFonts w:eastAsia="Times New Roman"/>
          <w:lang w:val="fr-FR"/>
        </w:rPr>
        <w:t xml:space="preserve">détenus exerçaient un emploi </w:t>
      </w:r>
      <w:r w:rsidRPr="00466CE7">
        <w:rPr>
          <w:rFonts w:eastAsia="Times New Roman"/>
          <w:lang w:val="fr-FR"/>
        </w:rPr>
        <w:t xml:space="preserve">dans les établissements </w:t>
      </w:r>
      <w:r>
        <w:rPr>
          <w:rFonts w:eastAsia="Times New Roman"/>
          <w:lang w:val="fr-FR"/>
        </w:rPr>
        <w:t xml:space="preserve">pénitentiaires : </w:t>
      </w:r>
    </w:p>
    <w:p w14:paraId="0BB89ACB" w14:textId="77777777" w:rsidR="00607AF1" w:rsidRDefault="009C6834" w:rsidP="00607AF1">
      <w:pPr>
        <w:pStyle w:val="Bullet1G"/>
        <w:rPr>
          <w:lang w:val="fr-FR"/>
        </w:rPr>
      </w:pPr>
      <w:r>
        <w:rPr>
          <w:lang w:val="fr-FR"/>
        </w:rPr>
        <w:t>756 étaient affectés à des activités d’entretien</w:t>
      </w:r>
      <w:r w:rsidR="00607AF1">
        <w:rPr>
          <w:lang w:val="fr-FR"/>
        </w:rPr>
        <w:t> ;</w:t>
      </w:r>
      <w:r>
        <w:rPr>
          <w:lang w:val="fr-FR"/>
        </w:rPr>
        <w:t xml:space="preserve"> et </w:t>
      </w:r>
    </w:p>
    <w:p w14:paraId="2D66FDF5" w14:textId="2F1D2246" w:rsidR="009C6834" w:rsidRPr="00466CE7" w:rsidRDefault="009C6834" w:rsidP="00607AF1">
      <w:pPr>
        <w:pStyle w:val="Bullet1G"/>
        <w:rPr>
          <w:lang w:val="fr-FR"/>
        </w:rPr>
      </w:pPr>
      <w:r>
        <w:rPr>
          <w:lang w:val="fr-FR"/>
        </w:rPr>
        <w:t xml:space="preserve">318 à des activités de </w:t>
      </w:r>
      <w:r w:rsidRPr="00466CE7">
        <w:rPr>
          <w:lang w:val="fr-FR"/>
        </w:rPr>
        <w:t xml:space="preserve">production. </w:t>
      </w:r>
    </w:p>
    <w:p w14:paraId="6329714D" w14:textId="6BD75D15" w:rsidR="009C6834" w:rsidRPr="00466CE7" w:rsidRDefault="009C6834" w:rsidP="00426750">
      <w:pPr>
        <w:pStyle w:val="SingleTxtG"/>
        <w:keepNext/>
        <w:rPr>
          <w:rFonts w:eastAsia="Times New Roman"/>
          <w:lang w:val="fr-FR"/>
        </w:rPr>
      </w:pPr>
      <w:r w:rsidRPr="00466CE7">
        <w:rPr>
          <w:rFonts w:eastAsia="Times New Roman"/>
          <w:lang w:val="fr-FR"/>
        </w:rPr>
        <w:t>293.</w:t>
      </w:r>
      <w:r w:rsidRPr="00466CE7">
        <w:rPr>
          <w:rFonts w:eastAsia="Times New Roman"/>
          <w:lang w:val="fr-FR"/>
        </w:rPr>
        <w:tab/>
      </w:r>
      <w:r>
        <w:rPr>
          <w:rFonts w:eastAsia="Times New Roman"/>
          <w:lang w:val="fr-FR"/>
        </w:rPr>
        <w:t xml:space="preserve">Il convient </w:t>
      </w:r>
      <w:r w:rsidRPr="00466CE7">
        <w:rPr>
          <w:rFonts w:eastAsia="Times New Roman"/>
          <w:lang w:val="fr-FR"/>
        </w:rPr>
        <w:t xml:space="preserve">également </w:t>
      </w:r>
      <w:r>
        <w:rPr>
          <w:rFonts w:eastAsia="Times New Roman"/>
          <w:lang w:val="fr-FR"/>
        </w:rPr>
        <w:t xml:space="preserve">de noter </w:t>
      </w:r>
      <w:r w:rsidRPr="00466CE7">
        <w:rPr>
          <w:rFonts w:eastAsia="Times New Roman"/>
          <w:lang w:val="fr-FR"/>
        </w:rPr>
        <w:t>qu</w:t>
      </w:r>
      <w:r>
        <w:rPr>
          <w:rFonts w:eastAsia="Times New Roman"/>
          <w:lang w:val="fr-FR"/>
        </w:rPr>
        <w:t>’</w:t>
      </w:r>
      <w:r w:rsidRPr="00466CE7">
        <w:rPr>
          <w:rFonts w:eastAsia="Times New Roman"/>
          <w:lang w:val="fr-FR"/>
        </w:rPr>
        <w:t xml:space="preserve">un projet de loi </w:t>
      </w:r>
      <w:r>
        <w:rPr>
          <w:rFonts w:eastAsia="Times New Roman"/>
          <w:lang w:val="fr-FR"/>
        </w:rPr>
        <w:t xml:space="preserve">portant modification du </w:t>
      </w:r>
      <w:r w:rsidR="009603CF">
        <w:rPr>
          <w:rFonts w:eastAsia="Times New Roman"/>
          <w:lang w:val="fr-FR"/>
        </w:rPr>
        <w:t>Code</w:t>
      </w:r>
      <w:r w:rsidRPr="00466CE7">
        <w:rPr>
          <w:rFonts w:eastAsia="Times New Roman"/>
          <w:lang w:val="fr-FR"/>
        </w:rPr>
        <w:t xml:space="preserve"> d</w:t>
      </w:r>
      <w:r>
        <w:rPr>
          <w:rFonts w:eastAsia="Times New Roman"/>
          <w:lang w:val="fr-FR"/>
        </w:rPr>
        <w:t>’</w:t>
      </w:r>
      <w:r w:rsidRPr="00466CE7">
        <w:rPr>
          <w:rFonts w:eastAsia="Times New Roman"/>
          <w:lang w:val="fr-FR"/>
        </w:rPr>
        <w:t>application des peines a été élaboré, qui vise à</w:t>
      </w:r>
      <w:r>
        <w:rPr>
          <w:rFonts w:eastAsia="Times New Roman"/>
          <w:lang w:val="fr-FR"/>
        </w:rPr>
        <w:t> :</w:t>
      </w:r>
    </w:p>
    <w:p w14:paraId="47EC73E2" w14:textId="21ED6BF1" w:rsidR="009C6834" w:rsidRPr="005D0263" w:rsidRDefault="00426750" w:rsidP="00426750">
      <w:pPr>
        <w:pStyle w:val="Bullet1G"/>
        <w:rPr>
          <w:lang w:val="fr-FR"/>
        </w:rPr>
      </w:pPr>
      <w:r w:rsidRPr="005D0263">
        <w:rPr>
          <w:lang w:val="fr-FR"/>
        </w:rPr>
        <w:t xml:space="preserve">Accroître </w:t>
      </w:r>
      <w:r w:rsidR="009C6834" w:rsidRPr="005D0263">
        <w:rPr>
          <w:lang w:val="fr-FR"/>
        </w:rPr>
        <w:t>le nombre des visites et des conversations téléphoniques pour toutes les catégories de condamnés</w:t>
      </w:r>
      <w:r>
        <w:rPr>
          <w:lang w:val="fr-FR"/>
        </w:rPr>
        <w:t> </w:t>
      </w:r>
      <w:r w:rsidR="009C6834" w:rsidRPr="005D0263">
        <w:rPr>
          <w:lang w:val="fr-FR"/>
        </w:rPr>
        <w:t xml:space="preserve">; introduire </w:t>
      </w:r>
      <w:r w:rsidR="009C6834">
        <w:rPr>
          <w:lang w:val="fr-FR"/>
        </w:rPr>
        <w:t xml:space="preserve">des règles </w:t>
      </w:r>
      <w:r w:rsidR="009C6834" w:rsidRPr="005D0263">
        <w:rPr>
          <w:lang w:val="fr-FR"/>
        </w:rPr>
        <w:t>établissant une forme individuelle d</w:t>
      </w:r>
      <w:r w:rsidR="009C6834">
        <w:rPr>
          <w:lang w:val="fr-FR"/>
        </w:rPr>
        <w:t>’activité</w:t>
      </w:r>
      <w:r w:rsidR="009C6834" w:rsidRPr="005D0263">
        <w:rPr>
          <w:lang w:val="fr-FR"/>
        </w:rPr>
        <w:t xml:space="preserve"> pour les condamnés</w:t>
      </w:r>
      <w:r>
        <w:rPr>
          <w:lang w:val="fr-FR"/>
        </w:rPr>
        <w:t> </w:t>
      </w:r>
      <w:r w:rsidR="009C6834" w:rsidRPr="005D0263">
        <w:rPr>
          <w:lang w:val="fr-FR"/>
        </w:rPr>
        <w:t>;</w:t>
      </w:r>
    </w:p>
    <w:p w14:paraId="552687EE" w14:textId="62E1E35D" w:rsidR="009C6834" w:rsidRPr="005D0263" w:rsidRDefault="00426750" w:rsidP="00426750">
      <w:pPr>
        <w:pStyle w:val="Bullet1G"/>
        <w:rPr>
          <w:lang w:val="fr-FR"/>
        </w:rPr>
      </w:pPr>
      <w:r w:rsidRPr="005D0263">
        <w:rPr>
          <w:lang w:val="fr-FR"/>
        </w:rPr>
        <w:t xml:space="preserve">Éliminer </w:t>
      </w:r>
      <w:r w:rsidR="009C6834" w:rsidRPr="005D0263">
        <w:rPr>
          <w:lang w:val="fr-FR"/>
        </w:rPr>
        <w:t>les incohérences entre certaines dispositions des articles</w:t>
      </w:r>
      <w:r>
        <w:rPr>
          <w:lang w:val="fr-FR"/>
        </w:rPr>
        <w:t> </w:t>
      </w:r>
      <w:r w:rsidR="009C6834" w:rsidRPr="005D0263">
        <w:rPr>
          <w:lang w:val="fr-FR"/>
        </w:rPr>
        <w:t xml:space="preserve">25 et 91 du </w:t>
      </w:r>
      <w:r w:rsidR="009603CF">
        <w:rPr>
          <w:lang w:val="fr-FR"/>
        </w:rPr>
        <w:t>Code</w:t>
      </w:r>
      <w:r w:rsidR="009C6834" w:rsidRPr="005D0263">
        <w:rPr>
          <w:lang w:val="fr-FR"/>
        </w:rPr>
        <w:t xml:space="preserve"> d</w:t>
      </w:r>
      <w:r w:rsidR="009C6834">
        <w:rPr>
          <w:lang w:val="fr-FR"/>
        </w:rPr>
        <w:t>’</w:t>
      </w:r>
      <w:r w:rsidR="009C6834" w:rsidRPr="005D0263">
        <w:rPr>
          <w:lang w:val="fr-FR"/>
        </w:rPr>
        <w:t xml:space="preserve">application des peines concernant la censure de la correspondance des </w:t>
      </w:r>
      <w:r w:rsidR="009C6834">
        <w:rPr>
          <w:lang w:val="fr-FR"/>
        </w:rPr>
        <w:t>condamnés</w:t>
      </w:r>
      <w:r>
        <w:rPr>
          <w:lang w:val="fr-FR"/>
        </w:rPr>
        <w:t> </w:t>
      </w:r>
      <w:r w:rsidR="009C6834" w:rsidRPr="005D0263">
        <w:rPr>
          <w:lang w:val="fr-FR"/>
        </w:rPr>
        <w:t>;</w:t>
      </w:r>
    </w:p>
    <w:p w14:paraId="4239A5B4" w14:textId="5DFC615C" w:rsidR="009C6834" w:rsidRPr="005D0263" w:rsidRDefault="00426750" w:rsidP="00426750">
      <w:pPr>
        <w:pStyle w:val="Bullet1G"/>
        <w:rPr>
          <w:lang w:val="fr-FR"/>
        </w:rPr>
      </w:pPr>
      <w:r w:rsidRPr="005D0263">
        <w:rPr>
          <w:lang w:val="fr-FR"/>
        </w:rPr>
        <w:t xml:space="preserve">Augmenter </w:t>
      </w:r>
      <w:r w:rsidR="009C6834">
        <w:rPr>
          <w:lang w:val="fr-FR"/>
        </w:rPr>
        <w:t xml:space="preserve">le montant des ressources </w:t>
      </w:r>
      <w:r w:rsidR="009C6834" w:rsidRPr="005D0263">
        <w:rPr>
          <w:lang w:val="fr-FR"/>
        </w:rPr>
        <w:t>destiné</w:t>
      </w:r>
      <w:r w:rsidR="009C6834">
        <w:rPr>
          <w:lang w:val="fr-FR"/>
        </w:rPr>
        <w:t>e</w:t>
      </w:r>
      <w:r w:rsidR="009C6834" w:rsidRPr="005D0263">
        <w:rPr>
          <w:lang w:val="fr-FR"/>
        </w:rPr>
        <w:t>s à l</w:t>
      </w:r>
      <w:r w:rsidR="009C6834">
        <w:rPr>
          <w:lang w:val="fr-FR"/>
        </w:rPr>
        <w:t>’</w:t>
      </w:r>
      <w:r w:rsidR="009C6834" w:rsidRPr="005D0263">
        <w:rPr>
          <w:lang w:val="fr-FR"/>
        </w:rPr>
        <w:t>achat mensuel de produits alimentaires et de première nécessité pour toutes les catégories de condamnés ;</w:t>
      </w:r>
    </w:p>
    <w:p w14:paraId="3896C7FA" w14:textId="69952FA7" w:rsidR="009C6834" w:rsidRPr="005D0263" w:rsidRDefault="00426750" w:rsidP="00426750">
      <w:pPr>
        <w:pStyle w:val="Bullet1G"/>
        <w:rPr>
          <w:lang w:val="fr-FR"/>
        </w:rPr>
      </w:pPr>
      <w:r w:rsidRPr="005D0263">
        <w:rPr>
          <w:lang w:val="fr-FR"/>
        </w:rPr>
        <w:t xml:space="preserve">Modifier </w:t>
      </w:r>
      <w:r w:rsidR="009C6834" w:rsidRPr="005D0263">
        <w:rPr>
          <w:lang w:val="fr-FR"/>
        </w:rPr>
        <w:t xml:space="preserve">les </w:t>
      </w:r>
      <w:r w:rsidR="009C6834">
        <w:rPr>
          <w:lang w:val="fr-FR"/>
        </w:rPr>
        <w:t>règles</w:t>
      </w:r>
      <w:r w:rsidR="009C6834" w:rsidRPr="005D0263">
        <w:rPr>
          <w:lang w:val="fr-FR"/>
        </w:rPr>
        <w:t xml:space="preserve"> </w:t>
      </w:r>
      <w:r w:rsidR="009C6834">
        <w:rPr>
          <w:lang w:val="fr-FR"/>
        </w:rPr>
        <w:t>permettant d’employer</w:t>
      </w:r>
      <w:r w:rsidR="009C6834" w:rsidRPr="000320E1">
        <w:rPr>
          <w:lang w:val="fr-FR"/>
        </w:rPr>
        <w:t xml:space="preserve"> </w:t>
      </w:r>
      <w:r w:rsidR="009C6834" w:rsidRPr="005D0263">
        <w:rPr>
          <w:lang w:val="fr-FR"/>
        </w:rPr>
        <w:t xml:space="preserve">à </w:t>
      </w:r>
      <w:r w:rsidR="009C6834">
        <w:rPr>
          <w:lang w:val="fr-FR"/>
        </w:rPr>
        <w:t xml:space="preserve">des travaux </w:t>
      </w:r>
      <w:r w:rsidR="009C6834" w:rsidRPr="005D0263">
        <w:rPr>
          <w:lang w:val="fr-FR"/>
        </w:rPr>
        <w:t>rémunéré</w:t>
      </w:r>
      <w:r w:rsidR="009C6834">
        <w:rPr>
          <w:lang w:val="fr-FR"/>
        </w:rPr>
        <w:t xml:space="preserve">s des détenus condamnés à une peine de </w:t>
      </w:r>
      <w:r w:rsidR="009C6834" w:rsidRPr="005D0263">
        <w:rPr>
          <w:lang w:val="fr-FR"/>
        </w:rPr>
        <w:t>perpétuité.</w:t>
      </w:r>
    </w:p>
    <w:p w14:paraId="0B8296A5" w14:textId="5A6535FF" w:rsidR="009C6834" w:rsidRPr="00466CE7" w:rsidRDefault="009C6834" w:rsidP="009C6834">
      <w:pPr>
        <w:pStyle w:val="SingleTxtG"/>
        <w:rPr>
          <w:rFonts w:eastAsia="Times New Roman"/>
          <w:lang w:val="fr-FR"/>
        </w:rPr>
      </w:pPr>
      <w:r w:rsidRPr="00466CE7">
        <w:rPr>
          <w:rFonts w:eastAsia="Times New Roman"/>
          <w:lang w:val="fr-FR"/>
        </w:rPr>
        <w:t>294.</w:t>
      </w:r>
      <w:r w:rsidRPr="00466CE7">
        <w:rPr>
          <w:rFonts w:eastAsia="Times New Roman"/>
          <w:lang w:val="fr-FR"/>
        </w:rPr>
        <w:tab/>
        <w:t>Conformément à l</w:t>
      </w:r>
      <w:r>
        <w:rPr>
          <w:rFonts w:eastAsia="Times New Roman"/>
          <w:lang w:val="fr-FR"/>
        </w:rPr>
        <w:t>’</w:t>
      </w:r>
      <w:r w:rsidR="00CB4ECD">
        <w:rPr>
          <w:rFonts w:eastAsia="Times New Roman"/>
          <w:lang w:val="fr-FR"/>
        </w:rPr>
        <w:t>article </w:t>
      </w:r>
      <w:r w:rsidRPr="00466CE7">
        <w:rPr>
          <w:rFonts w:eastAsia="Times New Roman"/>
          <w:lang w:val="fr-FR"/>
        </w:rPr>
        <w:t xml:space="preserve">10 de la loi </w:t>
      </w:r>
      <w:r>
        <w:rPr>
          <w:rFonts w:eastAsia="Times New Roman"/>
          <w:lang w:val="fr-FR"/>
        </w:rPr>
        <w:t xml:space="preserve">relative à </w:t>
      </w:r>
      <w:r w:rsidRPr="00466CE7">
        <w:rPr>
          <w:rFonts w:eastAsia="Times New Roman"/>
          <w:lang w:val="fr-FR"/>
        </w:rPr>
        <w:t>la promotion de l</w:t>
      </w:r>
      <w:r>
        <w:rPr>
          <w:rFonts w:eastAsia="Times New Roman"/>
          <w:lang w:val="fr-FR"/>
        </w:rPr>
        <w:t>’</w:t>
      </w:r>
      <w:r w:rsidRPr="00466CE7">
        <w:rPr>
          <w:rFonts w:eastAsia="Times New Roman"/>
          <w:lang w:val="fr-FR"/>
        </w:rPr>
        <w:t xml:space="preserve">emploi de la population, les </w:t>
      </w:r>
      <w:r>
        <w:rPr>
          <w:rFonts w:eastAsia="Times New Roman"/>
          <w:lang w:val="fr-FR"/>
        </w:rPr>
        <w:t xml:space="preserve">personnes aptes au travail </w:t>
      </w:r>
      <w:r w:rsidRPr="00466CE7">
        <w:rPr>
          <w:rFonts w:eastAsia="Times New Roman"/>
          <w:lang w:val="fr-FR"/>
        </w:rPr>
        <w:t xml:space="preserve">ont </w:t>
      </w:r>
      <w:r>
        <w:rPr>
          <w:rFonts w:eastAsia="Times New Roman"/>
          <w:lang w:val="fr-FR"/>
        </w:rPr>
        <w:t xml:space="preserve">le </w:t>
      </w:r>
      <w:r w:rsidRPr="00466CE7">
        <w:rPr>
          <w:rFonts w:eastAsia="Times New Roman"/>
          <w:lang w:val="fr-FR"/>
        </w:rPr>
        <w:t xml:space="preserve">droit </w:t>
      </w:r>
      <w:r>
        <w:rPr>
          <w:rFonts w:eastAsia="Times New Roman"/>
          <w:lang w:val="fr-FR"/>
        </w:rPr>
        <w:t>de bénéficier gratuitement d’</w:t>
      </w:r>
      <w:r w:rsidRPr="00466CE7">
        <w:rPr>
          <w:rFonts w:eastAsia="Times New Roman"/>
          <w:lang w:val="fr-FR"/>
        </w:rPr>
        <w:t xml:space="preserve">une formation professionnelle et </w:t>
      </w:r>
      <w:r>
        <w:rPr>
          <w:rFonts w:eastAsia="Times New Roman"/>
          <w:lang w:val="fr-FR"/>
        </w:rPr>
        <w:t>d’</w:t>
      </w:r>
      <w:r w:rsidRPr="00466CE7">
        <w:rPr>
          <w:rFonts w:eastAsia="Times New Roman"/>
          <w:lang w:val="fr-FR"/>
        </w:rPr>
        <w:t xml:space="preserve">une aide </w:t>
      </w:r>
      <w:r>
        <w:rPr>
          <w:rFonts w:eastAsia="Times New Roman"/>
          <w:lang w:val="fr-FR"/>
        </w:rPr>
        <w:t>à l’</w:t>
      </w:r>
      <w:r w:rsidRPr="00466CE7">
        <w:rPr>
          <w:rFonts w:eastAsia="Times New Roman"/>
          <w:lang w:val="fr-FR"/>
        </w:rPr>
        <w:t>emploi.</w:t>
      </w:r>
    </w:p>
    <w:p w14:paraId="2BD9DCBC" w14:textId="77777777" w:rsidR="009C6834" w:rsidRPr="00466CE7" w:rsidRDefault="009C6834" w:rsidP="009C6834">
      <w:pPr>
        <w:pStyle w:val="SingleTxtG"/>
        <w:rPr>
          <w:rFonts w:eastAsia="Times New Roman"/>
          <w:lang w:val="fr-FR"/>
        </w:rPr>
      </w:pPr>
      <w:r w:rsidRPr="00466CE7">
        <w:rPr>
          <w:rFonts w:eastAsia="Times New Roman"/>
          <w:lang w:val="fr-FR"/>
        </w:rPr>
        <w:t>295.</w:t>
      </w:r>
      <w:r w:rsidRPr="00466CE7">
        <w:rPr>
          <w:rFonts w:eastAsia="Times New Roman"/>
          <w:lang w:val="fr-FR"/>
        </w:rPr>
        <w:tab/>
      </w:r>
      <w:r>
        <w:rPr>
          <w:rFonts w:eastAsia="Times New Roman"/>
          <w:lang w:val="fr-FR"/>
        </w:rPr>
        <w:t>E</w:t>
      </w:r>
      <w:r w:rsidRPr="00466CE7">
        <w:rPr>
          <w:rFonts w:eastAsia="Times New Roman"/>
          <w:lang w:val="fr-FR"/>
        </w:rPr>
        <w:t>n 2019</w:t>
      </w:r>
      <w:r>
        <w:rPr>
          <w:rFonts w:eastAsia="Times New Roman"/>
          <w:lang w:val="fr-FR"/>
        </w:rPr>
        <w:t>,</w:t>
      </w:r>
      <w:r w:rsidRPr="00466CE7">
        <w:rPr>
          <w:rFonts w:eastAsia="Times New Roman"/>
          <w:lang w:val="fr-FR"/>
        </w:rPr>
        <w:t xml:space="preserve"> </w:t>
      </w:r>
      <w:r>
        <w:rPr>
          <w:rFonts w:eastAsia="Times New Roman"/>
          <w:lang w:val="fr-FR"/>
        </w:rPr>
        <w:t xml:space="preserve">aucun détenu </w:t>
      </w:r>
      <w:r w:rsidRPr="00466CE7">
        <w:rPr>
          <w:rFonts w:eastAsia="Times New Roman"/>
          <w:lang w:val="fr-FR"/>
        </w:rPr>
        <w:t xml:space="preserve">purgeant </w:t>
      </w:r>
      <w:r>
        <w:rPr>
          <w:rFonts w:eastAsia="Times New Roman"/>
          <w:lang w:val="fr-FR"/>
        </w:rPr>
        <w:t xml:space="preserve">une </w:t>
      </w:r>
      <w:r w:rsidRPr="00466CE7">
        <w:rPr>
          <w:rFonts w:eastAsia="Times New Roman"/>
          <w:lang w:val="fr-FR"/>
        </w:rPr>
        <w:t xml:space="preserve">peine de </w:t>
      </w:r>
      <w:r>
        <w:rPr>
          <w:rFonts w:eastAsia="Times New Roman"/>
          <w:lang w:val="fr-FR"/>
        </w:rPr>
        <w:t xml:space="preserve">privation de liberté </w:t>
      </w:r>
      <w:r w:rsidRPr="00466CE7">
        <w:rPr>
          <w:rFonts w:eastAsia="Times New Roman"/>
          <w:lang w:val="fr-FR"/>
        </w:rPr>
        <w:t>n</w:t>
      </w:r>
      <w:r>
        <w:rPr>
          <w:rFonts w:eastAsia="Times New Roman"/>
          <w:lang w:val="fr-FR"/>
        </w:rPr>
        <w:t>’a</w:t>
      </w:r>
      <w:r w:rsidRPr="00466CE7">
        <w:rPr>
          <w:rFonts w:eastAsia="Times New Roman"/>
          <w:lang w:val="fr-FR"/>
        </w:rPr>
        <w:t xml:space="preserve"> demandé à bénéficier des services de formation </w:t>
      </w:r>
      <w:r>
        <w:rPr>
          <w:rFonts w:eastAsia="Times New Roman"/>
          <w:lang w:val="fr-FR"/>
        </w:rPr>
        <w:t xml:space="preserve">technique et </w:t>
      </w:r>
      <w:r w:rsidRPr="00466CE7">
        <w:rPr>
          <w:rFonts w:eastAsia="Times New Roman"/>
          <w:lang w:val="fr-FR"/>
        </w:rPr>
        <w:t xml:space="preserve">professionnelle du </w:t>
      </w:r>
      <w:r>
        <w:rPr>
          <w:rFonts w:eastAsia="Times New Roman"/>
          <w:lang w:val="fr-FR"/>
        </w:rPr>
        <w:t>Ministère du travail et du développement social</w:t>
      </w:r>
      <w:r w:rsidRPr="00466CE7">
        <w:rPr>
          <w:rFonts w:eastAsia="Times New Roman"/>
          <w:lang w:val="fr-FR"/>
        </w:rPr>
        <w:t>.</w:t>
      </w:r>
    </w:p>
    <w:p w14:paraId="5FF5D2E4" w14:textId="5101E032" w:rsidR="009C6834" w:rsidRPr="00466CE7" w:rsidRDefault="009C6834" w:rsidP="00426750">
      <w:pPr>
        <w:pStyle w:val="H1G"/>
        <w:rPr>
          <w:lang w:val="fr-FR"/>
        </w:rPr>
      </w:pPr>
      <w:r w:rsidRPr="00466CE7">
        <w:rPr>
          <w:lang w:val="fr-FR"/>
        </w:rPr>
        <w:tab/>
      </w:r>
      <w:r w:rsidRPr="00466CE7">
        <w:rPr>
          <w:lang w:val="fr-FR"/>
        </w:rPr>
        <w:tab/>
      </w:r>
      <w:r w:rsidR="00CB4ECD">
        <w:rPr>
          <w:lang w:val="fr-FR"/>
        </w:rPr>
        <w:t>Article </w:t>
      </w:r>
      <w:r w:rsidRPr="00466CE7">
        <w:rPr>
          <w:lang w:val="fr-FR"/>
        </w:rPr>
        <w:t xml:space="preserve">19 </w:t>
      </w:r>
      <w:r w:rsidRPr="00466CE7">
        <w:rPr>
          <w:lang w:val="fr-FR"/>
        </w:rPr>
        <w:br/>
      </w:r>
      <w:r>
        <w:rPr>
          <w:lang w:val="fr-FR"/>
        </w:rPr>
        <w:t>Sans-abrisme et droit à un logement suffisant</w:t>
      </w:r>
    </w:p>
    <w:p w14:paraId="74A85050" w14:textId="3C34F44B" w:rsidR="009C6834" w:rsidRPr="00466CE7" w:rsidRDefault="009C6834" w:rsidP="009C6834">
      <w:pPr>
        <w:pStyle w:val="SingleTxtG"/>
        <w:rPr>
          <w:rFonts w:eastAsia="Times New Roman"/>
          <w:lang w:val="fr-FR"/>
        </w:rPr>
      </w:pPr>
      <w:r w:rsidRPr="00466CE7">
        <w:rPr>
          <w:rFonts w:eastAsia="Times New Roman"/>
          <w:lang w:val="fr-FR"/>
        </w:rPr>
        <w:t>296.</w:t>
      </w:r>
      <w:r w:rsidRPr="00466CE7">
        <w:rPr>
          <w:rFonts w:eastAsia="Times New Roman"/>
          <w:lang w:val="fr-FR"/>
        </w:rPr>
        <w:tab/>
      </w:r>
      <w:r>
        <w:rPr>
          <w:rFonts w:eastAsia="Times New Roman"/>
          <w:lang w:val="fr-FR"/>
        </w:rPr>
        <w:t xml:space="preserve">Procurer des </w:t>
      </w:r>
      <w:r w:rsidRPr="00466CE7">
        <w:rPr>
          <w:rFonts w:eastAsia="Times New Roman"/>
          <w:lang w:val="fr-FR"/>
        </w:rPr>
        <w:t xml:space="preserve">logements sociaux à la population </w:t>
      </w:r>
      <w:r>
        <w:rPr>
          <w:rFonts w:eastAsia="Times New Roman"/>
          <w:lang w:val="fr-FR"/>
        </w:rPr>
        <w:t xml:space="preserve">est une </w:t>
      </w:r>
      <w:r w:rsidRPr="00466CE7">
        <w:rPr>
          <w:rFonts w:eastAsia="Times New Roman"/>
          <w:lang w:val="fr-FR"/>
        </w:rPr>
        <w:t xml:space="preserve">des </w:t>
      </w:r>
      <w:r>
        <w:rPr>
          <w:rFonts w:eastAsia="Times New Roman"/>
          <w:lang w:val="fr-FR"/>
        </w:rPr>
        <w:t>missions</w:t>
      </w:r>
      <w:r w:rsidRPr="00466CE7">
        <w:rPr>
          <w:rFonts w:eastAsia="Times New Roman"/>
          <w:lang w:val="fr-FR"/>
        </w:rPr>
        <w:t xml:space="preserve"> </w:t>
      </w:r>
      <w:r>
        <w:rPr>
          <w:rFonts w:eastAsia="Times New Roman"/>
          <w:lang w:val="fr-FR"/>
        </w:rPr>
        <w:t xml:space="preserve">fondamentales </w:t>
      </w:r>
      <w:r w:rsidRPr="00466CE7">
        <w:rPr>
          <w:rFonts w:eastAsia="Times New Roman"/>
          <w:lang w:val="fr-FR"/>
        </w:rPr>
        <w:t>de l</w:t>
      </w:r>
      <w:r>
        <w:rPr>
          <w:rFonts w:eastAsia="Times New Roman"/>
          <w:lang w:val="fr-FR"/>
        </w:rPr>
        <w:t>’</w:t>
      </w:r>
      <w:r w:rsidRPr="00466CE7">
        <w:rPr>
          <w:rFonts w:eastAsia="Times New Roman"/>
          <w:lang w:val="fr-FR"/>
        </w:rPr>
        <w:t>État. Selon la norme sanitaire adoptée en République kirghize, la surface habitable par personne ne doit pas être inférieure à 12</w:t>
      </w:r>
      <w:r w:rsidR="00426750">
        <w:rPr>
          <w:rFonts w:eastAsia="Times New Roman"/>
          <w:lang w:val="fr-FR"/>
        </w:rPr>
        <w:t> </w:t>
      </w:r>
      <w:r w:rsidRPr="00466CE7">
        <w:rPr>
          <w:rFonts w:eastAsia="Times New Roman"/>
          <w:lang w:val="fr-FR"/>
        </w:rPr>
        <w:t xml:space="preserve">mètres carrés. </w:t>
      </w:r>
      <w:r>
        <w:rPr>
          <w:rFonts w:eastAsia="Times New Roman"/>
          <w:lang w:val="fr-FR"/>
        </w:rPr>
        <w:t>À titre de comparaison</w:t>
      </w:r>
      <w:r w:rsidRPr="00466CE7">
        <w:rPr>
          <w:rFonts w:eastAsia="Times New Roman"/>
          <w:lang w:val="fr-FR"/>
        </w:rPr>
        <w:t xml:space="preserve">, </w:t>
      </w:r>
      <w:r>
        <w:rPr>
          <w:rFonts w:eastAsia="Times New Roman"/>
          <w:lang w:val="fr-FR"/>
        </w:rPr>
        <w:t xml:space="preserve">la </w:t>
      </w:r>
      <w:r w:rsidRPr="00466CE7">
        <w:rPr>
          <w:rFonts w:eastAsia="Times New Roman"/>
          <w:lang w:val="fr-FR"/>
        </w:rPr>
        <w:t>norme da</w:t>
      </w:r>
      <w:r>
        <w:rPr>
          <w:rFonts w:eastAsia="Times New Roman"/>
          <w:lang w:val="fr-FR"/>
        </w:rPr>
        <w:t xml:space="preserve">ns les États membres de la CEI </w:t>
      </w:r>
      <w:r w:rsidRPr="00466CE7">
        <w:rPr>
          <w:rFonts w:eastAsia="Times New Roman"/>
          <w:lang w:val="fr-FR"/>
        </w:rPr>
        <w:t>est de 18</w:t>
      </w:r>
      <w:r w:rsidR="00426750">
        <w:rPr>
          <w:rFonts w:eastAsia="Times New Roman"/>
          <w:lang w:val="fr-FR"/>
        </w:rPr>
        <w:t> </w:t>
      </w:r>
      <w:r w:rsidRPr="00466CE7">
        <w:rPr>
          <w:rFonts w:eastAsia="Times New Roman"/>
          <w:lang w:val="fr-FR"/>
        </w:rPr>
        <w:t>mètres carrés par personne.</w:t>
      </w:r>
    </w:p>
    <w:p w14:paraId="781E04F2" w14:textId="2AF32DFC" w:rsidR="009C6834" w:rsidRPr="00466CE7" w:rsidRDefault="009C6834" w:rsidP="00E1792A">
      <w:pPr>
        <w:pStyle w:val="SingleTxtG"/>
        <w:keepLines/>
        <w:rPr>
          <w:rFonts w:eastAsia="Times New Roman"/>
          <w:lang w:val="fr-FR"/>
        </w:rPr>
      </w:pPr>
      <w:r w:rsidRPr="00466CE7">
        <w:rPr>
          <w:rFonts w:eastAsia="Times New Roman"/>
          <w:lang w:val="fr-FR"/>
        </w:rPr>
        <w:lastRenderedPageBreak/>
        <w:t>297.</w:t>
      </w:r>
      <w:r>
        <w:rPr>
          <w:rFonts w:eastAsia="Times New Roman"/>
          <w:lang w:val="fr-FR"/>
        </w:rPr>
        <w:tab/>
        <w:t xml:space="preserve">Selon les chiffres officiels, la surface habitable au Kirghizistan était de </w:t>
      </w:r>
      <w:r w:rsidRPr="00466CE7">
        <w:rPr>
          <w:rFonts w:eastAsia="Times New Roman"/>
          <w:lang w:val="fr-FR"/>
        </w:rPr>
        <w:t>12,2</w:t>
      </w:r>
      <w:r w:rsidR="00426750">
        <w:rPr>
          <w:rFonts w:eastAsia="Times New Roman"/>
          <w:lang w:val="fr-FR"/>
        </w:rPr>
        <w:t> </w:t>
      </w:r>
      <w:r w:rsidRPr="00466CE7">
        <w:rPr>
          <w:rFonts w:eastAsia="Times New Roman"/>
          <w:lang w:val="fr-FR"/>
        </w:rPr>
        <w:t>mèt</w:t>
      </w:r>
      <w:r>
        <w:rPr>
          <w:rFonts w:eastAsia="Times New Roman"/>
          <w:lang w:val="fr-FR"/>
        </w:rPr>
        <w:t>res carrés par personne en 1991 et elle se situe actuellement à ce niveau</w:t>
      </w:r>
      <w:r w:rsidRPr="00466CE7">
        <w:rPr>
          <w:rFonts w:eastAsia="Times New Roman"/>
          <w:lang w:val="fr-FR"/>
        </w:rPr>
        <w:t xml:space="preserve">. </w:t>
      </w:r>
      <w:r>
        <w:rPr>
          <w:rFonts w:eastAsia="Times New Roman"/>
          <w:lang w:val="fr-FR"/>
        </w:rPr>
        <w:t xml:space="preserve">Le maximum pour les </w:t>
      </w:r>
      <w:r w:rsidR="00224CCB">
        <w:rPr>
          <w:rFonts w:eastAsia="Times New Roman"/>
          <w:lang w:val="fr-FR"/>
        </w:rPr>
        <w:t>vingt</w:t>
      </w:r>
      <w:r w:rsidR="00224CCB">
        <w:rPr>
          <w:rFonts w:eastAsia="Times New Roman"/>
          <w:lang w:val="fr-FR"/>
        </w:rPr>
        <w:noBreakHyphen/>
        <w:t>cinq</w:t>
      </w:r>
      <w:r w:rsidRPr="00466CE7">
        <w:rPr>
          <w:rFonts w:eastAsia="Times New Roman"/>
          <w:lang w:val="fr-FR"/>
        </w:rPr>
        <w:t xml:space="preserve"> dernières années </w:t>
      </w:r>
      <w:r>
        <w:rPr>
          <w:rFonts w:eastAsia="Times New Roman"/>
          <w:lang w:val="fr-FR"/>
        </w:rPr>
        <w:t>a été</w:t>
      </w:r>
      <w:r w:rsidRPr="0008616E">
        <w:rPr>
          <w:rFonts w:eastAsia="Times New Roman"/>
          <w:lang w:val="fr-FR"/>
        </w:rPr>
        <w:t xml:space="preserve"> </w:t>
      </w:r>
      <w:r>
        <w:rPr>
          <w:rFonts w:eastAsia="Times New Roman"/>
          <w:lang w:val="fr-FR"/>
        </w:rPr>
        <w:t xml:space="preserve">atteint en 2010, avec </w:t>
      </w:r>
      <w:r w:rsidRPr="00466CE7">
        <w:rPr>
          <w:rFonts w:eastAsia="Times New Roman"/>
          <w:lang w:val="fr-FR"/>
        </w:rPr>
        <w:t>15,7</w:t>
      </w:r>
      <w:r w:rsidR="00426750">
        <w:rPr>
          <w:rFonts w:eastAsia="Times New Roman"/>
          <w:lang w:val="fr-FR"/>
        </w:rPr>
        <w:t> </w:t>
      </w:r>
      <w:r w:rsidRPr="00466CE7">
        <w:rPr>
          <w:rFonts w:eastAsia="Times New Roman"/>
          <w:lang w:val="fr-FR"/>
        </w:rPr>
        <w:t>mètres carrés</w:t>
      </w:r>
      <w:r>
        <w:rPr>
          <w:rFonts w:eastAsia="Times New Roman"/>
          <w:lang w:val="fr-FR"/>
        </w:rPr>
        <w:t xml:space="preserve"> en moyenne par personne</w:t>
      </w:r>
      <w:r w:rsidRPr="00466CE7">
        <w:rPr>
          <w:rFonts w:eastAsia="Times New Roman"/>
          <w:lang w:val="fr-FR"/>
        </w:rPr>
        <w:t>. Malgré la création d</w:t>
      </w:r>
      <w:r>
        <w:rPr>
          <w:rFonts w:eastAsia="Times New Roman"/>
          <w:lang w:val="fr-FR"/>
        </w:rPr>
        <w:t>’</w:t>
      </w:r>
      <w:r w:rsidRPr="00466CE7">
        <w:rPr>
          <w:rFonts w:eastAsia="Times New Roman"/>
          <w:lang w:val="fr-FR"/>
        </w:rPr>
        <w:t xml:space="preserve">un cadre </w:t>
      </w:r>
      <w:r>
        <w:rPr>
          <w:rFonts w:eastAsia="Times New Roman"/>
          <w:lang w:val="fr-FR"/>
        </w:rPr>
        <w:t xml:space="preserve">réglementant le </w:t>
      </w:r>
      <w:r w:rsidRPr="00466CE7">
        <w:rPr>
          <w:rFonts w:eastAsia="Times New Roman"/>
          <w:lang w:val="fr-FR"/>
        </w:rPr>
        <w:t xml:space="preserve">marché du logement au </w:t>
      </w:r>
      <w:r w:rsidR="000479B3">
        <w:rPr>
          <w:rFonts w:eastAsia="Times New Roman"/>
          <w:lang w:val="fr-FR"/>
        </w:rPr>
        <w:t>Kirghizistan</w:t>
      </w:r>
      <w:r w:rsidRPr="00466CE7">
        <w:rPr>
          <w:rFonts w:eastAsia="Times New Roman"/>
          <w:lang w:val="fr-FR"/>
        </w:rPr>
        <w:t>, seul un nombre limité de personnes disposant de revenus relativement élevés sont actuellement en mesure d</w:t>
      </w:r>
      <w:r>
        <w:rPr>
          <w:rFonts w:eastAsia="Times New Roman"/>
          <w:lang w:val="fr-FR"/>
        </w:rPr>
        <w:t>’</w:t>
      </w:r>
      <w:r w:rsidRPr="00466CE7">
        <w:rPr>
          <w:rFonts w:eastAsia="Times New Roman"/>
          <w:lang w:val="fr-FR"/>
        </w:rPr>
        <w:t>ac</w:t>
      </w:r>
      <w:r>
        <w:rPr>
          <w:rFonts w:eastAsia="Times New Roman"/>
          <w:lang w:val="fr-FR"/>
        </w:rPr>
        <w:t xml:space="preserve">quérir </w:t>
      </w:r>
      <w:r w:rsidRPr="00466CE7">
        <w:rPr>
          <w:rFonts w:eastAsia="Times New Roman"/>
          <w:lang w:val="fr-FR"/>
        </w:rPr>
        <w:t xml:space="preserve">un logement en </w:t>
      </w:r>
      <w:r>
        <w:rPr>
          <w:rFonts w:eastAsia="Times New Roman"/>
          <w:lang w:val="fr-FR"/>
        </w:rPr>
        <w:t xml:space="preserve">passant par les </w:t>
      </w:r>
      <w:r w:rsidRPr="00466CE7">
        <w:rPr>
          <w:rFonts w:eastAsia="Times New Roman"/>
          <w:lang w:val="fr-FR"/>
        </w:rPr>
        <w:t>mécanismes du marché.</w:t>
      </w:r>
    </w:p>
    <w:p w14:paraId="32B0A9BB" w14:textId="51B53681" w:rsidR="009C6834" w:rsidRPr="00466CE7" w:rsidRDefault="009C6834" w:rsidP="009C6834">
      <w:pPr>
        <w:pStyle w:val="SingleTxtG"/>
        <w:rPr>
          <w:rFonts w:eastAsia="Times New Roman"/>
          <w:lang w:val="fr-FR"/>
        </w:rPr>
      </w:pPr>
      <w:r w:rsidRPr="00466CE7">
        <w:rPr>
          <w:rFonts w:eastAsia="Times New Roman"/>
          <w:lang w:val="fr-FR"/>
        </w:rPr>
        <w:t>298.</w:t>
      </w:r>
      <w:r w:rsidRPr="00466CE7">
        <w:rPr>
          <w:rFonts w:eastAsia="Times New Roman"/>
          <w:lang w:val="fr-FR"/>
        </w:rPr>
        <w:tab/>
      </w:r>
      <w:r>
        <w:rPr>
          <w:rFonts w:eastAsia="Times New Roman"/>
          <w:lang w:val="fr-FR"/>
        </w:rPr>
        <w:t>Soucieux de garantir à la population un accès au logement</w:t>
      </w:r>
      <w:r w:rsidRPr="00466CE7">
        <w:rPr>
          <w:rFonts w:eastAsia="Times New Roman"/>
          <w:lang w:val="fr-FR"/>
        </w:rPr>
        <w:t xml:space="preserve">, le </w:t>
      </w:r>
      <w:r w:rsidR="00224CCB" w:rsidRPr="00466CE7">
        <w:rPr>
          <w:rFonts w:eastAsia="Times New Roman"/>
          <w:lang w:val="fr-FR"/>
        </w:rPr>
        <w:t xml:space="preserve">Gouvernement </w:t>
      </w:r>
      <w:r w:rsidRPr="00466CE7">
        <w:rPr>
          <w:rFonts w:eastAsia="Times New Roman"/>
          <w:lang w:val="fr-FR"/>
        </w:rPr>
        <w:t xml:space="preserve">a lancé </w:t>
      </w:r>
      <w:r>
        <w:rPr>
          <w:rFonts w:eastAsia="Times New Roman"/>
          <w:lang w:val="fr-FR"/>
        </w:rPr>
        <w:t>en 2015 un programme d</w:t>
      </w:r>
      <w:r w:rsidRPr="00466CE7">
        <w:rPr>
          <w:rFonts w:eastAsia="Times New Roman"/>
          <w:lang w:val="fr-FR"/>
        </w:rPr>
        <w:t>e logement abordable</w:t>
      </w:r>
      <w:r>
        <w:rPr>
          <w:rFonts w:eastAsia="Times New Roman"/>
          <w:lang w:val="fr-FR"/>
        </w:rPr>
        <w:t xml:space="preserve"> pour la période</w:t>
      </w:r>
      <w:r w:rsidRPr="00466CE7">
        <w:rPr>
          <w:rFonts w:eastAsia="Times New Roman"/>
          <w:lang w:val="fr-FR"/>
        </w:rPr>
        <w:t xml:space="preserve"> 2015-2020. </w:t>
      </w:r>
    </w:p>
    <w:p w14:paraId="3E6C417A" w14:textId="77777777" w:rsidR="009C6834" w:rsidRPr="00466CE7" w:rsidRDefault="009C6834" w:rsidP="009C6834">
      <w:pPr>
        <w:pStyle w:val="SingleTxtG"/>
        <w:rPr>
          <w:rFonts w:eastAsia="Times New Roman"/>
          <w:lang w:val="fr-FR"/>
        </w:rPr>
      </w:pPr>
      <w:bookmarkStart w:id="1" w:name="_Hlk89265030"/>
      <w:r w:rsidRPr="00466CE7">
        <w:rPr>
          <w:rFonts w:eastAsia="Times New Roman"/>
          <w:lang w:val="fr-FR"/>
        </w:rPr>
        <w:t>299.</w:t>
      </w:r>
      <w:r w:rsidRPr="00466CE7">
        <w:rPr>
          <w:rFonts w:eastAsia="Times New Roman"/>
          <w:lang w:val="fr-FR"/>
        </w:rPr>
        <w:tab/>
      </w:r>
      <w:r>
        <w:rPr>
          <w:rFonts w:eastAsia="Times New Roman"/>
          <w:lang w:val="fr-FR"/>
        </w:rPr>
        <w:t xml:space="preserve">Le </w:t>
      </w:r>
      <w:r w:rsidRPr="00466CE7">
        <w:rPr>
          <w:rFonts w:eastAsia="Times New Roman"/>
          <w:lang w:val="fr-FR"/>
        </w:rPr>
        <w:t>GI</w:t>
      </w:r>
      <w:r>
        <w:rPr>
          <w:rFonts w:eastAsia="Times New Roman"/>
          <w:lang w:val="fr-FR"/>
        </w:rPr>
        <w:t>K</w:t>
      </w:r>
      <w:r w:rsidRPr="00466CE7">
        <w:rPr>
          <w:rFonts w:eastAsia="Times New Roman"/>
          <w:lang w:val="fr-FR"/>
        </w:rPr>
        <w:t xml:space="preserve"> </w:t>
      </w:r>
      <w:r>
        <w:rPr>
          <w:rFonts w:eastAsia="Times New Roman"/>
          <w:lang w:val="fr-FR"/>
        </w:rPr>
        <w:t xml:space="preserve">(société hypothécaire publique) </w:t>
      </w:r>
      <w:r w:rsidRPr="00466CE7">
        <w:rPr>
          <w:rFonts w:eastAsia="Times New Roman"/>
          <w:lang w:val="fr-FR"/>
        </w:rPr>
        <w:t>est l</w:t>
      </w:r>
      <w:r>
        <w:rPr>
          <w:rFonts w:eastAsia="Times New Roman"/>
          <w:lang w:val="fr-FR"/>
        </w:rPr>
        <w:t>’</w:t>
      </w:r>
      <w:r w:rsidRPr="00466CE7">
        <w:rPr>
          <w:rFonts w:eastAsia="Times New Roman"/>
          <w:lang w:val="fr-FR"/>
        </w:rPr>
        <w:t xml:space="preserve">organisme </w:t>
      </w:r>
      <w:r>
        <w:rPr>
          <w:rFonts w:eastAsia="Times New Roman"/>
          <w:lang w:val="fr-FR"/>
        </w:rPr>
        <w:t xml:space="preserve">habilité à mettre </w:t>
      </w:r>
      <w:r w:rsidRPr="00466CE7">
        <w:rPr>
          <w:rFonts w:eastAsia="Times New Roman"/>
          <w:lang w:val="fr-FR"/>
        </w:rPr>
        <w:t xml:space="preserve">en œuvre </w:t>
      </w:r>
      <w:r>
        <w:rPr>
          <w:rFonts w:eastAsia="Times New Roman"/>
          <w:lang w:val="fr-FR"/>
        </w:rPr>
        <w:t xml:space="preserve">ce </w:t>
      </w:r>
      <w:r w:rsidRPr="00466CE7">
        <w:rPr>
          <w:rFonts w:eastAsia="Times New Roman"/>
          <w:lang w:val="fr-FR"/>
        </w:rPr>
        <w:t>programme.</w:t>
      </w:r>
    </w:p>
    <w:bookmarkEnd w:id="1"/>
    <w:p w14:paraId="5A18B74A" w14:textId="5D63C3CD" w:rsidR="009C6834" w:rsidRPr="00466CE7" w:rsidRDefault="009C6834" w:rsidP="009C6834">
      <w:pPr>
        <w:pStyle w:val="SingleTxtG"/>
        <w:rPr>
          <w:rFonts w:eastAsia="Times New Roman"/>
          <w:lang w:val="fr-FR"/>
        </w:rPr>
      </w:pPr>
      <w:r w:rsidRPr="00466CE7">
        <w:rPr>
          <w:rFonts w:eastAsia="Times New Roman"/>
          <w:lang w:val="fr-FR"/>
        </w:rPr>
        <w:t>300.</w:t>
      </w:r>
      <w:r w:rsidRPr="00466CE7">
        <w:rPr>
          <w:rFonts w:eastAsia="Times New Roman"/>
          <w:lang w:val="fr-FR"/>
        </w:rPr>
        <w:tab/>
        <w:t>Par l</w:t>
      </w:r>
      <w:r>
        <w:rPr>
          <w:rFonts w:eastAsia="Times New Roman"/>
          <w:lang w:val="fr-FR"/>
        </w:rPr>
        <w:t xml:space="preserve">’intermédiaire </w:t>
      </w:r>
      <w:r w:rsidRPr="00466CE7">
        <w:rPr>
          <w:rFonts w:eastAsia="Times New Roman"/>
          <w:lang w:val="fr-FR"/>
        </w:rPr>
        <w:t>de 13</w:t>
      </w:r>
      <w:r w:rsidR="00224CCB">
        <w:rPr>
          <w:rFonts w:eastAsia="Times New Roman"/>
          <w:lang w:val="fr-FR"/>
        </w:rPr>
        <w:t> </w:t>
      </w:r>
      <w:r w:rsidRPr="00466CE7">
        <w:rPr>
          <w:rFonts w:eastAsia="Times New Roman"/>
          <w:lang w:val="fr-FR"/>
        </w:rPr>
        <w:t>banques partenaires, 5</w:t>
      </w:r>
      <w:r w:rsidR="00426750">
        <w:rPr>
          <w:rFonts w:eastAsia="Times New Roman"/>
          <w:lang w:val="fr-FR"/>
        </w:rPr>
        <w:t> </w:t>
      </w:r>
      <w:r w:rsidRPr="00466CE7">
        <w:rPr>
          <w:rFonts w:eastAsia="Times New Roman"/>
          <w:lang w:val="fr-FR"/>
        </w:rPr>
        <w:t>399</w:t>
      </w:r>
      <w:r w:rsidR="00426750">
        <w:rPr>
          <w:rFonts w:eastAsia="Times New Roman"/>
          <w:lang w:val="fr-FR"/>
        </w:rPr>
        <w:t> </w:t>
      </w:r>
      <w:r>
        <w:rPr>
          <w:rFonts w:eastAsia="Times New Roman"/>
          <w:lang w:val="fr-FR"/>
        </w:rPr>
        <w:t xml:space="preserve">crédits d’un montant total </w:t>
      </w:r>
      <w:r w:rsidRPr="00466CE7">
        <w:rPr>
          <w:rFonts w:eastAsia="Times New Roman"/>
          <w:lang w:val="fr-FR"/>
        </w:rPr>
        <w:t>de plus de 6</w:t>
      </w:r>
      <w:r w:rsidR="00426750">
        <w:rPr>
          <w:rFonts w:eastAsia="Times New Roman"/>
          <w:lang w:val="fr-FR"/>
        </w:rPr>
        <w:t> </w:t>
      </w:r>
      <w:r w:rsidRPr="00466CE7">
        <w:rPr>
          <w:rFonts w:eastAsia="Times New Roman"/>
          <w:lang w:val="fr-FR"/>
        </w:rPr>
        <w:t>581</w:t>
      </w:r>
      <w:r w:rsidR="00426750">
        <w:rPr>
          <w:rFonts w:eastAsia="Times New Roman"/>
          <w:lang w:val="fr-FR"/>
        </w:rPr>
        <w:t> </w:t>
      </w:r>
      <w:r w:rsidRPr="00466CE7">
        <w:rPr>
          <w:rFonts w:eastAsia="Times New Roman"/>
          <w:lang w:val="fr-FR"/>
        </w:rPr>
        <w:t>336</w:t>
      </w:r>
      <w:r w:rsidR="00426750">
        <w:rPr>
          <w:rFonts w:eastAsia="Times New Roman"/>
          <w:lang w:val="fr-FR"/>
        </w:rPr>
        <w:t> </w:t>
      </w:r>
      <w:r w:rsidRPr="00466CE7">
        <w:rPr>
          <w:rFonts w:eastAsia="Times New Roman"/>
          <w:lang w:val="fr-FR"/>
        </w:rPr>
        <w:t>268</w:t>
      </w:r>
      <w:r w:rsidR="00426750">
        <w:rPr>
          <w:rFonts w:eastAsia="Times New Roman"/>
          <w:lang w:val="fr-FR"/>
        </w:rPr>
        <w:t> </w:t>
      </w:r>
      <w:proofErr w:type="spellStart"/>
      <w:r>
        <w:rPr>
          <w:rFonts w:eastAsia="Times New Roman"/>
          <w:lang w:val="fr-FR"/>
        </w:rPr>
        <w:t>soms</w:t>
      </w:r>
      <w:proofErr w:type="spellEnd"/>
      <w:r w:rsidRPr="00466CE7">
        <w:rPr>
          <w:rFonts w:eastAsia="Times New Roman"/>
          <w:lang w:val="fr-FR"/>
        </w:rPr>
        <w:t xml:space="preserve"> ont été émis. Environ 18</w:t>
      </w:r>
      <w:r w:rsidR="00426750">
        <w:rPr>
          <w:rFonts w:eastAsia="Times New Roman"/>
          <w:lang w:val="fr-FR"/>
        </w:rPr>
        <w:t> </w:t>
      </w:r>
      <w:r w:rsidRPr="00466CE7">
        <w:rPr>
          <w:rFonts w:eastAsia="Times New Roman"/>
          <w:lang w:val="fr-FR"/>
        </w:rPr>
        <w:t>000</w:t>
      </w:r>
      <w:r w:rsidR="00426750">
        <w:rPr>
          <w:rFonts w:eastAsia="Times New Roman"/>
          <w:lang w:val="fr-FR"/>
        </w:rPr>
        <w:t> </w:t>
      </w:r>
      <w:r w:rsidRPr="00466CE7">
        <w:rPr>
          <w:rFonts w:eastAsia="Times New Roman"/>
          <w:lang w:val="fr-FR"/>
        </w:rPr>
        <w:t xml:space="preserve">personnes ont </w:t>
      </w:r>
      <w:r>
        <w:rPr>
          <w:rFonts w:eastAsia="Times New Roman"/>
          <w:lang w:val="fr-FR"/>
        </w:rPr>
        <w:t xml:space="preserve">pu accéder à </w:t>
      </w:r>
      <w:r w:rsidRPr="00466CE7">
        <w:rPr>
          <w:rFonts w:eastAsia="Times New Roman"/>
          <w:lang w:val="fr-FR"/>
        </w:rPr>
        <w:t>un logement. En outre, plus de 6</w:t>
      </w:r>
      <w:r w:rsidR="00426750">
        <w:rPr>
          <w:rFonts w:eastAsia="Times New Roman"/>
          <w:lang w:val="fr-FR"/>
        </w:rPr>
        <w:t> </w:t>
      </w:r>
      <w:r w:rsidRPr="00466CE7">
        <w:rPr>
          <w:rFonts w:eastAsia="Times New Roman"/>
          <w:lang w:val="fr-FR"/>
        </w:rPr>
        <w:t>000</w:t>
      </w:r>
      <w:r w:rsidR="00426750">
        <w:rPr>
          <w:rFonts w:eastAsia="Times New Roman"/>
          <w:lang w:val="fr-FR"/>
        </w:rPr>
        <w:t> </w:t>
      </w:r>
      <w:r>
        <w:rPr>
          <w:rFonts w:eastAsia="Times New Roman"/>
          <w:lang w:val="fr-FR"/>
        </w:rPr>
        <w:t>personnes</w:t>
      </w:r>
      <w:r w:rsidRPr="00466CE7">
        <w:rPr>
          <w:rFonts w:eastAsia="Times New Roman"/>
          <w:lang w:val="fr-FR"/>
        </w:rPr>
        <w:t xml:space="preserve"> sont inscrit</w:t>
      </w:r>
      <w:r>
        <w:rPr>
          <w:rFonts w:eastAsia="Times New Roman"/>
          <w:lang w:val="fr-FR"/>
        </w:rPr>
        <w:t>e</w:t>
      </w:r>
      <w:r w:rsidRPr="00466CE7">
        <w:rPr>
          <w:rFonts w:eastAsia="Times New Roman"/>
          <w:lang w:val="fr-FR"/>
        </w:rPr>
        <w:t xml:space="preserve">s sur la liste des </w:t>
      </w:r>
      <w:r>
        <w:rPr>
          <w:rFonts w:eastAsia="Times New Roman"/>
          <w:lang w:val="fr-FR"/>
        </w:rPr>
        <w:t xml:space="preserve">participants au </w:t>
      </w:r>
      <w:r w:rsidRPr="00466CE7">
        <w:rPr>
          <w:rFonts w:eastAsia="Times New Roman"/>
          <w:lang w:val="fr-FR"/>
        </w:rPr>
        <w:t xml:space="preserve">programme, </w:t>
      </w:r>
      <w:r>
        <w:rPr>
          <w:rFonts w:eastAsia="Times New Roman"/>
          <w:lang w:val="fr-FR"/>
        </w:rPr>
        <w:t xml:space="preserve">pour lesquelles un financement </w:t>
      </w:r>
      <w:r w:rsidRPr="00466CE7">
        <w:rPr>
          <w:rFonts w:eastAsia="Times New Roman"/>
          <w:lang w:val="fr-FR"/>
        </w:rPr>
        <w:t>supplémentaire de plus de 9</w:t>
      </w:r>
      <w:r w:rsidR="00426750">
        <w:rPr>
          <w:rFonts w:eastAsia="Times New Roman"/>
          <w:lang w:val="fr-FR"/>
        </w:rPr>
        <w:t> </w:t>
      </w:r>
      <w:r w:rsidRPr="00466CE7">
        <w:rPr>
          <w:rFonts w:eastAsia="Times New Roman"/>
          <w:lang w:val="fr-FR"/>
        </w:rPr>
        <w:t xml:space="preserve">milliards de </w:t>
      </w:r>
      <w:proofErr w:type="spellStart"/>
      <w:r w:rsidRPr="00466CE7">
        <w:rPr>
          <w:rFonts w:eastAsia="Times New Roman"/>
          <w:lang w:val="fr-FR"/>
        </w:rPr>
        <w:t>soms</w:t>
      </w:r>
      <w:proofErr w:type="spellEnd"/>
      <w:r>
        <w:rPr>
          <w:rFonts w:eastAsia="Times New Roman"/>
          <w:lang w:val="fr-FR"/>
        </w:rPr>
        <w:t xml:space="preserve"> est requis</w:t>
      </w:r>
      <w:r w:rsidRPr="00466CE7">
        <w:rPr>
          <w:rFonts w:eastAsia="Times New Roman"/>
          <w:lang w:val="fr-FR"/>
        </w:rPr>
        <w:t xml:space="preserve">. </w:t>
      </w:r>
      <w:r>
        <w:rPr>
          <w:rFonts w:eastAsia="Times New Roman"/>
          <w:lang w:val="fr-FR"/>
        </w:rPr>
        <w:t xml:space="preserve">Le </w:t>
      </w:r>
      <w:r w:rsidRPr="00466CE7">
        <w:rPr>
          <w:rFonts w:eastAsia="Times New Roman"/>
          <w:lang w:val="fr-FR"/>
        </w:rPr>
        <w:t>1</w:t>
      </w:r>
      <w:r w:rsidRPr="00224CCB">
        <w:rPr>
          <w:rFonts w:eastAsia="Times New Roman"/>
          <w:vertAlign w:val="superscript"/>
          <w:lang w:val="fr-FR"/>
        </w:rPr>
        <w:t>er</w:t>
      </w:r>
      <w:r w:rsidR="00224CCB">
        <w:rPr>
          <w:rFonts w:eastAsia="Times New Roman"/>
          <w:lang w:val="fr-FR"/>
        </w:rPr>
        <w:t> </w:t>
      </w:r>
      <w:r w:rsidRPr="00466CE7">
        <w:rPr>
          <w:rFonts w:eastAsia="Times New Roman"/>
          <w:lang w:val="fr-FR"/>
        </w:rPr>
        <w:t>novembre 2019, les taux d</w:t>
      </w:r>
      <w:r>
        <w:rPr>
          <w:rFonts w:eastAsia="Times New Roman"/>
          <w:lang w:val="fr-FR"/>
        </w:rPr>
        <w:t>’</w:t>
      </w:r>
      <w:r w:rsidRPr="00466CE7">
        <w:rPr>
          <w:rFonts w:eastAsia="Times New Roman"/>
          <w:lang w:val="fr-FR"/>
        </w:rPr>
        <w:t xml:space="preserve">intérêt ont été réduits </w:t>
      </w:r>
      <w:r>
        <w:rPr>
          <w:rFonts w:eastAsia="Times New Roman"/>
          <w:lang w:val="fr-FR"/>
        </w:rPr>
        <w:t xml:space="preserve">à </w:t>
      </w:r>
      <w:r w:rsidRPr="00466CE7">
        <w:rPr>
          <w:rFonts w:eastAsia="Times New Roman"/>
          <w:lang w:val="fr-FR"/>
        </w:rPr>
        <w:t>6</w:t>
      </w:r>
      <w:r>
        <w:rPr>
          <w:rFonts w:eastAsia="Times New Roman"/>
          <w:lang w:val="fr-FR"/>
        </w:rPr>
        <w:t>-</w:t>
      </w:r>
      <w:r w:rsidRPr="00466CE7">
        <w:rPr>
          <w:rFonts w:eastAsia="Times New Roman"/>
          <w:lang w:val="fr-FR"/>
        </w:rPr>
        <w:t>8</w:t>
      </w:r>
      <w:r w:rsidR="00CB4ECD">
        <w:rPr>
          <w:rFonts w:eastAsia="Times New Roman"/>
          <w:lang w:val="fr-FR"/>
        </w:rPr>
        <w:t> %</w:t>
      </w:r>
      <w:r w:rsidRPr="00466CE7">
        <w:rPr>
          <w:rFonts w:eastAsia="Times New Roman"/>
          <w:lang w:val="fr-FR"/>
        </w:rPr>
        <w:t xml:space="preserve"> par an.</w:t>
      </w:r>
    </w:p>
    <w:p w14:paraId="013C8726" w14:textId="0F45F266" w:rsidR="009C6834" w:rsidRPr="00466CE7" w:rsidRDefault="009C6834" w:rsidP="009C6834">
      <w:pPr>
        <w:pStyle w:val="SingleTxtG"/>
        <w:rPr>
          <w:rFonts w:eastAsia="Times New Roman"/>
          <w:lang w:val="fr-FR"/>
        </w:rPr>
      </w:pPr>
      <w:r w:rsidRPr="00466CE7">
        <w:rPr>
          <w:rFonts w:eastAsia="Times New Roman"/>
          <w:lang w:val="fr-FR"/>
        </w:rPr>
        <w:t>301.</w:t>
      </w:r>
      <w:r w:rsidRPr="00466CE7">
        <w:rPr>
          <w:rFonts w:eastAsia="Times New Roman"/>
          <w:lang w:val="fr-FR"/>
        </w:rPr>
        <w:tab/>
        <w:t>Les taux d</w:t>
      </w:r>
      <w:r>
        <w:rPr>
          <w:rFonts w:eastAsia="Times New Roman"/>
          <w:lang w:val="fr-FR"/>
        </w:rPr>
        <w:t>’</w:t>
      </w:r>
      <w:r w:rsidRPr="00466CE7">
        <w:rPr>
          <w:rFonts w:eastAsia="Times New Roman"/>
          <w:lang w:val="fr-FR"/>
        </w:rPr>
        <w:t xml:space="preserve">intérêt </w:t>
      </w:r>
      <w:r>
        <w:rPr>
          <w:rFonts w:eastAsia="Times New Roman"/>
          <w:lang w:val="fr-FR"/>
        </w:rPr>
        <w:t xml:space="preserve">annuels </w:t>
      </w:r>
      <w:r w:rsidRPr="00466CE7">
        <w:rPr>
          <w:rFonts w:eastAsia="Times New Roman"/>
          <w:lang w:val="fr-FR"/>
        </w:rPr>
        <w:t>sur les prêts hypothécaires ont été réduits à cinq reprises</w:t>
      </w:r>
      <w:r>
        <w:rPr>
          <w:rFonts w:eastAsia="Times New Roman"/>
          <w:lang w:val="fr-FR"/>
        </w:rPr>
        <w:t> :</w:t>
      </w:r>
      <w:r w:rsidRPr="00466CE7">
        <w:rPr>
          <w:rFonts w:eastAsia="Times New Roman"/>
          <w:lang w:val="fr-FR"/>
        </w:rPr>
        <w:t xml:space="preserve"> en 20</w:t>
      </w:r>
      <w:r>
        <w:rPr>
          <w:rFonts w:eastAsia="Times New Roman"/>
          <w:lang w:val="fr-FR"/>
        </w:rPr>
        <w:t>16, de 12-14</w:t>
      </w:r>
      <w:r w:rsidR="00CB4ECD">
        <w:rPr>
          <w:rFonts w:eastAsia="Times New Roman"/>
          <w:lang w:val="fr-FR"/>
        </w:rPr>
        <w:t> %</w:t>
      </w:r>
      <w:r>
        <w:rPr>
          <w:rFonts w:eastAsia="Times New Roman"/>
          <w:lang w:val="fr-FR"/>
        </w:rPr>
        <w:t xml:space="preserve"> à 10-12</w:t>
      </w:r>
      <w:r w:rsidR="00CB4ECD">
        <w:rPr>
          <w:rFonts w:eastAsia="Times New Roman"/>
          <w:lang w:val="fr-FR"/>
        </w:rPr>
        <w:t> %</w:t>
      </w:r>
      <w:r w:rsidR="00426750">
        <w:rPr>
          <w:rFonts w:eastAsia="Times New Roman"/>
          <w:lang w:val="fr-FR"/>
        </w:rPr>
        <w:t> </w:t>
      </w:r>
      <w:r>
        <w:rPr>
          <w:rFonts w:eastAsia="Times New Roman"/>
          <w:lang w:val="fr-FR"/>
        </w:rPr>
        <w:t>; en 2017, à 8-10</w:t>
      </w:r>
      <w:r w:rsidR="00CB4ECD">
        <w:rPr>
          <w:rFonts w:eastAsia="Times New Roman"/>
          <w:lang w:val="fr-FR"/>
        </w:rPr>
        <w:t> %</w:t>
      </w:r>
      <w:r w:rsidR="00426750">
        <w:rPr>
          <w:rFonts w:eastAsia="Times New Roman"/>
          <w:lang w:val="fr-FR"/>
        </w:rPr>
        <w:t> </w:t>
      </w:r>
      <w:r>
        <w:rPr>
          <w:rFonts w:eastAsia="Times New Roman"/>
          <w:lang w:val="fr-FR"/>
        </w:rPr>
        <w:t>;</w:t>
      </w:r>
      <w:r w:rsidRPr="00466CE7">
        <w:rPr>
          <w:rFonts w:eastAsia="Times New Roman"/>
          <w:lang w:val="fr-FR"/>
        </w:rPr>
        <w:t xml:space="preserve"> en </w:t>
      </w:r>
      <w:r>
        <w:rPr>
          <w:rFonts w:eastAsia="Times New Roman"/>
          <w:lang w:val="fr-FR"/>
        </w:rPr>
        <w:t xml:space="preserve">novembre 2018, </w:t>
      </w:r>
      <w:r w:rsidRPr="00466CE7">
        <w:rPr>
          <w:rFonts w:eastAsia="Times New Roman"/>
          <w:lang w:val="fr-FR"/>
        </w:rPr>
        <w:t>à 6-8</w:t>
      </w:r>
      <w:r w:rsidR="00CB4ECD">
        <w:rPr>
          <w:rFonts w:eastAsia="Times New Roman"/>
          <w:lang w:val="fr-FR"/>
        </w:rPr>
        <w:t> %</w:t>
      </w:r>
      <w:r>
        <w:rPr>
          <w:rFonts w:eastAsia="Times New Roman"/>
          <w:lang w:val="fr-FR"/>
        </w:rPr>
        <w:t xml:space="preserve"> ; en </w:t>
      </w:r>
      <w:r w:rsidRPr="00466CE7">
        <w:rPr>
          <w:rFonts w:eastAsia="Times New Roman"/>
          <w:lang w:val="fr-FR"/>
        </w:rPr>
        <w:t xml:space="preserve">novembre 2019, </w:t>
      </w:r>
      <w:r>
        <w:rPr>
          <w:rFonts w:eastAsia="Times New Roman"/>
          <w:lang w:val="fr-FR"/>
        </w:rPr>
        <w:t>à 6-8</w:t>
      </w:r>
      <w:r w:rsidR="00CB4ECD">
        <w:rPr>
          <w:rFonts w:eastAsia="Times New Roman"/>
          <w:lang w:val="fr-FR"/>
        </w:rPr>
        <w:t> %</w:t>
      </w:r>
      <w:r>
        <w:rPr>
          <w:rFonts w:eastAsia="Times New Roman"/>
          <w:lang w:val="fr-FR"/>
        </w:rPr>
        <w:t> ; et le 1</w:t>
      </w:r>
      <w:r w:rsidRPr="00426750">
        <w:rPr>
          <w:rFonts w:eastAsia="Times New Roman"/>
          <w:vertAlign w:val="superscript"/>
          <w:lang w:val="fr-FR"/>
        </w:rPr>
        <w:t>er</w:t>
      </w:r>
      <w:r w:rsidR="00426750">
        <w:rPr>
          <w:rFonts w:eastAsia="Times New Roman"/>
          <w:lang w:val="fr-FR"/>
        </w:rPr>
        <w:t> </w:t>
      </w:r>
      <w:r>
        <w:rPr>
          <w:rFonts w:eastAsia="Times New Roman"/>
          <w:lang w:val="fr-FR"/>
        </w:rPr>
        <w:t>mai 2020, le</w:t>
      </w:r>
      <w:r w:rsidRPr="00466CE7">
        <w:rPr>
          <w:rFonts w:eastAsia="Times New Roman"/>
          <w:lang w:val="fr-FR"/>
        </w:rPr>
        <w:t xml:space="preserve"> taux des prêts </w:t>
      </w:r>
      <w:r>
        <w:rPr>
          <w:rFonts w:eastAsia="Times New Roman"/>
          <w:lang w:val="fr-FR"/>
        </w:rPr>
        <w:t>consentis avant le 1</w:t>
      </w:r>
      <w:r w:rsidRPr="00426750">
        <w:rPr>
          <w:rFonts w:eastAsia="Times New Roman"/>
          <w:vertAlign w:val="superscript"/>
          <w:lang w:val="fr-FR"/>
        </w:rPr>
        <w:t>er</w:t>
      </w:r>
      <w:r w:rsidR="00426750">
        <w:rPr>
          <w:rFonts w:eastAsia="Times New Roman"/>
          <w:lang w:val="fr-FR"/>
        </w:rPr>
        <w:t> </w:t>
      </w:r>
      <w:r>
        <w:rPr>
          <w:rFonts w:eastAsia="Times New Roman"/>
          <w:lang w:val="fr-FR"/>
        </w:rPr>
        <w:t xml:space="preserve">novembre 2018 a </w:t>
      </w:r>
      <w:r w:rsidRPr="00466CE7">
        <w:rPr>
          <w:rFonts w:eastAsia="Times New Roman"/>
          <w:lang w:val="fr-FR"/>
        </w:rPr>
        <w:t>été réduit</w:t>
      </w:r>
      <w:r>
        <w:rPr>
          <w:rFonts w:eastAsia="Times New Roman"/>
          <w:lang w:val="fr-FR"/>
        </w:rPr>
        <w:t xml:space="preserve"> à</w:t>
      </w:r>
      <w:r w:rsidRPr="00466CE7">
        <w:rPr>
          <w:rFonts w:eastAsia="Times New Roman"/>
          <w:lang w:val="fr-FR"/>
        </w:rPr>
        <w:t xml:space="preserve"> 7-9</w:t>
      </w:r>
      <w:r w:rsidR="00CB4ECD">
        <w:rPr>
          <w:rFonts w:eastAsia="Times New Roman"/>
          <w:lang w:val="fr-FR"/>
        </w:rPr>
        <w:t> %</w:t>
      </w:r>
      <w:r w:rsidRPr="00466CE7">
        <w:rPr>
          <w:rFonts w:eastAsia="Times New Roman"/>
          <w:lang w:val="fr-FR"/>
        </w:rPr>
        <w:t xml:space="preserve"> par an.</w:t>
      </w:r>
    </w:p>
    <w:p w14:paraId="0A197A8D" w14:textId="77777777" w:rsidR="009C6834" w:rsidRPr="00466CE7" w:rsidRDefault="009C6834" w:rsidP="009C6834">
      <w:pPr>
        <w:pStyle w:val="SingleTxtG"/>
        <w:rPr>
          <w:rFonts w:eastAsia="Times New Roman"/>
          <w:lang w:val="fr-FR"/>
        </w:rPr>
      </w:pPr>
      <w:r w:rsidRPr="00466CE7">
        <w:rPr>
          <w:rFonts w:eastAsia="Times New Roman"/>
          <w:lang w:val="fr-FR"/>
        </w:rPr>
        <w:t>302.</w:t>
      </w:r>
      <w:r w:rsidRPr="00466CE7">
        <w:rPr>
          <w:rFonts w:eastAsia="Times New Roman"/>
          <w:lang w:val="fr-FR"/>
        </w:rPr>
        <w:tab/>
      </w:r>
      <w:r>
        <w:rPr>
          <w:rFonts w:eastAsia="Times New Roman"/>
          <w:lang w:val="fr-FR"/>
        </w:rPr>
        <w:t>Les participants au programme n’ont plus besoin d’apporter de caution</w:t>
      </w:r>
      <w:r w:rsidRPr="00466CE7">
        <w:rPr>
          <w:rFonts w:eastAsia="Times New Roman"/>
          <w:lang w:val="fr-FR"/>
        </w:rPr>
        <w:t>.</w:t>
      </w:r>
    </w:p>
    <w:p w14:paraId="0E7F1A1D" w14:textId="7DE52A6E" w:rsidR="009C6834" w:rsidRPr="00466CE7" w:rsidRDefault="009C6834" w:rsidP="009C6834">
      <w:pPr>
        <w:pStyle w:val="SingleTxtG"/>
        <w:rPr>
          <w:rFonts w:eastAsia="Times New Roman"/>
          <w:lang w:val="fr-FR"/>
        </w:rPr>
      </w:pPr>
      <w:r w:rsidRPr="00466CE7">
        <w:rPr>
          <w:rFonts w:eastAsia="Times New Roman"/>
          <w:lang w:val="fr-FR"/>
        </w:rPr>
        <w:t>303.</w:t>
      </w:r>
      <w:r w:rsidRPr="00466CE7">
        <w:rPr>
          <w:rFonts w:eastAsia="Times New Roman"/>
          <w:lang w:val="fr-FR"/>
        </w:rPr>
        <w:tab/>
        <w:t>La construction d</w:t>
      </w:r>
      <w:r>
        <w:rPr>
          <w:rFonts w:eastAsia="Times New Roman"/>
          <w:lang w:val="fr-FR"/>
        </w:rPr>
        <w:t>’</w:t>
      </w:r>
      <w:r w:rsidRPr="00466CE7">
        <w:rPr>
          <w:rFonts w:eastAsia="Times New Roman"/>
          <w:lang w:val="fr-FR"/>
        </w:rPr>
        <w:t>un immeuble de 60</w:t>
      </w:r>
      <w:r w:rsidR="00426750">
        <w:rPr>
          <w:rFonts w:eastAsia="Times New Roman"/>
          <w:lang w:val="fr-FR"/>
        </w:rPr>
        <w:t> </w:t>
      </w:r>
      <w:r w:rsidRPr="00466CE7">
        <w:rPr>
          <w:rFonts w:eastAsia="Times New Roman"/>
          <w:lang w:val="fr-FR"/>
        </w:rPr>
        <w:t>appartements à Naryn et d</w:t>
      </w:r>
      <w:r>
        <w:rPr>
          <w:rFonts w:eastAsia="Times New Roman"/>
          <w:lang w:val="fr-FR"/>
        </w:rPr>
        <w:t>’</w:t>
      </w:r>
      <w:r w:rsidRPr="00466CE7">
        <w:rPr>
          <w:rFonts w:eastAsia="Times New Roman"/>
          <w:lang w:val="fr-FR"/>
        </w:rPr>
        <w:t>un immeuble de 135</w:t>
      </w:r>
      <w:r w:rsidR="00426750">
        <w:rPr>
          <w:rFonts w:eastAsia="Times New Roman"/>
          <w:lang w:val="fr-FR"/>
        </w:rPr>
        <w:t> </w:t>
      </w:r>
      <w:r w:rsidRPr="00466CE7">
        <w:rPr>
          <w:rFonts w:eastAsia="Times New Roman"/>
          <w:lang w:val="fr-FR"/>
        </w:rPr>
        <w:t xml:space="preserve">appartements dans le quartier résidentiel </w:t>
      </w:r>
      <w:proofErr w:type="spellStart"/>
      <w:r w:rsidRPr="00466CE7">
        <w:rPr>
          <w:rFonts w:eastAsia="Times New Roman"/>
          <w:lang w:val="fr-FR"/>
        </w:rPr>
        <w:t>T</w:t>
      </w:r>
      <w:r>
        <w:rPr>
          <w:rFonts w:eastAsia="Times New Roman"/>
          <w:lang w:val="fr-FR"/>
        </w:rPr>
        <w:t>o</w:t>
      </w:r>
      <w:r w:rsidRPr="00466CE7">
        <w:rPr>
          <w:rFonts w:eastAsia="Times New Roman"/>
          <w:lang w:val="fr-FR"/>
        </w:rPr>
        <w:t>ung</w:t>
      </w:r>
      <w:r>
        <w:rPr>
          <w:rFonts w:eastAsia="Times New Roman"/>
          <w:lang w:val="fr-FR"/>
        </w:rPr>
        <w:t>o</w:t>
      </w:r>
      <w:r w:rsidRPr="00466CE7">
        <w:rPr>
          <w:rFonts w:eastAsia="Times New Roman"/>
          <w:lang w:val="fr-FR"/>
        </w:rPr>
        <w:t>uch</w:t>
      </w:r>
      <w:proofErr w:type="spellEnd"/>
      <w:r w:rsidRPr="00466CE7">
        <w:rPr>
          <w:rFonts w:eastAsia="Times New Roman"/>
          <w:lang w:val="fr-FR"/>
        </w:rPr>
        <w:t xml:space="preserve"> de </w:t>
      </w:r>
      <w:r>
        <w:rPr>
          <w:rFonts w:eastAsia="Times New Roman"/>
          <w:lang w:val="fr-FR"/>
        </w:rPr>
        <w:t>Bichkek</w:t>
      </w:r>
      <w:r w:rsidRPr="00466CE7">
        <w:rPr>
          <w:rFonts w:eastAsia="Times New Roman"/>
          <w:lang w:val="fr-FR"/>
        </w:rPr>
        <w:t xml:space="preserve"> </w:t>
      </w:r>
      <w:r>
        <w:rPr>
          <w:rFonts w:eastAsia="Times New Roman"/>
          <w:lang w:val="fr-FR"/>
        </w:rPr>
        <w:t>est terminée</w:t>
      </w:r>
      <w:r w:rsidRPr="00466CE7">
        <w:rPr>
          <w:rFonts w:eastAsia="Times New Roman"/>
          <w:lang w:val="fr-FR"/>
        </w:rPr>
        <w:t>.</w:t>
      </w:r>
      <w:r>
        <w:rPr>
          <w:rFonts w:eastAsia="Times New Roman"/>
          <w:lang w:val="fr-FR"/>
        </w:rPr>
        <w:t xml:space="preserve"> L’occupation de ces appartements se fait par un système de location-accession</w:t>
      </w:r>
      <w:r w:rsidRPr="00466CE7">
        <w:rPr>
          <w:rFonts w:eastAsia="Times New Roman"/>
          <w:lang w:val="fr-FR"/>
        </w:rPr>
        <w:t>.</w:t>
      </w:r>
    </w:p>
    <w:p w14:paraId="3D1993EE" w14:textId="23F12E46" w:rsidR="009C6834" w:rsidRPr="00466CE7" w:rsidRDefault="009C6834" w:rsidP="009C6834">
      <w:pPr>
        <w:pStyle w:val="SingleTxtG"/>
        <w:rPr>
          <w:rFonts w:eastAsia="Times New Roman"/>
          <w:lang w:val="fr-FR"/>
        </w:rPr>
      </w:pPr>
      <w:r w:rsidRPr="00466CE7">
        <w:rPr>
          <w:rFonts w:eastAsia="Times New Roman"/>
          <w:lang w:val="fr-FR"/>
        </w:rPr>
        <w:t>304.</w:t>
      </w:r>
      <w:r w:rsidRPr="00466CE7">
        <w:rPr>
          <w:rFonts w:eastAsia="Times New Roman"/>
          <w:lang w:val="fr-FR"/>
        </w:rPr>
        <w:tab/>
      </w:r>
      <w:r>
        <w:rPr>
          <w:rFonts w:eastAsia="Times New Roman"/>
          <w:lang w:val="fr-FR"/>
        </w:rPr>
        <w:t xml:space="preserve">Afin d’attirer des </w:t>
      </w:r>
      <w:r w:rsidRPr="00466CE7">
        <w:rPr>
          <w:rFonts w:eastAsia="Times New Roman"/>
          <w:lang w:val="fr-FR"/>
        </w:rPr>
        <w:t>financements extrabudgétaires</w:t>
      </w:r>
      <w:r>
        <w:rPr>
          <w:rFonts w:eastAsia="Times New Roman"/>
          <w:lang w:val="fr-FR"/>
        </w:rPr>
        <w:t xml:space="preserve"> pour la construction de logements dans les régions</w:t>
      </w:r>
      <w:r w:rsidRPr="00466CE7">
        <w:rPr>
          <w:rFonts w:eastAsia="Times New Roman"/>
          <w:lang w:val="fr-FR"/>
        </w:rPr>
        <w:t xml:space="preserve">, le </w:t>
      </w:r>
      <w:r w:rsidR="00224CCB" w:rsidRPr="00466CE7">
        <w:rPr>
          <w:rFonts w:eastAsia="Times New Roman"/>
          <w:lang w:val="fr-FR"/>
        </w:rPr>
        <w:t xml:space="preserve">Gouvernement </w:t>
      </w:r>
      <w:r w:rsidRPr="00466CE7">
        <w:rPr>
          <w:rFonts w:eastAsia="Times New Roman"/>
          <w:lang w:val="fr-FR"/>
        </w:rPr>
        <w:t xml:space="preserve">kirghize </w:t>
      </w:r>
      <w:r>
        <w:rPr>
          <w:rFonts w:eastAsia="Times New Roman"/>
          <w:lang w:val="fr-FR"/>
        </w:rPr>
        <w:t xml:space="preserve">a conclu avec le </w:t>
      </w:r>
      <w:r w:rsidR="00224CCB" w:rsidRPr="00466CE7">
        <w:rPr>
          <w:rFonts w:eastAsia="Times New Roman"/>
          <w:lang w:val="fr-FR"/>
        </w:rPr>
        <w:t xml:space="preserve">Gouvernement </w:t>
      </w:r>
      <w:r>
        <w:rPr>
          <w:rFonts w:eastAsia="Times New Roman"/>
          <w:lang w:val="fr-FR"/>
        </w:rPr>
        <w:t xml:space="preserve">allemand </w:t>
      </w:r>
      <w:r w:rsidRPr="00466CE7">
        <w:rPr>
          <w:rFonts w:eastAsia="Times New Roman"/>
          <w:lang w:val="fr-FR"/>
        </w:rPr>
        <w:t>un accord</w:t>
      </w:r>
      <w:r w:rsidRPr="0072037D">
        <w:rPr>
          <w:rFonts w:eastAsia="Times New Roman"/>
          <w:lang w:val="fr-FR"/>
        </w:rPr>
        <w:t xml:space="preserve"> </w:t>
      </w:r>
      <w:r>
        <w:rPr>
          <w:rFonts w:eastAsia="Times New Roman"/>
          <w:lang w:val="fr-FR"/>
        </w:rPr>
        <w:t xml:space="preserve">de </w:t>
      </w:r>
      <w:r w:rsidRPr="00466CE7">
        <w:rPr>
          <w:rFonts w:eastAsia="Times New Roman"/>
          <w:lang w:val="fr-FR"/>
        </w:rPr>
        <w:t xml:space="preserve">coopération financière et technique </w:t>
      </w:r>
      <w:r>
        <w:rPr>
          <w:rFonts w:eastAsia="Times New Roman"/>
          <w:lang w:val="fr-FR"/>
        </w:rPr>
        <w:t>qui comporte deux volets</w:t>
      </w:r>
      <w:r w:rsidR="00426750">
        <w:rPr>
          <w:rFonts w:eastAsia="Times New Roman"/>
          <w:lang w:val="fr-FR"/>
        </w:rPr>
        <w:t>.</w:t>
      </w:r>
    </w:p>
    <w:p w14:paraId="194CD4F0" w14:textId="0CC8DC93" w:rsidR="009C6834" w:rsidRPr="00466CE7" w:rsidRDefault="009C6834" w:rsidP="009C6834">
      <w:pPr>
        <w:pStyle w:val="SingleTxtG"/>
        <w:rPr>
          <w:rFonts w:eastAsia="Times New Roman"/>
          <w:lang w:val="fr-FR"/>
        </w:rPr>
      </w:pPr>
      <w:r w:rsidRPr="00466CE7">
        <w:rPr>
          <w:rFonts w:eastAsia="Times New Roman"/>
          <w:lang w:val="fr-FR"/>
        </w:rPr>
        <w:t>305.</w:t>
      </w:r>
      <w:r w:rsidR="00426750">
        <w:rPr>
          <w:rFonts w:eastAsia="Times New Roman"/>
          <w:lang w:val="fr-FR"/>
        </w:rPr>
        <w:tab/>
      </w:r>
      <w:r>
        <w:rPr>
          <w:rFonts w:eastAsia="Times New Roman"/>
          <w:lang w:val="fr-FR"/>
        </w:rPr>
        <w:t xml:space="preserve">Un </w:t>
      </w:r>
      <w:r w:rsidRPr="00466CE7">
        <w:rPr>
          <w:rFonts w:eastAsia="Times New Roman"/>
          <w:lang w:val="fr-FR"/>
        </w:rPr>
        <w:t xml:space="preserve">volet </w:t>
      </w:r>
      <w:r>
        <w:rPr>
          <w:rFonts w:eastAsia="Times New Roman"/>
          <w:lang w:val="fr-FR"/>
        </w:rPr>
        <w:t>« financement de la construction de logements » pour un montant de</w:t>
      </w:r>
      <w:r w:rsidRPr="00466CE7">
        <w:rPr>
          <w:rFonts w:eastAsia="Times New Roman"/>
          <w:lang w:val="fr-FR"/>
        </w:rPr>
        <w:t xml:space="preserve"> 11</w:t>
      </w:r>
      <w:r w:rsidR="00426750">
        <w:rPr>
          <w:rFonts w:eastAsia="Times New Roman"/>
          <w:lang w:val="fr-FR"/>
        </w:rPr>
        <w:t> </w:t>
      </w:r>
      <w:r w:rsidRPr="00466CE7">
        <w:rPr>
          <w:rFonts w:eastAsia="Times New Roman"/>
          <w:lang w:val="fr-FR"/>
        </w:rPr>
        <w:t>millions d</w:t>
      </w:r>
      <w:r>
        <w:rPr>
          <w:rFonts w:eastAsia="Times New Roman"/>
          <w:lang w:val="fr-FR"/>
        </w:rPr>
        <w:t>’</w:t>
      </w:r>
      <w:r w:rsidRPr="00466CE7">
        <w:rPr>
          <w:rFonts w:eastAsia="Times New Roman"/>
          <w:lang w:val="fr-FR"/>
        </w:rPr>
        <w:t>euros (10,5</w:t>
      </w:r>
      <w:r w:rsidR="00426750">
        <w:rPr>
          <w:rFonts w:eastAsia="Times New Roman"/>
          <w:lang w:val="fr-FR"/>
        </w:rPr>
        <w:t> </w:t>
      </w:r>
      <w:r w:rsidRPr="00466CE7">
        <w:rPr>
          <w:rFonts w:eastAsia="Times New Roman"/>
          <w:lang w:val="fr-FR"/>
        </w:rPr>
        <w:t xml:space="preserve">millions </w:t>
      </w:r>
      <w:r>
        <w:rPr>
          <w:rFonts w:eastAsia="Times New Roman"/>
          <w:lang w:val="fr-FR"/>
        </w:rPr>
        <w:t xml:space="preserve">au titre de l’investissement et </w:t>
      </w:r>
      <w:r w:rsidRPr="00466CE7">
        <w:rPr>
          <w:rFonts w:eastAsia="Times New Roman"/>
          <w:lang w:val="fr-FR"/>
        </w:rPr>
        <w:t>0,5</w:t>
      </w:r>
      <w:r w:rsidR="00426750">
        <w:rPr>
          <w:rFonts w:eastAsia="Times New Roman"/>
          <w:lang w:val="fr-FR"/>
        </w:rPr>
        <w:t> </w:t>
      </w:r>
      <w:r w:rsidRPr="00466CE7">
        <w:rPr>
          <w:rFonts w:eastAsia="Times New Roman"/>
          <w:lang w:val="fr-FR"/>
        </w:rPr>
        <w:t xml:space="preserve">million </w:t>
      </w:r>
      <w:r>
        <w:rPr>
          <w:rFonts w:eastAsia="Times New Roman"/>
          <w:lang w:val="fr-FR"/>
        </w:rPr>
        <w:t>au titre du fonctionnement</w:t>
      </w:r>
      <w:r w:rsidRPr="00466CE7">
        <w:rPr>
          <w:rFonts w:eastAsia="Times New Roman"/>
          <w:lang w:val="fr-FR"/>
        </w:rPr>
        <w:t>)</w:t>
      </w:r>
      <w:r w:rsidR="00426750">
        <w:rPr>
          <w:rFonts w:eastAsia="Times New Roman"/>
          <w:lang w:val="fr-FR"/>
        </w:rPr>
        <w:t>.</w:t>
      </w:r>
    </w:p>
    <w:p w14:paraId="3391B149" w14:textId="2F79BFEE" w:rsidR="009C6834" w:rsidRPr="00466CE7" w:rsidRDefault="009C6834" w:rsidP="009C6834">
      <w:pPr>
        <w:pStyle w:val="SingleTxtG"/>
        <w:rPr>
          <w:rFonts w:eastAsia="Times New Roman"/>
          <w:lang w:val="fr-FR"/>
        </w:rPr>
      </w:pPr>
      <w:r>
        <w:rPr>
          <w:rFonts w:eastAsia="Times New Roman"/>
          <w:lang w:val="fr-FR"/>
        </w:rPr>
        <w:t>306.</w:t>
      </w:r>
      <w:r>
        <w:rPr>
          <w:rFonts w:eastAsia="Times New Roman"/>
          <w:lang w:val="fr-FR"/>
        </w:rPr>
        <w:tab/>
        <w:t>Un volet « c</w:t>
      </w:r>
      <w:r w:rsidRPr="00466CE7">
        <w:rPr>
          <w:rFonts w:eastAsia="Times New Roman"/>
          <w:lang w:val="fr-FR"/>
        </w:rPr>
        <w:t>onstruction de logements sociaux</w:t>
      </w:r>
      <w:r>
        <w:rPr>
          <w:rFonts w:eastAsia="Times New Roman"/>
          <w:lang w:val="fr-FR"/>
        </w:rPr>
        <w:t xml:space="preserve"> » : </w:t>
      </w:r>
      <w:r w:rsidRPr="00466CE7">
        <w:rPr>
          <w:rFonts w:eastAsia="Times New Roman"/>
          <w:lang w:val="fr-FR"/>
        </w:rPr>
        <w:t>9</w:t>
      </w:r>
      <w:r w:rsidR="00426750">
        <w:rPr>
          <w:rFonts w:eastAsia="Times New Roman"/>
          <w:lang w:val="fr-FR"/>
        </w:rPr>
        <w:t> </w:t>
      </w:r>
      <w:r w:rsidRPr="00466CE7">
        <w:rPr>
          <w:rFonts w:eastAsia="Times New Roman"/>
          <w:lang w:val="fr-FR"/>
        </w:rPr>
        <w:t>millions d</w:t>
      </w:r>
      <w:r>
        <w:rPr>
          <w:rFonts w:eastAsia="Times New Roman"/>
          <w:lang w:val="fr-FR"/>
        </w:rPr>
        <w:t>’</w:t>
      </w:r>
      <w:r w:rsidRPr="00466CE7">
        <w:rPr>
          <w:rFonts w:eastAsia="Times New Roman"/>
          <w:lang w:val="fr-FR"/>
        </w:rPr>
        <w:t>euros (8,5</w:t>
      </w:r>
      <w:r w:rsidR="00426750">
        <w:rPr>
          <w:rFonts w:eastAsia="Times New Roman"/>
          <w:lang w:val="fr-FR"/>
        </w:rPr>
        <w:t> </w:t>
      </w:r>
      <w:r w:rsidRPr="00466CE7">
        <w:rPr>
          <w:rFonts w:eastAsia="Times New Roman"/>
          <w:lang w:val="fr-FR"/>
        </w:rPr>
        <w:t xml:space="preserve">millions </w:t>
      </w:r>
      <w:r>
        <w:rPr>
          <w:rFonts w:eastAsia="Times New Roman"/>
          <w:lang w:val="fr-FR"/>
        </w:rPr>
        <w:t>au titre de l’investissement et</w:t>
      </w:r>
      <w:r w:rsidRPr="00466CE7">
        <w:rPr>
          <w:rFonts w:eastAsia="Times New Roman"/>
          <w:lang w:val="fr-FR"/>
        </w:rPr>
        <w:t xml:space="preserve"> 0,5</w:t>
      </w:r>
      <w:r w:rsidR="00426750">
        <w:rPr>
          <w:rFonts w:eastAsia="Times New Roman"/>
          <w:lang w:val="fr-FR"/>
        </w:rPr>
        <w:t> </w:t>
      </w:r>
      <w:r w:rsidRPr="00466CE7">
        <w:rPr>
          <w:rFonts w:eastAsia="Times New Roman"/>
          <w:lang w:val="fr-FR"/>
        </w:rPr>
        <w:t xml:space="preserve">million </w:t>
      </w:r>
      <w:r>
        <w:rPr>
          <w:rFonts w:eastAsia="Times New Roman"/>
          <w:lang w:val="fr-FR"/>
        </w:rPr>
        <w:t>au titre du fonctionnement</w:t>
      </w:r>
      <w:r w:rsidRPr="00466CE7">
        <w:rPr>
          <w:rFonts w:eastAsia="Times New Roman"/>
          <w:lang w:val="fr-FR"/>
        </w:rPr>
        <w:t>).</w:t>
      </w:r>
    </w:p>
    <w:p w14:paraId="774B1CE6" w14:textId="1BD94138" w:rsidR="009C6834" w:rsidRPr="00466CE7" w:rsidRDefault="009C6834" w:rsidP="009C6834">
      <w:pPr>
        <w:pStyle w:val="SingleTxtG"/>
        <w:rPr>
          <w:rFonts w:eastAsia="Times New Roman"/>
          <w:lang w:val="fr-FR"/>
        </w:rPr>
      </w:pPr>
      <w:r w:rsidRPr="00466CE7">
        <w:rPr>
          <w:rFonts w:eastAsia="Times New Roman"/>
          <w:lang w:val="fr-FR"/>
        </w:rPr>
        <w:t>307.</w:t>
      </w:r>
      <w:r w:rsidRPr="00466CE7">
        <w:rPr>
          <w:rFonts w:eastAsia="Times New Roman"/>
          <w:lang w:val="fr-FR"/>
        </w:rPr>
        <w:tab/>
        <w:t>L</w:t>
      </w:r>
      <w:r>
        <w:rPr>
          <w:rFonts w:eastAsia="Times New Roman"/>
          <w:lang w:val="fr-FR"/>
        </w:rPr>
        <w:t>’</w:t>
      </w:r>
      <w:r w:rsidRPr="00466CE7">
        <w:rPr>
          <w:rFonts w:eastAsia="Times New Roman"/>
          <w:lang w:val="fr-FR"/>
        </w:rPr>
        <w:t xml:space="preserve">objectif </w:t>
      </w:r>
      <w:r>
        <w:rPr>
          <w:rFonts w:eastAsia="Times New Roman"/>
          <w:lang w:val="fr-FR"/>
        </w:rPr>
        <w:t xml:space="preserve">de ce </w:t>
      </w:r>
      <w:r w:rsidRPr="00466CE7">
        <w:rPr>
          <w:rFonts w:eastAsia="Times New Roman"/>
          <w:lang w:val="fr-FR"/>
        </w:rPr>
        <w:t xml:space="preserve">projet est </w:t>
      </w:r>
      <w:r>
        <w:rPr>
          <w:rFonts w:eastAsia="Times New Roman"/>
          <w:lang w:val="fr-FR"/>
        </w:rPr>
        <w:t xml:space="preserve">de développer l’octroi de </w:t>
      </w:r>
      <w:r w:rsidRPr="00466CE7">
        <w:rPr>
          <w:rFonts w:eastAsia="Times New Roman"/>
          <w:lang w:val="fr-FR"/>
        </w:rPr>
        <w:t xml:space="preserve">prêts hypothécaires abordables </w:t>
      </w:r>
      <w:r>
        <w:rPr>
          <w:rFonts w:eastAsia="Times New Roman"/>
          <w:lang w:val="fr-FR"/>
        </w:rPr>
        <w:t xml:space="preserve">aux </w:t>
      </w:r>
      <w:r w:rsidRPr="00466CE7">
        <w:rPr>
          <w:rFonts w:eastAsia="Times New Roman"/>
          <w:lang w:val="fr-FR"/>
        </w:rPr>
        <w:t>familles à faible</w:t>
      </w:r>
      <w:r>
        <w:rPr>
          <w:rFonts w:eastAsia="Times New Roman"/>
          <w:lang w:val="fr-FR"/>
        </w:rPr>
        <w:t xml:space="preserve"> et moyen</w:t>
      </w:r>
      <w:r w:rsidRPr="00466CE7">
        <w:rPr>
          <w:rFonts w:eastAsia="Times New Roman"/>
          <w:lang w:val="fr-FR"/>
        </w:rPr>
        <w:t xml:space="preserve"> revenus</w:t>
      </w:r>
      <w:r w:rsidRPr="0072037D">
        <w:rPr>
          <w:rFonts w:eastAsia="Times New Roman"/>
          <w:lang w:val="fr-FR"/>
        </w:rPr>
        <w:t xml:space="preserve"> </w:t>
      </w:r>
      <w:r w:rsidRPr="00466CE7">
        <w:rPr>
          <w:rFonts w:eastAsia="Times New Roman"/>
          <w:lang w:val="fr-FR"/>
        </w:rPr>
        <w:t>dans les régions (</w:t>
      </w:r>
      <w:r>
        <w:rPr>
          <w:rFonts w:eastAsia="Times New Roman"/>
          <w:lang w:val="fr-FR"/>
        </w:rPr>
        <w:t xml:space="preserve">villes </w:t>
      </w:r>
      <w:r w:rsidRPr="00466CE7">
        <w:rPr>
          <w:rFonts w:eastAsia="Times New Roman"/>
          <w:lang w:val="fr-FR"/>
        </w:rPr>
        <w:t xml:space="preserve">de </w:t>
      </w:r>
      <w:r>
        <w:rPr>
          <w:rFonts w:eastAsia="Times New Roman"/>
          <w:lang w:val="fr-FR"/>
        </w:rPr>
        <w:t>Bichkek</w:t>
      </w:r>
      <w:r w:rsidRPr="00466CE7">
        <w:rPr>
          <w:rFonts w:eastAsia="Times New Roman"/>
          <w:lang w:val="fr-FR"/>
        </w:rPr>
        <w:t xml:space="preserve"> et O</w:t>
      </w:r>
      <w:r>
        <w:rPr>
          <w:rFonts w:eastAsia="Times New Roman"/>
          <w:lang w:val="fr-FR"/>
        </w:rPr>
        <w:t>c</w:t>
      </w:r>
      <w:r w:rsidRPr="00466CE7">
        <w:rPr>
          <w:rFonts w:eastAsia="Times New Roman"/>
          <w:lang w:val="fr-FR"/>
        </w:rPr>
        <w:t>h</w:t>
      </w:r>
      <w:r>
        <w:rPr>
          <w:rFonts w:eastAsia="Times New Roman"/>
          <w:lang w:val="fr-FR"/>
        </w:rPr>
        <w:t xml:space="preserve"> exceptées</w:t>
      </w:r>
      <w:r w:rsidRPr="00466CE7">
        <w:rPr>
          <w:rFonts w:eastAsia="Times New Roman"/>
          <w:lang w:val="fr-FR"/>
        </w:rPr>
        <w:t xml:space="preserve">). </w:t>
      </w:r>
      <w:r>
        <w:rPr>
          <w:rFonts w:eastAsia="Times New Roman"/>
          <w:lang w:val="fr-FR"/>
        </w:rPr>
        <w:t xml:space="preserve">Des capitaux seront versés </w:t>
      </w:r>
      <w:r w:rsidRPr="00466CE7">
        <w:rPr>
          <w:rFonts w:eastAsia="Times New Roman"/>
          <w:lang w:val="fr-FR"/>
        </w:rPr>
        <w:t xml:space="preserve">en monnaie nationale </w:t>
      </w:r>
      <w:r>
        <w:rPr>
          <w:rFonts w:eastAsia="Times New Roman"/>
          <w:lang w:val="fr-FR"/>
        </w:rPr>
        <w:t xml:space="preserve">à des banques privées </w:t>
      </w:r>
      <w:r w:rsidRPr="00466CE7">
        <w:rPr>
          <w:rFonts w:eastAsia="Times New Roman"/>
          <w:lang w:val="fr-FR"/>
        </w:rPr>
        <w:t>par l</w:t>
      </w:r>
      <w:r>
        <w:rPr>
          <w:rFonts w:eastAsia="Times New Roman"/>
          <w:lang w:val="fr-FR"/>
        </w:rPr>
        <w:t>’</w:t>
      </w:r>
      <w:r w:rsidRPr="00466CE7">
        <w:rPr>
          <w:rFonts w:eastAsia="Times New Roman"/>
          <w:lang w:val="fr-FR"/>
        </w:rPr>
        <w:t>intermédiaire d</w:t>
      </w:r>
      <w:r>
        <w:rPr>
          <w:rFonts w:eastAsia="Times New Roman"/>
          <w:lang w:val="fr-FR"/>
        </w:rPr>
        <w:t>u GIK</w:t>
      </w:r>
      <w:r w:rsidRPr="00466CE7">
        <w:rPr>
          <w:rFonts w:eastAsia="Times New Roman"/>
          <w:lang w:val="fr-FR"/>
        </w:rPr>
        <w:t xml:space="preserve"> (10,5</w:t>
      </w:r>
      <w:r w:rsidR="00426750">
        <w:rPr>
          <w:rFonts w:eastAsia="Times New Roman"/>
          <w:lang w:val="fr-FR"/>
        </w:rPr>
        <w:t> </w:t>
      </w:r>
      <w:r w:rsidRPr="00466CE7">
        <w:rPr>
          <w:rFonts w:eastAsia="Times New Roman"/>
          <w:lang w:val="fr-FR"/>
        </w:rPr>
        <w:t>millions d</w:t>
      </w:r>
      <w:r>
        <w:rPr>
          <w:rFonts w:eastAsia="Times New Roman"/>
          <w:lang w:val="fr-FR"/>
        </w:rPr>
        <w:t>’</w:t>
      </w:r>
      <w:r w:rsidRPr="00466CE7">
        <w:rPr>
          <w:rFonts w:eastAsia="Times New Roman"/>
          <w:lang w:val="fr-FR"/>
        </w:rPr>
        <w:t>euros</w:t>
      </w:r>
      <w:r>
        <w:rPr>
          <w:rFonts w:eastAsia="Times New Roman"/>
          <w:lang w:val="fr-FR"/>
        </w:rPr>
        <w:t>, ou</w:t>
      </w:r>
      <w:r w:rsidRPr="00466CE7">
        <w:rPr>
          <w:rFonts w:eastAsia="Times New Roman"/>
          <w:lang w:val="fr-FR"/>
        </w:rPr>
        <w:t xml:space="preserve"> 832</w:t>
      </w:r>
      <w:r w:rsidR="00426750">
        <w:rPr>
          <w:rFonts w:eastAsia="Times New Roman"/>
          <w:lang w:val="fr-FR"/>
        </w:rPr>
        <w:t> </w:t>
      </w:r>
      <w:r w:rsidRPr="00466CE7">
        <w:rPr>
          <w:rFonts w:eastAsia="Times New Roman"/>
          <w:lang w:val="fr-FR"/>
        </w:rPr>
        <w:t xml:space="preserve">millions de </w:t>
      </w:r>
      <w:proofErr w:type="spellStart"/>
      <w:r w:rsidRPr="00466CE7">
        <w:rPr>
          <w:rFonts w:eastAsia="Times New Roman"/>
          <w:lang w:val="fr-FR"/>
        </w:rPr>
        <w:t>soms</w:t>
      </w:r>
      <w:proofErr w:type="spellEnd"/>
      <w:r w:rsidRPr="00466CE7">
        <w:rPr>
          <w:rFonts w:eastAsia="Times New Roman"/>
          <w:lang w:val="fr-FR"/>
        </w:rPr>
        <w:t xml:space="preserve">) </w:t>
      </w:r>
      <w:r>
        <w:rPr>
          <w:rFonts w:eastAsia="Times New Roman"/>
          <w:lang w:val="fr-FR"/>
        </w:rPr>
        <w:t xml:space="preserve">en vue d’offrir à ces familles des </w:t>
      </w:r>
      <w:r w:rsidRPr="00466CE7">
        <w:rPr>
          <w:rFonts w:eastAsia="Times New Roman"/>
          <w:lang w:val="fr-FR"/>
        </w:rPr>
        <w:t xml:space="preserve">prêts hypothécaires. </w:t>
      </w:r>
      <w:r>
        <w:rPr>
          <w:rFonts w:eastAsia="Times New Roman"/>
          <w:lang w:val="fr-FR"/>
        </w:rPr>
        <w:t xml:space="preserve">Le </w:t>
      </w:r>
      <w:r w:rsidRPr="00466CE7">
        <w:rPr>
          <w:rFonts w:eastAsia="Times New Roman"/>
          <w:lang w:val="fr-FR"/>
        </w:rPr>
        <w:t>GIK met activement en œ</w:t>
      </w:r>
      <w:r>
        <w:rPr>
          <w:rFonts w:eastAsia="Times New Roman"/>
          <w:lang w:val="fr-FR"/>
        </w:rPr>
        <w:t>uvre ce projet dans les régions ; le</w:t>
      </w:r>
      <w:r w:rsidRPr="00466CE7">
        <w:rPr>
          <w:rFonts w:eastAsia="Times New Roman"/>
          <w:lang w:val="fr-FR"/>
        </w:rPr>
        <w:t xml:space="preserve"> 6</w:t>
      </w:r>
      <w:r w:rsidR="00426750">
        <w:rPr>
          <w:rFonts w:eastAsia="Times New Roman"/>
          <w:lang w:val="fr-FR"/>
        </w:rPr>
        <w:t> </w:t>
      </w:r>
      <w:r w:rsidRPr="00466CE7">
        <w:rPr>
          <w:rFonts w:eastAsia="Times New Roman"/>
          <w:lang w:val="fr-FR"/>
        </w:rPr>
        <w:t xml:space="preserve">mars 2020, </w:t>
      </w:r>
      <w:r>
        <w:rPr>
          <w:rFonts w:eastAsia="Times New Roman"/>
          <w:lang w:val="fr-FR"/>
        </w:rPr>
        <w:t xml:space="preserve">il </w:t>
      </w:r>
      <w:r w:rsidRPr="00466CE7">
        <w:rPr>
          <w:rFonts w:eastAsia="Times New Roman"/>
          <w:lang w:val="fr-FR"/>
        </w:rPr>
        <w:t>a</w:t>
      </w:r>
      <w:r>
        <w:rPr>
          <w:rFonts w:eastAsia="Times New Roman"/>
          <w:lang w:val="fr-FR"/>
        </w:rPr>
        <w:t>vait</w:t>
      </w:r>
      <w:r w:rsidRPr="00466CE7">
        <w:rPr>
          <w:rFonts w:eastAsia="Times New Roman"/>
          <w:lang w:val="fr-FR"/>
        </w:rPr>
        <w:t xml:space="preserve"> accordé 59</w:t>
      </w:r>
      <w:r w:rsidR="00426750">
        <w:rPr>
          <w:rFonts w:eastAsia="Times New Roman"/>
          <w:lang w:val="fr-FR"/>
        </w:rPr>
        <w:t> </w:t>
      </w:r>
      <w:r w:rsidRPr="00466CE7">
        <w:rPr>
          <w:rFonts w:eastAsia="Times New Roman"/>
          <w:lang w:val="fr-FR"/>
        </w:rPr>
        <w:t xml:space="preserve">prêts </w:t>
      </w:r>
      <w:r>
        <w:rPr>
          <w:rFonts w:eastAsia="Times New Roman"/>
          <w:lang w:val="fr-FR"/>
        </w:rPr>
        <w:t xml:space="preserve">pour un montant </w:t>
      </w:r>
      <w:r w:rsidRPr="00466CE7">
        <w:rPr>
          <w:rFonts w:eastAsia="Times New Roman"/>
          <w:lang w:val="fr-FR"/>
        </w:rPr>
        <w:t>de 59,5</w:t>
      </w:r>
      <w:r w:rsidR="00426750">
        <w:rPr>
          <w:rFonts w:eastAsia="Times New Roman"/>
          <w:lang w:val="fr-FR"/>
        </w:rPr>
        <w:t> </w:t>
      </w:r>
      <w:r w:rsidRPr="00466CE7">
        <w:rPr>
          <w:rFonts w:eastAsia="Times New Roman"/>
          <w:lang w:val="fr-FR"/>
        </w:rPr>
        <w:t xml:space="preserve">millions de </w:t>
      </w:r>
      <w:proofErr w:type="spellStart"/>
      <w:r>
        <w:rPr>
          <w:rFonts w:eastAsia="Times New Roman"/>
          <w:lang w:val="fr-FR"/>
        </w:rPr>
        <w:t>soms</w:t>
      </w:r>
      <w:proofErr w:type="spellEnd"/>
      <w:r w:rsidRPr="00466CE7">
        <w:rPr>
          <w:rFonts w:eastAsia="Times New Roman"/>
          <w:lang w:val="fr-FR"/>
        </w:rPr>
        <w:t xml:space="preserve"> par l</w:t>
      </w:r>
      <w:r>
        <w:rPr>
          <w:rFonts w:eastAsia="Times New Roman"/>
          <w:lang w:val="fr-FR"/>
        </w:rPr>
        <w:t>’</w:t>
      </w:r>
      <w:r w:rsidRPr="00466CE7">
        <w:rPr>
          <w:rFonts w:eastAsia="Times New Roman"/>
          <w:lang w:val="fr-FR"/>
        </w:rPr>
        <w:t>intermédiaire de</w:t>
      </w:r>
      <w:r>
        <w:rPr>
          <w:rFonts w:eastAsia="Times New Roman"/>
          <w:lang w:val="fr-FR"/>
        </w:rPr>
        <w:t>s</w:t>
      </w:r>
      <w:r w:rsidRPr="00466CE7">
        <w:rPr>
          <w:rFonts w:eastAsia="Times New Roman"/>
          <w:lang w:val="fr-FR"/>
        </w:rPr>
        <w:t xml:space="preserve"> banques partenaires.</w:t>
      </w:r>
    </w:p>
    <w:p w14:paraId="17A0AC87" w14:textId="5942FABF" w:rsidR="009C6834" w:rsidRPr="00466CE7" w:rsidRDefault="009C6834" w:rsidP="009C6834">
      <w:pPr>
        <w:pStyle w:val="SingleTxtG"/>
        <w:rPr>
          <w:rFonts w:eastAsia="Times New Roman"/>
          <w:lang w:val="fr-FR"/>
        </w:rPr>
      </w:pPr>
      <w:r>
        <w:rPr>
          <w:rFonts w:eastAsia="Times New Roman"/>
          <w:lang w:val="fr-FR"/>
        </w:rPr>
        <w:t>308.</w:t>
      </w:r>
      <w:r>
        <w:rPr>
          <w:rFonts w:eastAsia="Times New Roman"/>
          <w:lang w:val="fr-FR"/>
        </w:rPr>
        <w:tab/>
        <w:t>Pour l’exécution de la deuxième phase du projet, le p</w:t>
      </w:r>
      <w:r w:rsidRPr="00466CE7">
        <w:rPr>
          <w:rFonts w:eastAsia="Times New Roman"/>
          <w:lang w:val="fr-FR"/>
        </w:rPr>
        <w:t xml:space="preserve">arlement a ratifié un accord </w:t>
      </w:r>
      <w:r>
        <w:rPr>
          <w:rFonts w:eastAsia="Times New Roman"/>
          <w:lang w:val="fr-FR"/>
        </w:rPr>
        <w:t xml:space="preserve">pour le déblocage de </w:t>
      </w:r>
      <w:r w:rsidRPr="00466CE7">
        <w:rPr>
          <w:rFonts w:eastAsia="Times New Roman"/>
          <w:lang w:val="fr-FR"/>
        </w:rPr>
        <w:t>9</w:t>
      </w:r>
      <w:r w:rsidR="00426750">
        <w:rPr>
          <w:rFonts w:eastAsia="Times New Roman"/>
          <w:lang w:val="fr-FR"/>
        </w:rPr>
        <w:t> </w:t>
      </w:r>
      <w:r w:rsidRPr="00466CE7">
        <w:rPr>
          <w:rFonts w:eastAsia="Times New Roman"/>
          <w:lang w:val="fr-FR"/>
        </w:rPr>
        <w:t>millions d</w:t>
      </w:r>
      <w:r>
        <w:rPr>
          <w:rFonts w:eastAsia="Times New Roman"/>
          <w:lang w:val="fr-FR"/>
        </w:rPr>
        <w:t>’</w:t>
      </w:r>
      <w:r w:rsidRPr="00466CE7">
        <w:rPr>
          <w:rFonts w:eastAsia="Times New Roman"/>
          <w:lang w:val="fr-FR"/>
        </w:rPr>
        <w:t>euros.</w:t>
      </w:r>
    </w:p>
    <w:p w14:paraId="0A076C05" w14:textId="77777777" w:rsidR="009C6834" w:rsidRPr="00466CE7" w:rsidRDefault="009C6834" w:rsidP="009C6834">
      <w:pPr>
        <w:pStyle w:val="SingleTxtG"/>
        <w:rPr>
          <w:rFonts w:eastAsia="Times New Roman"/>
          <w:lang w:val="fr-FR"/>
        </w:rPr>
      </w:pPr>
      <w:r w:rsidRPr="00466CE7">
        <w:rPr>
          <w:rFonts w:eastAsia="Times New Roman"/>
          <w:lang w:val="fr-FR"/>
        </w:rPr>
        <w:t>309.</w:t>
      </w:r>
      <w:r w:rsidRPr="00466CE7">
        <w:rPr>
          <w:rFonts w:eastAsia="Times New Roman"/>
          <w:lang w:val="fr-FR"/>
        </w:rPr>
        <w:tab/>
      </w:r>
      <w:r>
        <w:rPr>
          <w:rFonts w:eastAsia="Times New Roman"/>
          <w:lang w:val="fr-FR"/>
        </w:rPr>
        <w:t xml:space="preserve">La constitution du </w:t>
      </w:r>
      <w:r w:rsidRPr="00466CE7">
        <w:rPr>
          <w:rFonts w:eastAsia="Times New Roman"/>
          <w:lang w:val="fr-FR"/>
        </w:rPr>
        <w:t>GIK</w:t>
      </w:r>
      <w:r>
        <w:rPr>
          <w:rFonts w:eastAsia="Times New Roman"/>
          <w:lang w:val="fr-FR"/>
        </w:rPr>
        <w:t xml:space="preserve"> a incité le </w:t>
      </w:r>
      <w:r w:rsidRPr="00466CE7">
        <w:rPr>
          <w:rFonts w:eastAsia="Times New Roman"/>
          <w:lang w:val="fr-FR"/>
        </w:rPr>
        <w:t xml:space="preserve">système bancaire kirghize à </w:t>
      </w:r>
      <w:r>
        <w:rPr>
          <w:rFonts w:eastAsia="Times New Roman"/>
          <w:lang w:val="fr-FR"/>
        </w:rPr>
        <w:t xml:space="preserve">octroyer </w:t>
      </w:r>
      <w:r w:rsidRPr="00466CE7">
        <w:rPr>
          <w:rFonts w:eastAsia="Times New Roman"/>
          <w:lang w:val="fr-FR"/>
        </w:rPr>
        <w:t>des prêts hypothécaires à long terme et à faible taux d</w:t>
      </w:r>
      <w:r>
        <w:rPr>
          <w:rFonts w:eastAsia="Times New Roman"/>
          <w:lang w:val="fr-FR"/>
        </w:rPr>
        <w:t>’</w:t>
      </w:r>
      <w:r w:rsidRPr="00466CE7">
        <w:rPr>
          <w:rFonts w:eastAsia="Times New Roman"/>
          <w:lang w:val="fr-FR"/>
        </w:rPr>
        <w:t>intérêt. L</w:t>
      </w:r>
      <w:r>
        <w:rPr>
          <w:rFonts w:eastAsia="Times New Roman"/>
          <w:lang w:val="fr-FR"/>
        </w:rPr>
        <w:t xml:space="preserve">es personnes à faible ou moyen revenu peuvent ainsi accéder à ces </w:t>
      </w:r>
      <w:r w:rsidRPr="00466CE7">
        <w:rPr>
          <w:rFonts w:eastAsia="Times New Roman"/>
          <w:lang w:val="fr-FR"/>
        </w:rPr>
        <w:t>prêts.</w:t>
      </w:r>
    </w:p>
    <w:p w14:paraId="59C7BF67" w14:textId="3F293437" w:rsidR="009C6834" w:rsidRPr="00466CE7" w:rsidRDefault="009C6834" w:rsidP="00E1792A">
      <w:pPr>
        <w:pStyle w:val="SingleTxtG"/>
        <w:rPr>
          <w:rFonts w:eastAsia="Times New Roman"/>
          <w:lang w:val="fr-FR"/>
        </w:rPr>
      </w:pPr>
      <w:r w:rsidRPr="00466CE7">
        <w:rPr>
          <w:rFonts w:eastAsia="Times New Roman"/>
          <w:lang w:val="fr-FR"/>
        </w:rPr>
        <w:t>310.</w:t>
      </w:r>
      <w:r w:rsidRPr="00466CE7">
        <w:rPr>
          <w:rFonts w:eastAsia="Times New Roman"/>
          <w:lang w:val="fr-FR"/>
        </w:rPr>
        <w:tab/>
      </w:r>
      <w:r>
        <w:rPr>
          <w:rFonts w:eastAsia="Times New Roman"/>
          <w:lang w:val="fr-FR"/>
        </w:rPr>
        <w:t xml:space="preserve">Selon les données de la </w:t>
      </w:r>
      <w:r w:rsidRPr="00466CE7">
        <w:rPr>
          <w:rFonts w:eastAsia="Times New Roman"/>
          <w:lang w:val="fr-FR"/>
        </w:rPr>
        <w:t xml:space="preserve">campagne </w:t>
      </w:r>
      <w:r>
        <w:rPr>
          <w:rFonts w:eastAsia="Times New Roman"/>
          <w:lang w:val="fr-FR"/>
        </w:rPr>
        <w:t xml:space="preserve">publique de prêts </w:t>
      </w:r>
      <w:r w:rsidRPr="00466CE7">
        <w:rPr>
          <w:rFonts w:eastAsia="Times New Roman"/>
          <w:lang w:val="fr-FR"/>
        </w:rPr>
        <w:t>hypothécaire</w:t>
      </w:r>
      <w:r>
        <w:rPr>
          <w:rFonts w:eastAsia="Times New Roman"/>
          <w:lang w:val="fr-FR"/>
        </w:rPr>
        <w:t>s</w:t>
      </w:r>
      <w:r w:rsidRPr="00466CE7">
        <w:rPr>
          <w:rFonts w:eastAsia="Times New Roman"/>
          <w:lang w:val="fr-FR"/>
        </w:rPr>
        <w:t xml:space="preserve">, </w:t>
      </w:r>
      <w:r>
        <w:rPr>
          <w:rFonts w:eastAsia="Times New Roman"/>
          <w:lang w:val="fr-FR"/>
        </w:rPr>
        <w:t xml:space="preserve">en 2016, </w:t>
      </w:r>
      <w:r w:rsidRPr="00466CE7">
        <w:rPr>
          <w:rFonts w:eastAsia="Times New Roman"/>
          <w:lang w:val="fr-FR"/>
        </w:rPr>
        <w:t>535 des 746</w:t>
      </w:r>
      <w:r w:rsidR="00426750">
        <w:rPr>
          <w:rFonts w:eastAsia="Times New Roman"/>
          <w:lang w:val="fr-FR"/>
        </w:rPr>
        <w:t> </w:t>
      </w:r>
      <w:r>
        <w:rPr>
          <w:rFonts w:eastAsia="Times New Roman"/>
          <w:lang w:val="fr-FR"/>
        </w:rPr>
        <w:t xml:space="preserve">accords de prêt </w:t>
      </w:r>
      <w:r w:rsidRPr="00466CE7">
        <w:rPr>
          <w:rFonts w:eastAsia="Times New Roman"/>
          <w:lang w:val="fr-FR"/>
        </w:rPr>
        <w:t>contracté</w:t>
      </w:r>
      <w:r>
        <w:rPr>
          <w:rFonts w:eastAsia="Times New Roman"/>
          <w:lang w:val="fr-FR"/>
        </w:rPr>
        <w:t>s</w:t>
      </w:r>
      <w:r w:rsidRPr="00466CE7">
        <w:rPr>
          <w:rFonts w:eastAsia="Times New Roman"/>
          <w:lang w:val="fr-FR"/>
        </w:rPr>
        <w:t xml:space="preserve"> </w:t>
      </w:r>
      <w:r>
        <w:rPr>
          <w:rFonts w:eastAsia="Times New Roman"/>
          <w:lang w:val="fr-FR"/>
        </w:rPr>
        <w:t>l’ont été par des femmes</w:t>
      </w:r>
      <w:r w:rsidRPr="00466CE7">
        <w:rPr>
          <w:rFonts w:eastAsia="Times New Roman"/>
          <w:lang w:val="fr-FR"/>
        </w:rPr>
        <w:t xml:space="preserve">. Cela </w:t>
      </w:r>
      <w:r>
        <w:rPr>
          <w:rFonts w:eastAsia="Times New Roman"/>
          <w:lang w:val="fr-FR"/>
        </w:rPr>
        <w:t xml:space="preserve">témoigne du développement des </w:t>
      </w:r>
      <w:r w:rsidRPr="00466CE7">
        <w:rPr>
          <w:rFonts w:eastAsia="Times New Roman"/>
          <w:lang w:val="fr-FR"/>
        </w:rPr>
        <w:t xml:space="preserve">opportunités économiques </w:t>
      </w:r>
      <w:r>
        <w:rPr>
          <w:rFonts w:eastAsia="Times New Roman"/>
          <w:lang w:val="fr-FR"/>
        </w:rPr>
        <w:t xml:space="preserve">qui s’offrent aux </w:t>
      </w:r>
      <w:r w:rsidRPr="00466CE7">
        <w:rPr>
          <w:rFonts w:eastAsia="Times New Roman"/>
          <w:lang w:val="fr-FR"/>
        </w:rPr>
        <w:t>femmes</w:t>
      </w:r>
      <w:r>
        <w:rPr>
          <w:rFonts w:eastAsia="Times New Roman"/>
          <w:lang w:val="fr-FR"/>
        </w:rPr>
        <w:t xml:space="preserve"> et du </w:t>
      </w:r>
      <w:r w:rsidRPr="00466CE7">
        <w:rPr>
          <w:rFonts w:eastAsia="Times New Roman"/>
          <w:lang w:val="fr-FR"/>
        </w:rPr>
        <w:t xml:space="preserve">désir </w:t>
      </w:r>
      <w:r>
        <w:rPr>
          <w:rFonts w:eastAsia="Times New Roman"/>
          <w:lang w:val="fr-FR"/>
        </w:rPr>
        <w:t xml:space="preserve">qu’ont celles-ci </w:t>
      </w:r>
      <w:r w:rsidRPr="00466CE7">
        <w:rPr>
          <w:rFonts w:eastAsia="Times New Roman"/>
          <w:lang w:val="fr-FR"/>
        </w:rPr>
        <w:t>d</w:t>
      </w:r>
      <w:r>
        <w:rPr>
          <w:rFonts w:eastAsia="Times New Roman"/>
          <w:lang w:val="fr-FR"/>
        </w:rPr>
        <w:t>’</w:t>
      </w:r>
      <w:r w:rsidRPr="00466CE7">
        <w:rPr>
          <w:rFonts w:eastAsia="Times New Roman"/>
          <w:lang w:val="fr-FR"/>
        </w:rPr>
        <w:t>investir dans le logement</w:t>
      </w:r>
      <w:r>
        <w:rPr>
          <w:rFonts w:eastAsia="Times New Roman"/>
          <w:lang w:val="fr-FR"/>
        </w:rPr>
        <w:t xml:space="preserve">, ou d’une préférence </w:t>
      </w:r>
      <w:r w:rsidRPr="00466CE7">
        <w:rPr>
          <w:rFonts w:eastAsia="Times New Roman"/>
          <w:lang w:val="fr-FR"/>
        </w:rPr>
        <w:t>pour des contrats hypothécaires. Plus de 55</w:t>
      </w:r>
      <w:r w:rsidR="00CB4ECD">
        <w:rPr>
          <w:rFonts w:eastAsia="Times New Roman"/>
          <w:lang w:val="fr-FR"/>
        </w:rPr>
        <w:t> %</w:t>
      </w:r>
      <w:r w:rsidRPr="00466CE7">
        <w:rPr>
          <w:rFonts w:eastAsia="Times New Roman"/>
          <w:lang w:val="fr-FR"/>
        </w:rPr>
        <w:t xml:space="preserve"> des prêts hypothécaires </w:t>
      </w:r>
      <w:r>
        <w:rPr>
          <w:rFonts w:eastAsia="Times New Roman"/>
          <w:lang w:val="fr-FR"/>
        </w:rPr>
        <w:t xml:space="preserve">publics </w:t>
      </w:r>
      <w:r w:rsidRPr="00466CE7">
        <w:rPr>
          <w:rFonts w:eastAsia="Times New Roman"/>
          <w:lang w:val="fr-FR"/>
        </w:rPr>
        <w:t xml:space="preserve">ont été </w:t>
      </w:r>
      <w:r>
        <w:rPr>
          <w:rFonts w:eastAsia="Times New Roman"/>
          <w:lang w:val="fr-FR"/>
        </w:rPr>
        <w:t xml:space="preserve">octroyés à </w:t>
      </w:r>
      <w:r w:rsidRPr="00466CE7">
        <w:rPr>
          <w:rFonts w:eastAsia="Times New Roman"/>
          <w:lang w:val="fr-FR"/>
        </w:rPr>
        <w:t>des femmes.</w:t>
      </w:r>
    </w:p>
    <w:p w14:paraId="5F06A61C" w14:textId="2C63A7D8" w:rsidR="009C6834" w:rsidRPr="00466CE7" w:rsidRDefault="009C6834" w:rsidP="00E1792A">
      <w:pPr>
        <w:pStyle w:val="SingleTxtG"/>
        <w:keepLines/>
        <w:rPr>
          <w:rFonts w:eastAsia="Times New Roman"/>
          <w:lang w:val="fr-FR"/>
        </w:rPr>
      </w:pPr>
      <w:r w:rsidRPr="00466CE7">
        <w:rPr>
          <w:rFonts w:eastAsia="Times New Roman"/>
          <w:lang w:val="fr-FR"/>
        </w:rPr>
        <w:lastRenderedPageBreak/>
        <w:t>311.</w:t>
      </w:r>
      <w:r w:rsidRPr="00466CE7">
        <w:rPr>
          <w:rFonts w:eastAsia="Times New Roman"/>
          <w:lang w:val="fr-FR"/>
        </w:rPr>
        <w:tab/>
      </w:r>
      <w:r>
        <w:rPr>
          <w:rFonts w:eastAsia="Times New Roman"/>
          <w:lang w:val="fr-FR"/>
        </w:rPr>
        <w:t xml:space="preserve">Il convient </w:t>
      </w:r>
      <w:r w:rsidRPr="00466CE7">
        <w:rPr>
          <w:rFonts w:eastAsia="Times New Roman"/>
          <w:lang w:val="fr-FR"/>
        </w:rPr>
        <w:t xml:space="preserve">également </w:t>
      </w:r>
      <w:r>
        <w:rPr>
          <w:rFonts w:eastAsia="Times New Roman"/>
          <w:lang w:val="fr-FR"/>
        </w:rPr>
        <w:t xml:space="preserve">de noter </w:t>
      </w:r>
      <w:r w:rsidRPr="00466CE7">
        <w:rPr>
          <w:rFonts w:eastAsia="Times New Roman"/>
          <w:lang w:val="fr-FR"/>
        </w:rPr>
        <w:t xml:space="preserve">que </w:t>
      </w:r>
      <w:r>
        <w:rPr>
          <w:rFonts w:eastAsia="Times New Roman"/>
          <w:lang w:val="fr-FR"/>
        </w:rPr>
        <w:t xml:space="preserve">le </w:t>
      </w:r>
      <w:r w:rsidR="00387393">
        <w:rPr>
          <w:rFonts w:eastAsia="Times New Roman"/>
          <w:lang w:val="fr-FR"/>
        </w:rPr>
        <w:t xml:space="preserve">Gouvernement </w:t>
      </w:r>
      <w:r>
        <w:rPr>
          <w:rFonts w:eastAsia="Times New Roman"/>
          <w:lang w:val="fr-FR"/>
        </w:rPr>
        <w:t xml:space="preserve">a approuvé en 2020 le </w:t>
      </w:r>
      <w:r w:rsidRPr="00466CE7">
        <w:rPr>
          <w:rFonts w:eastAsia="Times New Roman"/>
          <w:lang w:val="fr-FR"/>
        </w:rPr>
        <w:t xml:space="preserve">règlement </w:t>
      </w:r>
      <w:r>
        <w:rPr>
          <w:rFonts w:eastAsia="Times New Roman"/>
          <w:lang w:val="fr-FR"/>
        </w:rPr>
        <w:t xml:space="preserve">relatif à la </w:t>
      </w:r>
      <w:r w:rsidRPr="00466CE7">
        <w:rPr>
          <w:rFonts w:eastAsia="Times New Roman"/>
          <w:lang w:val="fr-FR"/>
        </w:rPr>
        <w:t>mise à disposition de</w:t>
      </w:r>
      <w:r>
        <w:rPr>
          <w:rFonts w:eastAsia="Times New Roman"/>
          <w:lang w:val="fr-FR"/>
        </w:rPr>
        <w:t>s</w:t>
      </w:r>
      <w:r w:rsidRPr="00466CE7">
        <w:rPr>
          <w:rFonts w:eastAsia="Times New Roman"/>
          <w:lang w:val="fr-FR"/>
        </w:rPr>
        <w:t xml:space="preserve"> lo</w:t>
      </w:r>
      <w:r>
        <w:rPr>
          <w:rFonts w:eastAsia="Times New Roman"/>
          <w:lang w:val="fr-FR"/>
        </w:rPr>
        <w:t xml:space="preserve">gements du parc public immobilier spécial </w:t>
      </w:r>
      <w:r w:rsidRPr="00466CE7">
        <w:rPr>
          <w:rFonts w:eastAsia="Times New Roman"/>
          <w:lang w:val="fr-FR"/>
        </w:rPr>
        <w:t>relevant du M</w:t>
      </w:r>
      <w:r>
        <w:rPr>
          <w:rFonts w:eastAsia="Times New Roman"/>
          <w:lang w:val="fr-FR"/>
        </w:rPr>
        <w:t xml:space="preserve">inistère du travail et du développement social. Ce règlement </w:t>
      </w:r>
      <w:r w:rsidRPr="00466CE7">
        <w:rPr>
          <w:rFonts w:eastAsia="Times New Roman"/>
          <w:lang w:val="fr-FR"/>
        </w:rPr>
        <w:t xml:space="preserve">définit </w:t>
      </w:r>
      <w:r>
        <w:rPr>
          <w:rFonts w:eastAsia="Times New Roman"/>
          <w:lang w:val="fr-FR"/>
        </w:rPr>
        <w:t xml:space="preserve">des modalités et </w:t>
      </w:r>
      <w:r w:rsidRPr="00466CE7">
        <w:rPr>
          <w:rFonts w:eastAsia="Times New Roman"/>
          <w:lang w:val="fr-FR"/>
        </w:rPr>
        <w:t xml:space="preserve">des conditions unifiées pour </w:t>
      </w:r>
      <w:r>
        <w:rPr>
          <w:rFonts w:eastAsia="Times New Roman"/>
          <w:lang w:val="fr-FR"/>
        </w:rPr>
        <w:t xml:space="preserve">la fourniture de logements à </w:t>
      </w:r>
      <w:r w:rsidRPr="00466CE7">
        <w:rPr>
          <w:rFonts w:eastAsia="Times New Roman"/>
          <w:lang w:val="fr-FR"/>
        </w:rPr>
        <w:t>certaines catégorie</w:t>
      </w:r>
      <w:r>
        <w:rPr>
          <w:rFonts w:eastAsia="Times New Roman"/>
          <w:lang w:val="fr-FR"/>
        </w:rPr>
        <w:t xml:space="preserve">s de personnes nécessitant une aide </w:t>
      </w:r>
      <w:r w:rsidRPr="00466CE7">
        <w:rPr>
          <w:rFonts w:eastAsia="Times New Roman"/>
          <w:lang w:val="fr-FR"/>
        </w:rPr>
        <w:t>social</w:t>
      </w:r>
      <w:r>
        <w:rPr>
          <w:rFonts w:eastAsia="Times New Roman"/>
          <w:lang w:val="fr-FR"/>
        </w:rPr>
        <w:t>e</w:t>
      </w:r>
      <w:r w:rsidRPr="00466CE7">
        <w:rPr>
          <w:rFonts w:eastAsia="Times New Roman"/>
          <w:lang w:val="fr-FR"/>
        </w:rPr>
        <w:t>.</w:t>
      </w:r>
    </w:p>
    <w:p w14:paraId="1D1F7C41" w14:textId="4DB4C54A" w:rsidR="009C6834" w:rsidRPr="00466CE7" w:rsidRDefault="009C6834" w:rsidP="009C6834">
      <w:pPr>
        <w:pStyle w:val="SingleTxtG"/>
        <w:rPr>
          <w:rFonts w:eastAsia="Times New Roman"/>
          <w:lang w:val="fr-FR"/>
        </w:rPr>
      </w:pPr>
      <w:r w:rsidRPr="00466CE7">
        <w:rPr>
          <w:rFonts w:eastAsia="Times New Roman"/>
          <w:lang w:val="fr-FR"/>
        </w:rPr>
        <w:t>312.</w:t>
      </w:r>
      <w:r w:rsidRPr="00466CE7">
        <w:rPr>
          <w:rFonts w:eastAsia="Times New Roman"/>
          <w:lang w:val="fr-FR"/>
        </w:rPr>
        <w:tab/>
        <w:t>En 2019, des</w:t>
      </w:r>
      <w:r>
        <w:rPr>
          <w:rFonts w:eastAsia="Times New Roman"/>
          <w:lang w:val="fr-FR"/>
        </w:rPr>
        <w:t xml:space="preserve"> travaux de réfection et de construction ont été réalisés sur des </w:t>
      </w:r>
      <w:r w:rsidRPr="00466CE7">
        <w:rPr>
          <w:rFonts w:eastAsia="Times New Roman"/>
          <w:lang w:val="fr-FR"/>
        </w:rPr>
        <w:t>installations d</w:t>
      </w:r>
      <w:r>
        <w:rPr>
          <w:rFonts w:eastAsia="Times New Roman"/>
          <w:lang w:val="fr-FR"/>
        </w:rPr>
        <w:t>’</w:t>
      </w:r>
      <w:r w:rsidRPr="00466CE7">
        <w:rPr>
          <w:rFonts w:eastAsia="Times New Roman"/>
          <w:lang w:val="fr-FR"/>
        </w:rPr>
        <w:t xml:space="preserve">approvisionnement en eau potable </w:t>
      </w:r>
      <w:r>
        <w:rPr>
          <w:rFonts w:eastAsia="Times New Roman"/>
          <w:lang w:val="fr-FR"/>
        </w:rPr>
        <w:t>dans 38</w:t>
      </w:r>
      <w:r w:rsidR="00426750">
        <w:rPr>
          <w:rFonts w:eastAsia="Times New Roman"/>
          <w:lang w:val="fr-FR"/>
        </w:rPr>
        <w:t> </w:t>
      </w:r>
      <w:r>
        <w:rPr>
          <w:rFonts w:eastAsia="Times New Roman"/>
          <w:lang w:val="fr-FR"/>
        </w:rPr>
        <w:t>villages</w:t>
      </w:r>
      <w:r w:rsidRPr="00466CE7">
        <w:rPr>
          <w:rFonts w:eastAsia="Times New Roman"/>
          <w:lang w:val="fr-FR"/>
        </w:rPr>
        <w:t>, toutes sources de financement confondues</w:t>
      </w:r>
      <w:r>
        <w:rPr>
          <w:rFonts w:eastAsia="Times New Roman"/>
          <w:lang w:val="fr-FR"/>
        </w:rPr>
        <w:t>, ce qui a permis à</w:t>
      </w:r>
      <w:r w:rsidRPr="00466CE7">
        <w:rPr>
          <w:rFonts w:eastAsia="Times New Roman"/>
          <w:lang w:val="fr-FR"/>
        </w:rPr>
        <w:t xml:space="preserve"> plus de 47</w:t>
      </w:r>
      <w:r w:rsidR="00426750">
        <w:rPr>
          <w:rFonts w:eastAsia="Times New Roman"/>
          <w:lang w:val="fr-FR"/>
        </w:rPr>
        <w:t> </w:t>
      </w:r>
      <w:r w:rsidRPr="00466CE7">
        <w:rPr>
          <w:rFonts w:eastAsia="Times New Roman"/>
          <w:lang w:val="fr-FR"/>
        </w:rPr>
        <w:t>000</w:t>
      </w:r>
      <w:r w:rsidR="00426750">
        <w:rPr>
          <w:rFonts w:eastAsia="Times New Roman"/>
          <w:lang w:val="fr-FR"/>
        </w:rPr>
        <w:t> </w:t>
      </w:r>
      <w:r w:rsidRPr="00466CE7">
        <w:rPr>
          <w:rFonts w:eastAsia="Times New Roman"/>
          <w:lang w:val="fr-FR"/>
        </w:rPr>
        <w:t xml:space="preserve">personnes </w:t>
      </w:r>
      <w:r>
        <w:rPr>
          <w:rFonts w:eastAsia="Times New Roman"/>
          <w:lang w:val="fr-FR"/>
        </w:rPr>
        <w:t xml:space="preserve">d’avoir </w:t>
      </w:r>
      <w:r w:rsidRPr="00466CE7">
        <w:rPr>
          <w:rFonts w:eastAsia="Times New Roman"/>
          <w:lang w:val="fr-FR"/>
        </w:rPr>
        <w:t xml:space="preserve">accès à </w:t>
      </w:r>
      <w:r>
        <w:rPr>
          <w:rFonts w:eastAsia="Times New Roman"/>
          <w:lang w:val="fr-FR"/>
        </w:rPr>
        <w:t xml:space="preserve">de </w:t>
      </w:r>
      <w:r w:rsidRPr="00466CE7">
        <w:rPr>
          <w:rFonts w:eastAsia="Times New Roman"/>
          <w:lang w:val="fr-FR"/>
        </w:rPr>
        <w:t>l</w:t>
      </w:r>
      <w:r>
        <w:rPr>
          <w:rFonts w:eastAsia="Times New Roman"/>
          <w:lang w:val="fr-FR"/>
        </w:rPr>
        <w:t>’</w:t>
      </w:r>
      <w:r w:rsidRPr="00466CE7">
        <w:rPr>
          <w:rFonts w:eastAsia="Times New Roman"/>
          <w:lang w:val="fr-FR"/>
        </w:rPr>
        <w:t>eau potable.</w:t>
      </w:r>
    </w:p>
    <w:p w14:paraId="5BEE9BA9" w14:textId="28D3EB12" w:rsidR="009C6834" w:rsidRPr="00466CE7" w:rsidRDefault="009C6834" w:rsidP="009C6834">
      <w:pPr>
        <w:pStyle w:val="SingleTxtG"/>
        <w:rPr>
          <w:rFonts w:eastAsia="Times New Roman"/>
          <w:lang w:val="fr-FR"/>
        </w:rPr>
      </w:pPr>
      <w:r w:rsidRPr="00466CE7">
        <w:rPr>
          <w:rFonts w:eastAsia="Times New Roman"/>
          <w:lang w:val="fr-FR"/>
        </w:rPr>
        <w:t>313.</w:t>
      </w:r>
      <w:r w:rsidRPr="00466CE7">
        <w:rPr>
          <w:rFonts w:eastAsia="Times New Roman"/>
          <w:lang w:val="fr-FR"/>
        </w:rPr>
        <w:tab/>
        <w:t xml:space="preserve">Dans le cadre de la stratégie de développement </w:t>
      </w:r>
      <w:r>
        <w:rPr>
          <w:rFonts w:eastAsia="Times New Roman"/>
          <w:lang w:val="fr-FR"/>
        </w:rPr>
        <w:t>des systèmes d’</w:t>
      </w:r>
      <w:r w:rsidRPr="00466CE7">
        <w:rPr>
          <w:rFonts w:eastAsia="Times New Roman"/>
          <w:lang w:val="fr-FR"/>
        </w:rPr>
        <w:t xml:space="preserve">approvisionnement en eau potable et </w:t>
      </w:r>
      <w:r>
        <w:rPr>
          <w:rFonts w:eastAsia="Times New Roman"/>
          <w:lang w:val="fr-FR"/>
        </w:rPr>
        <w:t>d’</w:t>
      </w:r>
      <w:r w:rsidRPr="00466CE7">
        <w:rPr>
          <w:rFonts w:eastAsia="Times New Roman"/>
          <w:lang w:val="fr-FR"/>
        </w:rPr>
        <w:t xml:space="preserve">assainissement </w:t>
      </w:r>
      <w:r>
        <w:rPr>
          <w:rFonts w:eastAsia="Times New Roman"/>
          <w:lang w:val="fr-FR"/>
        </w:rPr>
        <w:t xml:space="preserve">à l’horizon </w:t>
      </w:r>
      <w:r w:rsidRPr="00466CE7">
        <w:rPr>
          <w:rFonts w:eastAsia="Times New Roman"/>
          <w:lang w:val="fr-FR"/>
        </w:rPr>
        <w:t xml:space="preserve">2026, il est prévu de construire </w:t>
      </w:r>
      <w:r>
        <w:rPr>
          <w:rFonts w:eastAsia="Times New Roman"/>
          <w:lang w:val="fr-FR"/>
        </w:rPr>
        <w:t xml:space="preserve">ou </w:t>
      </w:r>
      <w:r w:rsidRPr="00466CE7">
        <w:rPr>
          <w:rFonts w:eastAsia="Times New Roman"/>
          <w:lang w:val="fr-FR"/>
        </w:rPr>
        <w:t xml:space="preserve">de </w:t>
      </w:r>
      <w:r>
        <w:rPr>
          <w:rFonts w:eastAsia="Times New Roman"/>
          <w:lang w:val="fr-FR"/>
        </w:rPr>
        <w:t xml:space="preserve">remettre en état </w:t>
      </w:r>
      <w:r w:rsidRPr="00466CE7">
        <w:rPr>
          <w:rFonts w:eastAsia="Times New Roman"/>
          <w:lang w:val="fr-FR"/>
        </w:rPr>
        <w:t xml:space="preserve">des </w:t>
      </w:r>
      <w:r>
        <w:rPr>
          <w:rFonts w:eastAsia="Times New Roman"/>
          <w:lang w:val="fr-FR"/>
        </w:rPr>
        <w:t xml:space="preserve">installations </w:t>
      </w:r>
      <w:r w:rsidRPr="00466CE7">
        <w:rPr>
          <w:rFonts w:eastAsia="Times New Roman"/>
          <w:lang w:val="fr-FR"/>
        </w:rPr>
        <w:t>d</w:t>
      </w:r>
      <w:r>
        <w:rPr>
          <w:rFonts w:eastAsia="Times New Roman"/>
          <w:lang w:val="fr-FR"/>
        </w:rPr>
        <w:t>’</w:t>
      </w:r>
      <w:r w:rsidRPr="00466CE7">
        <w:rPr>
          <w:rFonts w:eastAsia="Times New Roman"/>
          <w:lang w:val="fr-FR"/>
        </w:rPr>
        <w:t>approvisionnement en eau dans 425</w:t>
      </w:r>
      <w:r w:rsidR="00426750">
        <w:rPr>
          <w:rFonts w:eastAsia="Times New Roman"/>
          <w:lang w:val="fr-FR"/>
        </w:rPr>
        <w:t> </w:t>
      </w:r>
      <w:r>
        <w:rPr>
          <w:rFonts w:eastAsia="Times New Roman"/>
          <w:lang w:val="fr-FR"/>
        </w:rPr>
        <w:t xml:space="preserve">villages </w:t>
      </w:r>
      <w:r w:rsidRPr="00466CE7">
        <w:rPr>
          <w:rFonts w:eastAsia="Times New Roman"/>
          <w:lang w:val="fr-FR"/>
        </w:rPr>
        <w:t xml:space="preserve">pour un montant de </w:t>
      </w:r>
      <w:r>
        <w:rPr>
          <w:rFonts w:eastAsia="Times New Roman"/>
          <w:lang w:val="fr-FR"/>
        </w:rPr>
        <w:t>8 </w:t>
      </w:r>
      <w:r w:rsidRPr="00466CE7">
        <w:rPr>
          <w:rFonts w:eastAsia="Times New Roman"/>
          <w:lang w:val="fr-FR"/>
        </w:rPr>
        <w:t>882</w:t>
      </w:r>
      <w:r>
        <w:rPr>
          <w:rFonts w:eastAsia="Times New Roman"/>
          <w:lang w:val="fr-FR"/>
        </w:rPr>
        <w:t> 000</w:t>
      </w:r>
      <w:r w:rsidR="00426750">
        <w:rPr>
          <w:rFonts w:eastAsia="Times New Roman"/>
          <w:lang w:val="fr-FR"/>
        </w:rPr>
        <w:t> </w:t>
      </w:r>
      <w:r>
        <w:rPr>
          <w:rFonts w:eastAsia="Times New Roman"/>
          <w:lang w:val="fr-FR"/>
        </w:rPr>
        <w:t>000</w:t>
      </w:r>
      <w:r w:rsidR="00426750">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 xml:space="preserve">, ainsi que des </w:t>
      </w:r>
      <w:r>
        <w:rPr>
          <w:rFonts w:eastAsia="Times New Roman"/>
          <w:lang w:val="fr-FR"/>
        </w:rPr>
        <w:t xml:space="preserve">installations </w:t>
      </w:r>
      <w:r w:rsidRPr="00466CE7">
        <w:rPr>
          <w:rFonts w:eastAsia="Times New Roman"/>
          <w:lang w:val="fr-FR"/>
        </w:rPr>
        <w:t>d</w:t>
      </w:r>
      <w:r>
        <w:rPr>
          <w:rFonts w:eastAsia="Times New Roman"/>
          <w:lang w:val="fr-FR"/>
        </w:rPr>
        <w:t>’</w:t>
      </w:r>
      <w:r w:rsidRPr="00466CE7">
        <w:rPr>
          <w:rFonts w:eastAsia="Times New Roman"/>
          <w:lang w:val="fr-FR"/>
        </w:rPr>
        <w:t>assainissement dans 27</w:t>
      </w:r>
      <w:r w:rsidR="00426750">
        <w:rPr>
          <w:rFonts w:eastAsia="Times New Roman"/>
          <w:lang w:val="fr-FR"/>
        </w:rPr>
        <w:t> </w:t>
      </w:r>
      <w:r w:rsidRPr="00466CE7">
        <w:rPr>
          <w:rFonts w:eastAsia="Times New Roman"/>
          <w:lang w:val="fr-FR"/>
        </w:rPr>
        <w:t xml:space="preserve">centres de </w:t>
      </w:r>
      <w:r>
        <w:rPr>
          <w:rFonts w:eastAsia="Times New Roman"/>
          <w:lang w:val="fr-FR"/>
        </w:rPr>
        <w:t>district</w:t>
      </w:r>
      <w:r w:rsidRPr="00466CE7">
        <w:rPr>
          <w:rFonts w:eastAsia="Times New Roman"/>
          <w:lang w:val="fr-FR"/>
        </w:rPr>
        <w:t xml:space="preserve"> pour un montant de 4</w:t>
      </w:r>
      <w:r>
        <w:rPr>
          <w:rFonts w:eastAsia="Times New Roman"/>
          <w:lang w:val="fr-FR"/>
        </w:rPr>
        <w:t> 048 000</w:t>
      </w:r>
      <w:r w:rsidR="00426750">
        <w:rPr>
          <w:rFonts w:eastAsia="Times New Roman"/>
          <w:lang w:val="fr-FR"/>
        </w:rPr>
        <w:t> </w:t>
      </w:r>
      <w:r>
        <w:rPr>
          <w:rFonts w:eastAsia="Times New Roman"/>
          <w:lang w:val="fr-FR"/>
        </w:rPr>
        <w:t>000</w:t>
      </w:r>
      <w:r w:rsidR="00426750">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w:t>
      </w:r>
    </w:p>
    <w:p w14:paraId="6BD67843" w14:textId="16437BB9" w:rsidR="009C6834" w:rsidRDefault="009C6834" w:rsidP="009C6834">
      <w:pPr>
        <w:pStyle w:val="SingleTxtG"/>
        <w:rPr>
          <w:rFonts w:eastAsia="Times New Roman"/>
          <w:lang w:val="fr-FR"/>
        </w:rPr>
      </w:pPr>
      <w:r w:rsidRPr="00466CE7">
        <w:rPr>
          <w:rFonts w:eastAsia="Times New Roman"/>
          <w:lang w:val="fr-FR"/>
        </w:rPr>
        <w:t>314.</w:t>
      </w:r>
      <w:r w:rsidRPr="00466CE7">
        <w:rPr>
          <w:rFonts w:eastAsia="Times New Roman"/>
          <w:lang w:val="fr-FR"/>
        </w:rPr>
        <w:tab/>
      </w:r>
      <w:r>
        <w:rPr>
          <w:rFonts w:eastAsia="Times New Roman"/>
          <w:lang w:val="fr-FR"/>
        </w:rPr>
        <w:t>On trouvera à l’annexe</w:t>
      </w:r>
      <w:r w:rsidR="00426750">
        <w:rPr>
          <w:rFonts w:eastAsia="Times New Roman"/>
          <w:lang w:val="fr-FR"/>
        </w:rPr>
        <w:t> </w:t>
      </w:r>
      <w:r>
        <w:rPr>
          <w:rFonts w:eastAsia="Times New Roman"/>
          <w:lang w:val="fr-FR"/>
        </w:rPr>
        <w:t>1 d</w:t>
      </w:r>
      <w:r w:rsidRPr="00466CE7">
        <w:rPr>
          <w:rFonts w:eastAsia="Times New Roman"/>
          <w:lang w:val="fr-FR"/>
        </w:rPr>
        <w:t xml:space="preserve">es données statistiques sur les sans-abri et </w:t>
      </w:r>
      <w:r>
        <w:rPr>
          <w:rFonts w:eastAsia="Times New Roman"/>
          <w:lang w:val="fr-FR"/>
        </w:rPr>
        <w:t xml:space="preserve">sur </w:t>
      </w:r>
      <w:r w:rsidRPr="00466CE7">
        <w:rPr>
          <w:rFonts w:eastAsia="Times New Roman"/>
          <w:lang w:val="fr-FR"/>
        </w:rPr>
        <w:t>le droit à un logement</w:t>
      </w:r>
      <w:r>
        <w:rPr>
          <w:rFonts w:eastAsia="Times New Roman"/>
          <w:lang w:val="fr-FR"/>
        </w:rPr>
        <w:t xml:space="preserve"> suffisant ainsi que sur l’accès à des sources d’eau potable sûres.</w:t>
      </w:r>
    </w:p>
    <w:p w14:paraId="632477DA" w14:textId="2BBBF671" w:rsidR="009C6834" w:rsidRPr="00D86333" w:rsidRDefault="00426750" w:rsidP="00426750">
      <w:pPr>
        <w:pStyle w:val="H1G"/>
        <w:rPr>
          <w:lang w:val="fr-FR"/>
        </w:rPr>
      </w:pPr>
      <w:r>
        <w:rPr>
          <w:lang w:val="fr-FR"/>
        </w:rPr>
        <w:tab/>
      </w:r>
      <w:r>
        <w:rPr>
          <w:lang w:val="fr-FR"/>
        </w:rPr>
        <w:tab/>
      </w:r>
      <w:r w:rsidR="00CB4ECD">
        <w:rPr>
          <w:lang w:val="fr-FR"/>
        </w:rPr>
        <w:t>Article </w:t>
      </w:r>
      <w:r w:rsidR="009C6834" w:rsidRPr="00D86333">
        <w:rPr>
          <w:lang w:val="fr-FR"/>
        </w:rPr>
        <w:t>20</w:t>
      </w:r>
      <w:r>
        <w:rPr>
          <w:lang w:val="fr-FR"/>
        </w:rPr>
        <w:br/>
      </w:r>
      <w:r w:rsidR="009C6834" w:rsidRPr="00D86333">
        <w:rPr>
          <w:lang w:val="fr-FR"/>
        </w:rPr>
        <w:t>Pauvreté</w:t>
      </w:r>
    </w:p>
    <w:p w14:paraId="0916CDE6" w14:textId="77777777" w:rsidR="009C6834" w:rsidRPr="00466CE7" w:rsidRDefault="009C6834" w:rsidP="009C6834">
      <w:pPr>
        <w:pStyle w:val="SingleTxtG"/>
        <w:rPr>
          <w:rFonts w:eastAsia="Times New Roman"/>
          <w:lang w:val="fr-FR"/>
        </w:rPr>
      </w:pPr>
      <w:r w:rsidRPr="00466CE7">
        <w:rPr>
          <w:rFonts w:eastAsia="Times New Roman"/>
          <w:lang w:val="fr-FR"/>
        </w:rPr>
        <w:t>315.</w:t>
      </w:r>
      <w:r w:rsidRPr="00466CE7">
        <w:rPr>
          <w:rFonts w:eastAsia="Times New Roman"/>
          <w:lang w:val="fr-FR"/>
        </w:rPr>
        <w:tab/>
        <w:t xml:space="preserve">Il convient de noter que le budget </w:t>
      </w:r>
      <w:r>
        <w:rPr>
          <w:rFonts w:eastAsia="Times New Roman"/>
          <w:lang w:val="fr-FR"/>
        </w:rPr>
        <w:t>de l’État a une orientation sociale</w:t>
      </w:r>
      <w:r w:rsidRPr="00466CE7">
        <w:rPr>
          <w:rFonts w:eastAsia="Times New Roman"/>
          <w:lang w:val="fr-FR"/>
        </w:rPr>
        <w:t>. Près de la moitié de</w:t>
      </w:r>
      <w:r>
        <w:rPr>
          <w:rFonts w:eastAsia="Times New Roman"/>
          <w:lang w:val="fr-FR"/>
        </w:rPr>
        <w:t>s</w:t>
      </w:r>
      <w:r w:rsidRPr="00466CE7">
        <w:rPr>
          <w:rFonts w:eastAsia="Times New Roman"/>
          <w:lang w:val="fr-FR"/>
        </w:rPr>
        <w:t xml:space="preserve"> recettes </w:t>
      </w:r>
      <w:r>
        <w:rPr>
          <w:rFonts w:eastAsia="Times New Roman"/>
          <w:lang w:val="fr-FR"/>
        </w:rPr>
        <w:t xml:space="preserve">publiques </w:t>
      </w:r>
      <w:r w:rsidRPr="00466CE7">
        <w:rPr>
          <w:rFonts w:eastAsia="Times New Roman"/>
          <w:lang w:val="fr-FR"/>
        </w:rPr>
        <w:t xml:space="preserve">sont </w:t>
      </w:r>
      <w:r>
        <w:rPr>
          <w:rFonts w:eastAsia="Times New Roman"/>
          <w:lang w:val="fr-FR"/>
        </w:rPr>
        <w:t>consacrées à l’</w:t>
      </w:r>
      <w:r w:rsidRPr="00466CE7">
        <w:rPr>
          <w:rFonts w:eastAsia="Times New Roman"/>
          <w:lang w:val="fr-FR"/>
        </w:rPr>
        <w:t xml:space="preserve">éducation, </w:t>
      </w:r>
      <w:r>
        <w:rPr>
          <w:rFonts w:eastAsia="Times New Roman"/>
          <w:lang w:val="fr-FR"/>
        </w:rPr>
        <w:t xml:space="preserve">à la </w:t>
      </w:r>
      <w:r w:rsidRPr="00466CE7">
        <w:rPr>
          <w:rFonts w:eastAsia="Times New Roman"/>
          <w:lang w:val="fr-FR"/>
        </w:rPr>
        <w:t xml:space="preserve">santé, </w:t>
      </w:r>
      <w:r>
        <w:rPr>
          <w:rFonts w:eastAsia="Times New Roman"/>
          <w:lang w:val="fr-FR"/>
        </w:rPr>
        <w:t xml:space="preserve">au </w:t>
      </w:r>
      <w:r w:rsidRPr="00466CE7">
        <w:rPr>
          <w:rFonts w:eastAsia="Times New Roman"/>
          <w:lang w:val="fr-FR"/>
        </w:rPr>
        <w:t xml:space="preserve">développement du sport, de la science et de la culture, </w:t>
      </w:r>
      <w:r>
        <w:rPr>
          <w:rFonts w:eastAsia="Times New Roman"/>
          <w:lang w:val="fr-FR"/>
        </w:rPr>
        <w:t xml:space="preserve">à la sécurité </w:t>
      </w:r>
      <w:r w:rsidRPr="00466CE7">
        <w:rPr>
          <w:rFonts w:eastAsia="Times New Roman"/>
          <w:lang w:val="fr-FR"/>
        </w:rPr>
        <w:t>social</w:t>
      </w:r>
      <w:r>
        <w:rPr>
          <w:rFonts w:eastAsia="Times New Roman"/>
          <w:lang w:val="fr-FR"/>
        </w:rPr>
        <w:t>e</w:t>
      </w:r>
      <w:r w:rsidRPr="00466CE7">
        <w:rPr>
          <w:rFonts w:eastAsia="Times New Roman"/>
          <w:lang w:val="fr-FR"/>
        </w:rPr>
        <w:t xml:space="preserve"> et </w:t>
      </w:r>
      <w:r>
        <w:rPr>
          <w:rFonts w:eastAsia="Times New Roman"/>
          <w:lang w:val="fr-FR"/>
        </w:rPr>
        <w:t xml:space="preserve">à la </w:t>
      </w:r>
      <w:r w:rsidRPr="00466CE7">
        <w:rPr>
          <w:rFonts w:eastAsia="Times New Roman"/>
          <w:lang w:val="fr-FR"/>
        </w:rPr>
        <w:t>protection sociale de la population.</w:t>
      </w:r>
    </w:p>
    <w:p w14:paraId="4AE5B304" w14:textId="61AC1465" w:rsidR="009C6834" w:rsidRPr="00466CE7" w:rsidRDefault="009C6834" w:rsidP="009C6834">
      <w:pPr>
        <w:pStyle w:val="SingleTxtG"/>
        <w:rPr>
          <w:rFonts w:eastAsia="Times New Roman"/>
          <w:lang w:val="fr-FR"/>
        </w:rPr>
      </w:pPr>
      <w:r w:rsidRPr="00466CE7">
        <w:rPr>
          <w:rFonts w:eastAsia="Times New Roman"/>
          <w:lang w:val="fr-FR"/>
        </w:rPr>
        <w:t>316.</w:t>
      </w:r>
      <w:r w:rsidRPr="00466CE7">
        <w:rPr>
          <w:rFonts w:eastAsia="Times New Roman"/>
          <w:lang w:val="fr-FR"/>
        </w:rPr>
        <w:tab/>
      </w:r>
      <w:r>
        <w:rPr>
          <w:rFonts w:eastAsia="Times New Roman"/>
          <w:lang w:val="fr-FR"/>
        </w:rPr>
        <w:t>L</w:t>
      </w:r>
      <w:r w:rsidRPr="00466CE7">
        <w:rPr>
          <w:rFonts w:eastAsia="Times New Roman"/>
          <w:lang w:val="fr-FR"/>
        </w:rPr>
        <w:t xml:space="preserve">es dépenses </w:t>
      </w:r>
      <w:r>
        <w:rPr>
          <w:rFonts w:eastAsia="Times New Roman"/>
          <w:lang w:val="fr-FR"/>
        </w:rPr>
        <w:t xml:space="preserve">de sécurité </w:t>
      </w:r>
      <w:r w:rsidRPr="00466CE7">
        <w:rPr>
          <w:rFonts w:eastAsia="Times New Roman"/>
          <w:lang w:val="fr-FR"/>
        </w:rPr>
        <w:t xml:space="preserve">sociale et de protection sociale représentent </w:t>
      </w:r>
      <w:r>
        <w:rPr>
          <w:rFonts w:eastAsia="Times New Roman"/>
          <w:lang w:val="fr-FR"/>
        </w:rPr>
        <w:t xml:space="preserve">par exemple </w:t>
      </w:r>
      <w:r w:rsidRPr="00466CE7">
        <w:rPr>
          <w:rFonts w:eastAsia="Times New Roman"/>
          <w:lang w:val="fr-FR"/>
        </w:rPr>
        <w:t>5,7</w:t>
      </w:r>
      <w:r w:rsidR="00CB4ECD">
        <w:rPr>
          <w:rFonts w:eastAsia="Times New Roman"/>
          <w:lang w:val="fr-FR"/>
        </w:rPr>
        <w:t> %</w:t>
      </w:r>
      <w:r w:rsidRPr="00466CE7">
        <w:rPr>
          <w:rFonts w:eastAsia="Times New Roman"/>
          <w:lang w:val="fr-FR"/>
        </w:rPr>
        <w:t xml:space="preserve"> du PIB et 20</w:t>
      </w:r>
      <w:r w:rsidR="00CB4ECD">
        <w:rPr>
          <w:rFonts w:eastAsia="Times New Roman"/>
          <w:lang w:val="fr-FR"/>
        </w:rPr>
        <w:t> %</w:t>
      </w:r>
      <w:r w:rsidRPr="00466CE7">
        <w:rPr>
          <w:rFonts w:eastAsia="Times New Roman"/>
          <w:lang w:val="fr-FR"/>
        </w:rPr>
        <w:t xml:space="preserve"> des dépenses </w:t>
      </w:r>
      <w:r>
        <w:rPr>
          <w:rFonts w:eastAsia="Times New Roman"/>
          <w:lang w:val="fr-FR"/>
        </w:rPr>
        <w:t>de l’État</w:t>
      </w:r>
      <w:r w:rsidRPr="00466CE7">
        <w:rPr>
          <w:rFonts w:eastAsia="Times New Roman"/>
          <w:lang w:val="fr-FR"/>
        </w:rPr>
        <w:t>.</w:t>
      </w:r>
    </w:p>
    <w:p w14:paraId="69117EB6" w14:textId="77777777" w:rsidR="009C6834" w:rsidRPr="00466CE7" w:rsidRDefault="009C6834" w:rsidP="009C6834">
      <w:pPr>
        <w:pStyle w:val="SingleTxtG"/>
        <w:rPr>
          <w:rFonts w:eastAsia="Times New Roman"/>
          <w:lang w:val="fr-FR"/>
        </w:rPr>
      </w:pPr>
      <w:r w:rsidRPr="00466CE7">
        <w:rPr>
          <w:rFonts w:eastAsia="Times New Roman"/>
          <w:lang w:val="fr-FR"/>
        </w:rPr>
        <w:t>317.</w:t>
      </w:r>
      <w:r w:rsidRPr="00466CE7">
        <w:rPr>
          <w:rFonts w:eastAsia="Times New Roman"/>
          <w:lang w:val="fr-FR"/>
        </w:rPr>
        <w:tab/>
      </w:r>
      <w:r>
        <w:rPr>
          <w:rFonts w:eastAsia="Times New Roman"/>
          <w:lang w:val="fr-FR"/>
        </w:rPr>
        <w:t xml:space="preserve">En ce qui concerne l’aide </w:t>
      </w:r>
      <w:r w:rsidRPr="00466CE7">
        <w:rPr>
          <w:rFonts w:eastAsia="Times New Roman"/>
          <w:lang w:val="fr-FR"/>
        </w:rPr>
        <w:t>soci</w:t>
      </w:r>
      <w:r>
        <w:rPr>
          <w:rFonts w:eastAsia="Times New Roman"/>
          <w:lang w:val="fr-FR"/>
        </w:rPr>
        <w:t>ale fournie à la population par l’État</w:t>
      </w:r>
      <w:r w:rsidRPr="00466CE7">
        <w:rPr>
          <w:rFonts w:eastAsia="Times New Roman"/>
          <w:lang w:val="fr-FR"/>
        </w:rPr>
        <w:t xml:space="preserve">, </w:t>
      </w:r>
      <w:r>
        <w:rPr>
          <w:rFonts w:eastAsia="Times New Roman"/>
          <w:lang w:val="fr-FR"/>
        </w:rPr>
        <w:t xml:space="preserve">une version révisée de </w:t>
      </w:r>
      <w:r w:rsidRPr="00466CE7">
        <w:rPr>
          <w:rFonts w:eastAsia="Times New Roman"/>
          <w:lang w:val="fr-FR"/>
        </w:rPr>
        <w:t xml:space="preserve">la loi </w:t>
      </w:r>
      <w:r>
        <w:rPr>
          <w:rFonts w:eastAsia="Times New Roman"/>
          <w:lang w:val="fr-FR"/>
        </w:rPr>
        <w:t xml:space="preserve">relative aux </w:t>
      </w:r>
      <w:r w:rsidRPr="00466CE7">
        <w:rPr>
          <w:rFonts w:eastAsia="Times New Roman"/>
          <w:lang w:val="fr-FR"/>
        </w:rPr>
        <w:t>prestations</w:t>
      </w:r>
      <w:r>
        <w:rPr>
          <w:rFonts w:eastAsia="Times New Roman"/>
          <w:lang w:val="fr-FR"/>
        </w:rPr>
        <w:t xml:space="preserve"> de </w:t>
      </w:r>
      <w:r w:rsidRPr="00466CE7">
        <w:rPr>
          <w:rFonts w:eastAsia="Times New Roman"/>
          <w:lang w:val="fr-FR"/>
        </w:rPr>
        <w:t>l</w:t>
      </w:r>
      <w:r>
        <w:rPr>
          <w:rFonts w:eastAsia="Times New Roman"/>
          <w:lang w:val="fr-FR"/>
        </w:rPr>
        <w:t>’</w:t>
      </w:r>
      <w:r w:rsidRPr="00466CE7">
        <w:rPr>
          <w:rFonts w:eastAsia="Times New Roman"/>
          <w:lang w:val="fr-FR"/>
        </w:rPr>
        <w:t>État est entrée en vigueur</w:t>
      </w:r>
      <w:r>
        <w:rPr>
          <w:rFonts w:eastAsia="Times New Roman"/>
          <w:lang w:val="fr-FR"/>
        </w:rPr>
        <w:t xml:space="preserve"> en 2018</w:t>
      </w:r>
      <w:r w:rsidRPr="00466CE7">
        <w:rPr>
          <w:rFonts w:eastAsia="Times New Roman"/>
          <w:lang w:val="fr-FR"/>
        </w:rPr>
        <w:t xml:space="preserve">. </w:t>
      </w:r>
      <w:r>
        <w:rPr>
          <w:rFonts w:eastAsia="Times New Roman"/>
          <w:lang w:val="fr-FR"/>
        </w:rPr>
        <w:t xml:space="preserve">Différents </w:t>
      </w:r>
      <w:r w:rsidRPr="00466CE7">
        <w:rPr>
          <w:rFonts w:eastAsia="Times New Roman"/>
          <w:lang w:val="fr-FR"/>
        </w:rPr>
        <w:t>types de prestations publiques</w:t>
      </w:r>
      <w:r>
        <w:rPr>
          <w:rFonts w:eastAsia="Times New Roman"/>
          <w:lang w:val="fr-FR"/>
        </w:rPr>
        <w:t xml:space="preserve"> sont prévus.</w:t>
      </w:r>
    </w:p>
    <w:p w14:paraId="5F36F949" w14:textId="6429F739" w:rsidR="009C6834" w:rsidRPr="00466CE7" w:rsidRDefault="009C6834" w:rsidP="009C6834">
      <w:pPr>
        <w:pStyle w:val="SingleTxtG"/>
        <w:rPr>
          <w:rFonts w:eastAsia="Times New Roman"/>
          <w:lang w:val="fr-FR"/>
        </w:rPr>
      </w:pPr>
      <w:r>
        <w:rPr>
          <w:rFonts w:eastAsia="Times New Roman"/>
          <w:lang w:val="fr-FR"/>
        </w:rPr>
        <w:t>318.</w:t>
      </w:r>
      <w:r>
        <w:rPr>
          <w:rFonts w:eastAsia="Times New Roman"/>
          <w:lang w:val="fr-FR"/>
        </w:rPr>
        <w:tab/>
        <w:t xml:space="preserve">Une </w:t>
      </w:r>
      <w:r w:rsidRPr="00466CE7">
        <w:rPr>
          <w:rFonts w:eastAsia="Times New Roman"/>
          <w:lang w:val="fr-FR"/>
        </w:rPr>
        <w:t>allocation (</w:t>
      </w:r>
      <w:r>
        <w:rPr>
          <w:rFonts w:eastAsia="Times New Roman"/>
          <w:lang w:val="fr-FR"/>
        </w:rPr>
        <w:t>versement</w:t>
      </w:r>
      <w:r w:rsidRPr="00466CE7">
        <w:rPr>
          <w:rFonts w:eastAsia="Times New Roman"/>
          <w:lang w:val="fr-FR"/>
        </w:rPr>
        <w:t xml:space="preserve">) </w:t>
      </w:r>
      <w:r>
        <w:rPr>
          <w:rFonts w:eastAsia="Times New Roman"/>
          <w:lang w:val="fr-FR"/>
        </w:rPr>
        <w:t xml:space="preserve">forfaitaire </w:t>
      </w:r>
      <w:r w:rsidRPr="005677FE">
        <w:rPr>
          <w:lang w:val="fr-FR"/>
        </w:rPr>
        <w:t>(</w:t>
      </w:r>
      <w:proofErr w:type="spellStart"/>
      <w:r w:rsidRPr="005677FE">
        <w:rPr>
          <w:iCs/>
          <w:lang w:val="fr-FR"/>
        </w:rPr>
        <w:t>balaga</w:t>
      </w:r>
      <w:proofErr w:type="spellEnd"/>
      <w:r w:rsidRPr="005677FE">
        <w:rPr>
          <w:iCs/>
          <w:lang w:val="fr-FR"/>
        </w:rPr>
        <w:t xml:space="preserve"> </w:t>
      </w:r>
      <w:proofErr w:type="spellStart"/>
      <w:r w:rsidRPr="005677FE">
        <w:rPr>
          <w:iCs/>
          <w:lang w:val="fr-FR"/>
        </w:rPr>
        <w:t>suyunchu</w:t>
      </w:r>
      <w:proofErr w:type="spellEnd"/>
      <w:r w:rsidRPr="005677FE">
        <w:rPr>
          <w:lang w:val="fr-FR"/>
        </w:rPr>
        <w:t>)</w:t>
      </w:r>
      <w:r w:rsidRPr="005677FE">
        <w:rPr>
          <w:rFonts w:eastAsia="Times New Roman"/>
          <w:lang w:val="fr-FR"/>
        </w:rPr>
        <w:t xml:space="preserve"> </w:t>
      </w:r>
      <w:r w:rsidRPr="00466CE7">
        <w:rPr>
          <w:rFonts w:eastAsia="Times New Roman"/>
          <w:lang w:val="fr-FR"/>
        </w:rPr>
        <w:t>de 4</w:t>
      </w:r>
      <w:r w:rsidR="00426750">
        <w:rPr>
          <w:rFonts w:eastAsia="Times New Roman"/>
          <w:lang w:val="fr-FR"/>
        </w:rPr>
        <w:t> </w:t>
      </w:r>
      <w:r w:rsidRPr="00466CE7">
        <w:rPr>
          <w:rFonts w:eastAsia="Times New Roman"/>
          <w:lang w:val="fr-FR"/>
        </w:rPr>
        <w:t>000</w:t>
      </w:r>
      <w:r w:rsidR="00426750">
        <w:rPr>
          <w:rFonts w:eastAsia="Times New Roman"/>
          <w:lang w:val="fr-FR"/>
        </w:rPr>
        <w:t> </w:t>
      </w:r>
      <w:proofErr w:type="spellStart"/>
      <w:r w:rsidRPr="00466CE7">
        <w:rPr>
          <w:rFonts w:eastAsia="Times New Roman"/>
          <w:lang w:val="fr-FR"/>
        </w:rPr>
        <w:t>soms</w:t>
      </w:r>
      <w:proofErr w:type="spellEnd"/>
      <w:r w:rsidRPr="005677FE">
        <w:rPr>
          <w:lang w:val="fr-FR"/>
        </w:rPr>
        <w:t xml:space="preserve"> </w:t>
      </w:r>
      <w:r>
        <w:rPr>
          <w:lang w:val="fr-FR"/>
        </w:rPr>
        <w:t xml:space="preserve">est accordée </w:t>
      </w:r>
      <w:r w:rsidRPr="00466CE7">
        <w:rPr>
          <w:rFonts w:eastAsia="Times New Roman"/>
          <w:lang w:val="fr-FR"/>
        </w:rPr>
        <w:t>à la naissance de chaque enfant</w:t>
      </w:r>
      <w:r>
        <w:rPr>
          <w:rFonts w:eastAsia="Times New Roman"/>
          <w:lang w:val="fr-FR"/>
        </w:rPr>
        <w:t>, quel que soit le</w:t>
      </w:r>
      <w:r w:rsidRPr="00466CE7">
        <w:rPr>
          <w:rFonts w:eastAsia="Times New Roman"/>
          <w:lang w:val="fr-FR"/>
        </w:rPr>
        <w:t xml:space="preserve"> revenu </w:t>
      </w:r>
      <w:r>
        <w:rPr>
          <w:rFonts w:eastAsia="Times New Roman"/>
          <w:lang w:val="fr-FR"/>
        </w:rPr>
        <w:t>du ménage</w:t>
      </w:r>
      <w:r w:rsidRPr="00466CE7">
        <w:rPr>
          <w:rFonts w:eastAsia="Times New Roman"/>
          <w:lang w:val="fr-FR"/>
        </w:rPr>
        <w:t>, c</w:t>
      </w:r>
      <w:r>
        <w:rPr>
          <w:rFonts w:eastAsia="Times New Roman"/>
          <w:lang w:val="fr-FR"/>
        </w:rPr>
        <w:t>’</w:t>
      </w:r>
      <w:r w:rsidRPr="00466CE7">
        <w:rPr>
          <w:rFonts w:eastAsia="Times New Roman"/>
          <w:lang w:val="fr-FR"/>
        </w:rPr>
        <w:t>est-à-dire sans ciblage (</w:t>
      </w:r>
      <w:r>
        <w:rPr>
          <w:rFonts w:eastAsia="Times New Roman"/>
          <w:lang w:val="fr-FR"/>
        </w:rPr>
        <w:t xml:space="preserve">équivalant </w:t>
      </w:r>
      <w:r w:rsidRPr="00466CE7">
        <w:rPr>
          <w:rFonts w:eastAsia="Times New Roman"/>
          <w:lang w:val="fr-FR"/>
        </w:rPr>
        <w:t>presque au minimum vital de l</w:t>
      </w:r>
      <w:r>
        <w:rPr>
          <w:rFonts w:eastAsia="Times New Roman"/>
          <w:lang w:val="fr-FR"/>
        </w:rPr>
        <w:t>’</w:t>
      </w:r>
      <w:r w:rsidRPr="00466CE7">
        <w:rPr>
          <w:rFonts w:eastAsia="Times New Roman"/>
          <w:lang w:val="fr-FR"/>
        </w:rPr>
        <w:t>enfant)</w:t>
      </w:r>
      <w:r w:rsidR="00426750">
        <w:rPr>
          <w:rFonts w:eastAsia="Times New Roman"/>
          <w:lang w:val="fr-FR"/>
        </w:rPr>
        <w:t>.</w:t>
      </w:r>
    </w:p>
    <w:p w14:paraId="5B06584F" w14:textId="30E9AAD0" w:rsidR="009C6834" w:rsidRDefault="009C6834" w:rsidP="009C6834">
      <w:pPr>
        <w:pStyle w:val="SingleTxtG"/>
        <w:rPr>
          <w:rFonts w:eastAsia="Times New Roman"/>
          <w:lang w:val="fr-FR"/>
        </w:rPr>
      </w:pPr>
      <w:r>
        <w:rPr>
          <w:rFonts w:eastAsia="Times New Roman"/>
          <w:lang w:val="fr-FR"/>
        </w:rPr>
        <w:t>319.</w:t>
      </w:r>
      <w:r>
        <w:rPr>
          <w:rFonts w:eastAsia="Times New Roman"/>
          <w:lang w:val="fr-FR"/>
        </w:rPr>
        <w:tab/>
        <w:t>U</w:t>
      </w:r>
      <w:r w:rsidRPr="00466CE7">
        <w:rPr>
          <w:rFonts w:eastAsia="Times New Roman"/>
          <w:lang w:val="fr-FR"/>
        </w:rPr>
        <w:t>ne allocation mensuelle de 810</w:t>
      </w:r>
      <w:r w:rsidR="00426750">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 xml:space="preserve"> </w:t>
      </w:r>
      <w:r>
        <w:rPr>
          <w:rFonts w:eastAsia="Times New Roman"/>
          <w:lang w:val="fr-FR"/>
        </w:rPr>
        <w:t xml:space="preserve">est versée </w:t>
      </w:r>
      <w:r w:rsidRPr="00466CE7">
        <w:rPr>
          <w:rFonts w:eastAsia="Times New Roman"/>
          <w:lang w:val="fr-FR"/>
        </w:rPr>
        <w:t>aux familles</w:t>
      </w:r>
      <w:r>
        <w:rPr>
          <w:rFonts w:eastAsia="Times New Roman"/>
          <w:lang w:val="fr-FR"/>
        </w:rPr>
        <w:t xml:space="preserve"> </w:t>
      </w:r>
      <w:r w:rsidRPr="00466CE7">
        <w:rPr>
          <w:rFonts w:eastAsia="Times New Roman"/>
          <w:lang w:val="fr-FR"/>
        </w:rPr>
        <w:t>avec enfants</w:t>
      </w:r>
      <w:r>
        <w:rPr>
          <w:rFonts w:eastAsia="Times New Roman"/>
          <w:lang w:val="fr-FR"/>
        </w:rPr>
        <w:t xml:space="preserve"> de moins de </w:t>
      </w:r>
      <w:r w:rsidRPr="00466CE7">
        <w:rPr>
          <w:rFonts w:eastAsia="Times New Roman"/>
          <w:lang w:val="fr-FR"/>
        </w:rPr>
        <w:t>16</w:t>
      </w:r>
      <w:r w:rsidR="00426750">
        <w:rPr>
          <w:rFonts w:eastAsia="Times New Roman"/>
          <w:lang w:val="fr-FR"/>
        </w:rPr>
        <w:t> </w:t>
      </w:r>
      <w:r>
        <w:rPr>
          <w:rFonts w:eastAsia="Times New Roman"/>
          <w:lang w:val="fr-FR"/>
        </w:rPr>
        <w:t xml:space="preserve">ans </w:t>
      </w:r>
      <w:r w:rsidRPr="00466CE7">
        <w:rPr>
          <w:rFonts w:eastAsia="Times New Roman"/>
          <w:lang w:val="fr-FR"/>
        </w:rPr>
        <w:t xml:space="preserve">compte </w:t>
      </w:r>
      <w:r>
        <w:rPr>
          <w:rFonts w:eastAsia="Times New Roman"/>
          <w:lang w:val="fr-FR"/>
        </w:rPr>
        <w:t xml:space="preserve">tenu </w:t>
      </w:r>
      <w:r w:rsidRPr="00466CE7">
        <w:rPr>
          <w:rFonts w:eastAsia="Times New Roman"/>
          <w:lang w:val="fr-FR"/>
        </w:rPr>
        <w:t xml:space="preserve">du revenu </w:t>
      </w:r>
      <w:r>
        <w:rPr>
          <w:rFonts w:eastAsia="Times New Roman"/>
          <w:lang w:val="fr-FR"/>
        </w:rPr>
        <w:t>du ménage</w:t>
      </w:r>
      <w:r w:rsidRPr="00466CE7">
        <w:rPr>
          <w:rFonts w:eastAsia="Times New Roman"/>
          <w:lang w:val="fr-FR"/>
        </w:rPr>
        <w:t>, c</w:t>
      </w:r>
      <w:r>
        <w:rPr>
          <w:rFonts w:eastAsia="Times New Roman"/>
          <w:lang w:val="fr-FR"/>
        </w:rPr>
        <w:t>’</w:t>
      </w:r>
      <w:r w:rsidRPr="00466CE7">
        <w:rPr>
          <w:rFonts w:eastAsia="Times New Roman"/>
          <w:lang w:val="fr-FR"/>
        </w:rPr>
        <w:t>est-à-dire ciblée</w:t>
      </w:r>
      <w:r>
        <w:rPr>
          <w:rFonts w:eastAsia="Times New Roman"/>
          <w:lang w:val="fr-FR"/>
        </w:rPr>
        <w:t xml:space="preserve"> et associée au </w:t>
      </w:r>
      <w:r w:rsidRPr="00466CE7">
        <w:rPr>
          <w:rFonts w:eastAsia="Times New Roman"/>
          <w:lang w:val="fr-FR"/>
        </w:rPr>
        <w:t>revenu minimum garanti</w:t>
      </w:r>
      <w:r>
        <w:rPr>
          <w:rFonts w:eastAsia="Times New Roman"/>
          <w:lang w:val="fr-FR"/>
        </w:rPr>
        <w:t>,</w:t>
      </w:r>
      <w:r w:rsidRPr="00466CE7">
        <w:rPr>
          <w:rFonts w:eastAsia="Times New Roman"/>
          <w:lang w:val="fr-FR"/>
        </w:rPr>
        <w:t xml:space="preserve"> dont le montant dépend de la situation financière et économique du pays.</w:t>
      </w:r>
    </w:p>
    <w:p w14:paraId="1D76B308" w14:textId="77777777" w:rsidR="009C6834" w:rsidRPr="00466CE7" w:rsidRDefault="009C6834" w:rsidP="009C6834">
      <w:pPr>
        <w:pStyle w:val="SingleTxtG"/>
        <w:rPr>
          <w:rFonts w:eastAsia="Times New Roman"/>
          <w:lang w:val="fr-FR"/>
        </w:rPr>
      </w:pPr>
      <w:r w:rsidRPr="00466CE7">
        <w:rPr>
          <w:rFonts w:eastAsia="Times New Roman"/>
          <w:lang w:val="fr-FR"/>
        </w:rPr>
        <w:t>320.</w:t>
      </w:r>
      <w:r w:rsidRPr="00466CE7">
        <w:rPr>
          <w:rFonts w:eastAsia="Times New Roman"/>
          <w:lang w:val="fr-FR"/>
        </w:rPr>
        <w:tab/>
      </w:r>
      <w:r>
        <w:rPr>
          <w:rFonts w:eastAsia="Times New Roman"/>
          <w:lang w:val="fr-FR"/>
        </w:rPr>
        <w:t>Afin d’</w:t>
      </w:r>
      <w:r w:rsidRPr="00466CE7">
        <w:rPr>
          <w:rFonts w:eastAsia="Times New Roman"/>
          <w:lang w:val="fr-FR"/>
        </w:rPr>
        <w:t xml:space="preserve">améliorer et </w:t>
      </w:r>
      <w:r>
        <w:rPr>
          <w:rFonts w:eastAsia="Times New Roman"/>
          <w:lang w:val="fr-FR"/>
        </w:rPr>
        <w:t>d’</w:t>
      </w:r>
      <w:r w:rsidRPr="00466CE7">
        <w:rPr>
          <w:rFonts w:eastAsia="Times New Roman"/>
          <w:lang w:val="fr-FR"/>
        </w:rPr>
        <w:t>étendre la couverture de l</w:t>
      </w:r>
      <w:r>
        <w:rPr>
          <w:rFonts w:eastAsia="Times New Roman"/>
          <w:lang w:val="fr-FR"/>
        </w:rPr>
        <w:t>’</w:t>
      </w:r>
      <w:r w:rsidRPr="00466CE7">
        <w:rPr>
          <w:rFonts w:eastAsia="Times New Roman"/>
          <w:lang w:val="fr-FR"/>
        </w:rPr>
        <w:t xml:space="preserve">aide sociale ciblée, </w:t>
      </w:r>
      <w:r>
        <w:rPr>
          <w:rFonts w:eastAsia="Times New Roman"/>
          <w:lang w:val="fr-FR"/>
        </w:rPr>
        <w:t xml:space="preserve">lors de la détermination des </w:t>
      </w:r>
      <w:r w:rsidRPr="00466CE7">
        <w:rPr>
          <w:rFonts w:eastAsia="Times New Roman"/>
          <w:lang w:val="fr-FR"/>
        </w:rPr>
        <w:t xml:space="preserve">besoins </w:t>
      </w:r>
      <w:r>
        <w:rPr>
          <w:rFonts w:eastAsia="Times New Roman"/>
          <w:lang w:val="fr-FR"/>
        </w:rPr>
        <w:t xml:space="preserve">des </w:t>
      </w:r>
      <w:r w:rsidRPr="00466CE7">
        <w:rPr>
          <w:rFonts w:eastAsia="Times New Roman"/>
          <w:lang w:val="fr-FR"/>
        </w:rPr>
        <w:t>famille</w:t>
      </w:r>
      <w:r>
        <w:rPr>
          <w:rFonts w:eastAsia="Times New Roman"/>
          <w:lang w:val="fr-FR"/>
        </w:rPr>
        <w:t>s</w:t>
      </w:r>
      <w:r w:rsidRPr="00466CE7">
        <w:rPr>
          <w:rFonts w:eastAsia="Times New Roman"/>
          <w:lang w:val="fr-FR"/>
        </w:rPr>
        <w:t xml:space="preserve"> en matière d</w:t>
      </w:r>
      <w:r>
        <w:rPr>
          <w:rFonts w:eastAsia="Times New Roman"/>
          <w:lang w:val="fr-FR"/>
        </w:rPr>
        <w:t>’</w:t>
      </w:r>
      <w:r w:rsidRPr="00466CE7">
        <w:rPr>
          <w:rFonts w:eastAsia="Times New Roman"/>
          <w:lang w:val="fr-FR"/>
        </w:rPr>
        <w:t xml:space="preserve">aide </w:t>
      </w:r>
      <w:r>
        <w:rPr>
          <w:rFonts w:eastAsia="Times New Roman"/>
          <w:lang w:val="fr-FR"/>
        </w:rPr>
        <w:t>sociale</w:t>
      </w:r>
      <w:r w:rsidRPr="00466CE7">
        <w:rPr>
          <w:rFonts w:eastAsia="Times New Roman"/>
          <w:lang w:val="fr-FR"/>
        </w:rPr>
        <w:t xml:space="preserve">, le montant des pensions est exclu du revenu </w:t>
      </w:r>
      <w:r>
        <w:rPr>
          <w:rFonts w:eastAsia="Times New Roman"/>
          <w:lang w:val="fr-FR"/>
        </w:rPr>
        <w:t>global</w:t>
      </w:r>
      <w:r w:rsidRPr="00466CE7">
        <w:rPr>
          <w:rFonts w:eastAsia="Times New Roman"/>
          <w:lang w:val="fr-FR"/>
        </w:rPr>
        <w:t xml:space="preserve"> </w:t>
      </w:r>
      <w:r>
        <w:rPr>
          <w:rFonts w:eastAsia="Times New Roman"/>
          <w:lang w:val="fr-FR"/>
        </w:rPr>
        <w:t>pour le calcul</w:t>
      </w:r>
      <w:r w:rsidRPr="00466CE7">
        <w:rPr>
          <w:rFonts w:eastAsia="Times New Roman"/>
          <w:lang w:val="fr-FR"/>
        </w:rPr>
        <w:t xml:space="preserve"> des allocations </w:t>
      </w:r>
      <w:r>
        <w:rPr>
          <w:rFonts w:eastAsia="Times New Roman"/>
          <w:lang w:val="fr-FR"/>
        </w:rPr>
        <w:t xml:space="preserve">destinées aux </w:t>
      </w:r>
      <w:r w:rsidRPr="00466CE7">
        <w:rPr>
          <w:rFonts w:eastAsia="Times New Roman"/>
          <w:lang w:val="fr-FR"/>
        </w:rPr>
        <w:t>familles avec enfants.</w:t>
      </w:r>
    </w:p>
    <w:p w14:paraId="6DBEF5B2" w14:textId="33EF5B70" w:rsidR="009C6834" w:rsidRPr="00466CE7" w:rsidRDefault="009C6834" w:rsidP="00607AF1">
      <w:pPr>
        <w:pStyle w:val="SingleTxtG"/>
        <w:keepNext/>
        <w:keepLines/>
        <w:rPr>
          <w:rFonts w:eastAsia="Times New Roman"/>
          <w:lang w:val="fr-FR"/>
        </w:rPr>
      </w:pPr>
      <w:r>
        <w:rPr>
          <w:rFonts w:eastAsia="Times New Roman"/>
          <w:lang w:val="fr-FR"/>
        </w:rPr>
        <w:t>321.</w:t>
      </w:r>
      <w:r>
        <w:rPr>
          <w:rFonts w:eastAsia="Times New Roman"/>
          <w:lang w:val="fr-FR"/>
        </w:rPr>
        <w:tab/>
        <w:t>La décision d’</w:t>
      </w:r>
      <w:r w:rsidRPr="00466CE7">
        <w:rPr>
          <w:rFonts w:eastAsia="Times New Roman"/>
          <w:lang w:val="fr-FR"/>
        </w:rPr>
        <w:t>application</w:t>
      </w:r>
      <w:r>
        <w:rPr>
          <w:rFonts w:eastAsia="Times New Roman"/>
          <w:lang w:val="fr-FR"/>
        </w:rPr>
        <w:t xml:space="preserve"> de la </w:t>
      </w:r>
      <w:r w:rsidRPr="00466CE7">
        <w:rPr>
          <w:rFonts w:eastAsia="Times New Roman"/>
          <w:lang w:val="fr-FR"/>
        </w:rPr>
        <w:t xml:space="preserve">loi </w:t>
      </w:r>
      <w:r>
        <w:rPr>
          <w:rFonts w:eastAsia="Times New Roman"/>
          <w:lang w:val="fr-FR"/>
        </w:rPr>
        <w:t xml:space="preserve">relative aux </w:t>
      </w:r>
      <w:r w:rsidRPr="00466CE7">
        <w:rPr>
          <w:rFonts w:eastAsia="Times New Roman"/>
          <w:lang w:val="fr-FR"/>
        </w:rPr>
        <w:t>prestations</w:t>
      </w:r>
      <w:r>
        <w:rPr>
          <w:rFonts w:eastAsia="Times New Roman"/>
          <w:lang w:val="fr-FR"/>
        </w:rPr>
        <w:t xml:space="preserve"> de </w:t>
      </w:r>
      <w:r w:rsidRPr="00466CE7">
        <w:rPr>
          <w:rFonts w:eastAsia="Times New Roman"/>
          <w:lang w:val="fr-FR"/>
        </w:rPr>
        <w:t>l</w:t>
      </w:r>
      <w:r>
        <w:rPr>
          <w:rFonts w:eastAsia="Times New Roman"/>
          <w:lang w:val="fr-FR"/>
        </w:rPr>
        <w:t>’</w:t>
      </w:r>
      <w:r w:rsidRPr="00466CE7">
        <w:rPr>
          <w:rFonts w:eastAsia="Times New Roman"/>
          <w:lang w:val="fr-FR"/>
        </w:rPr>
        <w:t xml:space="preserve">État </w:t>
      </w:r>
      <w:r>
        <w:rPr>
          <w:rFonts w:eastAsia="Times New Roman"/>
          <w:lang w:val="fr-FR"/>
        </w:rPr>
        <w:t xml:space="preserve">adoptée par le </w:t>
      </w:r>
      <w:r w:rsidR="00387393">
        <w:rPr>
          <w:rFonts w:eastAsia="Times New Roman"/>
          <w:lang w:val="fr-FR"/>
        </w:rPr>
        <w:t xml:space="preserve">Gouvernement </w:t>
      </w:r>
      <w:r>
        <w:rPr>
          <w:rFonts w:eastAsia="Times New Roman"/>
          <w:lang w:val="fr-FR"/>
        </w:rPr>
        <w:t xml:space="preserve">en 2018 prévoit une amélioration des </w:t>
      </w:r>
      <w:r w:rsidRPr="00466CE7">
        <w:rPr>
          <w:rFonts w:eastAsia="Times New Roman"/>
          <w:lang w:val="fr-FR"/>
        </w:rPr>
        <w:t xml:space="preserve">critères de détermination </w:t>
      </w:r>
      <w:r>
        <w:rPr>
          <w:rFonts w:eastAsia="Times New Roman"/>
          <w:lang w:val="fr-FR"/>
        </w:rPr>
        <w:t xml:space="preserve">des droits </w:t>
      </w:r>
      <w:r w:rsidRPr="00466CE7">
        <w:rPr>
          <w:rFonts w:eastAsia="Times New Roman"/>
          <w:lang w:val="fr-FR"/>
        </w:rPr>
        <w:t>des familles</w:t>
      </w:r>
      <w:r>
        <w:rPr>
          <w:rFonts w:eastAsia="Times New Roman"/>
          <w:lang w:val="fr-FR"/>
        </w:rPr>
        <w:t xml:space="preserve"> pour le </w:t>
      </w:r>
      <w:r w:rsidRPr="00466CE7">
        <w:rPr>
          <w:rFonts w:eastAsia="Times New Roman"/>
          <w:lang w:val="fr-FR"/>
        </w:rPr>
        <w:t xml:space="preserve">ciblage </w:t>
      </w:r>
      <w:r>
        <w:rPr>
          <w:rFonts w:eastAsia="Times New Roman"/>
          <w:lang w:val="fr-FR"/>
        </w:rPr>
        <w:t xml:space="preserve">de l’allocation </w:t>
      </w:r>
      <w:proofErr w:type="spellStart"/>
      <w:r w:rsidRPr="001271A4">
        <w:rPr>
          <w:iCs/>
          <w:lang w:val="fr-FR"/>
        </w:rPr>
        <w:t>ui-bulogo</w:t>
      </w:r>
      <w:proofErr w:type="spellEnd"/>
      <w:r w:rsidRPr="001271A4">
        <w:rPr>
          <w:iCs/>
          <w:lang w:val="fr-FR"/>
        </w:rPr>
        <w:t xml:space="preserve"> </w:t>
      </w:r>
      <w:proofErr w:type="spellStart"/>
      <w:r w:rsidRPr="001271A4">
        <w:rPr>
          <w:iCs/>
          <w:lang w:val="fr-FR"/>
        </w:rPr>
        <w:t>komok</w:t>
      </w:r>
      <w:proofErr w:type="spellEnd"/>
      <w:r>
        <w:rPr>
          <w:iCs/>
          <w:lang w:val="fr-FR"/>
        </w:rPr>
        <w:t> :</w:t>
      </w:r>
    </w:p>
    <w:p w14:paraId="51E4ABEB" w14:textId="7B637661" w:rsidR="009C6834" w:rsidRPr="005D0263" w:rsidRDefault="00426750" w:rsidP="00426750">
      <w:pPr>
        <w:pStyle w:val="Bullet1G"/>
        <w:rPr>
          <w:lang w:val="fr-FR"/>
        </w:rPr>
      </w:pPr>
      <w:r w:rsidRPr="005D0263">
        <w:rPr>
          <w:lang w:val="fr-FR"/>
        </w:rPr>
        <w:t xml:space="preserve">Les </w:t>
      </w:r>
      <w:r w:rsidR="009C6834">
        <w:rPr>
          <w:lang w:val="fr-FR"/>
        </w:rPr>
        <w:t xml:space="preserve">barèmes des </w:t>
      </w:r>
      <w:r w:rsidR="009C6834" w:rsidRPr="005D0263">
        <w:rPr>
          <w:lang w:val="fr-FR"/>
        </w:rPr>
        <w:t>revenu</w:t>
      </w:r>
      <w:r w:rsidR="009C6834">
        <w:rPr>
          <w:lang w:val="fr-FR"/>
        </w:rPr>
        <w:t>s</w:t>
      </w:r>
      <w:r w:rsidR="009C6834" w:rsidRPr="005D0263">
        <w:rPr>
          <w:lang w:val="fr-FR"/>
        </w:rPr>
        <w:t xml:space="preserve"> des </w:t>
      </w:r>
      <w:r w:rsidR="009C6834">
        <w:rPr>
          <w:lang w:val="fr-FR"/>
        </w:rPr>
        <w:t>terrains et</w:t>
      </w:r>
      <w:r w:rsidR="009C6834" w:rsidRPr="005D0263">
        <w:rPr>
          <w:lang w:val="fr-FR"/>
        </w:rPr>
        <w:t xml:space="preserve"> des parcelles familiales</w:t>
      </w:r>
      <w:r w:rsidR="009C6834" w:rsidRPr="003E7AAA">
        <w:rPr>
          <w:lang w:val="fr-FR"/>
        </w:rPr>
        <w:t xml:space="preserve"> </w:t>
      </w:r>
      <w:r w:rsidR="009C6834">
        <w:rPr>
          <w:lang w:val="fr-FR"/>
        </w:rPr>
        <w:t>ont été révisé</w:t>
      </w:r>
      <w:r w:rsidR="009C6834" w:rsidRPr="005D0263">
        <w:rPr>
          <w:lang w:val="fr-FR"/>
        </w:rPr>
        <w:t>s</w:t>
      </w:r>
      <w:r>
        <w:rPr>
          <w:lang w:val="fr-FR"/>
        </w:rPr>
        <w:t xml:space="preserve"> </w:t>
      </w:r>
      <w:r w:rsidR="009C6834" w:rsidRPr="005D0263">
        <w:rPr>
          <w:lang w:val="fr-FR"/>
        </w:rPr>
        <w:t xml:space="preserve">compte </w:t>
      </w:r>
      <w:r w:rsidR="009C6834">
        <w:rPr>
          <w:lang w:val="fr-FR"/>
        </w:rPr>
        <w:t xml:space="preserve">tenu </w:t>
      </w:r>
      <w:r w:rsidR="009C6834" w:rsidRPr="005D0263">
        <w:rPr>
          <w:lang w:val="fr-FR"/>
        </w:rPr>
        <w:t>des prix</w:t>
      </w:r>
      <w:r w:rsidR="009C6834">
        <w:rPr>
          <w:lang w:val="fr-FR"/>
        </w:rPr>
        <w:t xml:space="preserve"> des produits agricoles</w:t>
      </w:r>
      <w:r>
        <w:rPr>
          <w:lang w:val="fr-FR"/>
        </w:rPr>
        <w:t xml:space="preserve"> </w:t>
      </w:r>
      <w:r w:rsidR="009C6834">
        <w:rPr>
          <w:lang w:val="fr-FR"/>
        </w:rPr>
        <w:t>en vigueur</w:t>
      </w:r>
      <w:r>
        <w:rPr>
          <w:lang w:val="fr-FR"/>
        </w:rPr>
        <w:t> </w:t>
      </w:r>
      <w:r w:rsidR="009C6834" w:rsidRPr="005D0263">
        <w:rPr>
          <w:lang w:val="fr-FR"/>
        </w:rPr>
        <w:t>;</w:t>
      </w:r>
    </w:p>
    <w:p w14:paraId="4CA432C2" w14:textId="003DBFC3" w:rsidR="009C6834" w:rsidRPr="005D0263" w:rsidRDefault="00426750" w:rsidP="00426750">
      <w:pPr>
        <w:pStyle w:val="Bullet1G"/>
        <w:rPr>
          <w:lang w:val="fr-FR"/>
        </w:rPr>
      </w:pPr>
      <w:r w:rsidRPr="005D0263">
        <w:rPr>
          <w:lang w:val="fr-FR"/>
        </w:rPr>
        <w:t xml:space="preserve">Les </w:t>
      </w:r>
      <w:r w:rsidR="009C6834" w:rsidRPr="005D0263">
        <w:rPr>
          <w:lang w:val="fr-FR"/>
        </w:rPr>
        <w:t>animaux de ferme ont été pris en compte</w:t>
      </w:r>
      <w:r>
        <w:rPr>
          <w:lang w:val="fr-FR"/>
        </w:rPr>
        <w:t> </w:t>
      </w:r>
      <w:r w:rsidR="009C6834" w:rsidRPr="005D0263">
        <w:rPr>
          <w:lang w:val="fr-FR"/>
        </w:rPr>
        <w:t>;</w:t>
      </w:r>
    </w:p>
    <w:p w14:paraId="523C14E4" w14:textId="4271C009" w:rsidR="009C6834" w:rsidRPr="005D0263" w:rsidRDefault="00426750" w:rsidP="00426750">
      <w:pPr>
        <w:pStyle w:val="Bullet1G"/>
        <w:rPr>
          <w:lang w:val="fr-FR"/>
        </w:rPr>
      </w:pPr>
      <w:r w:rsidRPr="005D0263">
        <w:rPr>
          <w:lang w:val="fr-FR"/>
        </w:rPr>
        <w:t xml:space="preserve">Les </w:t>
      </w:r>
      <w:r w:rsidR="009C6834" w:rsidRPr="005D0263">
        <w:rPr>
          <w:lang w:val="fr-FR"/>
        </w:rPr>
        <w:t xml:space="preserve">pensions ont été exclues du revenu </w:t>
      </w:r>
      <w:r w:rsidR="009C6834">
        <w:rPr>
          <w:lang w:val="fr-FR"/>
        </w:rPr>
        <w:t xml:space="preserve">du ménage pour </w:t>
      </w:r>
      <w:r w:rsidR="009C6834" w:rsidRPr="005D0263">
        <w:rPr>
          <w:lang w:val="fr-FR"/>
        </w:rPr>
        <w:t xml:space="preserve">la détermination </w:t>
      </w:r>
      <w:r w:rsidR="009C6834">
        <w:rPr>
          <w:lang w:val="fr-FR"/>
        </w:rPr>
        <w:t>des droits à cette allocation</w:t>
      </w:r>
      <w:r w:rsidR="009C6834" w:rsidRPr="005D0263">
        <w:rPr>
          <w:lang w:val="fr-FR"/>
        </w:rPr>
        <w:t>.</w:t>
      </w:r>
    </w:p>
    <w:p w14:paraId="65FA558E" w14:textId="39066825" w:rsidR="009C6834" w:rsidRPr="00466CE7" w:rsidRDefault="009C6834" w:rsidP="009C6834">
      <w:pPr>
        <w:pStyle w:val="SingleTxtG"/>
        <w:rPr>
          <w:rFonts w:eastAsia="Times New Roman"/>
          <w:lang w:val="fr-FR"/>
        </w:rPr>
      </w:pPr>
      <w:r w:rsidRPr="00466CE7">
        <w:rPr>
          <w:rFonts w:eastAsia="Times New Roman"/>
          <w:lang w:val="fr-FR"/>
        </w:rPr>
        <w:t>322.</w:t>
      </w:r>
      <w:r w:rsidRPr="00466CE7">
        <w:rPr>
          <w:rFonts w:eastAsia="Times New Roman"/>
          <w:lang w:val="fr-FR"/>
        </w:rPr>
        <w:tab/>
      </w:r>
      <w:r>
        <w:rPr>
          <w:rFonts w:eastAsia="Times New Roman"/>
          <w:lang w:val="fr-FR"/>
        </w:rPr>
        <w:t xml:space="preserve">Le </w:t>
      </w:r>
      <w:r w:rsidR="00387393">
        <w:rPr>
          <w:rFonts w:eastAsia="Times New Roman"/>
          <w:lang w:val="fr-FR"/>
        </w:rPr>
        <w:t xml:space="preserve">Gouvernement </w:t>
      </w:r>
      <w:r>
        <w:rPr>
          <w:rFonts w:eastAsia="Times New Roman"/>
          <w:lang w:val="fr-FR"/>
        </w:rPr>
        <w:t>a modifié en 2019 sa décision d’application (</w:t>
      </w:r>
      <w:r w:rsidRPr="00466CE7">
        <w:rPr>
          <w:rFonts w:eastAsia="Times New Roman"/>
          <w:lang w:val="fr-FR"/>
        </w:rPr>
        <w:t>n</w:t>
      </w:r>
      <w:r w:rsidR="00987D7E" w:rsidRPr="00987D7E">
        <w:rPr>
          <w:rFonts w:eastAsia="Times New Roman"/>
          <w:vertAlign w:val="superscript"/>
          <w:lang w:val="fr-FR"/>
        </w:rPr>
        <w:t>o</w:t>
      </w:r>
      <w:r w:rsidR="00987D7E">
        <w:rPr>
          <w:rFonts w:eastAsia="Times New Roman"/>
          <w:lang w:val="fr-FR"/>
        </w:rPr>
        <w:t> </w:t>
      </w:r>
      <w:r w:rsidRPr="00466CE7">
        <w:rPr>
          <w:rFonts w:eastAsia="Times New Roman"/>
          <w:lang w:val="fr-FR"/>
        </w:rPr>
        <w:t>307</w:t>
      </w:r>
      <w:r>
        <w:rPr>
          <w:rFonts w:eastAsia="Times New Roman"/>
          <w:lang w:val="fr-FR"/>
        </w:rPr>
        <w:t xml:space="preserve"> </w:t>
      </w:r>
      <w:r w:rsidRPr="00466CE7">
        <w:rPr>
          <w:rFonts w:eastAsia="Times New Roman"/>
          <w:lang w:val="fr-FR"/>
        </w:rPr>
        <w:t>du 29</w:t>
      </w:r>
      <w:r w:rsidR="00987D7E">
        <w:rPr>
          <w:rFonts w:eastAsia="Times New Roman"/>
          <w:lang w:val="fr-FR"/>
        </w:rPr>
        <w:t> </w:t>
      </w:r>
      <w:r w:rsidRPr="00466CE7">
        <w:rPr>
          <w:rFonts w:eastAsia="Times New Roman"/>
          <w:lang w:val="fr-FR"/>
        </w:rPr>
        <w:t>juin 2018</w:t>
      </w:r>
      <w:r>
        <w:rPr>
          <w:rFonts w:eastAsia="Times New Roman"/>
          <w:lang w:val="fr-FR"/>
        </w:rPr>
        <w:t xml:space="preserve">) de la loi relative aux </w:t>
      </w:r>
      <w:r w:rsidRPr="00466CE7">
        <w:rPr>
          <w:rFonts w:eastAsia="Times New Roman"/>
          <w:lang w:val="fr-FR"/>
        </w:rPr>
        <w:t>prestations de l</w:t>
      </w:r>
      <w:r>
        <w:rPr>
          <w:rFonts w:eastAsia="Times New Roman"/>
          <w:lang w:val="fr-FR"/>
        </w:rPr>
        <w:t>’</w:t>
      </w:r>
      <w:r w:rsidRPr="00466CE7">
        <w:rPr>
          <w:rFonts w:eastAsia="Times New Roman"/>
          <w:lang w:val="fr-FR"/>
        </w:rPr>
        <w:t>État</w:t>
      </w:r>
      <w:r>
        <w:rPr>
          <w:rFonts w:eastAsia="Times New Roman"/>
          <w:lang w:val="fr-FR"/>
        </w:rPr>
        <w:t xml:space="preserve">. Il a notamment établi que la rémunération des </w:t>
      </w:r>
      <w:r w:rsidRPr="00466CE7">
        <w:rPr>
          <w:rFonts w:eastAsia="Times New Roman"/>
          <w:lang w:val="fr-FR"/>
        </w:rPr>
        <w:t>assistant</w:t>
      </w:r>
      <w:r>
        <w:rPr>
          <w:rFonts w:eastAsia="Times New Roman"/>
          <w:lang w:val="fr-FR"/>
        </w:rPr>
        <w:t>s</w:t>
      </w:r>
      <w:r w:rsidRPr="00466CE7">
        <w:rPr>
          <w:rFonts w:eastAsia="Times New Roman"/>
          <w:lang w:val="fr-FR"/>
        </w:rPr>
        <w:t xml:space="preserve"> personnel</w:t>
      </w:r>
      <w:r>
        <w:rPr>
          <w:rFonts w:eastAsia="Times New Roman"/>
          <w:lang w:val="fr-FR"/>
        </w:rPr>
        <w:t>s</w:t>
      </w:r>
      <w:r w:rsidRPr="00466CE7">
        <w:rPr>
          <w:rFonts w:eastAsia="Times New Roman"/>
          <w:lang w:val="fr-FR"/>
        </w:rPr>
        <w:t xml:space="preserve"> </w:t>
      </w:r>
      <w:r>
        <w:rPr>
          <w:rFonts w:eastAsia="Times New Roman"/>
          <w:lang w:val="fr-FR"/>
        </w:rPr>
        <w:t xml:space="preserve">pour les </w:t>
      </w:r>
      <w:r w:rsidRPr="00466CE7">
        <w:rPr>
          <w:rFonts w:eastAsia="Times New Roman"/>
          <w:lang w:val="fr-FR"/>
        </w:rPr>
        <w:t>enfant</w:t>
      </w:r>
      <w:r>
        <w:rPr>
          <w:rFonts w:eastAsia="Times New Roman"/>
          <w:lang w:val="fr-FR"/>
        </w:rPr>
        <w:t>s</w:t>
      </w:r>
      <w:r w:rsidRPr="00466CE7">
        <w:rPr>
          <w:rFonts w:eastAsia="Times New Roman"/>
          <w:lang w:val="fr-FR"/>
        </w:rPr>
        <w:t xml:space="preserve"> handicapé</w:t>
      </w:r>
      <w:r>
        <w:rPr>
          <w:rFonts w:eastAsia="Times New Roman"/>
          <w:lang w:val="fr-FR"/>
        </w:rPr>
        <w:t>s</w:t>
      </w:r>
      <w:r w:rsidRPr="00466CE7">
        <w:rPr>
          <w:rFonts w:eastAsia="Times New Roman"/>
          <w:lang w:val="fr-FR"/>
        </w:rPr>
        <w:t xml:space="preserve"> nécessitant une surveillance </w:t>
      </w:r>
      <w:r>
        <w:rPr>
          <w:rFonts w:eastAsia="Times New Roman"/>
          <w:lang w:val="fr-FR"/>
        </w:rPr>
        <w:t xml:space="preserve">et </w:t>
      </w:r>
      <w:r w:rsidRPr="00466CE7">
        <w:rPr>
          <w:rFonts w:eastAsia="Times New Roman"/>
          <w:lang w:val="fr-FR"/>
        </w:rPr>
        <w:t xml:space="preserve">des soins constants </w:t>
      </w:r>
      <w:r>
        <w:rPr>
          <w:rFonts w:eastAsia="Times New Roman"/>
          <w:lang w:val="fr-FR"/>
        </w:rPr>
        <w:t xml:space="preserve">n’est pas prise en </w:t>
      </w:r>
      <w:r w:rsidRPr="00466CE7">
        <w:rPr>
          <w:rFonts w:eastAsia="Times New Roman"/>
          <w:lang w:val="fr-FR"/>
        </w:rPr>
        <w:t xml:space="preserve">compte </w:t>
      </w:r>
      <w:r>
        <w:rPr>
          <w:rFonts w:eastAsia="Times New Roman"/>
          <w:lang w:val="fr-FR"/>
        </w:rPr>
        <w:t xml:space="preserve">dans le revenu considéré pour la détermination des droits des familles à l’allocation </w:t>
      </w:r>
      <w:r w:rsidRPr="00466CE7">
        <w:rPr>
          <w:rFonts w:eastAsia="Times New Roman"/>
          <w:lang w:val="fr-FR"/>
        </w:rPr>
        <w:t xml:space="preserve">pour </w:t>
      </w:r>
      <w:r>
        <w:rPr>
          <w:rFonts w:eastAsia="Times New Roman"/>
          <w:lang w:val="fr-FR"/>
        </w:rPr>
        <w:t>faible revenu</w:t>
      </w:r>
      <w:r w:rsidRPr="00466CE7">
        <w:rPr>
          <w:rFonts w:eastAsia="Times New Roman"/>
          <w:lang w:val="fr-FR"/>
        </w:rPr>
        <w:t>.</w:t>
      </w:r>
    </w:p>
    <w:p w14:paraId="4FB1038C" w14:textId="4201BDE8" w:rsidR="009C6834" w:rsidRPr="00466CE7" w:rsidRDefault="009C6834" w:rsidP="009C6834">
      <w:pPr>
        <w:pStyle w:val="SingleTxtG"/>
        <w:rPr>
          <w:rFonts w:eastAsia="Times New Roman"/>
          <w:lang w:val="fr-FR"/>
        </w:rPr>
      </w:pPr>
      <w:bookmarkStart w:id="2" w:name="_Hlk89265258"/>
      <w:r w:rsidRPr="00466CE7">
        <w:rPr>
          <w:rFonts w:eastAsia="Times New Roman"/>
          <w:lang w:val="fr-FR"/>
        </w:rPr>
        <w:lastRenderedPageBreak/>
        <w:t>323.</w:t>
      </w:r>
      <w:r w:rsidRPr="00466CE7">
        <w:rPr>
          <w:rFonts w:eastAsia="Times New Roman"/>
          <w:lang w:val="fr-FR"/>
        </w:rPr>
        <w:tab/>
      </w:r>
      <w:r>
        <w:rPr>
          <w:rFonts w:eastAsia="Times New Roman"/>
          <w:lang w:val="fr-FR"/>
        </w:rPr>
        <w:t xml:space="preserve">Par cette même décision de 2019, le </w:t>
      </w:r>
      <w:r w:rsidR="00387393">
        <w:rPr>
          <w:rFonts w:eastAsia="Times New Roman"/>
          <w:lang w:val="fr-FR"/>
        </w:rPr>
        <w:t xml:space="preserve">Gouvernement </w:t>
      </w:r>
      <w:r>
        <w:rPr>
          <w:rFonts w:eastAsia="Times New Roman"/>
          <w:lang w:val="fr-FR"/>
        </w:rPr>
        <w:t xml:space="preserve">a aussi porté </w:t>
      </w:r>
      <w:r w:rsidRPr="00466CE7">
        <w:rPr>
          <w:rFonts w:eastAsia="Times New Roman"/>
          <w:lang w:val="fr-FR"/>
        </w:rPr>
        <w:t>de 900 à 1</w:t>
      </w:r>
      <w:r w:rsidR="00987D7E">
        <w:rPr>
          <w:rFonts w:eastAsia="Times New Roman"/>
          <w:lang w:val="fr-FR"/>
        </w:rPr>
        <w:t> </w:t>
      </w:r>
      <w:r w:rsidRPr="00466CE7">
        <w:rPr>
          <w:rFonts w:eastAsia="Times New Roman"/>
          <w:lang w:val="fr-FR"/>
        </w:rPr>
        <w:t>000</w:t>
      </w:r>
      <w:r w:rsidR="00987D7E">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 xml:space="preserve"> à compter du 1</w:t>
      </w:r>
      <w:r w:rsidRPr="00987D7E">
        <w:rPr>
          <w:rFonts w:eastAsia="Times New Roman"/>
          <w:vertAlign w:val="superscript"/>
          <w:lang w:val="fr-FR"/>
        </w:rPr>
        <w:t>er</w:t>
      </w:r>
      <w:r w:rsidR="00987D7E">
        <w:rPr>
          <w:rFonts w:eastAsia="Times New Roman"/>
          <w:lang w:val="fr-FR"/>
        </w:rPr>
        <w:t> </w:t>
      </w:r>
      <w:r w:rsidRPr="00466CE7">
        <w:rPr>
          <w:rFonts w:eastAsia="Times New Roman"/>
          <w:lang w:val="fr-FR"/>
        </w:rPr>
        <w:t>décembre 2019</w:t>
      </w:r>
      <w:r>
        <w:rPr>
          <w:rFonts w:eastAsia="Times New Roman"/>
          <w:lang w:val="fr-FR"/>
        </w:rPr>
        <w:t xml:space="preserve"> le montant du revenu minimum garanti</w:t>
      </w:r>
      <w:r w:rsidRPr="00466CE7">
        <w:rPr>
          <w:rFonts w:eastAsia="Times New Roman"/>
          <w:lang w:val="fr-FR"/>
        </w:rPr>
        <w:t xml:space="preserve"> </w:t>
      </w:r>
      <w:r>
        <w:rPr>
          <w:rFonts w:eastAsia="Times New Roman"/>
          <w:lang w:val="fr-FR"/>
        </w:rPr>
        <w:t>servant à déterminer les droits des familles à l’</w:t>
      </w:r>
      <w:r w:rsidRPr="00466CE7">
        <w:rPr>
          <w:rFonts w:eastAsia="Times New Roman"/>
          <w:lang w:val="fr-FR"/>
        </w:rPr>
        <w:t xml:space="preserve">allocation. </w:t>
      </w:r>
      <w:r>
        <w:rPr>
          <w:rFonts w:eastAsia="Times New Roman"/>
          <w:lang w:val="fr-FR"/>
        </w:rPr>
        <w:t>Cette augmentation permettra de couvrir davantage d’enfants de familles à faible revenu</w:t>
      </w:r>
      <w:r w:rsidRPr="00466CE7">
        <w:rPr>
          <w:rFonts w:eastAsia="Times New Roman"/>
          <w:lang w:val="fr-FR"/>
        </w:rPr>
        <w:t>.</w:t>
      </w:r>
    </w:p>
    <w:bookmarkEnd w:id="2"/>
    <w:p w14:paraId="54E1FF54" w14:textId="6C349A09" w:rsidR="009C6834" w:rsidRPr="00466CE7" w:rsidRDefault="009C6834" w:rsidP="009C6834">
      <w:pPr>
        <w:pStyle w:val="SingleTxtG"/>
        <w:rPr>
          <w:rFonts w:eastAsia="Times New Roman"/>
          <w:lang w:val="fr-FR"/>
        </w:rPr>
      </w:pPr>
      <w:r w:rsidRPr="00466CE7">
        <w:rPr>
          <w:rFonts w:eastAsia="Times New Roman"/>
          <w:lang w:val="fr-FR"/>
        </w:rPr>
        <w:t>324.</w:t>
      </w:r>
      <w:r w:rsidRPr="00466CE7">
        <w:rPr>
          <w:rFonts w:eastAsia="Times New Roman"/>
          <w:lang w:val="fr-FR"/>
        </w:rPr>
        <w:tab/>
      </w:r>
      <w:r>
        <w:rPr>
          <w:rFonts w:eastAsia="Times New Roman"/>
          <w:lang w:val="fr-FR"/>
        </w:rPr>
        <w:t xml:space="preserve">Au </w:t>
      </w:r>
      <w:r w:rsidRPr="00466CE7">
        <w:rPr>
          <w:rFonts w:eastAsia="Times New Roman"/>
          <w:lang w:val="fr-FR"/>
        </w:rPr>
        <w:t>1</w:t>
      </w:r>
      <w:r w:rsidRPr="00987D7E">
        <w:rPr>
          <w:rFonts w:eastAsia="Times New Roman"/>
          <w:vertAlign w:val="superscript"/>
          <w:lang w:val="fr-FR"/>
        </w:rPr>
        <w:t>er</w:t>
      </w:r>
      <w:r w:rsidR="00987D7E">
        <w:rPr>
          <w:rFonts w:eastAsia="Times New Roman"/>
          <w:lang w:val="fr-FR"/>
        </w:rPr>
        <w:t> </w:t>
      </w:r>
      <w:r w:rsidRPr="00466CE7">
        <w:rPr>
          <w:rFonts w:eastAsia="Times New Roman"/>
          <w:lang w:val="fr-FR"/>
        </w:rPr>
        <w:t>janvier 2020, 96</w:t>
      </w:r>
      <w:r w:rsidR="00987D7E">
        <w:rPr>
          <w:rFonts w:eastAsia="Times New Roman"/>
          <w:lang w:val="fr-FR"/>
        </w:rPr>
        <w:t> </w:t>
      </w:r>
      <w:r w:rsidRPr="00466CE7">
        <w:rPr>
          <w:rFonts w:eastAsia="Times New Roman"/>
          <w:lang w:val="fr-FR"/>
        </w:rPr>
        <w:t>100</w:t>
      </w:r>
      <w:r w:rsidR="00987D7E">
        <w:rPr>
          <w:rFonts w:eastAsia="Times New Roman"/>
          <w:lang w:val="fr-FR"/>
        </w:rPr>
        <w:t> </w:t>
      </w:r>
      <w:r w:rsidRPr="00466CE7">
        <w:rPr>
          <w:rFonts w:eastAsia="Times New Roman"/>
          <w:lang w:val="fr-FR"/>
        </w:rPr>
        <w:t>familles comptant 308</w:t>
      </w:r>
      <w:r w:rsidR="00987D7E">
        <w:rPr>
          <w:rFonts w:eastAsia="Times New Roman"/>
          <w:lang w:val="fr-FR"/>
        </w:rPr>
        <w:t> </w:t>
      </w:r>
      <w:r w:rsidRPr="00466CE7">
        <w:rPr>
          <w:rFonts w:eastAsia="Times New Roman"/>
          <w:lang w:val="fr-FR"/>
        </w:rPr>
        <w:t>800</w:t>
      </w:r>
      <w:r w:rsidR="00987D7E">
        <w:rPr>
          <w:rFonts w:eastAsia="Times New Roman"/>
          <w:lang w:val="fr-FR"/>
        </w:rPr>
        <w:t> </w:t>
      </w:r>
      <w:r w:rsidRPr="00466CE7">
        <w:rPr>
          <w:rFonts w:eastAsia="Times New Roman"/>
          <w:lang w:val="fr-FR"/>
        </w:rPr>
        <w:t xml:space="preserve">enfants </w:t>
      </w:r>
      <w:r>
        <w:rPr>
          <w:rFonts w:eastAsia="Times New Roman"/>
          <w:lang w:val="fr-FR"/>
        </w:rPr>
        <w:t xml:space="preserve">recevaient </w:t>
      </w:r>
      <w:r w:rsidRPr="00466CE7">
        <w:rPr>
          <w:rFonts w:eastAsia="Times New Roman"/>
          <w:lang w:val="fr-FR"/>
        </w:rPr>
        <w:t>l</w:t>
      </w:r>
      <w:r>
        <w:rPr>
          <w:rFonts w:eastAsia="Times New Roman"/>
          <w:lang w:val="fr-FR"/>
        </w:rPr>
        <w:t>’</w:t>
      </w:r>
      <w:r w:rsidRPr="00466CE7">
        <w:rPr>
          <w:rFonts w:eastAsia="Times New Roman"/>
          <w:lang w:val="fr-FR"/>
        </w:rPr>
        <w:t xml:space="preserve">allocation mensuelle </w:t>
      </w:r>
      <w:proofErr w:type="spellStart"/>
      <w:r w:rsidRPr="00F277D2">
        <w:rPr>
          <w:iCs/>
          <w:lang w:val="fr-FR"/>
        </w:rPr>
        <w:t>ui-bulogo</w:t>
      </w:r>
      <w:proofErr w:type="spellEnd"/>
      <w:r w:rsidRPr="00F277D2">
        <w:rPr>
          <w:iCs/>
          <w:lang w:val="fr-FR"/>
        </w:rPr>
        <w:t xml:space="preserve"> </w:t>
      </w:r>
      <w:proofErr w:type="spellStart"/>
      <w:r w:rsidRPr="00F277D2">
        <w:rPr>
          <w:iCs/>
          <w:lang w:val="fr-FR"/>
        </w:rPr>
        <w:t>komok</w:t>
      </w:r>
      <w:proofErr w:type="spellEnd"/>
      <w:r w:rsidRPr="00466CE7">
        <w:rPr>
          <w:rFonts w:eastAsia="Times New Roman"/>
          <w:lang w:val="fr-FR"/>
        </w:rPr>
        <w:t xml:space="preserve"> destinée aux </w:t>
      </w:r>
      <w:r>
        <w:rPr>
          <w:rFonts w:eastAsia="Times New Roman"/>
          <w:lang w:val="fr-FR"/>
        </w:rPr>
        <w:t xml:space="preserve">personnes </w:t>
      </w:r>
      <w:r w:rsidRPr="00466CE7">
        <w:rPr>
          <w:rFonts w:eastAsia="Times New Roman"/>
          <w:lang w:val="fr-FR"/>
        </w:rPr>
        <w:t>(familles)</w:t>
      </w:r>
      <w:r>
        <w:rPr>
          <w:rFonts w:eastAsia="Times New Roman"/>
          <w:lang w:val="fr-FR"/>
        </w:rPr>
        <w:t xml:space="preserve"> à faible revenu avec des </w:t>
      </w:r>
      <w:r w:rsidRPr="00466CE7">
        <w:rPr>
          <w:rFonts w:eastAsia="Times New Roman"/>
          <w:lang w:val="fr-FR"/>
        </w:rPr>
        <w:t>enfants de moins de 16</w:t>
      </w:r>
      <w:r w:rsidR="00987D7E">
        <w:rPr>
          <w:rFonts w:eastAsia="Times New Roman"/>
          <w:lang w:val="fr-FR"/>
        </w:rPr>
        <w:t> </w:t>
      </w:r>
      <w:r w:rsidRPr="00466CE7">
        <w:rPr>
          <w:rFonts w:eastAsia="Times New Roman"/>
          <w:lang w:val="fr-FR"/>
        </w:rPr>
        <w:t>ans.</w:t>
      </w:r>
    </w:p>
    <w:p w14:paraId="7D0D21D0" w14:textId="77777777" w:rsidR="009C6834" w:rsidRPr="00466CE7" w:rsidRDefault="009C6834" w:rsidP="009C6834">
      <w:pPr>
        <w:pStyle w:val="SingleTxtG"/>
        <w:rPr>
          <w:rFonts w:eastAsia="Times New Roman"/>
          <w:lang w:val="fr-FR"/>
        </w:rPr>
      </w:pPr>
      <w:r w:rsidRPr="00466CE7">
        <w:rPr>
          <w:rFonts w:eastAsia="Times New Roman"/>
          <w:lang w:val="fr-FR"/>
        </w:rPr>
        <w:t>325.</w:t>
      </w:r>
      <w:r w:rsidRPr="00466CE7">
        <w:rPr>
          <w:rFonts w:eastAsia="Times New Roman"/>
          <w:lang w:val="fr-FR"/>
        </w:rPr>
        <w:tab/>
        <w:t>Le versement d</w:t>
      </w:r>
      <w:r>
        <w:rPr>
          <w:rFonts w:eastAsia="Times New Roman"/>
          <w:lang w:val="fr-FR"/>
        </w:rPr>
        <w:t>’</w:t>
      </w:r>
      <w:r w:rsidRPr="00466CE7">
        <w:rPr>
          <w:rFonts w:eastAsia="Times New Roman"/>
          <w:lang w:val="fr-FR"/>
        </w:rPr>
        <w:t xml:space="preserve">une indemnité </w:t>
      </w:r>
      <w:r>
        <w:rPr>
          <w:rFonts w:eastAsia="Times New Roman"/>
          <w:lang w:val="fr-FR"/>
        </w:rPr>
        <w:t xml:space="preserve">monétaire </w:t>
      </w:r>
      <w:r w:rsidRPr="00466CE7">
        <w:rPr>
          <w:rFonts w:eastAsia="Times New Roman"/>
          <w:lang w:val="fr-FR"/>
        </w:rPr>
        <w:t xml:space="preserve">mensuelle </w:t>
      </w:r>
      <w:r>
        <w:rPr>
          <w:rFonts w:eastAsia="Times New Roman"/>
          <w:lang w:val="fr-FR"/>
        </w:rPr>
        <w:t>tenant lieu de prestation</w:t>
      </w:r>
      <w:r w:rsidRPr="00466CE7">
        <w:rPr>
          <w:rFonts w:eastAsia="Times New Roman"/>
          <w:lang w:val="fr-FR"/>
        </w:rPr>
        <w:t xml:space="preserve"> ne </w:t>
      </w:r>
      <w:r>
        <w:rPr>
          <w:rFonts w:eastAsia="Times New Roman"/>
          <w:lang w:val="fr-FR"/>
        </w:rPr>
        <w:t xml:space="preserve">permet pas de combattre activement </w:t>
      </w:r>
      <w:r w:rsidRPr="00466CE7">
        <w:rPr>
          <w:rFonts w:eastAsia="Times New Roman"/>
          <w:lang w:val="fr-FR"/>
        </w:rPr>
        <w:t xml:space="preserve">la pauvreté car les groupes de bénéficiaires sont extrêmement hétérogènes du point de vue de leur </w:t>
      </w:r>
      <w:r>
        <w:rPr>
          <w:rFonts w:eastAsia="Times New Roman"/>
          <w:lang w:val="fr-FR"/>
        </w:rPr>
        <w:t xml:space="preserve">situation </w:t>
      </w:r>
      <w:r w:rsidRPr="00466CE7">
        <w:rPr>
          <w:rFonts w:eastAsia="Times New Roman"/>
          <w:lang w:val="fr-FR"/>
        </w:rPr>
        <w:t>matériel</w:t>
      </w:r>
      <w:r>
        <w:rPr>
          <w:rFonts w:eastAsia="Times New Roman"/>
          <w:lang w:val="fr-FR"/>
        </w:rPr>
        <w:t>le</w:t>
      </w:r>
      <w:r w:rsidRPr="00466CE7">
        <w:rPr>
          <w:rFonts w:eastAsia="Times New Roman"/>
          <w:lang w:val="fr-FR"/>
        </w:rPr>
        <w:t>.</w:t>
      </w:r>
    </w:p>
    <w:p w14:paraId="7BD722C4" w14:textId="41A6F169" w:rsidR="009C6834" w:rsidRPr="00466CE7" w:rsidRDefault="009C6834" w:rsidP="009C6834">
      <w:pPr>
        <w:pStyle w:val="SingleTxtG"/>
        <w:rPr>
          <w:rFonts w:eastAsia="Times New Roman"/>
          <w:lang w:val="fr-FR"/>
        </w:rPr>
      </w:pPr>
      <w:bookmarkStart w:id="3" w:name="_Hlk89259913"/>
      <w:r>
        <w:rPr>
          <w:rFonts w:eastAsia="Times New Roman"/>
          <w:lang w:val="fr-FR"/>
        </w:rPr>
        <w:t>326.</w:t>
      </w:r>
      <w:r>
        <w:rPr>
          <w:rFonts w:eastAsia="Times New Roman"/>
          <w:lang w:val="fr-FR"/>
        </w:rPr>
        <w:tab/>
        <w:t xml:space="preserve">En vertu de la loi </w:t>
      </w:r>
      <w:r w:rsidRPr="00466CE7">
        <w:rPr>
          <w:rFonts w:eastAsia="Times New Roman"/>
          <w:lang w:val="fr-FR"/>
        </w:rPr>
        <w:t xml:space="preserve">sur les anciens combattants, les forces </w:t>
      </w:r>
      <w:r w:rsidRPr="00875787">
        <w:rPr>
          <w:rFonts w:eastAsia="Times New Roman"/>
          <w:lang w:val="fr-FR"/>
        </w:rPr>
        <w:t>armées et les travailleurs de l’arrière, de la loi sur la protection sociale des citoyens touchés</w:t>
      </w:r>
      <w:r w:rsidRPr="00466CE7">
        <w:rPr>
          <w:rFonts w:eastAsia="Times New Roman"/>
          <w:lang w:val="fr-FR"/>
        </w:rPr>
        <w:t xml:space="preserve"> par </w:t>
      </w:r>
      <w:r>
        <w:rPr>
          <w:rFonts w:eastAsia="Times New Roman"/>
          <w:lang w:val="fr-FR"/>
        </w:rPr>
        <w:t xml:space="preserve">les conséquences de </w:t>
      </w:r>
      <w:r w:rsidRPr="00466CE7">
        <w:rPr>
          <w:rFonts w:eastAsia="Times New Roman"/>
          <w:lang w:val="fr-FR"/>
        </w:rPr>
        <w:t xml:space="preserve">la catastrophe de Tchernobyl, </w:t>
      </w:r>
      <w:r>
        <w:rPr>
          <w:rFonts w:eastAsia="Times New Roman"/>
          <w:lang w:val="fr-FR"/>
        </w:rPr>
        <w:t xml:space="preserve">de la loi </w:t>
      </w:r>
      <w:r w:rsidRPr="00466CE7">
        <w:rPr>
          <w:rFonts w:eastAsia="Times New Roman"/>
          <w:lang w:val="fr-FR"/>
        </w:rPr>
        <w:t xml:space="preserve">sur les droits et </w:t>
      </w:r>
      <w:r>
        <w:rPr>
          <w:rFonts w:eastAsia="Times New Roman"/>
          <w:lang w:val="fr-FR"/>
        </w:rPr>
        <w:t xml:space="preserve">les </w:t>
      </w:r>
      <w:r w:rsidRPr="00466CE7">
        <w:rPr>
          <w:rFonts w:eastAsia="Times New Roman"/>
          <w:lang w:val="fr-FR"/>
        </w:rPr>
        <w:t xml:space="preserve">garanties </w:t>
      </w:r>
      <w:r>
        <w:rPr>
          <w:rFonts w:eastAsia="Times New Roman"/>
          <w:lang w:val="fr-FR"/>
        </w:rPr>
        <w:t xml:space="preserve">pour les </w:t>
      </w:r>
      <w:r w:rsidRPr="00466CE7">
        <w:rPr>
          <w:rFonts w:eastAsia="Times New Roman"/>
          <w:lang w:val="fr-FR"/>
        </w:rPr>
        <w:t xml:space="preserve">citoyens réhabilités </w:t>
      </w:r>
      <w:r>
        <w:rPr>
          <w:rFonts w:eastAsia="Times New Roman"/>
          <w:lang w:val="fr-FR"/>
        </w:rPr>
        <w:t xml:space="preserve">qui ont souffert de la répression en raison de leurs convictions </w:t>
      </w:r>
      <w:r w:rsidRPr="00466CE7">
        <w:rPr>
          <w:rFonts w:eastAsia="Times New Roman"/>
          <w:lang w:val="fr-FR"/>
        </w:rPr>
        <w:t xml:space="preserve">politiques </w:t>
      </w:r>
      <w:r>
        <w:rPr>
          <w:rFonts w:eastAsia="Times New Roman"/>
          <w:lang w:val="fr-FR"/>
        </w:rPr>
        <w:t xml:space="preserve">ou </w:t>
      </w:r>
      <w:r w:rsidRPr="00466CE7">
        <w:rPr>
          <w:rFonts w:eastAsia="Times New Roman"/>
          <w:lang w:val="fr-FR"/>
        </w:rPr>
        <w:t xml:space="preserve">religieuses, </w:t>
      </w:r>
      <w:r>
        <w:rPr>
          <w:rFonts w:eastAsia="Times New Roman"/>
          <w:lang w:val="fr-FR"/>
        </w:rPr>
        <w:t xml:space="preserve">ou pour des considérations </w:t>
      </w:r>
      <w:r w:rsidRPr="00466CE7">
        <w:rPr>
          <w:rFonts w:eastAsia="Times New Roman"/>
          <w:lang w:val="fr-FR"/>
        </w:rPr>
        <w:t xml:space="preserve">sociales, ethniques </w:t>
      </w:r>
      <w:r>
        <w:rPr>
          <w:rFonts w:eastAsia="Times New Roman"/>
          <w:lang w:val="fr-FR"/>
        </w:rPr>
        <w:t xml:space="preserve">ou </w:t>
      </w:r>
      <w:r w:rsidRPr="00466CE7">
        <w:rPr>
          <w:rFonts w:eastAsia="Times New Roman"/>
          <w:lang w:val="fr-FR"/>
        </w:rPr>
        <w:t xml:space="preserve">autres, </w:t>
      </w:r>
      <w:r>
        <w:rPr>
          <w:rFonts w:eastAsia="Times New Roman"/>
          <w:lang w:val="fr-FR"/>
        </w:rPr>
        <w:t xml:space="preserve">de la loi </w:t>
      </w:r>
      <w:r w:rsidRPr="00466CE7">
        <w:rPr>
          <w:rFonts w:eastAsia="Times New Roman"/>
          <w:lang w:val="fr-FR"/>
        </w:rPr>
        <w:t xml:space="preserve">sur les droits et </w:t>
      </w:r>
      <w:r>
        <w:rPr>
          <w:rFonts w:eastAsia="Times New Roman"/>
          <w:lang w:val="fr-FR"/>
        </w:rPr>
        <w:t xml:space="preserve">les </w:t>
      </w:r>
      <w:r w:rsidRPr="00466CE7">
        <w:rPr>
          <w:rFonts w:eastAsia="Times New Roman"/>
          <w:lang w:val="fr-FR"/>
        </w:rPr>
        <w:t xml:space="preserve">garanties </w:t>
      </w:r>
      <w:r>
        <w:rPr>
          <w:rFonts w:eastAsia="Times New Roman"/>
          <w:lang w:val="fr-FR"/>
        </w:rPr>
        <w:t xml:space="preserve">pour les </w:t>
      </w:r>
      <w:r w:rsidRPr="00466CE7">
        <w:rPr>
          <w:rFonts w:eastAsia="Times New Roman"/>
          <w:lang w:val="fr-FR"/>
        </w:rPr>
        <w:t xml:space="preserve">personnes handicapées, </w:t>
      </w:r>
      <w:r>
        <w:rPr>
          <w:rFonts w:eastAsia="Times New Roman"/>
          <w:lang w:val="fr-FR"/>
        </w:rPr>
        <w:t xml:space="preserve">de la loi </w:t>
      </w:r>
      <w:r w:rsidRPr="00466CE7">
        <w:rPr>
          <w:rFonts w:eastAsia="Times New Roman"/>
          <w:lang w:val="fr-FR"/>
        </w:rPr>
        <w:t xml:space="preserve">sur le don de sang et </w:t>
      </w:r>
      <w:r>
        <w:rPr>
          <w:rFonts w:eastAsia="Times New Roman"/>
          <w:lang w:val="fr-FR"/>
        </w:rPr>
        <w:t xml:space="preserve">de </w:t>
      </w:r>
      <w:r w:rsidRPr="00466CE7">
        <w:rPr>
          <w:rFonts w:eastAsia="Times New Roman"/>
          <w:lang w:val="fr-FR"/>
        </w:rPr>
        <w:t xml:space="preserve">ses composantes, une </w:t>
      </w:r>
      <w:r>
        <w:rPr>
          <w:rFonts w:eastAsia="Times New Roman"/>
          <w:lang w:val="fr-FR"/>
        </w:rPr>
        <w:t xml:space="preserve">indemnité monétaire mensuelle tenant lieu de prestation </w:t>
      </w:r>
      <w:r w:rsidRPr="00466CE7">
        <w:rPr>
          <w:rFonts w:eastAsia="Times New Roman"/>
          <w:lang w:val="fr-FR"/>
        </w:rPr>
        <w:t xml:space="preserve">est versée à </w:t>
      </w:r>
      <w:r>
        <w:rPr>
          <w:rFonts w:eastAsia="Times New Roman"/>
          <w:lang w:val="fr-FR"/>
        </w:rPr>
        <w:t>25</w:t>
      </w:r>
      <w:r w:rsidR="00987D7E">
        <w:rPr>
          <w:rFonts w:eastAsia="Times New Roman"/>
          <w:lang w:val="fr-FR"/>
        </w:rPr>
        <w:t> </w:t>
      </w:r>
      <w:r>
        <w:rPr>
          <w:rFonts w:eastAsia="Times New Roman"/>
          <w:lang w:val="fr-FR"/>
        </w:rPr>
        <w:t>catégories de bénéficiaires : les vétérans de la Grande guerre patriotique et de la guerre d’Afghanistan, les invalides de la guerre d’Afghanistan et de l’armée soviétique, les liquidateurs de l’accident survenu à la centrale nucléaire de Tchernobyl, les citoyens réhabilités, les donneurs de sang émérites, ainsi que les malvoyants et les malentendants.</w:t>
      </w:r>
    </w:p>
    <w:bookmarkEnd w:id="3"/>
    <w:p w14:paraId="075DC34D" w14:textId="26B6B986" w:rsidR="009C6834" w:rsidRPr="00466CE7" w:rsidRDefault="009C6834" w:rsidP="009C6834">
      <w:pPr>
        <w:pStyle w:val="SingleTxtG"/>
        <w:rPr>
          <w:rFonts w:eastAsia="Times New Roman"/>
          <w:lang w:val="fr-FR"/>
        </w:rPr>
      </w:pPr>
      <w:r w:rsidRPr="00466CE7">
        <w:rPr>
          <w:rFonts w:eastAsia="Times New Roman"/>
          <w:lang w:val="fr-FR"/>
        </w:rPr>
        <w:t>327.</w:t>
      </w:r>
      <w:r w:rsidRPr="00466CE7">
        <w:rPr>
          <w:rFonts w:eastAsia="Times New Roman"/>
          <w:lang w:val="fr-FR"/>
        </w:rPr>
        <w:tab/>
      </w:r>
      <w:r>
        <w:rPr>
          <w:rFonts w:eastAsia="Times New Roman"/>
          <w:lang w:val="fr-FR"/>
        </w:rPr>
        <w:t xml:space="preserve">L’indemnité tenant lieu de prestation pour ces catégories est versée </w:t>
      </w:r>
      <w:r w:rsidRPr="00466CE7">
        <w:rPr>
          <w:rFonts w:eastAsia="Times New Roman"/>
          <w:lang w:val="fr-FR"/>
        </w:rPr>
        <w:t xml:space="preserve">sur présentation des documents pertinents </w:t>
      </w:r>
      <w:r>
        <w:rPr>
          <w:rFonts w:eastAsia="Times New Roman"/>
          <w:lang w:val="fr-FR"/>
        </w:rPr>
        <w:t xml:space="preserve">indiqués à </w:t>
      </w:r>
      <w:r w:rsidRPr="00466CE7">
        <w:rPr>
          <w:rFonts w:eastAsia="Times New Roman"/>
          <w:lang w:val="fr-FR"/>
        </w:rPr>
        <w:t>l</w:t>
      </w:r>
      <w:r>
        <w:rPr>
          <w:rFonts w:eastAsia="Times New Roman"/>
          <w:lang w:val="fr-FR"/>
        </w:rPr>
        <w:t>’</w:t>
      </w:r>
      <w:r w:rsidRPr="00466CE7">
        <w:rPr>
          <w:rFonts w:eastAsia="Times New Roman"/>
          <w:lang w:val="fr-FR"/>
        </w:rPr>
        <w:t xml:space="preserve">annexe </w:t>
      </w:r>
      <w:r>
        <w:rPr>
          <w:rFonts w:eastAsia="Times New Roman"/>
          <w:lang w:val="fr-FR"/>
        </w:rPr>
        <w:t xml:space="preserve">au </w:t>
      </w:r>
      <w:r w:rsidRPr="00466CE7">
        <w:rPr>
          <w:rFonts w:eastAsia="Times New Roman"/>
          <w:lang w:val="fr-FR"/>
        </w:rPr>
        <w:t xml:space="preserve">règlement sur </w:t>
      </w:r>
      <w:r>
        <w:rPr>
          <w:rFonts w:eastAsia="Times New Roman"/>
          <w:lang w:val="fr-FR"/>
        </w:rPr>
        <w:t>les modalités d’attribution de l’indemnité monétaire mensuelle tenant lieu de prestation</w:t>
      </w:r>
      <w:r w:rsidRPr="00466CE7">
        <w:rPr>
          <w:rFonts w:eastAsia="Times New Roman"/>
          <w:lang w:val="fr-FR"/>
        </w:rPr>
        <w:t xml:space="preserve">, approuvé par </w:t>
      </w:r>
      <w:r>
        <w:rPr>
          <w:rFonts w:eastAsia="Times New Roman"/>
          <w:lang w:val="fr-FR"/>
        </w:rPr>
        <w:t xml:space="preserve">une </w:t>
      </w:r>
      <w:r w:rsidRPr="00466CE7">
        <w:rPr>
          <w:rFonts w:eastAsia="Times New Roman"/>
          <w:lang w:val="fr-FR"/>
        </w:rPr>
        <w:t xml:space="preserve">décision du </w:t>
      </w:r>
      <w:r w:rsidR="00387393" w:rsidRPr="00466CE7">
        <w:rPr>
          <w:rFonts w:eastAsia="Times New Roman"/>
          <w:lang w:val="fr-FR"/>
        </w:rPr>
        <w:t xml:space="preserve">Gouvernement </w:t>
      </w:r>
      <w:r>
        <w:rPr>
          <w:rFonts w:eastAsia="Times New Roman"/>
          <w:lang w:val="fr-FR"/>
        </w:rPr>
        <w:t xml:space="preserve">en </w:t>
      </w:r>
      <w:r w:rsidRPr="00466CE7">
        <w:rPr>
          <w:rFonts w:eastAsia="Times New Roman"/>
          <w:lang w:val="fr-FR"/>
        </w:rPr>
        <w:t>2009.</w:t>
      </w:r>
    </w:p>
    <w:p w14:paraId="331A0B75" w14:textId="7FF0445A" w:rsidR="009C6834" w:rsidRPr="00466CE7" w:rsidRDefault="009C6834" w:rsidP="009C6834">
      <w:pPr>
        <w:pStyle w:val="SingleTxtG"/>
        <w:rPr>
          <w:rFonts w:eastAsia="Times New Roman"/>
          <w:lang w:val="fr-FR"/>
        </w:rPr>
      </w:pPr>
      <w:r w:rsidRPr="00466CE7">
        <w:rPr>
          <w:rFonts w:eastAsia="Times New Roman"/>
          <w:lang w:val="fr-FR"/>
        </w:rPr>
        <w:t>328.</w:t>
      </w:r>
      <w:r w:rsidRPr="00466CE7">
        <w:rPr>
          <w:rFonts w:eastAsia="Times New Roman"/>
          <w:lang w:val="fr-FR"/>
        </w:rPr>
        <w:tab/>
        <w:t>Le</w:t>
      </w:r>
      <w:r>
        <w:rPr>
          <w:rFonts w:eastAsia="Times New Roman"/>
          <w:lang w:val="fr-FR"/>
        </w:rPr>
        <w:t xml:space="preserve"> montant de l’indemnité monétaire se situe</w:t>
      </w:r>
      <w:r w:rsidRPr="00466CE7">
        <w:rPr>
          <w:rFonts w:eastAsia="Times New Roman"/>
          <w:lang w:val="fr-FR"/>
        </w:rPr>
        <w:t xml:space="preserve">, </w:t>
      </w:r>
      <w:r>
        <w:rPr>
          <w:rFonts w:eastAsia="Times New Roman"/>
          <w:lang w:val="fr-FR"/>
        </w:rPr>
        <w:t xml:space="preserve">quelle que soit </w:t>
      </w:r>
      <w:r w:rsidRPr="00466CE7">
        <w:rPr>
          <w:rFonts w:eastAsia="Times New Roman"/>
          <w:lang w:val="fr-FR"/>
        </w:rPr>
        <w:t xml:space="preserve">la région de résidence, dans une fourchette </w:t>
      </w:r>
      <w:r>
        <w:rPr>
          <w:rFonts w:eastAsia="Times New Roman"/>
          <w:lang w:val="fr-FR"/>
        </w:rPr>
        <w:t xml:space="preserve">comprise entre </w:t>
      </w:r>
      <w:r w:rsidRPr="00466CE7">
        <w:rPr>
          <w:rFonts w:eastAsia="Times New Roman"/>
          <w:lang w:val="fr-FR"/>
        </w:rPr>
        <w:t>1</w:t>
      </w:r>
      <w:r w:rsidR="00987D7E">
        <w:rPr>
          <w:rFonts w:eastAsia="Times New Roman"/>
          <w:lang w:val="fr-FR"/>
        </w:rPr>
        <w:t> </w:t>
      </w:r>
      <w:r w:rsidRPr="00466CE7">
        <w:rPr>
          <w:rFonts w:eastAsia="Times New Roman"/>
          <w:lang w:val="fr-FR"/>
        </w:rPr>
        <w:t xml:space="preserve">000 </w:t>
      </w:r>
      <w:r>
        <w:rPr>
          <w:rFonts w:eastAsia="Times New Roman"/>
          <w:lang w:val="fr-FR"/>
        </w:rPr>
        <w:t xml:space="preserve">et </w:t>
      </w:r>
      <w:r w:rsidRPr="00466CE7">
        <w:rPr>
          <w:rFonts w:eastAsia="Times New Roman"/>
          <w:lang w:val="fr-FR"/>
        </w:rPr>
        <w:t>7</w:t>
      </w:r>
      <w:r w:rsidR="00987D7E">
        <w:rPr>
          <w:rFonts w:eastAsia="Times New Roman"/>
          <w:lang w:val="fr-FR"/>
        </w:rPr>
        <w:t> </w:t>
      </w:r>
      <w:r w:rsidRPr="00466CE7">
        <w:rPr>
          <w:rFonts w:eastAsia="Times New Roman"/>
          <w:lang w:val="fr-FR"/>
        </w:rPr>
        <w:t>000</w:t>
      </w:r>
      <w:r w:rsidR="00987D7E">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 xml:space="preserve">. </w:t>
      </w:r>
      <w:r>
        <w:rPr>
          <w:rFonts w:eastAsia="Times New Roman"/>
          <w:lang w:val="fr-FR"/>
        </w:rPr>
        <w:t xml:space="preserve">Il </w:t>
      </w:r>
      <w:r w:rsidRPr="00466CE7">
        <w:rPr>
          <w:rFonts w:eastAsia="Times New Roman"/>
          <w:lang w:val="fr-FR"/>
        </w:rPr>
        <w:t xml:space="preserve">comprend le coût des services </w:t>
      </w:r>
      <w:r>
        <w:rPr>
          <w:rFonts w:eastAsia="Times New Roman"/>
          <w:lang w:val="fr-FR"/>
        </w:rPr>
        <w:t xml:space="preserve">de gestion des logements et des biens </w:t>
      </w:r>
      <w:r w:rsidRPr="00466CE7">
        <w:rPr>
          <w:rFonts w:eastAsia="Times New Roman"/>
          <w:lang w:val="fr-FR"/>
        </w:rPr>
        <w:t xml:space="preserve">communaux, </w:t>
      </w:r>
      <w:r>
        <w:rPr>
          <w:rFonts w:eastAsia="Times New Roman"/>
          <w:lang w:val="fr-FR"/>
        </w:rPr>
        <w:t xml:space="preserve">des </w:t>
      </w:r>
      <w:r w:rsidRPr="00466CE7">
        <w:rPr>
          <w:rFonts w:eastAsia="Times New Roman"/>
          <w:lang w:val="fr-FR"/>
        </w:rPr>
        <w:t>déplacement</w:t>
      </w:r>
      <w:r>
        <w:rPr>
          <w:rFonts w:eastAsia="Times New Roman"/>
          <w:lang w:val="fr-FR"/>
        </w:rPr>
        <w:t>s</w:t>
      </w:r>
      <w:r w:rsidRPr="00466CE7">
        <w:rPr>
          <w:rFonts w:eastAsia="Times New Roman"/>
          <w:lang w:val="fr-FR"/>
        </w:rPr>
        <w:t xml:space="preserve"> </w:t>
      </w:r>
      <w:r>
        <w:rPr>
          <w:rFonts w:eastAsia="Times New Roman"/>
          <w:lang w:val="fr-FR"/>
        </w:rPr>
        <w:t xml:space="preserve">dans </w:t>
      </w:r>
      <w:r w:rsidRPr="00466CE7">
        <w:rPr>
          <w:rFonts w:eastAsia="Times New Roman"/>
          <w:lang w:val="fr-FR"/>
        </w:rPr>
        <w:t xml:space="preserve">la CEI et </w:t>
      </w:r>
      <w:r>
        <w:rPr>
          <w:rFonts w:eastAsia="Times New Roman"/>
          <w:lang w:val="fr-FR"/>
        </w:rPr>
        <w:t xml:space="preserve">le </w:t>
      </w:r>
      <w:r w:rsidRPr="00466CE7">
        <w:rPr>
          <w:rFonts w:eastAsia="Times New Roman"/>
          <w:lang w:val="fr-FR"/>
        </w:rPr>
        <w:t xml:space="preserve">pays, </w:t>
      </w:r>
      <w:r>
        <w:rPr>
          <w:rFonts w:eastAsia="Times New Roman"/>
          <w:lang w:val="fr-FR"/>
        </w:rPr>
        <w:t>d</w:t>
      </w:r>
      <w:r w:rsidRPr="00466CE7">
        <w:rPr>
          <w:rFonts w:eastAsia="Times New Roman"/>
          <w:lang w:val="fr-FR"/>
        </w:rPr>
        <w:t xml:space="preserve">es prothèses dentaires, </w:t>
      </w:r>
      <w:r>
        <w:rPr>
          <w:rFonts w:eastAsia="Times New Roman"/>
          <w:lang w:val="fr-FR"/>
        </w:rPr>
        <w:t>d</w:t>
      </w:r>
      <w:r w:rsidRPr="00466CE7">
        <w:rPr>
          <w:rFonts w:eastAsia="Times New Roman"/>
          <w:lang w:val="fr-FR"/>
        </w:rPr>
        <w:t xml:space="preserve">es appareils auditifs et </w:t>
      </w:r>
      <w:r>
        <w:rPr>
          <w:rFonts w:eastAsia="Times New Roman"/>
          <w:lang w:val="fr-FR"/>
        </w:rPr>
        <w:t>d</w:t>
      </w:r>
      <w:r w:rsidRPr="00466CE7">
        <w:rPr>
          <w:rFonts w:eastAsia="Times New Roman"/>
          <w:lang w:val="fr-FR"/>
        </w:rPr>
        <w:t xml:space="preserve">es lunettes, </w:t>
      </w:r>
      <w:r>
        <w:rPr>
          <w:rFonts w:eastAsia="Times New Roman"/>
          <w:lang w:val="fr-FR"/>
        </w:rPr>
        <w:t>d</w:t>
      </w:r>
      <w:r w:rsidRPr="00466CE7">
        <w:rPr>
          <w:rFonts w:eastAsia="Times New Roman"/>
          <w:lang w:val="fr-FR"/>
        </w:rPr>
        <w:t xml:space="preserve">es bons de sanatorium et </w:t>
      </w:r>
      <w:r>
        <w:rPr>
          <w:rFonts w:eastAsia="Times New Roman"/>
          <w:lang w:val="fr-FR"/>
        </w:rPr>
        <w:t>d</w:t>
      </w:r>
      <w:r w:rsidRPr="00466CE7">
        <w:rPr>
          <w:rFonts w:eastAsia="Times New Roman"/>
          <w:lang w:val="fr-FR"/>
        </w:rPr>
        <w:t>es médicaments.</w:t>
      </w:r>
    </w:p>
    <w:p w14:paraId="093660F9" w14:textId="367F165D" w:rsidR="009C6834" w:rsidRPr="00466CE7" w:rsidRDefault="009C6834" w:rsidP="009C6834">
      <w:pPr>
        <w:pStyle w:val="SingleTxtG"/>
        <w:rPr>
          <w:rFonts w:eastAsia="Times New Roman"/>
          <w:lang w:val="fr-FR"/>
        </w:rPr>
      </w:pPr>
      <w:r w:rsidRPr="00466CE7">
        <w:rPr>
          <w:rFonts w:eastAsia="Times New Roman"/>
          <w:lang w:val="fr-FR"/>
        </w:rPr>
        <w:t>329.</w:t>
      </w:r>
      <w:r w:rsidRPr="00466CE7">
        <w:rPr>
          <w:rFonts w:eastAsia="Times New Roman"/>
          <w:lang w:val="fr-FR"/>
        </w:rPr>
        <w:tab/>
        <w:t>Au 1</w:t>
      </w:r>
      <w:r w:rsidRPr="00987D7E">
        <w:rPr>
          <w:rFonts w:eastAsia="Times New Roman"/>
          <w:vertAlign w:val="superscript"/>
          <w:lang w:val="fr-FR"/>
        </w:rPr>
        <w:t>er</w:t>
      </w:r>
      <w:r w:rsidR="00987D7E">
        <w:rPr>
          <w:rFonts w:eastAsia="Times New Roman"/>
          <w:lang w:val="fr-FR"/>
        </w:rPr>
        <w:t> </w:t>
      </w:r>
      <w:r w:rsidRPr="00466CE7">
        <w:rPr>
          <w:rFonts w:eastAsia="Times New Roman"/>
          <w:lang w:val="fr-FR"/>
        </w:rPr>
        <w:t>janvier 2020, 42</w:t>
      </w:r>
      <w:r w:rsidR="00987D7E">
        <w:rPr>
          <w:rFonts w:eastAsia="Times New Roman"/>
          <w:lang w:val="fr-FR"/>
        </w:rPr>
        <w:t> </w:t>
      </w:r>
      <w:r w:rsidRPr="00466CE7">
        <w:rPr>
          <w:rFonts w:eastAsia="Times New Roman"/>
          <w:lang w:val="fr-FR"/>
        </w:rPr>
        <w:t>018</w:t>
      </w:r>
      <w:r w:rsidR="00987D7E">
        <w:rPr>
          <w:rFonts w:eastAsia="Times New Roman"/>
          <w:lang w:val="fr-FR"/>
        </w:rPr>
        <w:t> </w:t>
      </w:r>
      <w:r>
        <w:rPr>
          <w:rFonts w:eastAsia="Times New Roman"/>
          <w:lang w:val="fr-FR"/>
        </w:rPr>
        <w:t xml:space="preserve">personnes recevaient cette indemnité </w:t>
      </w:r>
      <w:r w:rsidRPr="00466CE7">
        <w:rPr>
          <w:rFonts w:eastAsia="Times New Roman"/>
          <w:lang w:val="fr-FR"/>
        </w:rPr>
        <w:t>monétaire.</w:t>
      </w:r>
    </w:p>
    <w:p w14:paraId="0632DF4B" w14:textId="3722F832" w:rsidR="009C6834" w:rsidRPr="00466CE7" w:rsidRDefault="009C6834" w:rsidP="009C6834">
      <w:pPr>
        <w:pStyle w:val="SingleTxtG"/>
        <w:rPr>
          <w:rFonts w:eastAsia="Times New Roman"/>
          <w:lang w:val="fr-FR"/>
        </w:rPr>
      </w:pPr>
      <w:r w:rsidRPr="00466CE7">
        <w:rPr>
          <w:rFonts w:eastAsia="Times New Roman"/>
          <w:lang w:val="fr-FR"/>
        </w:rPr>
        <w:t>330.</w:t>
      </w:r>
      <w:r w:rsidRPr="00466CE7">
        <w:rPr>
          <w:rFonts w:eastAsia="Times New Roman"/>
          <w:lang w:val="fr-FR"/>
        </w:rPr>
        <w:tab/>
        <w:t xml:space="preserve">Conformément au </w:t>
      </w:r>
      <w:r w:rsidR="009603CF">
        <w:rPr>
          <w:rFonts w:eastAsia="Times New Roman"/>
          <w:lang w:val="fr-FR"/>
        </w:rPr>
        <w:t>Code</w:t>
      </w:r>
      <w:r w:rsidRPr="00466CE7">
        <w:rPr>
          <w:rFonts w:eastAsia="Times New Roman"/>
          <w:lang w:val="fr-FR"/>
        </w:rPr>
        <w:t xml:space="preserve"> de l</w:t>
      </w:r>
      <w:r>
        <w:rPr>
          <w:rFonts w:eastAsia="Times New Roman"/>
          <w:lang w:val="fr-FR"/>
        </w:rPr>
        <w:t>’</w:t>
      </w:r>
      <w:r w:rsidRPr="00466CE7">
        <w:rPr>
          <w:rFonts w:eastAsia="Times New Roman"/>
          <w:lang w:val="fr-FR"/>
        </w:rPr>
        <w:t xml:space="preserve">enfance, le placement </w:t>
      </w:r>
      <w:r>
        <w:rPr>
          <w:rFonts w:eastAsia="Times New Roman"/>
          <w:lang w:val="fr-FR"/>
        </w:rPr>
        <w:t xml:space="preserve">d’un enfant en internat </w:t>
      </w:r>
      <w:r w:rsidRPr="00466CE7">
        <w:rPr>
          <w:rFonts w:eastAsia="Times New Roman"/>
          <w:lang w:val="fr-FR"/>
        </w:rPr>
        <w:t>est considéré comme un dernier recours</w:t>
      </w:r>
      <w:r>
        <w:rPr>
          <w:rFonts w:eastAsia="Times New Roman"/>
          <w:lang w:val="fr-FR"/>
        </w:rPr>
        <w:t xml:space="preserve">, lorsque toutes les possibilités de placement dans </w:t>
      </w:r>
      <w:r w:rsidRPr="00466CE7">
        <w:rPr>
          <w:rFonts w:eastAsia="Times New Roman"/>
          <w:lang w:val="fr-FR"/>
        </w:rPr>
        <w:t>une famille</w:t>
      </w:r>
      <w:r>
        <w:rPr>
          <w:rFonts w:eastAsia="Times New Roman"/>
          <w:lang w:val="fr-FR"/>
        </w:rPr>
        <w:t xml:space="preserve"> ont été épuisées</w:t>
      </w:r>
      <w:r w:rsidRPr="00466CE7">
        <w:rPr>
          <w:rFonts w:eastAsia="Times New Roman"/>
          <w:lang w:val="fr-FR"/>
        </w:rPr>
        <w:t>.</w:t>
      </w:r>
    </w:p>
    <w:p w14:paraId="68ACE183" w14:textId="46E581EC" w:rsidR="009C6834" w:rsidRPr="00466CE7" w:rsidRDefault="009C6834" w:rsidP="009C6834">
      <w:pPr>
        <w:pStyle w:val="SingleTxtG"/>
        <w:rPr>
          <w:rFonts w:eastAsia="Times New Roman"/>
          <w:lang w:val="fr-FR"/>
        </w:rPr>
      </w:pPr>
      <w:r w:rsidRPr="00466CE7">
        <w:rPr>
          <w:rFonts w:eastAsia="Times New Roman"/>
          <w:lang w:val="fr-FR"/>
        </w:rPr>
        <w:t>331.</w:t>
      </w:r>
      <w:r w:rsidRPr="00466CE7">
        <w:rPr>
          <w:rFonts w:eastAsia="Times New Roman"/>
          <w:lang w:val="fr-FR"/>
        </w:rPr>
        <w:tab/>
        <w:t xml:space="preserve">En 2019, </w:t>
      </w:r>
      <w:r>
        <w:rPr>
          <w:rFonts w:eastAsia="Times New Roman"/>
          <w:lang w:val="fr-FR"/>
        </w:rPr>
        <w:t xml:space="preserve">on dénombrait au Kirghizistan </w:t>
      </w:r>
      <w:r w:rsidRPr="00466CE7">
        <w:rPr>
          <w:rFonts w:eastAsia="Times New Roman"/>
          <w:lang w:val="fr-FR"/>
        </w:rPr>
        <w:t>137</w:t>
      </w:r>
      <w:r w:rsidR="00987D7E">
        <w:rPr>
          <w:rFonts w:eastAsia="Times New Roman"/>
          <w:lang w:val="fr-FR"/>
        </w:rPr>
        <w:t> </w:t>
      </w:r>
      <w:r>
        <w:rPr>
          <w:rFonts w:eastAsia="Times New Roman"/>
          <w:lang w:val="fr-FR"/>
        </w:rPr>
        <w:t>internats pour enfants,</w:t>
      </w:r>
      <w:r w:rsidRPr="00466CE7">
        <w:rPr>
          <w:rFonts w:eastAsia="Times New Roman"/>
          <w:lang w:val="fr-FR"/>
        </w:rPr>
        <w:t xml:space="preserve"> toutes formes de propriété</w:t>
      </w:r>
      <w:r>
        <w:rPr>
          <w:rFonts w:eastAsia="Times New Roman"/>
          <w:lang w:val="fr-FR"/>
        </w:rPr>
        <w:t xml:space="preserve"> confondues : </w:t>
      </w:r>
      <w:r w:rsidRPr="00466CE7">
        <w:rPr>
          <w:rFonts w:eastAsia="Times New Roman"/>
          <w:lang w:val="fr-FR"/>
        </w:rPr>
        <w:t>57</w:t>
      </w:r>
      <w:r w:rsidR="00987D7E">
        <w:rPr>
          <w:rFonts w:eastAsia="Times New Roman"/>
          <w:lang w:val="fr-FR"/>
        </w:rPr>
        <w:t> </w:t>
      </w:r>
      <w:r>
        <w:rPr>
          <w:rFonts w:eastAsia="Times New Roman"/>
          <w:lang w:val="fr-FR"/>
        </w:rPr>
        <w:t>internats publics</w:t>
      </w:r>
      <w:r w:rsidRPr="00466CE7">
        <w:rPr>
          <w:rFonts w:eastAsia="Times New Roman"/>
          <w:lang w:val="fr-FR"/>
        </w:rPr>
        <w:t xml:space="preserve"> (50</w:t>
      </w:r>
      <w:r>
        <w:rPr>
          <w:rFonts w:eastAsia="Times New Roman"/>
          <w:lang w:val="fr-FR"/>
        </w:rPr>
        <w:t xml:space="preserve"> relèvent du Ministère de l’éducation et de la science</w:t>
      </w:r>
      <w:r w:rsidRPr="00466CE7">
        <w:rPr>
          <w:rFonts w:eastAsia="Times New Roman"/>
          <w:lang w:val="fr-FR"/>
        </w:rPr>
        <w:t xml:space="preserve">, 3 </w:t>
      </w:r>
      <w:r>
        <w:rPr>
          <w:rFonts w:eastAsia="Times New Roman"/>
          <w:lang w:val="fr-FR"/>
        </w:rPr>
        <w:t>du Ministère de la santé et 4 du Ministère du travail et du développement social</w:t>
      </w:r>
      <w:r w:rsidRPr="00466CE7">
        <w:rPr>
          <w:rFonts w:eastAsia="Times New Roman"/>
          <w:lang w:val="fr-FR"/>
        </w:rPr>
        <w:t>)</w:t>
      </w:r>
      <w:r>
        <w:rPr>
          <w:rFonts w:eastAsia="Times New Roman"/>
          <w:lang w:val="fr-FR"/>
        </w:rPr>
        <w:t>, 25</w:t>
      </w:r>
      <w:r w:rsidR="00987D7E">
        <w:rPr>
          <w:rFonts w:eastAsia="Times New Roman"/>
          <w:lang w:val="fr-FR"/>
        </w:rPr>
        <w:t> </w:t>
      </w:r>
      <w:r>
        <w:rPr>
          <w:rFonts w:eastAsia="Times New Roman"/>
          <w:lang w:val="fr-FR"/>
        </w:rPr>
        <w:t>internats municipaux</w:t>
      </w:r>
      <w:r w:rsidRPr="00466CE7">
        <w:rPr>
          <w:rFonts w:eastAsia="Times New Roman"/>
          <w:lang w:val="fr-FR"/>
        </w:rPr>
        <w:t>, 41</w:t>
      </w:r>
      <w:r w:rsidR="00987D7E">
        <w:rPr>
          <w:rFonts w:eastAsia="Times New Roman"/>
          <w:lang w:val="fr-FR"/>
        </w:rPr>
        <w:t> </w:t>
      </w:r>
      <w:r>
        <w:rPr>
          <w:rFonts w:eastAsia="Times New Roman"/>
          <w:lang w:val="fr-FR"/>
        </w:rPr>
        <w:t xml:space="preserve">internats </w:t>
      </w:r>
      <w:r w:rsidRPr="00466CE7">
        <w:rPr>
          <w:rFonts w:eastAsia="Times New Roman"/>
          <w:lang w:val="fr-FR"/>
        </w:rPr>
        <w:t>privés</w:t>
      </w:r>
      <w:r>
        <w:rPr>
          <w:rFonts w:eastAsia="Times New Roman"/>
          <w:lang w:val="fr-FR"/>
        </w:rPr>
        <w:t xml:space="preserve"> créés par</w:t>
      </w:r>
      <w:r w:rsidRPr="00466CE7">
        <w:rPr>
          <w:rFonts w:eastAsia="Times New Roman"/>
          <w:lang w:val="fr-FR"/>
        </w:rPr>
        <w:t xml:space="preserve"> des ONG et 14</w:t>
      </w:r>
      <w:r w:rsidR="00987D7E">
        <w:rPr>
          <w:rFonts w:eastAsia="Times New Roman"/>
          <w:lang w:val="fr-FR"/>
        </w:rPr>
        <w:t> </w:t>
      </w:r>
      <w:r>
        <w:rPr>
          <w:rFonts w:eastAsia="Times New Roman"/>
          <w:lang w:val="fr-FR"/>
        </w:rPr>
        <w:t>internats confessionnels</w:t>
      </w:r>
      <w:r w:rsidRPr="00466CE7">
        <w:rPr>
          <w:rFonts w:eastAsia="Times New Roman"/>
          <w:lang w:val="fr-FR"/>
        </w:rPr>
        <w:t xml:space="preserve">. </w:t>
      </w:r>
      <w:r>
        <w:rPr>
          <w:rFonts w:eastAsia="Times New Roman"/>
          <w:lang w:val="fr-FR"/>
        </w:rPr>
        <w:t>Ces établissements accueillent p</w:t>
      </w:r>
      <w:r w:rsidRPr="00466CE7">
        <w:rPr>
          <w:rFonts w:eastAsia="Times New Roman"/>
          <w:lang w:val="fr-FR"/>
        </w:rPr>
        <w:t>lus de 10</w:t>
      </w:r>
      <w:r w:rsidR="00987D7E">
        <w:rPr>
          <w:rFonts w:eastAsia="Times New Roman"/>
          <w:lang w:val="fr-FR"/>
        </w:rPr>
        <w:t> </w:t>
      </w:r>
      <w:r w:rsidRPr="00466CE7">
        <w:rPr>
          <w:rFonts w:eastAsia="Times New Roman"/>
          <w:lang w:val="fr-FR"/>
        </w:rPr>
        <w:t>000</w:t>
      </w:r>
      <w:r w:rsidR="00987D7E">
        <w:rPr>
          <w:rFonts w:eastAsia="Times New Roman"/>
          <w:lang w:val="fr-FR"/>
        </w:rPr>
        <w:t> </w:t>
      </w:r>
      <w:r w:rsidRPr="00466CE7">
        <w:rPr>
          <w:rFonts w:eastAsia="Times New Roman"/>
          <w:lang w:val="fr-FR"/>
        </w:rPr>
        <w:t xml:space="preserve">enfants, </w:t>
      </w:r>
      <w:r>
        <w:rPr>
          <w:rFonts w:eastAsia="Times New Roman"/>
          <w:lang w:val="fr-FR"/>
        </w:rPr>
        <w:t xml:space="preserve">dont </w:t>
      </w:r>
      <w:r w:rsidRPr="00466CE7">
        <w:rPr>
          <w:rFonts w:eastAsia="Times New Roman"/>
          <w:lang w:val="fr-FR"/>
        </w:rPr>
        <w:t>5,4</w:t>
      </w:r>
      <w:r w:rsidR="00CB4ECD">
        <w:rPr>
          <w:rFonts w:eastAsia="Times New Roman"/>
          <w:lang w:val="fr-FR"/>
        </w:rPr>
        <w:t> %</w:t>
      </w:r>
      <w:r w:rsidRPr="00466CE7">
        <w:rPr>
          <w:rFonts w:eastAsia="Times New Roman"/>
          <w:lang w:val="fr-FR"/>
        </w:rPr>
        <w:t xml:space="preserve"> </w:t>
      </w:r>
      <w:r>
        <w:rPr>
          <w:rFonts w:eastAsia="Times New Roman"/>
          <w:lang w:val="fr-FR"/>
        </w:rPr>
        <w:t xml:space="preserve">seulement sont </w:t>
      </w:r>
      <w:r w:rsidRPr="00466CE7">
        <w:rPr>
          <w:rFonts w:eastAsia="Times New Roman"/>
          <w:lang w:val="fr-FR"/>
        </w:rPr>
        <w:t xml:space="preserve">orphelins, les autres ayant </w:t>
      </w:r>
      <w:r>
        <w:rPr>
          <w:rFonts w:eastAsia="Times New Roman"/>
          <w:lang w:val="fr-FR"/>
        </w:rPr>
        <w:t>au moins un de leurs parents</w:t>
      </w:r>
      <w:r w:rsidRPr="00466CE7">
        <w:rPr>
          <w:rFonts w:eastAsia="Times New Roman"/>
          <w:lang w:val="fr-FR"/>
        </w:rPr>
        <w:t xml:space="preserve">. </w:t>
      </w:r>
    </w:p>
    <w:p w14:paraId="4B54514E" w14:textId="0A960BD0" w:rsidR="009C6834" w:rsidRPr="00466CE7" w:rsidRDefault="009C6834" w:rsidP="009C6834">
      <w:pPr>
        <w:pStyle w:val="SingleTxtG"/>
        <w:rPr>
          <w:rFonts w:eastAsia="Times New Roman"/>
          <w:lang w:val="fr-FR"/>
        </w:rPr>
      </w:pPr>
      <w:bookmarkStart w:id="4" w:name="_Hlk89265390"/>
      <w:r w:rsidRPr="00466CE7">
        <w:rPr>
          <w:rFonts w:eastAsia="Times New Roman"/>
          <w:lang w:val="fr-FR"/>
        </w:rPr>
        <w:t>332.</w:t>
      </w:r>
      <w:r w:rsidRPr="00466CE7">
        <w:rPr>
          <w:rFonts w:eastAsia="Times New Roman"/>
          <w:lang w:val="fr-FR"/>
        </w:rPr>
        <w:tab/>
        <w:t>Dans l</w:t>
      </w:r>
      <w:r>
        <w:rPr>
          <w:rFonts w:eastAsia="Times New Roman"/>
          <w:lang w:val="fr-FR"/>
        </w:rPr>
        <w:t>e cadre de la mise en œuvre du p</w:t>
      </w:r>
      <w:r w:rsidRPr="00466CE7">
        <w:rPr>
          <w:rFonts w:eastAsia="Times New Roman"/>
          <w:lang w:val="fr-FR"/>
        </w:rPr>
        <w:t>lan d</w:t>
      </w:r>
      <w:r>
        <w:rPr>
          <w:rFonts w:eastAsia="Times New Roman"/>
          <w:lang w:val="fr-FR"/>
        </w:rPr>
        <w:t>’</w:t>
      </w:r>
      <w:r w:rsidRPr="00466CE7">
        <w:rPr>
          <w:rFonts w:eastAsia="Times New Roman"/>
          <w:lang w:val="fr-FR"/>
        </w:rPr>
        <w:t>optimisation de la gestion et du financement des</w:t>
      </w:r>
      <w:r>
        <w:rPr>
          <w:rFonts w:eastAsia="Times New Roman"/>
          <w:lang w:val="fr-FR"/>
        </w:rPr>
        <w:t xml:space="preserve"> internats pour </w:t>
      </w:r>
      <w:r w:rsidRPr="00466CE7">
        <w:rPr>
          <w:rFonts w:eastAsia="Times New Roman"/>
          <w:lang w:val="fr-FR"/>
        </w:rPr>
        <w:t xml:space="preserve">enfants </w:t>
      </w:r>
      <w:r>
        <w:rPr>
          <w:rFonts w:eastAsia="Times New Roman"/>
          <w:lang w:val="fr-FR"/>
        </w:rPr>
        <w:t xml:space="preserve">pour la période </w:t>
      </w:r>
      <w:r w:rsidRPr="00466CE7">
        <w:rPr>
          <w:rFonts w:eastAsia="Times New Roman"/>
          <w:lang w:val="fr-FR"/>
        </w:rPr>
        <w:t xml:space="preserve">2013-2018, approuvé par </w:t>
      </w:r>
      <w:r>
        <w:rPr>
          <w:rFonts w:eastAsia="Times New Roman"/>
          <w:lang w:val="fr-FR"/>
        </w:rPr>
        <w:t xml:space="preserve">une </w:t>
      </w:r>
      <w:r w:rsidRPr="00466CE7">
        <w:rPr>
          <w:rFonts w:eastAsia="Times New Roman"/>
          <w:lang w:val="fr-FR"/>
        </w:rPr>
        <w:t>dé</w:t>
      </w:r>
      <w:r>
        <w:rPr>
          <w:rFonts w:eastAsia="Times New Roman"/>
          <w:lang w:val="fr-FR"/>
        </w:rPr>
        <w:t xml:space="preserve">cision du </w:t>
      </w:r>
      <w:r w:rsidR="00BB253D">
        <w:rPr>
          <w:rFonts w:eastAsia="Times New Roman"/>
          <w:lang w:val="fr-FR"/>
        </w:rPr>
        <w:t xml:space="preserve">Gouvernement </w:t>
      </w:r>
      <w:r>
        <w:rPr>
          <w:rFonts w:eastAsia="Times New Roman"/>
          <w:lang w:val="fr-FR"/>
        </w:rPr>
        <w:t xml:space="preserve">en </w:t>
      </w:r>
      <w:r w:rsidRPr="00466CE7">
        <w:rPr>
          <w:rFonts w:eastAsia="Times New Roman"/>
          <w:lang w:val="fr-FR"/>
        </w:rPr>
        <w:t xml:space="preserve">2012, </w:t>
      </w:r>
      <w:r>
        <w:rPr>
          <w:rFonts w:eastAsia="Times New Roman"/>
          <w:lang w:val="fr-FR"/>
        </w:rPr>
        <w:t>sur les 17</w:t>
      </w:r>
      <w:r w:rsidR="00987D7E">
        <w:rPr>
          <w:rFonts w:eastAsia="Times New Roman"/>
          <w:lang w:val="fr-FR"/>
        </w:rPr>
        <w:t> </w:t>
      </w:r>
      <w:r>
        <w:rPr>
          <w:rFonts w:eastAsia="Times New Roman"/>
          <w:lang w:val="fr-FR"/>
        </w:rPr>
        <w:t>internats pour enfants</w:t>
      </w:r>
      <w:r w:rsidRPr="00466CE7">
        <w:rPr>
          <w:rFonts w:eastAsia="Times New Roman"/>
          <w:lang w:val="fr-FR"/>
        </w:rPr>
        <w:t xml:space="preserve"> (12 </w:t>
      </w:r>
      <w:r>
        <w:rPr>
          <w:rFonts w:eastAsia="Times New Roman"/>
          <w:lang w:val="fr-FR"/>
        </w:rPr>
        <w:t xml:space="preserve">relevant du Ministère de l’éducation, </w:t>
      </w:r>
      <w:r w:rsidRPr="00466CE7">
        <w:rPr>
          <w:rFonts w:eastAsia="Times New Roman"/>
          <w:lang w:val="fr-FR"/>
        </w:rPr>
        <w:t xml:space="preserve">2 </w:t>
      </w:r>
      <w:r>
        <w:rPr>
          <w:rFonts w:eastAsia="Times New Roman"/>
          <w:lang w:val="fr-FR"/>
        </w:rPr>
        <w:t xml:space="preserve">du Ministère de la santé, 2 du Ministère de l’intérieur et </w:t>
      </w:r>
      <w:r w:rsidRPr="00466CE7">
        <w:rPr>
          <w:rFonts w:eastAsia="Times New Roman"/>
          <w:lang w:val="fr-FR"/>
        </w:rPr>
        <w:t xml:space="preserve">1 </w:t>
      </w:r>
      <w:r>
        <w:rPr>
          <w:rFonts w:eastAsia="Times New Roman"/>
          <w:lang w:val="fr-FR"/>
        </w:rPr>
        <w:t xml:space="preserve">du Ministère du travail), 10 </w:t>
      </w:r>
      <w:r w:rsidRPr="00466CE7">
        <w:rPr>
          <w:rFonts w:eastAsia="Times New Roman"/>
          <w:lang w:val="fr-FR"/>
        </w:rPr>
        <w:t xml:space="preserve">ont été optimisés/transformés (1 </w:t>
      </w:r>
      <w:r>
        <w:rPr>
          <w:rFonts w:eastAsia="Times New Roman"/>
          <w:lang w:val="fr-FR"/>
        </w:rPr>
        <w:t xml:space="preserve">relevant du Ministère du travail, </w:t>
      </w:r>
      <w:r w:rsidRPr="00466CE7">
        <w:rPr>
          <w:rFonts w:eastAsia="Times New Roman"/>
          <w:lang w:val="fr-FR"/>
        </w:rPr>
        <w:t xml:space="preserve">7 </w:t>
      </w:r>
      <w:r>
        <w:rPr>
          <w:rFonts w:eastAsia="Times New Roman"/>
          <w:lang w:val="fr-FR"/>
        </w:rPr>
        <w:t xml:space="preserve">relevant du Ministère de l’éducation et </w:t>
      </w:r>
      <w:r w:rsidRPr="00466CE7">
        <w:rPr>
          <w:rFonts w:eastAsia="Times New Roman"/>
          <w:lang w:val="fr-FR"/>
        </w:rPr>
        <w:t xml:space="preserve">2 </w:t>
      </w:r>
      <w:r>
        <w:rPr>
          <w:rFonts w:eastAsia="Times New Roman"/>
          <w:lang w:val="fr-FR"/>
        </w:rPr>
        <w:t>relevant du Ministère de l’intérieur</w:t>
      </w:r>
      <w:r w:rsidRPr="00466CE7">
        <w:rPr>
          <w:rFonts w:eastAsia="Times New Roman"/>
          <w:lang w:val="fr-FR"/>
        </w:rPr>
        <w:t>).</w:t>
      </w:r>
    </w:p>
    <w:bookmarkEnd w:id="4"/>
    <w:p w14:paraId="7CBFFAB1" w14:textId="77777777" w:rsidR="009C6834" w:rsidRPr="00466CE7" w:rsidRDefault="009C6834" w:rsidP="009C6834">
      <w:pPr>
        <w:pStyle w:val="SingleTxtG"/>
        <w:rPr>
          <w:rFonts w:eastAsia="Times New Roman"/>
          <w:lang w:val="fr-FR"/>
        </w:rPr>
      </w:pPr>
      <w:r w:rsidRPr="00466CE7">
        <w:rPr>
          <w:rFonts w:eastAsia="Times New Roman"/>
          <w:lang w:val="fr-FR"/>
        </w:rPr>
        <w:t>333.</w:t>
      </w:r>
      <w:r w:rsidRPr="00466CE7">
        <w:rPr>
          <w:rFonts w:eastAsia="Times New Roman"/>
          <w:lang w:val="fr-FR"/>
        </w:rPr>
        <w:tab/>
        <w:t xml:space="preserve">Afin </w:t>
      </w:r>
      <w:r>
        <w:rPr>
          <w:rFonts w:eastAsia="Times New Roman"/>
          <w:lang w:val="fr-FR"/>
        </w:rPr>
        <w:t xml:space="preserve">d’améliorer le processus de </w:t>
      </w:r>
      <w:r w:rsidRPr="00466CE7">
        <w:rPr>
          <w:rFonts w:eastAsia="Times New Roman"/>
          <w:lang w:val="fr-FR"/>
        </w:rPr>
        <w:t>désinstitutionalisation</w:t>
      </w:r>
      <w:r>
        <w:rPr>
          <w:rFonts w:eastAsia="Times New Roman"/>
          <w:lang w:val="fr-FR"/>
        </w:rPr>
        <w:t>, le Ministère du travail et du développement social a élaboré un</w:t>
      </w:r>
      <w:r w:rsidRPr="00466CE7">
        <w:rPr>
          <w:rFonts w:eastAsia="Times New Roman"/>
          <w:lang w:val="fr-FR"/>
        </w:rPr>
        <w:t xml:space="preserve"> plan d</w:t>
      </w:r>
      <w:r>
        <w:rPr>
          <w:rFonts w:eastAsia="Times New Roman"/>
          <w:lang w:val="fr-FR"/>
        </w:rPr>
        <w:t>’</w:t>
      </w:r>
      <w:r w:rsidRPr="00466CE7">
        <w:rPr>
          <w:rFonts w:eastAsia="Times New Roman"/>
          <w:lang w:val="fr-FR"/>
        </w:rPr>
        <w:t xml:space="preserve">action prioritaire pour la réforme des </w:t>
      </w:r>
      <w:r>
        <w:rPr>
          <w:rFonts w:eastAsia="Times New Roman"/>
          <w:lang w:val="fr-FR"/>
        </w:rPr>
        <w:t xml:space="preserve">internats pour enfants </w:t>
      </w:r>
      <w:r w:rsidRPr="00466CE7">
        <w:rPr>
          <w:rFonts w:eastAsia="Times New Roman"/>
          <w:lang w:val="fr-FR"/>
        </w:rPr>
        <w:t xml:space="preserve">pour </w:t>
      </w:r>
      <w:r>
        <w:rPr>
          <w:rFonts w:eastAsia="Times New Roman"/>
          <w:lang w:val="fr-FR"/>
        </w:rPr>
        <w:t xml:space="preserve">la période </w:t>
      </w:r>
      <w:r w:rsidRPr="00466CE7">
        <w:rPr>
          <w:rFonts w:eastAsia="Times New Roman"/>
          <w:lang w:val="fr-FR"/>
        </w:rPr>
        <w:t xml:space="preserve">2019-2021, qui vise à développer les services sociaux pour les enfants, </w:t>
      </w:r>
      <w:r>
        <w:rPr>
          <w:rFonts w:eastAsia="Times New Roman"/>
          <w:lang w:val="fr-FR"/>
        </w:rPr>
        <w:t xml:space="preserve">notamment </w:t>
      </w:r>
      <w:r w:rsidRPr="00466CE7">
        <w:rPr>
          <w:rFonts w:eastAsia="Times New Roman"/>
          <w:lang w:val="fr-FR"/>
        </w:rPr>
        <w:t>le</w:t>
      </w:r>
      <w:r>
        <w:rPr>
          <w:rFonts w:eastAsia="Times New Roman"/>
          <w:lang w:val="fr-FR"/>
        </w:rPr>
        <w:t>s</w:t>
      </w:r>
      <w:r w:rsidRPr="00466CE7">
        <w:rPr>
          <w:rFonts w:eastAsia="Times New Roman"/>
          <w:lang w:val="fr-FR"/>
        </w:rPr>
        <w:t xml:space="preserve"> formes alternatives de placement, et prévoit des mesures </w:t>
      </w:r>
      <w:r>
        <w:rPr>
          <w:rFonts w:eastAsia="Times New Roman"/>
          <w:lang w:val="fr-FR"/>
        </w:rPr>
        <w:t xml:space="preserve">propres à </w:t>
      </w:r>
      <w:r w:rsidRPr="00466CE7">
        <w:rPr>
          <w:rFonts w:eastAsia="Times New Roman"/>
          <w:lang w:val="fr-FR"/>
        </w:rPr>
        <w:t>rationaliser la création d</w:t>
      </w:r>
      <w:r>
        <w:rPr>
          <w:rFonts w:eastAsia="Times New Roman"/>
          <w:lang w:val="fr-FR"/>
        </w:rPr>
        <w:t xml:space="preserve">’établissements </w:t>
      </w:r>
      <w:r w:rsidRPr="00466CE7">
        <w:rPr>
          <w:rFonts w:eastAsia="Times New Roman"/>
          <w:lang w:val="fr-FR"/>
        </w:rPr>
        <w:t xml:space="preserve">pour enfants. </w:t>
      </w:r>
    </w:p>
    <w:p w14:paraId="6C0164F0" w14:textId="4A6D1BA1" w:rsidR="009C6834" w:rsidRPr="00466CE7" w:rsidRDefault="009C6834" w:rsidP="00E1792A">
      <w:pPr>
        <w:pStyle w:val="SingleTxtG"/>
        <w:keepLines/>
        <w:rPr>
          <w:rFonts w:eastAsia="Times New Roman"/>
          <w:lang w:val="fr-FR"/>
        </w:rPr>
      </w:pPr>
      <w:r w:rsidRPr="00466CE7">
        <w:rPr>
          <w:rFonts w:eastAsia="Times New Roman"/>
          <w:lang w:val="fr-FR"/>
        </w:rPr>
        <w:lastRenderedPageBreak/>
        <w:t>334.</w:t>
      </w:r>
      <w:r w:rsidRPr="00466CE7">
        <w:rPr>
          <w:rFonts w:eastAsia="Times New Roman"/>
          <w:lang w:val="fr-FR"/>
        </w:rPr>
        <w:tab/>
      </w:r>
      <w:r>
        <w:rPr>
          <w:rFonts w:eastAsia="Times New Roman"/>
          <w:lang w:val="fr-FR"/>
        </w:rPr>
        <w:t xml:space="preserve">Le </w:t>
      </w:r>
      <w:r w:rsidR="00BB253D">
        <w:rPr>
          <w:rFonts w:eastAsia="Times New Roman"/>
          <w:lang w:val="fr-FR"/>
        </w:rPr>
        <w:t xml:space="preserve">Gouvernement </w:t>
      </w:r>
      <w:r>
        <w:rPr>
          <w:rFonts w:eastAsia="Times New Roman"/>
          <w:lang w:val="fr-FR"/>
        </w:rPr>
        <w:t xml:space="preserve">a de même adopté une </w:t>
      </w:r>
      <w:r w:rsidRPr="00466CE7">
        <w:rPr>
          <w:rFonts w:eastAsia="Times New Roman"/>
          <w:lang w:val="fr-FR"/>
        </w:rPr>
        <w:t xml:space="preserve">décision (2019) </w:t>
      </w:r>
      <w:r>
        <w:rPr>
          <w:rFonts w:eastAsia="Times New Roman"/>
          <w:lang w:val="fr-FR"/>
        </w:rPr>
        <w:t xml:space="preserve">portant approbation des modalités </w:t>
      </w:r>
      <w:r w:rsidRPr="00466CE7">
        <w:rPr>
          <w:rFonts w:eastAsia="Times New Roman"/>
          <w:lang w:val="fr-FR"/>
        </w:rPr>
        <w:t>de fonctionnement du système automatisé d</w:t>
      </w:r>
      <w:r>
        <w:rPr>
          <w:rFonts w:eastAsia="Times New Roman"/>
          <w:lang w:val="fr-FR"/>
        </w:rPr>
        <w:t>’</w:t>
      </w:r>
      <w:r w:rsidRPr="00466CE7">
        <w:rPr>
          <w:rFonts w:eastAsia="Times New Roman"/>
          <w:lang w:val="fr-FR"/>
        </w:rPr>
        <w:t>information et d</w:t>
      </w:r>
      <w:r>
        <w:rPr>
          <w:rFonts w:eastAsia="Times New Roman"/>
          <w:lang w:val="fr-FR"/>
        </w:rPr>
        <w:t>’</w:t>
      </w:r>
      <w:r w:rsidRPr="00466CE7">
        <w:rPr>
          <w:rFonts w:eastAsia="Times New Roman"/>
          <w:lang w:val="fr-FR"/>
        </w:rPr>
        <w:t xml:space="preserve">analyse </w:t>
      </w:r>
      <w:r>
        <w:rPr>
          <w:rFonts w:eastAsia="Times New Roman"/>
          <w:lang w:val="fr-FR"/>
        </w:rPr>
        <w:t xml:space="preserve">concernant les internats </w:t>
      </w:r>
      <w:r w:rsidRPr="00466CE7">
        <w:rPr>
          <w:rFonts w:eastAsia="Times New Roman"/>
          <w:lang w:val="fr-FR"/>
        </w:rPr>
        <w:t>pour enfants. Selon ce</w:t>
      </w:r>
      <w:r>
        <w:rPr>
          <w:rFonts w:eastAsia="Times New Roman"/>
          <w:lang w:val="fr-FR"/>
        </w:rPr>
        <w:t xml:space="preserve">tte décision, l’administration de chaque internat devra enregistrer </w:t>
      </w:r>
      <w:r w:rsidRPr="00466CE7">
        <w:rPr>
          <w:rFonts w:eastAsia="Times New Roman"/>
          <w:lang w:val="fr-FR"/>
        </w:rPr>
        <w:t xml:space="preserve">des données sur les enfants qui </w:t>
      </w:r>
      <w:r>
        <w:rPr>
          <w:rFonts w:eastAsia="Times New Roman"/>
          <w:lang w:val="fr-FR"/>
        </w:rPr>
        <w:t>résident dans leur établissement</w:t>
      </w:r>
      <w:r w:rsidRPr="00466CE7">
        <w:rPr>
          <w:rFonts w:eastAsia="Times New Roman"/>
          <w:lang w:val="fr-FR"/>
        </w:rPr>
        <w:t xml:space="preserve">, les nouveaux arrivants </w:t>
      </w:r>
      <w:r>
        <w:rPr>
          <w:rFonts w:eastAsia="Times New Roman"/>
          <w:lang w:val="fr-FR"/>
        </w:rPr>
        <w:t xml:space="preserve">et </w:t>
      </w:r>
      <w:r w:rsidRPr="00466CE7">
        <w:rPr>
          <w:rFonts w:eastAsia="Times New Roman"/>
          <w:lang w:val="fr-FR"/>
        </w:rPr>
        <w:t xml:space="preserve">les enfants qui </w:t>
      </w:r>
      <w:r>
        <w:rPr>
          <w:rFonts w:eastAsia="Times New Roman"/>
          <w:lang w:val="fr-FR"/>
        </w:rPr>
        <w:t xml:space="preserve">quittent </w:t>
      </w:r>
      <w:r w:rsidRPr="00466CE7">
        <w:rPr>
          <w:rFonts w:eastAsia="Times New Roman"/>
          <w:lang w:val="fr-FR"/>
        </w:rPr>
        <w:t>l</w:t>
      </w:r>
      <w:r>
        <w:rPr>
          <w:rFonts w:eastAsia="Times New Roman"/>
          <w:lang w:val="fr-FR"/>
        </w:rPr>
        <w:t>’établissement</w:t>
      </w:r>
      <w:r w:rsidRPr="00466CE7">
        <w:rPr>
          <w:rFonts w:eastAsia="Times New Roman"/>
          <w:lang w:val="fr-FR"/>
        </w:rPr>
        <w:t xml:space="preserve">. </w:t>
      </w:r>
      <w:r>
        <w:rPr>
          <w:rFonts w:eastAsia="Times New Roman"/>
          <w:lang w:val="fr-FR"/>
        </w:rPr>
        <w:t xml:space="preserve">Ce </w:t>
      </w:r>
      <w:r w:rsidRPr="00466CE7">
        <w:rPr>
          <w:rFonts w:eastAsia="Times New Roman"/>
          <w:lang w:val="fr-FR"/>
        </w:rPr>
        <w:t xml:space="preserve">système permettra de </w:t>
      </w:r>
      <w:r>
        <w:rPr>
          <w:rFonts w:eastAsia="Times New Roman"/>
          <w:lang w:val="fr-FR"/>
        </w:rPr>
        <w:t xml:space="preserve">connaître </w:t>
      </w:r>
      <w:r w:rsidRPr="00466CE7">
        <w:rPr>
          <w:rFonts w:eastAsia="Times New Roman"/>
          <w:lang w:val="fr-FR"/>
        </w:rPr>
        <w:t>en temps réel les mouvements des enfants, les raisons de leur placement, leur statut</w:t>
      </w:r>
      <w:r>
        <w:rPr>
          <w:rFonts w:eastAsia="Times New Roman"/>
          <w:lang w:val="fr-FR"/>
        </w:rPr>
        <w:t xml:space="preserve"> et</w:t>
      </w:r>
      <w:r w:rsidRPr="00466CE7">
        <w:rPr>
          <w:rFonts w:eastAsia="Times New Roman"/>
          <w:lang w:val="fr-FR"/>
        </w:rPr>
        <w:t xml:space="preserve"> les</w:t>
      </w:r>
      <w:r>
        <w:rPr>
          <w:rFonts w:eastAsia="Times New Roman"/>
          <w:lang w:val="fr-FR"/>
        </w:rPr>
        <w:t xml:space="preserve"> prestations dont ils disposent</w:t>
      </w:r>
      <w:r w:rsidRPr="00466CE7">
        <w:rPr>
          <w:rFonts w:eastAsia="Times New Roman"/>
          <w:lang w:val="fr-FR"/>
        </w:rPr>
        <w:t xml:space="preserve">, et de suivre le nombre </w:t>
      </w:r>
      <w:r>
        <w:rPr>
          <w:rFonts w:eastAsia="Times New Roman"/>
          <w:lang w:val="fr-FR"/>
        </w:rPr>
        <w:t xml:space="preserve">des </w:t>
      </w:r>
      <w:r w:rsidRPr="00466CE7">
        <w:rPr>
          <w:rFonts w:eastAsia="Times New Roman"/>
          <w:lang w:val="fr-FR"/>
        </w:rPr>
        <w:t xml:space="preserve">enfants </w:t>
      </w:r>
      <w:r>
        <w:rPr>
          <w:rFonts w:eastAsia="Times New Roman"/>
          <w:lang w:val="fr-FR"/>
        </w:rPr>
        <w:t>qui quittent les internats</w:t>
      </w:r>
      <w:r w:rsidRPr="00466CE7">
        <w:rPr>
          <w:rFonts w:eastAsia="Times New Roman"/>
          <w:lang w:val="fr-FR"/>
        </w:rPr>
        <w:t>.</w:t>
      </w:r>
    </w:p>
    <w:p w14:paraId="0C8A4925" w14:textId="163D6D31" w:rsidR="009C6834" w:rsidRPr="00466CE7" w:rsidRDefault="009C6834" w:rsidP="009C6834">
      <w:pPr>
        <w:pStyle w:val="SingleTxtG"/>
        <w:rPr>
          <w:rFonts w:eastAsia="Times New Roman"/>
          <w:lang w:val="fr-FR"/>
        </w:rPr>
      </w:pPr>
      <w:r w:rsidRPr="00466CE7">
        <w:rPr>
          <w:rFonts w:eastAsia="Times New Roman"/>
          <w:lang w:val="fr-FR"/>
        </w:rPr>
        <w:t>335.</w:t>
      </w:r>
      <w:r w:rsidRPr="00466CE7">
        <w:rPr>
          <w:rFonts w:eastAsia="Times New Roman"/>
          <w:lang w:val="fr-FR"/>
        </w:rPr>
        <w:tab/>
        <w:t>Confor</w:t>
      </w:r>
      <w:r>
        <w:rPr>
          <w:rFonts w:eastAsia="Times New Roman"/>
          <w:lang w:val="fr-FR"/>
        </w:rPr>
        <w:t xml:space="preserve">mément au </w:t>
      </w:r>
      <w:r w:rsidR="009603CF">
        <w:rPr>
          <w:rFonts w:eastAsia="Times New Roman"/>
          <w:lang w:val="fr-FR"/>
        </w:rPr>
        <w:t>Code</w:t>
      </w:r>
      <w:r>
        <w:rPr>
          <w:rFonts w:eastAsia="Times New Roman"/>
          <w:lang w:val="fr-FR"/>
        </w:rPr>
        <w:t xml:space="preserve"> de l’enfance, le </w:t>
      </w:r>
      <w:r w:rsidR="00BB253D">
        <w:rPr>
          <w:rFonts w:eastAsia="Times New Roman"/>
          <w:lang w:val="fr-FR"/>
        </w:rPr>
        <w:t xml:space="preserve">Gouvernement </w:t>
      </w:r>
      <w:r>
        <w:rPr>
          <w:rFonts w:eastAsia="Times New Roman"/>
          <w:lang w:val="fr-FR"/>
        </w:rPr>
        <w:t xml:space="preserve">a approuvé par une décision en </w:t>
      </w:r>
      <w:r w:rsidRPr="00466CE7">
        <w:rPr>
          <w:rFonts w:eastAsia="Times New Roman"/>
          <w:lang w:val="fr-FR"/>
        </w:rPr>
        <w:t xml:space="preserve">2015 le règlement </w:t>
      </w:r>
      <w:r>
        <w:rPr>
          <w:rFonts w:eastAsia="Times New Roman"/>
          <w:lang w:val="fr-FR"/>
        </w:rPr>
        <w:t>relatif à</w:t>
      </w:r>
      <w:r w:rsidRPr="00466CE7">
        <w:rPr>
          <w:rFonts w:eastAsia="Times New Roman"/>
          <w:lang w:val="fr-FR"/>
        </w:rPr>
        <w:t xml:space="preserve"> l</w:t>
      </w:r>
      <w:r>
        <w:rPr>
          <w:rFonts w:eastAsia="Times New Roman"/>
          <w:lang w:val="fr-FR"/>
        </w:rPr>
        <w:t>’</w:t>
      </w:r>
      <w:r w:rsidRPr="00466CE7">
        <w:rPr>
          <w:rFonts w:eastAsia="Times New Roman"/>
          <w:lang w:val="fr-FR"/>
        </w:rPr>
        <w:t xml:space="preserve">accréditation des entités fournissant des services aux enfants </w:t>
      </w:r>
      <w:r>
        <w:rPr>
          <w:rFonts w:eastAsia="Times New Roman"/>
          <w:lang w:val="fr-FR"/>
        </w:rPr>
        <w:t xml:space="preserve">en situation </w:t>
      </w:r>
      <w:r w:rsidRPr="00466CE7">
        <w:rPr>
          <w:rFonts w:eastAsia="Times New Roman"/>
          <w:lang w:val="fr-FR"/>
        </w:rPr>
        <w:t>difficile.</w:t>
      </w:r>
    </w:p>
    <w:p w14:paraId="3024D0F5" w14:textId="0DA3CA3F" w:rsidR="009C6834" w:rsidRPr="00466CE7" w:rsidRDefault="009C6834" w:rsidP="009C6834">
      <w:pPr>
        <w:pStyle w:val="SingleTxtG"/>
        <w:rPr>
          <w:rFonts w:eastAsia="Times New Roman"/>
          <w:lang w:val="fr-FR"/>
        </w:rPr>
      </w:pPr>
      <w:r w:rsidRPr="00466CE7">
        <w:rPr>
          <w:rFonts w:eastAsia="Times New Roman"/>
          <w:lang w:val="fr-FR"/>
        </w:rPr>
        <w:t>336.</w:t>
      </w:r>
      <w:r w:rsidRPr="00466CE7">
        <w:rPr>
          <w:rFonts w:eastAsia="Times New Roman"/>
          <w:lang w:val="fr-FR"/>
        </w:rPr>
        <w:tab/>
        <w:t xml:space="preserve">Afin de </w:t>
      </w:r>
      <w:r>
        <w:rPr>
          <w:rFonts w:eastAsia="Times New Roman"/>
          <w:lang w:val="fr-FR"/>
        </w:rPr>
        <w:t xml:space="preserve">dispenser </w:t>
      </w:r>
      <w:r w:rsidRPr="00466CE7">
        <w:rPr>
          <w:rFonts w:eastAsia="Times New Roman"/>
          <w:lang w:val="fr-FR"/>
        </w:rPr>
        <w:t xml:space="preserve">des services </w:t>
      </w:r>
      <w:r>
        <w:rPr>
          <w:rFonts w:eastAsia="Times New Roman"/>
          <w:lang w:val="fr-FR"/>
        </w:rPr>
        <w:t xml:space="preserve">sociaux </w:t>
      </w:r>
      <w:r w:rsidRPr="00466CE7">
        <w:rPr>
          <w:rFonts w:eastAsia="Times New Roman"/>
          <w:lang w:val="fr-FR"/>
        </w:rPr>
        <w:t>de qualité</w:t>
      </w:r>
      <w:r>
        <w:rPr>
          <w:rFonts w:eastAsia="Times New Roman"/>
          <w:lang w:val="fr-FR"/>
        </w:rPr>
        <w:t xml:space="preserve"> pour la prise en charge des enfants</w:t>
      </w:r>
      <w:r w:rsidRPr="00466CE7">
        <w:rPr>
          <w:rFonts w:eastAsia="Times New Roman"/>
          <w:lang w:val="fr-FR"/>
        </w:rPr>
        <w:t>, le M</w:t>
      </w:r>
      <w:r>
        <w:rPr>
          <w:rFonts w:eastAsia="Times New Roman"/>
          <w:lang w:val="fr-FR"/>
        </w:rPr>
        <w:t>inistère du travail et du développement social</w:t>
      </w:r>
      <w:r w:rsidRPr="00466CE7">
        <w:rPr>
          <w:rFonts w:eastAsia="Times New Roman"/>
          <w:lang w:val="fr-FR"/>
        </w:rPr>
        <w:t xml:space="preserve"> procède</w:t>
      </w:r>
      <w:r>
        <w:rPr>
          <w:rFonts w:eastAsia="Times New Roman"/>
          <w:lang w:val="fr-FR"/>
        </w:rPr>
        <w:t>,</w:t>
      </w:r>
      <w:r w:rsidRPr="00DB5CB0">
        <w:rPr>
          <w:rFonts w:eastAsia="Times New Roman"/>
          <w:lang w:val="fr-FR"/>
        </w:rPr>
        <w:t xml:space="preserve"> </w:t>
      </w:r>
      <w:r>
        <w:rPr>
          <w:rFonts w:eastAsia="Times New Roman"/>
          <w:lang w:val="fr-FR"/>
        </w:rPr>
        <w:t xml:space="preserve">en application d’une décision du </w:t>
      </w:r>
      <w:r w:rsidR="00BB253D">
        <w:rPr>
          <w:rFonts w:eastAsia="Times New Roman"/>
          <w:lang w:val="fr-FR"/>
        </w:rPr>
        <w:t xml:space="preserve">Gouvernement </w:t>
      </w:r>
      <w:r>
        <w:rPr>
          <w:rFonts w:eastAsia="Times New Roman"/>
          <w:lang w:val="fr-FR"/>
        </w:rPr>
        <w:t xml:space="preserve">de 2018, à l’accréditation des internats </w:t>
      </w:r>
      <w:r w:rsidRPr="00466CE7">
        <w:rPr>
          <w:rFonts w:eastAsia="Times New Roman"/>
          <w:lang w:val="fr-FR"/>
        </w:rPr>
        <w:t xml:space="preserve">pour enfants, quelle que soit leur forme de propriété, </w:t>
      </w:r>
      <w:r>
        <w:rPr>
          <w:rFonts w:eastAsia="Times New Roman"/>
          <w:lang w:val="fr-FR"/>
        </w:rPr>
        <w:t xml:space="preserve">qui sont tenus de se conformer aux </w:t>
      </w:r>
      <w:r w:rsidRPr="00466CE7">
        <w:rPr>
          <w:rFonts w:eastAsia="Times New Roman"/>
          <w:lang w:val="fr-FR"/>
        </w:rPr>
        <w:t xml:space="preserve">normes minimales </w:t>
      </w:r>
      <w:r>
        <w:rPr>
          <w:rFonts w:eastAsia="Times New Roman"/>
          <w:lang w:val="fr-FR"/>
        </w:rPr>
        <w:t xml:space="preserve">en matière de </w:t>
      </w:r>
      <w:r w:rsidRPr="00466CE7">
        <w:rPr>
          <w:rFonts w:eastAsia="Times New Roman"/>
          <w:lang w:val="fr-FR"/>
        </w:rPr>
        <w:t xml:space="preserve">soins, </w:t>
      </w:r>
      <w:r>
        <w:rPr>
          <w:rFonts w:eastAsia="Times New Roman"/>
          <w:lang w:val="fr-FR"/>
        </w:rPr>
        <w:t>d’</w:t>
      </w:r>
      <w:r w:rsidRPr="00466CE7">
        <w:rPr>
          <w:rFonts w:eastAsia="Times New Roman"/>
          <w:lang w:val="fr-FR"/>
        </w:rPr>
        <w:t xml:space="preserve">éducation et de socialisation </w:t>
      </w:r>
      <w:r>
        <w:rPr>
          <w:rFonts w:eastAsia="Times New Roman"/>
          <w:lang w:val="fr-FR"/>
        </w:rPr>
        <w:t xml:space="preserve">applicables </w:t>
      </w:r>
      <w:r w:rsidRPr="00466CE7">
        <w:rPr>
          <w:rFonts w:eastAsia="Times New Roman"/>
          <w:lang w:val="fr-FR"/>
        </w:rPr>
        <w:t xml:space="preserve">dans les </w:t>
      </w:r>
      <w:r>
        <w:rPr>
          <w:rFonts w:eastAsia="Times New Roman"/>
          <w:lang w:val="fr-FR"/>
        </w:rPr>
        <w:t xml:space="preserve">établissements de </w:t>
      </w:r>
      <w:r w:rsidRPr="00466CE7">
        <w:rPr>
          <w:rFonts w:eastAsia="Times New Roman"/>
          <w:lang w:val="fr-FR"/>
        </w:rPr>
        <w:t xml:space="preserve">services sociaux </w:t>
      </w:r>
      <w:r>
        <w:rPr>
          <w:rFonts w:eastAsia="Times New Roman"/>
          <w:lang w:val="fr-FR"/>
        </w:rPr>
        <w:t xml:space="preserve">pour </w:t>
      </w:r>
      <w:r w:rsidRPr="00466CE7">
        <w:rPr>
          <w:rFonts w:eastAsia="Times New Roman"/>
          <w:lang w:val="fr-FR"/>
        </w:rPr>
        <w:t xml:space="preserve">enfants </w:t>
      </w:r>
      <w:r>
        <w:rPr>
          <w:rFonts w:eastAsia="Times New Roman"/>
          <w:lang w:val="fr-FR"/>
        </w:rPr>
        <w:t xml:space="preserve">en situation </w:t>
      </w:r>
      <w:r w:rsidRPr="00466CE7">
        <w:rPr>
          <w:rFonts w:eastAsia="Times New Roman"/>
          <w:lang w:val="fr-FR"/>
        </w:rPr>
        <w:t>difficile</w:t>
      </w:r>
      <w:r>
        <w:rPr>
          <w:rFonts w:eastAsia="Times New Roman"/>
          <w:lang w:val="fr-FR"/>
        </w:rPr>
        <w:t>.</w:t>
      </w:r>
    </w:p>
    <w:p w14:paraId="0F71098B" w14:textId="77777777" w:rsidR="009C6834" w:rsidRPr="00466CE7" w:rsidRDefault="009C6834" w:rsidP="009C6834">
      <w:pPr>
        <w:pStyle w:val="SingleTxtG"/>
        <w:rPr>
          <w:rFonts w:eastAsia="Times New Roman"/>
          <w:lang w:val="fr-FR"/>
        </w:rPr>
      </w:pPr>
      <w:r w:rsidRPr="00466CE7">
        <w:rPr>
          <w:rFonts w:eastAsia="Times New Roman"/>
          <w:lang w:val="fr-FR"/>
        </w:rPr>
        <w:t>337.</w:t>
      </w:r>
      <w:r w:rsidRPr="00466CE7">
        <w:rPr>
          <w:rFonts w:eastAsia="Times New Roman"/>
          <w:lang w:val="fr-FR"/>
        </w:rPr>
        <w:tab/>
        <w:t xml:space="preserve">La stratégie nationale de développement 2018-2040, approuvée par </w:t>
      </w:r>
      <w:r>
        <w:rPr>
          <w:rFonts w:eastAsia="Times New Roman"/>
          <w:lang w:val="fr-FR"/>
        </w:rPr>
        <w:t xml:space="preserve">un décret présidentiel en </w:t>
      </w:r>
      <w:r w:rsidRPr="00466CE7">
        <w:rPr>
          <w:rFonts w:eastAsia="Times New Roman"/>
          <w:lang w:val="fr-FR"/>
        </w:rPr>
        <w:t>2018</w:t>
      </w:r>
      <w:r>
        <w:rPr>
          <w:rFonts w:eastAsia="Times New Roman"/>
          <w:lang w:val="fr-FR"/>
        </w:rPr>
        <w:t xml:space="preserve">, définit les tâches prioritaires concernant la politique </w:t>
      </w:r>
      <w:r w:rsidRPr="00466CE7">
        <w:rPr>
          <w:rFonts w:eastAsia="Times New Roman"/>
          <w:lang w:val="fr-FR"/>
        </w:rPr>
        <w:t xml:space="preserve">du travail et </w:t>
      </w:r>
      <w:r>
        <w:rPr>
          <w:rFonts w:eastAsia="Times New Roman"/>
          <w:lang w:val="fr-FR"/>
        </w:rPr>
        <w:t xml:space="preserve">la protection de </w:t>
      </w:r>
      <w:r w:rsidRPr="00466CE7">
        <w:rPr>
          <w:rFonts w:eastAsia="Times New Roman"/>
          <w:lang w:val="fr-FR"/>
        </w:rPr>
        <w:t>la vieillesse.</w:t>
      </w:r>
    </w:p>
    <w:p w14:paraId="7E87D85C" w14:textId="77777777" w:rsidR="009C6834" w:rsidRPr="00466CE7" w:rsidRDefault="009C6834" w:rsidP="009C6834">
      <w:pPr>
        <w:pStyle w:val="SingleTxtG"/>
        <w:rPr>
          <w:rFonts w:eastAsia="Times New Roman"/>
          <w:lang w:val="fr-FR"/>
        </w:rPr>
      </w:pPr>
      <w:r w:rsidRPr="00466CE7">
        <w:rPr>
          <w:rFonts w:eastAsia="Times New Roman"/>
          <w:lang w:val="fr-FR"/>
        </w:rPr>
        <w:t>338.</w:t>
      </w:r>
      <w:r w:rsidRPr="00466CE7">
        <w:rPr>
          <w:rFonts w:eastAsia="Times New Roman"/>
          <w:lang w:val="fr-FR"/>
        </w:rPr>
        <w:tab/>
        <w:t xml:space="preserve">La politique économique </w:t>
      </w:r>
      <w:r>
        <w:rPr>
          <w:rFonts w:eastAsia="Times New Roman"/>
          <w:lang w:val="fr-FR"/>
        </w:rPr>
        <w:t xml:space="preserve">de l’État </w:t>
      </w:r>
      <w:r w:rsidRPr="00466CE7">
        <w:rPr>
          <w:rFonts w:eastAsia="Times New Roman"/>
          <w:lang w:val="fr-FR"/>
        </w:rPr>
        <w:t>est axée sur</w:t>
      </w:r>
      <w:r>
        <w:rPr>
          <w:rFonts w:eastAsia="Times New Roman"/>
          <w:lang w:val="fr-FR"/>
        </w:rPr>
        <w:t xml:space="preserve"> la promotion de</w:t>
      </w:r>
      <w:r w:rsidRPr="00466CE7">
        <w:rPr>
          <w:rFonts w:eastAsia="Times New Roman"/>
          <w:lang w:val="fr-FR"/>
        </w:rPr>
        <w:t xml:space="preserve"> l</w:t>
      </w:r>
      <w:r>
        <w:rPr>
          <w:rFonts w:eastAsia="Times New Roman"/>
          <w:lang w:val="fr-FR"/>
        </w:rPr>
        <w:t>’</w:t>
      </w:r>
      <w:r w:rsidRPr="00466CE7">
        <w:rPr>
          <w:rFonts w:eastAsia="Times New Roman"/>
          <w:lang w:val="fr-FR"/>
        </w:rPr>
        <w:t>emploi</w:t>
      </w:r>
      <w:r>
        <w:rPr>
          <w:rFonts w:eastAsia="Times New Roman"/>
          <w:lang w:val="fr-FR"/>
        </w:rPr>
        <w:t xml:space="preserve"> et de </w:t>
      </w:r>
      <w:r w:rsidRPr="00466CE7">
        <w:rPr>
          <w:rFonts w:eastAsia="Times New Roman"/>
          <w:lang w:val="fr-FR"/>
        </w:rPr>
        <w:t xml:space="preserve">la stabilité des revenus et </w:t>
      </w:r>
      <w:r>
        <w:rPr>
          <w:rFonts w:eastAsia="Times New Roman"/>
          <w:lang w:val="fr-FR"/>
        </w:rPr>
        <w:t xml:space="preserve">sur </w:t>
      </w:r>
      <w:r w:rsidRPr="00466CE7">
        <w:rPr>
          <w:rFonts w:eastAsia="Times New Roman"/>
          <w:lang w:val="fr-FR"/>
        </w:rPr>
        <w:t>la création d</w:t>
      </w:r>
      <w:r>
        <w:rPr>
          <w:rFonts w:eastAsia="Times New Roman"/>
          <w:lang w:val="fr-FR"/>
        </w:rPr>
        <w:t>’</w:t>
      </w:r>
      <w:r w:rsidRPr="00466CE7">
        <w:rPr>
          <w:rFonts w:eastAsia="Times New Roman"/>
          <w:lang w:val="fr-FR"/>
        </w:rPr>
        <w:t>emplois productifs</w:t>
      </w:r>
      <w:r>
        <w:rPr>
          <w:rFonts w:eastAsia="Times New Roman"/>
          <w:lang w:val="fr-FR"/>
        </w:rPr>
        <w:t xml:space="preserve"> eu égard à </w:t>
      </w:r>
      <w:r w:rsidRPr="00466CE7">
        <w:rPr>
          <w:rFonts w:eastAsia="Times New Roman"/>
          <w:lang w:val="fr-FR"/>
        </w:rPr>
        <w:t xml:space="preserve">tous les défis </w:t>
      </w:r>
      <w:r>
        <w:rPr>
          <w:rFonts w:eastAsia="Times New Roman"/>
          <w:lang w:val="fr-FR"/>
        </w:rPr>
        <w:t xml:space="preserve">qui vont se poser à l’avenir sur le </w:t>
      </w:r>
      <w:r w:rsidRPr="00466CE7">
        <w:rPr>
          <w:rFonts w:eastAsia="Times New Roman"/>
          <w:lang w:val="fr-FR"/>
        </w:rPr>
        <w:t>marché du travail.</w:t>
      </w:r>
    </w:p>
    <w:p w14:paraId="3C842A79" w14:textId="023C5997" w:rsidR="009C6834" w:rsidRPr="00466CE7" w:rsidRDefault="009C6834" w:rsidP="009C6834">
      <w:pPr>
        <w:pStyle w:val="SingleTxtG"/>
        <w:rPr>
          <w:rFonts w:eastAsia="Times New Roman"/>
          <w:lang w:val="fr-FR"/>
        </w:rPr>
      </w:pPr>
      <w:r w:rsidRPr="00466CE7">
        <w:rPr>
          <w:rFonts w:eastAsia="Times New Roman"/>
          <w:lang w:val="fr-FR"/>
        </w:rPr>
        <w:t>339.</w:t>
      </w:r>
      <w:r w:rsidRPr="00466CE7">
        <w:rPr>
          <w:rFonts w:eastAsia="Times New Roman"/>
          <w:lang w:val="fr-FR"/>
        </w:rPr>
        <w:tab/>
      </w:r>
      <w:r>
        <w:rPr>
          <w:rFonts w:eastAsia="Times New Roman"/>
          <w:lang w:val="fr-FR"/>
        </w:rPr>
        <w:t xml:space="preserve">On trouvera à </w:t>
      </w:r>
      <w:r w:rsidRPr="00466CE7">
        <w:rPr>
          <w:rFonts w:eastAsia="Times New Roman"/>
          <w:lang w:val="fr-FR"/>
        </w:rPr>
        <w:t>l</w:t>
      </w:r>
      <w:r>
        <w:rPr>
          <w:rFonts w:eastAsia="Times New Roman"/>
          <w:lang w:val="fr-FR"/>
        </w:rPr>
        <w:t>’</w:t>
      </w:r>
      <w:r w:rsidRPr="00466CE7">
        <w:rPr>
          <w:rFonts w:eastAsia="Times New Roman"/>
          <w:lang w:val="fr-FR"/>
        </w:rPr>
        <w:t>annexe</w:t>
      </w:r>
      <w:r w:rsidR="00987D7E">
        <w:rPr>
          <w:rFonts w:eastAsia="Times New Roman"/>
          <w:lang w:val="fr-FR"/>
        </w:rPr>
        <w:t> </w:t>
      </w:r>
      <w:r w:rsidRPr="00466CE7">
        <w:rPr>
          <w:rFonts w:eastAsia="Times New Roman"/>
          <w:lang w:val="fr-FR"/>
        </w:rPr>
        <w:t xml:space="preserve">2 </w:t>
      </w:r>
      <w:r>
        <w:rPr>
          <w:rFonts w:eastAsia="Times New Roman"/>
          <w:lang w:val="fr-FR"/>
        </w:rPr>
        <w:t xml:space="preserve">des données sur le </w:t>
      </w:r>
      <w:r w:rsidRPr="00466CE7">
        <w:rPr>
          <w:rFonts w:eastAsia="Times New Roman"/>
          <w:lang w:val="fr-FR"/>
        </w:rPr>
        <w:t>taux de pauvreté par région pour la période 2014-2019.</w:t>
      </w:r>
    </w:p>
    <w:p w14:paraId="355E30E9" w14:textId="021F0103" w:rsidR="009C6834" w:rsidRPr="00466CE7" w:rsidRDefault="009C6834" w:rsidP="009C6834">
      <w:pPr>
        <w:pStyle w:val="SingleTxtG"/>
        <w:rPr>
          <w:rFonts w:eastAsia="Times New Roman"/>
          <w:lang w:val="fr-FR"/>
        </w:rPr>
      </w:pPr>
      <w:r w:rsidRPr="00466CE7">
        <w:rPr>
          <w:rFonts w:eastAsia="Times New Roman"/>
          <w:lang w:val="fr-FR"/>
        </w:rPr>
        <w:t>340.</w:t>
      </w:r>
      <w:r w:rsidRPr="00466CE7">
        <w:rPr>
          <w:rFonts w:eastAsia="Times New Roman"/>
          <w:lang w:val="fr-FR"/>
        </w:rPr>
        <w:tab/>
      </w:r>
      <w:r>
        <w:rPr>
          <w:rFonts w:eastAsia="Times New Roman"/>
          <w:lang w:val="fr-FR"/>
        </w:rPr>
        <w:t xml:space="preserve">Les taux </w:t>
      </w:r>
      <w:r w:rsidRPr="00466CE7">
        <w:rPr>
          <w:rFonts w:eastAsia="Times New Roman"/>
          <w:lang w:val="fr-FR"/>
        </w:rPr>
        <w:t xml:space="preserve">de pauvreté des hommes et des femmes </w:t>
      </w:r>
      <w:r>
        <w:rPr>
          <w:rFonts w:eastAsia="Times New Roman"/>
          <w:lang w:val="fr-FR"/>
        </w:rPr>
        <w:t xml:space="preserve">dans le pays </w:t>
      </w:r>
      <w:r w:rsidRPr="00466CE7">
        <w:rPr>
          <w:rFonts w:eastAsia="Times New Roman"/>
          <w:lang w:val="fr-FR"/>
        </w:rPr>
        <w:t>ne présente</w:t>
      </w:r>
      <w:r>
        <w:rPr>
          <w:rFonts w:eastAsia="Times New Roman"/>
          <w:lang w:val="fr-FR"/>
        </w:rPr>
        <w:t>nt</w:t>
      </w:r>
      <w:r w:rsidRPr="00466CE7">
        <w:rPr>
          <w:rFonts w:eastAsia="Times New Roman"/>
          <w:lang w:val="fr-FR"/>
        </w:rPr>
        <w:t xml:space="preserve"> pas</w:t>
      </w:r>
      <w:r>
        <w:rPr>
          <w:rFonts w:eastAsia="Times New Roman"/>
          <w:lang w:val="fr-FR"/>
        </w:rPr>
        <w:t>, globalement,</w:t>
      </w:r>
      <w:r w:rsidRPr="00466CE7">
        <w:rPr>
          <w:rFonts w:eastAsia="Times New Roman"/>
          <w:lang w:val="fr-FR"/>
        </w:rPr>
        <w:t xml:space="preserve"> de disparité prononcée, </w:t>
      </w:r>
      <w:r>
        <w:rPr>
          <w:rFonts w:eastAsia="Times New Roman"/>
          <w:lang w:val="fr-FR"/>
        </w:rPr>
        <w:t xml:space="preserve">l’écart entre les deux étant inférieur </w:t>
      </w:r>
      <w:r w:rsidRPr="00466CE7">
        <w:rPr>
          <w:rFonts w:eastAsia="Times New Roman"/>
          <w:lang w:val="fr-FR"/>
        </w:rPr>
        <w:t>à un point de pourcentage (20,1</w:t>
      </w:r>
      <w:r w:rsidR="00CB4ECD">
        <w:rPr>
          <w:rFonts w:eastAsia="Times New Roman"/>
          <w:lang w:val="fr-FR"/>
        </w:rPr>
        <w:t> %</w:t>
      </w:r>
      <w:r>
        <w:rPr>
          <w:rFonts w:eastAsia="Times New Roman"/>
          <w:lang w:val="fr-FR"/>
        </w:rPr>
        <w:t xml:space="preserve"> pour les femmes et </w:t>
      </w:r>
      <w:r w:rsidRPr="00466CE7">
        <w:rPr>
          <w:rFonts w:eastAsia="Times New Roman"/>
          <w:lang w:val="fr-FR"/>
        </w:rPr>
        <w:t>20,2</w:t>
      </w:r>
      <w:r w:rsidR="00CB4ECD">
        <w:rPr>
          <w:rFonts w:eastAsia="Times New Roman"/>
          <w:lang w:val="fr-FR"/>
        </w:rPr>
        <w:t> %</w:t>
      </w:r>
      <w:r>
        <w:rPr>
          <w:rFonts w:eastAsia="Times New Roman"/>
          <w:lang w:val="fr-FR"/>
        </w:rPr>
        <w:t xml:space="preserve"> pour les hommes</w:t>
      </w:r>
      <w:r w:rsidRPr="00466CE7">
        <w:rPr>
          <w:rFonts w:eastAsia="Times New Roman"/>
          <w:lang w:val="fr-FR"/>
        </w:rPr>
        <w:t>).</w:t>
      </w:r>
    </w:p>
    <w:p w14:paraId="79872306" w14:textId="2F09034A" w:rsidR="009C6834" w:rsidRPr="00466CE7" w:rsidRDefault="009C6834" w:rsidP="00987D7E">
      <w:pPr>
        <w:pStyle w:val="H1G"/>
        <w:rPr>
          <w:lang w:val="fr-FR"/>
        </w:rPr>
      </w:pPr>
      <w:r w:rsidRPr="00466CE7">
        <w:rPr>
          <w:lang w:val="fr-FR"/>
        </w:rPr>
        <w:tab/>
      </w:r>
      <w:r w:rsidRPr="00466CE7">
        <w:rPr>
          <w:lang w:val="fr-FR"/>
        </w:rPr>
        <w:tab/>
      </w:r>
      <w:r w:rsidR="00CB4ECD">
        <w:rPr>
          <w:lang w:val="fr-FR"/>
        </w:rPr>
        <w:t>Article </w:t>
      </w:r>
      <w:r w:rsidRPr="00466CE7">
        <w:rPr>
          <w:lang w:val="fr-FR"/>
        </w:rPr>
        <w:t>21</w:t>
      </w:r>
      <w:r w:rsidRPr="00466CE7">
        <w:rPr>
          <w:lang w:val="fr-FR"/>
        </w:rPr>
        <w:br/>
      </w:r>
      <w:r>
        <w:rPr>
          <w:lang w:val="fr-FR"/>
        </w:rPr>
        <w:t>Malnutrition et droit à l’alimentation</w:t>
      </w:r>
    </w:p>
    <w:p w14:paraId="505788DA" w14:textId="77777777" w:rsidR="009C6834" w:rsidRPr="00466CE7" w:rsidRDefault="009C6834" w:rsidP="009C6834">
      <w:pPr>
        <w:pStyle w:val="SingleTxtG"/>
        <w:rPr>
          <w:rFonts w:eastAsia="Times New Roman"/>
          <w:lang w:val="fr-FR"/>
        </w:rPr>
      </w:pPr>
      <w:r w:rsidRPr="00466CE7">
        <w:rPr>
          <w:rFonts w:eastAsia="Times New Roman"/>
          <w:lang w:val="fr-FR"/>
        </w:rPr>
        <w:t>341.</w:t>
      </w:r>
      <w:r w:rsidRPr="00466CE7">
        <w:rPr>
          <w:rFonts w:eastAsia="Times New Roman"/>
          <w:lang w:val="fr-FR"/>
        </w:rPr>
        <w:tab/>
      </w:r>
      <w:r>
        <w:rPr>
          <w:rFonts w:eastAsia="Times New Roman"/>
          <w:lang w:val="fr-FR"/>
        </w:rPr>
        <w:t>Plusieurs</w:t>
      </w:r>
      <w:r w:rsidRPr="00466CE7">
        <w:rPr>
          <w:rFonts w:eastAsia="Times New Roman"/>
          <w:lang w:val="fr-FR"/>
        </w:rPr>
        <w:t xml:space="preserve"> documents </w:t>
      </w:r>
      <w:r>
        <w:rPr>
          <w:rFonts w:eastAsia="Times New Roman"/>
          <w:lang w:val="fr-FR"/>
        </w:rPr>
        <w:t xml:space="preserve">ont été approuvés aux fins de l’amélioration de l’état de </w:t>
      </w:r>
      <w:r w:rsidRPr="00466CE7">
        <w:rPr>
          <w:rFonts w:eastAsia="Times New Roman"/>
          <w:lang w:val="fr-FR"/>
        </w:rPr>
        <w:t xml:space="preserve">santé des écoliers. Ils </w:t>
      </w:r>
      <w:r>
        <w:rPr>
          <w:rFonts w:eastAsia="Times New Roman"/>
          <w:lang w:val="fr-FR"/>
        </w:rPr>
        <w:t xml:space="preserve">imposent l’adoption de </w:t>
      </w:r>
      <w:r w:rsidRPr="00466CE7">
        <w:rPr>
          <w:rFonts w:eastAsia="Times New Roman"/>
          <w:lang w:val="fr-FR"/>
        </w:rPr>
        <w:t xml:space="preserve">mesures </w:t>
      </w:r>
      <w:r>
        <w:rPr>
          <w:rFonts w:eastAsia="Times New Roman"/>
          <w:lang w:val="fr-FR"/>
        </w:rPr>
        <w:t xml:space="preserve">propres à </w:t>
      </w:r>
      <w:r w:rsidRPr="00466CE7">
        <w:rPr>
          <w:rFonts w:eastAsia="Times New Roman"/>
          <w:lang w:val="fr-FR"/>
        </w:rPr>
        <w:t>améliorer l</w:t>
      </w:r>
      <w:r>
        <w:rPr>
          <w:rFonts w:eastAsia="Times New Roman"/>
          <w:lang w:val="fr-FR"/>
        </w:rPr>
        <w:t>’</w:t>
      </w:r>
      <w:r w:rsidRPr="00466CE7">
        <w:rPr>
          <w:rFonts w:eastAsia="Times New Roman"/>
          <w:lang w:val="fr-FR"/>
        </w:rPr>
        <w:t xml:space="preserve">organisation de </w:t>
      </w:r>
      <w:r>
        <w:rPr>
          <w:rFonts w:eastAsia="Times New Roman"/>
          <w:lang w:val="fr-FR"/>
        </w:rPr>
        <w:t>la restauration scolaire</w:t>
      </w:r>
      <w:r w:rsidRPr="00466CE7">
        <w:rPr>
          <w:rFonts w:eastAsia="Times New Roman"/>
          <w:lang w:val="fr-FR"/>
        </w:rPr>
        <w:t xml:space="preserve">, </w:t>
      </w:r>
      <w:r>
        <w:rPr>
          <w:rFonts w:eastAsia="Times New Roman"/>
          <w:lang w:val="fr-FR"/>
        </w:rPr>
        <w:t xml:space="preserve">en particulier pour les élèves des </w:t>
      </w:r>
      <w:r w:rsidRPr="00466CE7">
        <w:rPr>
          <w:rFonts w:eastAsia="Times New Roman"/>
          <w:lang w:val="fr-FR"/>
        </w:rPr>
        <w:t>classes 1 à 4.</w:t>
      </w:r>
    </w:p>
    <w:p w14:paraId="4929EDC9" w14:textId="111D07C6" w:rsidR="009C6834" w:rsidRPr="00466CE7" w:rsidRDefault="009C6834" w:rsidP="009C6834">
      <w:pPr>
        <w:pStyle w:val="SingleTxtG"/>
        <w:rPr>
          <w:rFonts w:eastAsia="Times New Roman"/>
          <w:lang w:val="fr-FR"/>
        </w:rPr>
      </w:pPr>
      <w:r w:rsidRPr="00466CE7">
        <w:rPr>
          <w:rFonts w:eastAsia="Times New Roman"/>
          <w:lang w:val="fr-FR"/>
        </w:rPr>
        <w:t>342.</w:t>
      </w:r>
      <w:r w:rsidRPr="00466CE7">
        <w:rPr>
          <w:rFonts w:eastAsia="Times New Roman"/>
          <w:lang w:val="fr-FR"/>
        </w:rPr>
        <w:tab/>
      </w:r>
      <w:r>
        <w:rPr>
          <w:rFonts w:eastAsia="Times New Roman"/>
          <w:lang w:val="fr-FR"/>
        </w:rPr>
        <w:t xml:space="preserve">Le </w:t>
      </w:r>
      <w:r w:rsidR="00BB253D">
        <w:rPr>
          <w:rFonts w:eastAsia="Times New Roman"/>
          <w:lang w:val="fr-FR"/>
        </w:rPr>
        <w:t xml:space="preserve">Gouvernement </w:t>
      </w:r>
      <w:r>
        <w:rPr>
          <w:rFonts w:eastAsia="Times New Roman"/>
          <w:lang w:val="fr-FR"/>
        </w:rPr>
        <w:t xml:space="preserve">a approuvé par une décision de </w:t>
      </w:r>
      <w:r w:rsidRPr="00466CE7">
        <w:rPr>
          <w:rFonts w:eastAsia="Times New Roman"/>
          <w:lang w:val="fr-FR"/>
        </w:rPr>
        <w:t xml:space="preserve">2016 les </w:t>
      </w:r>
      <w:r>
        <w:rPr>
          <w:rFonts w:eastAsia="Times New Roman"/>
          <w:lang w:val="fr-FR"/>
        </w:rPr>
        <w:t xml:space="preserve">normes </w:t>
      </w:r>
      <w:r w:rsidRPr="00466CE7">
        <w:rPr>
          <w:rFonts w:eastAsia="Times New Roman"/>
          <w:lang w:val="fr-FR"/>
        </w:rPr>
        <w:t>sanitaires et épidémiologiques relatives aux conditions et à l</w:t>
      </w:r>
      <w:r>
        <w:rPr>
          <w:rFonts w:eastAsia="Times New Roman"/>
          <w:lang w:val="fr-FR"/>
        </w:rPr>
        <w:t>’</w:t>
      </w:r>
      <w:r w:rsidRPr="00466CE7">
        <w:rPr>
          <w:rFonts w:eastAsia="Times New Roman"/>
          <w:lang w:val="fr-FR"/>
        </w:rPr>
        <w:t>organisation de l</w:t>
      </w:r>
      <w:r>
        <w:rPr>
          <w:rFonts w:eastAsia="Times New Roman"/>
          <w:lang w:val="fr-FR"/>
        </w:rPr>
        <w:t xml:space="preserve">’instruction </w:t>
      </w:r>
      <w:r w:rsidRPr="00466CE7">
        <w:rPr>
          <w:rFonts w:eastAsia="Times New Roman"/>
          <w:lang w:val="fr-FR"/>
        </w:rPr>
        <w:t xml:space="preserve">dans les </w:t>
      </w:r>
      <w:r>
        <w:rPr>
          <w:rFonts w:eastAsia="Times New Roman"/>
          <w:lang w:val="fr-FR"/>
        </w:rPr>
        <w:t xml:space="preserve">établissements </w:t>
      </w:r>
      <w:r w:rsidRPr="00466CE7">
        <w:rPr>
          <w:rFonts w:eastAsia="Times New Roman"/>
          <w:lang w:val="fr-FR"/>
        </w:rPr>
        <w:t>d</w:t>
      </w:r>
      <w:r>
        <w:rPr>
          <w:rFonts w:eastAsia="Times New Roman"/>
          <w:lang w:val="fr-FR"/>
        </w:rPr>
        <w:t>’</w:t>
      </w:r>
      <w:r w:rsidRPr="00466CE7">
        <w:rPr>
          <w:rFonts w:eastAsia="Times New Roman"/>
          <w:lang w:val="fr-FR"/>
        </w:rPr>
        <w:t xml:space="preserve">enseignement général, </w:t>
      </w:r>
      <w:r>
        <w:rPr>
          <w:rFonts w:eastAsia="Times New Roman"/>
          <w:lang w:val="fr-FR"/>
        </w:rPr>
        <w:t>qui concernent notamment l’alimentation des élèves</w:t>
      </w:r>
      <w:r w:rsidRPr="00466CE7">
        <w:rPr>
          <w:rFonts w:eastAsia="Times New Roman"/>
          <w:lang w:val="fr-FR"/>
        </w:rPr>
        <w:t>.</w:t>
      </w:r>
    </w:p>
    <w:p w14:paraId="689402A5" w14:textId="77777777" w:rsidR="009C6834" w:rsidRPr="00466CE7" w:rsidRDefault="009C6834" w:rsidP="009C6834">
      <w:pPr>
        <w:pStyle w:val="SingleTxtG"/>
        <w:rPr>
          <w:rFonts w:eastAsia="Times New Roman"/>
          <w:lang w:val="fr-FR"/>
        </w:rPr>
      </w:pPr>
      <w:r w:rsidRPr="00466CE7">
        <w:rPr>
          <w:rFonts w:eastAsia="Times New Roman"/>
          <w:lang w:val="fr-FR"/>
        </w:rPr>
        <w:t>343.</w:t>
      </w:r>
      <w:r w:rsidRPr="00466CE7">
        <w:rPr>
          <w:rFonts w:eastAsia="Times New Roman"/>
          <w:lang w:val="fr-FR"/>
        </w:rPr>
        <w:tab/>
      </w:r>
      <w:r>
        <w:rPr>
          <w:rFonts w:eastAsia="Times New Roman"/>
          <w:lang w:val="fr-FR"/>
        </w:rPr>
        <w:t>I</w:t>
      </w:r>
      <w:r w:rsidRPr="00466CE7">
        <w:rPr>
          <w:rFonts w:eastAsia="Times New Roman"/>
          <w:lang w:val="fr-FR"/>
        </w:rPr>
        <w:t xml:space="preserve">l convient </w:t>
      </w:r>
      <w:r>
        <w:rPr>
          <w:rFonts w:eastAsia="Times New Roman"/>
          <w:lang w:val="fr-FR"/>
        </w:rPr>
        <w:t xml:space="preserve">en outre </w:t>
      </w:r>
      <w:r w:rsidRPr="00466CE7">
        <w:rPr>
          <w:rFonts w:eastAsia="Times New Roman"/>
          <w:lang w:val="fr-FR"/>
        </w:rPr>
        <w:t xml:space="preserve">de noter </w:t>
      </w:r>
      <w:r>
        <w:rPr>
          <w:rFonts w:eastAsia="Times New Roman"/>
          <w:lang w:val="fr-FR"/>
        </w:rPr>
        <w:t xml:space="preserve">qu’un assortiment recommandé de </w:t>
      </w:r>
      <w:r w:rsidRPr="00466CE7">
        <w:rPr>
          <w:rFonts w:eastAsia="Times New Roman"/>
          <w:lang w:val="fr-FR"/>
        </w:rPr>
        <w:t xml:space="preserve">produits alimentaires </w:t>
      </w:r>
      <w:r>
        <w:rPr>
          <w:rFonts w:eastAsia="Times New Roman"/>
          <w:lang w:val="fr-FR"/>
        </w:rPr>
        <w:t xml:space="preserve">pouvant être vendus </w:t>
      </w:r>
      <w:r w:rsidRPr="00466CE7">
        <w:rPr>
          <w:rFonts w:eastAsia="Times New Roman"/>
          <w:lang w:val="fr-FR"/>
        </w:rPr>
        <w:t xml:space="preserve">dans les cafétérias et </w:t>
      </w:r>
      <w:r>
        <w:rPr>
          <w:rFonts w:eastAsia="Times New Roman"/>
          <w:lang w:val="fr-FR"/>
        </w:rPr>
        <w:t xml:space="preserve">les </w:t>
      </w:r>
      <w:r w:rsidRPr="00466CE7">
        <w:rPr>
          <w:rFonts w:eastAsia="Times New Roman"/>
          <w:lang w:val="fr-FR"/>
        </w:rPr>
        <w:t>cantines scolaires (</w:t>
      </w:r>
      <w:r>
        <w:rPr>
          <w:rFonts w:eastAsia="Times New Roman"/>
          <w:lang w:val="fr-FR"/>
        </w:rPr>
        <w:t xml:space="preserve">passage à des </w:t>
      </w:r>
      <w:r w:rsidRPr="00466CE7">
        <w:rPr>
          <w:rFonts w:eastAsia="Times New Roman"/>
          <w:lang w:val="fr-FR"/>
        </w:rPr>
        <w:t xml:space="preserve">repas chauds) </w:t>
      </w:r>
      <w:r>
        <w:rPr>
          <w:rFonts w:eastAsia="Times New Roman"/>
          <w:lang w:val="fr-FR"/>
        </w:rPr>
        <w:t xml:space="preserve">a été élaboré avec des </w:t>
      </w:r>
      <w:r w:rsidRPr="00466CE7">
        <w:rPr>
          <w:rFonts w:eastAsia="Times New Roman"/>
          <w:lang w:val="fr-FR"/>
        </w:rPr>
        <w:t>spécialistes du Département de la prévention des maladies et de la surveillance</w:t>
      </w:r>
      <w:r>
        <w:rPr>
          <w:rFonts w:eastAsia="Times New Roman"/>
          <w:lang w:val="fr-FR"/>
        </w:rPr>
        <w:t xml:space="preserve"> </w:t>
      </w:r>
      <w:r w:rsidRPr="00466CE7">
        <w:rPr>
          <w:rFonts w:eastAsia="Times New Roman"/>
          <w:lang w:val="fr-FR"/>
        </w:rPr>
        <w:t xml:space="preserve">sanitaire et épidémiologique </w:t>
      </w:r>
      <w:r>
        <w:rPr>
          <w:rFonts w:eastAsia="Times New Roman"/>
          <w:lang w:val="fr-FR"/>
        </w:rPr>
        <w:t>publique</w:t>
      </w:r>
      <w:r w:rsidRPr="00466CE7">
        <w:rPr>
          <w:rFonts w:eastAsia="Times New Roman"/>
          <w:lang w:val="fr-FR"/>
        </w:rPr>
        <w:t>.</w:t>
      </w:r>
    </w:p>
    <w:p w14:paraId="113670DA" w14:textId="31CF00EA" w:rsidR="009C6834" w:rsidRPr="00466CE7" w:rsidRDefault="009C6834" w:rsidP="009C6834">
      <w:pPr>
        <w:pStyle w:val="SingleTxtG"/>
        <w:rPr>
          <w:rFonts w:eastAsia="Times New Roman"/>
          <w:lang w:val="fr-FR"/>
        </w:rPr>
      </w:pPr>
      <w:bookmarkStart w:id="5" w:name="_Hlk89260284"/>
      <w:r w:rsidRPr="00466CE7">
        <w:rPr>
          <w:rFonts w:eastAsia="Times New Roman"/>
          <w:lang w:val="fr-FR"/>
        </w:rPr>
        <w:t>344.</w:t>
      </w:r>
      <w:r w:rsidRPr="00466CE7">
        <w:rPr>
          <w:rFonts w:eastAsia="Times New Roman"/>
          <w:lang w:val="fr-FR"/>
        </w:rPr>
        <w:tab/>
        <w:t xml:space="preserve">Depuis le début </w:t>
      </w:r>
      <w:r>
        <w:rPr>
          <w:rFonts w:eastAsia="Times New Roman"/>
          <w:lang w:val="fr-FR"/>
        </w:rPr>
        <w:t>de ce projet, 36</w:t>
      </w:r>
      <w:r w:rsidR="00987D7E">
        <w:rPr>
          <w:rFonts w:eastAsia="Times New Roman"/>
          <w:lang w:val="fr-FR"/>
        </w:rPr>
        <w:t> </w:t>
      </w:r>
      <w:r>
        <w:rPr>
          <w:rFonts w:eastAsia="Times New Roman"/>
          <w:lang w:val="fr-FR"/>
        </w:rPr>
        <w:t xml:space="preserve">sortes </w:t>
      </w:r>
      <w:r w:rsidRPr="00466CE7">
        <w:rPr>
          <w:rFonts w:eastAsia="Times New Roman"/>
          <w:lang w:val="fr-FR"/>
        </w:rPr>
        <w:t>d</w:t>
      </w:r>
      <w:r>
        <w:rPr>
          <w:rFonts w:eastAsia="Times New Roman"/>
          <w:lang w:val="fr-FR"/>
        </w:rPr>
        <w:t>’</w:t>
      </w:r>
      <w:r w:rsidRPr="00466CE7">
        <w:rPr>
          <w:rFonts w:eastAsia="Times New Roman"/>
          <w:lang w:val="fr-FR"/>
        </w:rPr>
        <w:t>entrées, 52</w:t>
      </w:r>
      <w:r w:rsidR="00987D7E">
        <w:rPr>
          <w:rFonts w:eastAsia="Times New Roman"/>
          <w:lang w:val="fr-FR"/>
        </w:rPr>
        <w:t> </w:t>
      </w:r>
      <w:r>
        <w:rPr>
          <w:rFonts w:eastAsia="Times New Roman"/>
          <w:lang w:val="fr-FR"/>
        </w:rPr>
        <w:t xml:space="preserve">sortes </w:t>
      </w:r>
      <w:r w:rsidRPr="00466CE7">
        <w:rPr>
          <w:rFonts w:eastAsia="Times New Roman"/>
          <w:lang w:val="fr-FR"/>
        </w:rPr>
        <w:t xml:space="preserve">de plats </w:t>
      </w:r>
      <w:r>
        <w:rPr>
          <w:rFonts w:eastAsia="Times New Roman"/>
          <w:lang w:val="fr-FR"/>
        </w:rPr>
        <w:t>de résistance, 11</w:t>
      </w:r>
      <w:r w:rsidR="00987D7E">
        <w:rPr>
          <w:rFonts w:eastAsia="Times New Roman"/>
          <w:lang w:val="fr-FR"/>
        </w:rPr>
        <w:t> </w:t>
      </w:r>
      <w:r>
        <w:rPr>
          <w:rFonts w:eastAsia="Times New Roman"/>
          <w:lang w:val="fr-FR"/>
        </w:rPr>
        <w:t>sortes de boissons, 19</w:t>
      </w:r>
      <w:r w:rsidR="00987D7E">
        <w:rPr>
          <w:rFonts w:eastAsia="Times New Roman"/>
          <w:lang w:val="fr-FR"/>
        </w:rPr>
        <w:t> </w:t>
      </w:r>
      <w:r>
        <w:rPr>
          <w:rFonts w:eastAsia="Times New Roman"/>
          <w:lang w:val="fr-FR"/>
        </w:rPr>
        <w:t>sortes de pâtisseries</w:t>
      </w:r>
      <w:r w:rsidRPr="00466CE7">
        <w:rPr>
          <w:rFonts w:eastAsia="Times New Roman"/>
          <w:lang w:val="fr-FR"/>
        </w:rPr>
        <w:t xml:space="preserve"> et 28</w:t>
      </w:r>
      <w:r w:rsidR="00987D7E">
        <w:rPr>
          <w:rFonts w:eastAsia="Times New Roman"/>
          <w:lang w:val="fr-FR"/>
        </w:rPr>
        <w:t> </w:t>
      </w:r>
      <w:r>
        <w:rPr>
          <w:rFonts w:eastAsia="Times New Roman"/>
          <w:lang w:val="fr-FR"/>
        </w:rPr>
        <w:t xml:space="preserve">sortes </w:t>
      </w:r>
      <w:r w:rsidRPr="00466CE7">
        <w:rPr>
          <w:rFonts w:eastAsia="Times New Roman"/>
          <w:lang w:val="fr-FR"/>
        </w:rPr>
        <w:t xml:space="preserve">de salades ont été </w:t>
      </w:r>
      <w:r>
        <w:rPr>
          <w:rFonts w:eastAsia="Times New Roman"/>
          <w:lang w:val="fr-FR"/>
        </w:rPr>
        <w:t>élaborées</w:t>
      </w:r>
      <w:r w:rsidRPr="00466CE7">
        <w:rPr>
          <w:rFonts w:eastAsia="Times New Roman"/>
          <w:lang w:val="fr-FR"/>
        </w:rPr>
        <w:t>. Actuellement</w:t>
      </w:r>
      <w:r w:rsidRPr="00875787">
        <w:rPr>
          <w:rFonts w:eastAsia="Times New Roman"/>
          <w:lang w:val="fr-FR"/>
        </w:rPr>
        <w:t>, 66</w:t>
      </w:r>
      <w:r w:rsidR="00CB4ECD" w:rsidRPr="00875787">
        <w:rPr>
          <w:rFonts w:eastAsia="Times New Roman"/>
          <w:lang w:val="fr-FR"/>
        </w:rPr>
        <w:t> %</w:t>
      </w:r>
      <w:r w:rsidRPr="00875787">
        <w:rPr>
          <w:rFonts w:eastAsia="Times New Roman"/>
          <w:lang w:val="fr-FR"/>
        </w:rPr>
        <w:t xml:space="preserve"> </w:t>
      </w:r>
      <w:r w:rsidR="00875787" w:rsidRPr="00875787">
        <w:rPr>
          <w:rFonts w:eastAsia="Times New Roman"/>
          <w:lang w:val="fr-FR"/>
        </w:rPr>
        <w:t xml:space="preserve">des </w:t>
      </w:r>
      <w:r w:rsidRPr="00875787">
        <w:rPr>
          <w:rFonts w:eastAsia="Times New Roman"/>
          <w:lang w:val="fr-FR"/>
        </w:rPr>
        <w:t>écoles pilotes</w:t>
      </w:r>
      <w:r w:rsidRPr="00466CE7">
        <w:rPr>
          <w:rFonts w:eastAsia="Times New Roman"/>
          <w:lang w:val="fr-FR"/>
        </w:rPr>
        <w:t xml:space="preserve"> </w:t>
      </w:r>
      <w:r>
        <w:rPr>
          <w:rFonts w:eastAsia="Times New Roman"/>
          <w:lang w:val="fr-FR"/>
        </w:rPr>
        <w:t xml:space="preserve">cuisinent avec </w:t>
      </w:r>
      <w:r w:rsidRPr="00466CE7">
        <w:rPr>
          <w:rFonts w:eastAsia="Times New Roman"/>
          <w:lang w:val="fr-FR"/>
        </w:rPr>
        <w:t>de la viande, 80</w:t>
      </w:r>
      <w:r w:rsidR="00CB4ECD">
        <w:rPr>
          <w:rFonts w:eastAsia="Times New Roman"/>
          <w:lang w:val="fr-FR"/>
        </w:rPr>
        <w:t> %</w:t>
      </w:r>
      <w:r w:rsidRPr="00466CE7">
        <w:rPr>
          <w:rFonts w:eastAsia="Times New Roman"/>
          <w:lang w:val="fr-FR"/>
        </w:rPr>
        <w:t xml:space="preserve"> </w:t>
      </w:r>
      <w:r>
        <w:rPr>
          <w:rFonts w:eastAsia="Times New Roman"/>
          <w:lang w:val="fr-FR"/>
        </w:rPr>
        <w:t xml:space="preserve">avec </w:t>
      </w:r>
      <w:r w:rsidRPr="00466CE7">
        <w:rPr>
          <w:rFonts w:eastAsia="Times New Roman"/>
          <w:lang w:val="fr-FR"/>
        </w:rPr>
        <w:t>des produits laitiers, au moins 38</w:t>
      </w:r>
      <w:r w:rsidR="00CB4ECD">
        <w:rPr>
          <w:rFonts w:eastAsia="Times New Roman"/>
          <w:lang w:val="fr-FR"/>
        </w:rPr>
        <w:t> %</w:t>
      </w:r>
      <w:r>
        <w:rPr>
          <w:rFonts w:eastAsia="Times New Roman"/>
          <w:lang w:val="fr-FR"/>
        </w:rPr>
        <w:t xml:space="preserve"> proposent </w:t>
      </w:r>
      <w:r w:rsidRPr="00466CE7">
        <w:rPr>
          <w:rFonts w:eastAsia="Times New Roman"/>
          <w:lang w:val="fr-FR"/>
        </w:rPr>
        <w:t xml:space="preserve">des repas chauds quatre à cinq fois par semaine, </w:t>
      </w:r>
      <w:r>
        <w:rPr>
          <w:rFonts w:eastAsia="Times New Roman"/>
          <w:lang w:val="fr-FR"/>
        </w:rPr>
        <w:t xml:space="preserve">et </w:t>
      </w:r>
      <w:r w:rsidRPr="00466CE7">
        <w:rPr>
          <w:rFonts w:eastAsia="Times New Roman"/>
          <w:lang w:val="fr-FR"/>
        </w:rPr>
        <w:t xml:space="preserve">une sur quatre </w:t>
      </w:r>
      <w:r>
        <w:rPr>
          <w:rFonts w:eastAsia="Times New Roman"/>
          <w:lang w:val="fr-FR"/>
        </w:rPr>
        <w:t xml:space="preserve">propose chaque semaine </w:t>
      </w:r>
      <w:r w:rsidRPr="00466CE7">
        <w:rPr>
          <w:rFonts w:eastAsia="Times New Roman"/>
          <w:lang w:val="fr-FR"/>
        </w:rPr>
        <w:t xml:space="preserve">des salades aux élèves </w:t>
      </w:r>
      <w:r>
        <w:rPr>
          <w:rFonts w:eastAsia="Times New Roman"/>
          <w:lang w:val="fr-FR"/>
        </w:rPr>
        <w:t xml:space="preserve">des classes </w:t>
      </w:r>
      <w:r w:rsidRPr="00466CE7">
        <w:rPr>
          <w:rFonts w:eastAsia="Times New Roman"/>
          <w:lang w:val="fr-FR"/>
        </w:rPr>
        <w:t>primaire</w:t>
      </w:r>
      <w:r>
        <w:rPr>
          <w:rFonts w:eastAsia="Times New Roman"/>
          <w:lang w:val="fr-FR"/>
        </w:rPr>
        <w:t>s</w:t>
      </w:r>
      <w:r w:rsidRPr="00466CE7">
        <w:rPr>
          <w:rFonts w:eastAsia="Times New Roman"/>
          <w:lang w:val="fr-FR"/>
        </w:rPr>
        <w:t>.</w:t>
      </w:r>
    </w:p>
    <w:bookmarkEnd w:id="5"/>
    <w:p w14:paraId="709406CD" w14:textId="77777777" w:rsidR="009C6834" w:rsidRPr="00466CE7" w:rsidRDefault="009C6834" w:rsidP="009C6834">
      <w:pPr>
        <w:pStyle w:val="SingleTxtG"/>
        <w:rPr>
          <w:rFonts w:eastAsia="Times New Roman"/>
          <w:lang w:val="fr-FR"/>
        </w:rPr>
      </w:pPr>
      <w:r w:rsidRPr="00466CE7">
        <w:rPr>
          <w:rFonts w:eastAsia="Times New Roman"/>
          <w:lang w:val="fr-FR"/>
        </w:rPr>
        <w:t>345.</w:t>
      </w:r>
      <w:r w:rsidRPr="00466CE7">
        <w:rPr>
          <w:rFonts w:eastAsia="Times New Roman"/>
          <w:lang w:val="fr-FR"/>
        </w:rPr>
        <w:tab/>
        <w:t>Des recommandations méthodolo</w:t>
      </w:r>
      <w:r>
        <w:rPr>
          <w:rFonts w:eastAsia="Times New Roman"/>
          <w:lang w:val="fr-FR"/>
        </w:rPr>
        <w:t xml:space="preserve">giques ont été élaborées pour l’organisation de la restauration </w:t>
      </w:r>
      <w:r w:rsidRPr="00466CE7">
        <w:rPr>
          <w:rFonts w:eastAsia="Times New Roman"/>
          <w:lang w:val="fr-FR"/>
        </w:rPr>
        <w:t xml:space="preserve">des élèves </w:t>
      </w:r>
      <w:r>
        <w:rPr>
          <w:rFonts w:eastAsia="Times New Roman"/>
          <w:lang w:val="fr-FR"/>
        </w:rPr>
        <w:t xml:space="preserve">dans les </w:t>
      </w:r>
      <w:r w:rsidRPr="00466CE7">
        <w:rPr>
          <w:rFonts w:eastAsia="Times New Roman"/>
          <w:lang w:val="fr-FR"/>
        </w:rPr>
        <w:t>établissements d</w:t>
      </w:r>
      <w:r>
        <w:rPr>
          <w:rFonts w:eastAsia="Times New Roman"/>
          <w:lang w:val="fr-FR"/>
        </w:rPr>
        <w:t>’</w:t>
      </w:r>
      <w:r w:rsidRPr="00466CE7">
        <w:rPr>
          <w:rFonts w:eastAsia="Times New Roman"/>
          <w:lang w:val="fr-FR"/>
        </w:rPr>
        <w:t>enseignement général.</w:t>
      </w:r>
    </w:p>
    <w:p w14:paraId="79D5DBBB" w14:textId="7E15325D" w:rsidR="009C6834" w:rsidRPr="00466CE7" w:rsidRDefault="009C6834" w:rsidP="00BB253D">
      <w:pPr>
        <w:pStyle w:val="SingleTxtG"/>
        <w:rPr>
          <w:rFonts w:eastAsia="Times New Roman"/>
          <w:lang w:val="fr-FR"/>
        </w:rPr>
      </w:pPr>
      <w:r w:rsidRPr="00466CE7">
        <w:rPr>
          <w:rFonts w:eastAsia="Times New Roman"/>
          <w:lang w:val="fr-FR"/>
        </w:rPr>
        <w:t>346.</w:t>
      </w:r>
      <w:r w:rsidR="00987D7E">
        <w:rPr>
          <w:rFonts w:eastAsia="Times New Roman"/>
          <w:lang w:val="fr-FR"/>
        </w:rPr>
        <w:tab/>
      </w:r>
      <w:r>
        <w:rPr>
          <w:rFonts w:eastAsia="Times New Roman"/>
          <w:lang w:val="fr-FR"/>
        </w:rPr>
        <w:t xml:space="preserve">Dans la quasi-totalité des </w:t>
      </w:r>
      <w:r w:rsidRPr="00466CE7">
        <w:rPr>
          <w:rFonts w:eastAsia="Times New Roman"/>
          <w:lang w:val="fr-FR"/>
        </w:rPr>
        <w:t xml:space="preserve">écoles </w:t>
      </w:r>
      <w:r>
        <w:rPr>
          <w:rFonts w:eastAsia="Times New Roman"/>
          <w:lang w:val="fr-FR"/>
        </w:rPr>
        <w:t>du pays</w:t>
      </w:r>
      <w:r w:rsidRPr="00466CE7">
        <w:rPr>
          <w:rFonts w:eastAsia="Times New Roman"/>
          <w:lang w:val="fr-FR"/>
        </w:rPr>
        <w:t xml:space="preserve">, les élèves </w:t>
      </w:r>
      <w:r>
        <w:rPr>
          <w:rFonts w:eastAsia="Times New Roman"/>
          <w:lang w:val="fr-FR"/>
        </w:rPr>
        <w:t xml:space="preserve">des classes </w:t>
      </w:r>
      <w:r w:rsidRPr="00466CE7">
        <w:rPr>
          <w:rFonts w:eastAsia="Times New Roman"/>
          <w:lang w:val="fr-FR"/>
        </w:rPr>
        <w:t>primaire</w:t>
      </w:r>
      <w:r>
        <w:rPr>
          <w:rFonts w:eastAsia="Times New Roman"/>
          <w:lang w:val="fr-FR"/>
        </w:rPr>
        <w:t>s</w:t>
      </w:r>
      <w:r w:rsidRPr="00466CE7">
        <w:rPr>
          <w:rFonts w:eastAsia="Times New Roman"/>
          <w:lang w:val="fr-FR"/>
        </w:rPr>
        <w:t xml:space="preserve"> reçoivent </w:t>
      </w:r>
      <w:r>
        <w:rPr>
          <w:rFonts w:eastAsia="Times New Roman"/>
          <w:lang w:val="fr-FR"/>
        </w:rPr>
        <w:t xml:space="preserve">soit </w:t>
      </w:r>
      <w:r w:rsidRPr="00466CE7">
        <w:rPr>
          <w:rFonts w:eastAsia="Times New Roman"/>
          <w:lang w:val="fr-FR"/>
        </w:rPr>
        <w:t>un petit pain</w:t>
      </w:r>
      <w:r>
        <w:rPr>
          <w:rFonts w:eastAsia="Times New Roman"/>
          <w:lang w:val="fr-FR"/>
        </w:rPr>
        <w:t xml:space="preserve"> </w:t>
      </w:r>
      <w:r w:rsidRPr="00466CE7">
        <w:rPr>
          <w:rFonts w:eastAsia="Times New Roman"/>
          <w:lang w:val="fr-FR"/>
        </w:rPr>
        <w:t xml:space="preserve">et une tasse de thé, </w:t>
      </w:r>
      <w:r>
        <w:rPr>
          <w:rFonts w:eastAsia="Times New Roman"/>
          <w:lang w:val="fr-FR"/>
        </w:rPr>
        <w:t xml:space="preserve">soit </w:t>
      </w:r>
      <w:r w:rsidRPr="00466CE7">
        <w:rPr>
          <w:rFonts w:eastAsia="Times New Roman"/>
          <w:lang w:val="fr-FR"/>
        </w:rPr>
        <w:t>d</w:t>
      </w:r>
      <w:r>
        <w:rPr>
          <w:rFonts w:eastAsia="Times New Roman"/>
          <w:lang w:val="fr-FR"/>
        </w:rPr>
        <w:t>’</w:t>
      </w:r>
      <w:r w:rsidRPr="00466CE7">
        <w:rPr>
          <w:rFonts w:eastAsia="Times New Roman"/>
          <w:lang w:val="fr-FR"/>
        </w:rPr>
        <w:t>autres produits de boulangerie et boissons (biscuits, pain d</w:t>
      </w:r>
      <w:r>
        <w:rPr>
          <w:rFonts w:eastAsia="Times New Roman"/>
          <w:lang w:val="fr-FR"/>
        </w:rPr>
        <w:t>’</w:t>
      </w:r>
      <w:r w:rsidRPr="00466CE7">
        <w:rPr>
          <w:rFonts w:eastAsia="Times New Roman"/>
          <w:lang w:val="fr-FR"/>
        </w:rPr>
        <w:t xml:space="preserve">épices, gaufres, </w:t>
      </w:r>
      <w:r>
        <w:rPr>
          <w:rFonts w:eastAsia="Times New Roman"/>
          <w:lang w:val="fr-FR"/>
        </w:rPr>
        <w:t xml:space="preserve">sablés, </w:t>
      </w:r>
      <w:r w:rsidRPr="00466CE7">
        <w:rPr>
          <w:rFonts w:eastAsia="Times New Roman"/>
          <w:lang w:val="fr-FR"/>
        </w:rPr>
        <w:t xml:space="preserve">cakes, lait </w:t>
      </w:r>
      <w:r>
        <w:rPr>
          <w:rFonts w:eastAsia="Times New Roman"/>
          <w:lang w:val="fr-FR"/>
        </w:rPr>
        <w:t>chaud</w:t>
      </w:r>
      <w:r w:rsidRPr="00466CE7">
        <w:rPr>
          <w:rFonts w:eastAsia="Times New Roman"/>
          <w:lang w:val="fr-FR"/>
        </w:rPr>
        <w:t xml:space="preserve">, cacao, café, etc.) Le menu est </w:t>
      </w:r>
      <w:r>
        <w:rPr>
          <w:rFonts w:eastAsia="Times New Roman"/>
          <w:lang w:val="fr-FR"/>
        </w:rPr>
        <w:t xml:space="preserve">composé compte tenu </w:t>
      </w:r>
      <w:r w:rsidRPr="00466CE7">
        <w:rPr>
          <w:rFonts w:eastAsia="Times New Roman"/>
          <w:lang w:val="fr-FR"/>
        </w:rPr>
        <w:t xml:space="preserve">des normes alimentaires </w:t>
      </w:r>
      <w:r>
        <w:rPr>
          <w:rFonts w:eastAsia="Times New Roman"/>
          <w:lang w:val="fr-FR"/>
        </w:rPr>
        <w:t xml:space="preserve">pour un coût de sept </w:t>
      </w:r>
      <w:proofErr w:type="spellStart"/>
      <w:r>
        <w:rPr>
          <w:rFonts w:eastAsia="Times New Roman"/>
          <w:lang w:val="fr-FR"/>
        </w:rPr>
        <w:t>soms</w:t>
      </w:r>
      <w:proofErr w:type="spellEnd"/>
      <w:r>
        <w:rPr>
          <w:rFonts w:eastAsia="Times New Roman"/>
          <w:lang w:val="fr-FR"/>
        </w:rPr>
        <w:t xml:space="preserve"> par jour</w:t>
      </w:r>
      <w:r w:rsidRPr="00466CE7">
        <w:rPr>
          <w:rFonts w:eastAsia="Times New Roman"/>
          <w:lang w:val="fr-FR"/>
        </w:rPr>
        <w:t xml:space="preserve"> </w:t>
      </w:r>
      <w:r>
        <w:rPr>
          <w:rFonts w:eastAsia="Times New Roman"/>
          <w:lang w:val="fr-FR"/>
        </w:rPr>
        <w:t>(</w:t>
      </w:r>
      <w:r w:rsidR="002A6A2B">
        <w:rPr>
          <w:rFonts w:eastAsia="Times New Roman"/>
          <w:lang w:val="fr-FR"/>
        </w:rPr>
        <w:t>10</w:t>
      </w:r>
      <w:r w:rsidR="00987D7E">
        <w:rPr>
          <w:rFonts w:eastAsia="Times New Roman"/>
          <w:lang w:val="fr-FR"/>
        </w:rPr>
        <w:t> </w:t>
      </w:r>
      <w:proofErr w:type="spellStart"/>
      <w:r w:rsidRPr="00466CE7">
        <w:rPr>
          <w:rFonts w:eastAsia="Times New Roman"/>
          <w:lang w:val="fr-FR"/>
        </w:rPr>
        <w:t>soms</w:t>
      </w:r>
      <w:proofErr w:type="spellEnd"/>
      <w:r w:rsidRPr="00466CE7">
        <w:rPr>
          <w:rFonts w:eastAsia="Times New Roman"/>
          <w:lang w:val="fr-FR"/>
        </w:rPr>
        <w:t xml:space="preserve"> dans les régions montagneuses et </w:t>
      </w:r>
      <w:r>
        <w:rPr>
          <w:rFonts w:eastAsia="Times New Roman"/>
          <w:lang w:val="fr-FR"/>
        </w:rPr>
        <w:t>reculées)</w:t>
      </w:r>
      <w:r w:rsidRPr="00466CE7">
        <w:rPr>
          <w:rFonts w:eastAsia="Times New Roman"/>
          <w:lang w:val="fr-FR"/>
        </w:rPr>
        <w:t>.</w:t>
      </w:r>
    </w:p>
    <w:p w14:paraId="1C5B9F7A" w14:textId="240C42EB" w:rsidR="009C6834" w:rsidRPr="00466CE7" w:rsidRDefault="009C6834" w:rsidP="009C6834">
      <w:pPr>
        <w:pStyle w:val="SingleTxtG"/>
        <w:rPr>
          <w:rFonts w:eastAsia="Times New Roman"/>
          <w:lang w:val="fr-FR"/>
        </w:rPr>
      </w:pPr>
      <w:r w:rsidRPr="00466CE7">
        <w:rPr>
          <w:rFonts w:eastAsia="Times New Roman"/>
          <w:lang w:val="fr-FR"/>
        </w:rPr>
        <w:lastRenderedPageBreak/>
        <w:t>347.</w:t>
      </w:r>
      <w:r w:rsidRPr="00466CE7">
        <w:rPr>
          <w:rFonts w:eastAsia="Times New Roman"/>
          <w:lang w:val="fr-FR"/>
        </w:rPr>
        <w:tab/>
      </w:r>
      <w:r>
        <w:rPr>
          <w:rFonts w:eastAsia="Times New Roman"/>
          <w:lang w:val="fr-FR"/>
        </w:rPr>
        <w:t xml:space="preserve">On dénombre actuellement </w:t>
      </w:r>
      <w:r w:rsidRPr="00466CE7">
        <w:rPr>
          <w:rFonts w:eastAsia="Times New Roman"/>
          <w:lang w:val="fr-FR"/>
        </w:rPr>
        <w:t>2</w:t>
      </w:r>
      <w:r w:rsidR="00987D7E">
        <w:rPr>
          <w:rFonts w:eastAsia="Times New Roman"/>
          <w:lang w:val="fr-FR"/>
        </w:rPr>
        <w:t> </w:t>
      </w:r>
      <w:r w:rsidRPr="00466CE7">
        <w:rPr>
          <w:rFonts w:eastAsia="Times New Roman"/>
          <w:lang w:val="fr-FR"/>
        </w:rPr>
        <w:t>218</w:t>
      </w:r>
      <w:r w:rsidR="00987D7E">
        <w:rPr>
          <w:rFonts w:eastAsia="Times New Roman"/>
          <w:lang w:val="fr-FR"/>
        </w:rPr>
        <w:t> </w:t>
      </w:r>
      <w:r w:rsidRPr="00466CE7">
        <w:rPr>
          <w:rFonts w:eastAsia="Times New Roman"/>
          <w:lang w:val="fr-FR"/>
        </w:rPr>
        <w:t>cantines scolaires</w:t>
      </w:r>
      <w:r w:rsidRPr="001D79FC">
        <w:rPr>
          <w:rFonts w:eastAsia="Times New Roman"/>
          <w:lang w:val="fr-FR"/>
        </w:rPr>
        <w:t xml:space="preserve"> </w:t>
      </w:r>
      <w:r w:rsidRPr="00466CE7">
        <w:rPr>
          <w:rFonts w:eastAsia="Times New Roman"/>
          <w:lang w:val="fr-FR"/>
        </w:rPr>
        <w:t>dans le pays. Au total, 452</w:t>
      </w:r>
      <w:r w:rsidR="00987D7E">
        <w:rPr>
          <w:rFonts w:eastAsia="Times New Roman"/>
          <w:lang w:val="fr-FR"/>
        </w:rPr>
        <w:t> </w:t>
      </w:r>
      <w:r w:rsidRPr="00466CE7">
        <w:rPr>
          <w:rFonts w:eastAsia="Times New Roman"/>
          <w:lang w:val="fr-FR"/>
        </w:rPr>
        <w:t>864</w:t>
      </w:r>
      <w:r w:rsidR="00987D7E">
        <w:rPr>
          <w:rFonts w:eastAsia="Times New Roman"/>
          <w:lang w:val="fr-FR"/>
        </w:rPr>
        <w:t> </w:t>
      </w:r>
      <w:r w:rsidRPr="00466CE7">
        <w:rPr>
          <w:rFonts w:eastAsia="Times New Roman"/>
          <w:lang w:val="fr-FR"/>
        </w:rPr>
        <w:t>élèves des classes</w:t>
      </w:r>
      <w:r w:rsidR="00987D7E">
        <w:rPr>
          <w:rFonts w:eastAsia="Times New Roman"/>
          <w:lang w:val="fr-FR"/>
        </w:rPr>
        <w:t> </w:t>
      </w:r>
      <w:r w:rsidRPr="00466CE7">
        <w:rPr>
          <w:rFonts w:eastAsia="Times New Roman"/>
          <w:lang w:val="fr-FR"/>
        </w:rPr>
        <w:t>1 à 4 bénéficient d</w:t>
      </w:r>
      <w:r>
        <w:rPr>
          <w:rFonts w:eastAsia="Times New Roman"/>
          <w:lang w:val="fr-FR"/>
        </w:rPr>
        <w:t>e</w:t>
      </w:r>
      <w:r w:rsidRPr="00466CE7">
        <w:rPr>
          <w:rFonts w:eastAsia="Times New Roman"/>
          <w:lang w:val="fr-FR"/>
        </w:rPr>
        <w:t xml:space="preserve"> repas. Chaque année, environ 450</w:t>
      </w:r>
      <w:r w:rsidR="00987D7E">
        <w:rPr>
          <w:rFonts w:eastAsia="Times New Roman"/>
          <w:lang w:val="fr-FR"/>
        </w:rPr>
        <w:t> </w:t>
      </w:r>
      <w:r w:rsidRPr="00466CE7">
        <w:rPr>
          <w:rFonts w:eastAsia="Times New Roman"/>
          <w:lang w:val="fr-FR"/>
        </w:rPr>
        <w:t xml:space="preserve">millions de </w:t>
      </w:r>
      <w:proofErr w:type="spellStart"/>
      <w:r>
        <w:rPr>
          <w:rFonts w:eastAsia="Times New Roman"/>
          <w:lang w:val="fr-FR"/>
        </w:rPr>
        <w:t>soms</w:t>
      </w:r>
      <w:proofErr w:type="spellEnd"/>
      <w:r w:rsidRPr="00466CE7">
        <w:rPr>
          <w:rFonts w:eastAsia="Times New Roman"/>
          <w:lang w:val="fr-FR"/>
        </w:rPr>
        <w:t xml:space="preserve"> sont alloués sur le budget </w:t>
      </w:r>
      <w:r>
        <w:rPr>
          <w:rFonts w:eastAsia="Times New Roman"/>
          <w:lang w:val="fr-FR"/>
        </w:rPr>
        <w:t xml:space="preserve">de l’État </w:t>
      </w:r>
      <w:r w:rsidRPr="00466CE7">
        <w:rPr>
          <w:rFonts w:eastAsia="Times New Roman"/>
          <w:lang w:val="fr-FR"/>
        </w:rPr>
        <w:t xml:space="preserve">pour </w:t>
      </w:r>
      <w:r>
        <w:rPr>
          <w:rFonts w:eastAsia="Times New Roman"/>
          <w:lang w:val="fr-FR"/>
        </w:rPr>
        <w:t xml:space="preserve">fournir des </w:t>
      </w:r>
      <w:r w:rsidRPr="00466CE7">
        <w:rPr>
          <w:rFonts w:eastAsia="Times New Roman"/>
          <w:lang w:val="fr-FR"/>
        </w:rPr>
        <w:t xml:space="preserve">repas chauds </w:t>
      </w:r>
      <w:r>
        <w:rPr>
          <w:rFonts w:eastAsia="Times New Roman"/>
          <w:lang w:val="fr-FR"/>
        </w:rPr>
        <w:t xml:space="preserve">aux </w:t>
      </w:r>
      <w:r w:rsidRPr="00466CE7">
        <w:rPr>
          <w:rFonts w:eastAsia="Times New Roman"/>
          <w:lang w:val="fr-FR"/>
        </w:rPr>
        <w:t>élèves des classes</w:t>
      </w:r>
      <w:r w:rsidR="00987D7E">
        <w:rPr>
          <w:rFonts w:eastAsia="Times New Roman"/>
          <w:lang w:val="fr-FR"/>
        </w:rPr>
        <w:t> </w:t>
      </w:r>
      <w:r w:rsidRPr="00466CE7">
        <w:rPr>
          <w:rFonts w:eastAsia="Times New Roman"/>
          <w:lang w:val="fr-FR"/>
        </w:rPr>
        <w:t xml:space="preserve">1 à 4, à raison de sept </w:t>
      </w:r>
      <w:proofErr w:type="spellStart"/>
      <w:r>
        <w:rPr>
          <w:rFonts w:eastAsia="Times New Roman"/>
          <w:lang w:val="fr-FR"/>
        </w:rPr>
        <w:t>soms</w:t>
      </w:r>
      <w:proofErr w:type="spellEnd"/>
      <w:r>
        <w:rPr>
          <w:rFonts w:eastAsia="Times New Roman"/>
          <w:lang w:val="fr-FR"/>
        </w:rPr>
        <w:t xml:space="preserve"> </w:t>
      </w:r>
      <w:r w:rsidRPr="00466CE7">
        <w:rPr>
          <w:rFonts w:eastAsia="Times New Roman"/>
          <w:lang w:val="fr-FR"/>
        </w:rPr>
        <w:t>par enfant.</w:t>
      </w:r>
    </w:p>
    <w:p w14:paraId="0201DF9E" w14:textId="77777777" w:rsidR="009C6834" w:rsidRPr="00466CE7" w:rsidRDefault="009C6834" w:rsidP="009C6834">
      <w:pPr>
        <w:pStyle w:val="SingleTxtG"/>
        <w:rPr>
          <w:rFonts w:eastAsia="Times New Roman"/>
          <w:lang w:val="fr-FR"/>
        </w:rPr>
      </w:pPr>
      <w:r w:rsidRPr="00466CE7">
        <w:rPr>
          <w:rFonts w:eastAsia="Times New Roman"/>
          <w:lang w:val="fr-FR"/>
        </w:rPr>
        <w:t>348.</w:t>
      </w:r>
      <w:r w:rsidRPr="00466CE7">
        <w:rPr>
          <w:rFonts w:eastAsia="Times New Roman"/>
          <w:lang w:val="fr-FR"/>
        </w:rPr>
        <w:tab/>
        <w:t xml:space="preserve">Conformément à la loi </w:t>
      </w:r>
      <w:r>
        <w:rPr>
          <w:rFonts w:eastAsia="Times New Roman"/>
          <w:lang w:val="fr-FR"/>
        </w:rPr>
        <w:t>s</w:t>
      </w:r>
      <w:r w:rsidRPr="00466CE7">
        <w:rPr>
          <w:rFonts w:eastAsia="Times New Roman"/>
          <w:lang w:val="fr-FR"/>
        </w:rPr>
        <w:t>ur l</w:t>
      </w:r>
      <w:r>
        <w:rPr>
          <w:rFonts w:eastAsia="Times New Roman"/>
          <w:lang w:val="fr-FR"/>
        </w:rPr>
        <w:t>’</w:t>
      </w:r>
      <w:r w:rsidRPr="00466CE7">
        <w:rPr>
          <w:rFonts w:eastAsia="Times New Roman"/>
          <w:lang w:val="fr-FR"/>
        </w:rPr>
        <w:t xml:space="preserve">organisation de </w:t>
      </w:r>
      <w:r>
        <w:rPr>
          <w:rFonts w:eastAsia="Times New Roman"/>
          <w:lang w:val="fr-FR"/>
        </w:rPr>
        <w:t xml:space="preserve">la restauration </w:t>
      </w:r>
      <w:r w:rsidRPr="00466CE7">
        <w:rPr>
          <w:rFonts w:eastAsia="Times New Roman"/>
          <w:lang w:val="fr-FR"/>
        </w:rPr>
        <w:t xml:space="preserve">des élèves dans les </w:t>
      </w:r>
      <w:r>
        <w:rPr>
          <w:rFonts w:eastAsia="Times New Roman"/>
          <w:lang w:val="fr-FR"/>
        </w:rPr>
        <w:t xml:space="preserve">établissements d’enseignement général </w:t>
      </w:r>
      <w:r w:rsidRPr="00466CE7">
        <w:rPr>
          <w:rFonts w:eastAsia="Times New Roman"/>
          <w:lang w:val="fr-FR"/>
        </w:rPr>
        <w:t>de la République kirghize</w:t>
      </w:r>
      <w:r>
        <w:rPr>
          <w:rFonts w:eastAsia="Times New Roman"/>
          <w:lang w:val="fr-FR"/>
        </w:rPr>
        <w:t xml:space="preserve">, au décret présidentiel de 2006 </w:t>
      </w:r>
      <w:r w:rsidRPr="00466CE7">
        <w:rPr>
          <w:rFonts w:eastAsia="Times New Roman"/>
          <w:lang w:val="fr-FR"/>
        </w:rPr>
        <w:t>sur l</w:t>
      </w:r>
      <w:r>
        <w:rPr>
          <w:rFonts w:eastAsia="Times New Roman"/>
          <w:lang w:val="fr-FR"/>
        </w:rPr>
        <w:t>’</w:t>
      </w:r>
      <w:r w:rsidRPr="00466CE7">
        <w:rPr>
          <w:rFonts w:eastAsia="Times New Roman"/>
          <w:lang w:val="fr-FR"/>
        </w:rPr>
        <w:t xml:space="preserve">organisation de </w:t>
      </w:r>
      <w:r>
        <w:rPr>
          <w:rFonts w:eastAsia="Times New Roman"/>
          <w:lang w:val="fr-FR"/>
        </w:rPr>
        <w:t xml:space="preserve">la restauration </w:t>
      </w:r>
      <w:r w:rsidRPr="00466CE7">
        <w:rPr>
          <w:rFonts w:eastAsia="Times New Roman"/>
          <w:lang w:val="fr-FR"/>
        </w:rPr>
        <w:t xml:space="preserve">des élèves dans les </w:t>
      </w:r>
      <w:r>
        <w:rPr>
          <w:rFonts w:eastAsia="Times New Roman"/>
          <w:lang w:val="fr-FR"/>
        </w:rPr>
        <w:t xml:space="preserve">établissements d’enseignement général </w:t>
      </w:r>
      <w:r w:rsidRPr="00466CE7">
        <w:rPr>
          <w:rFonts w:eastAsia="Times New Roman"/>
          <w:lang w:val="fr-FR"/>
        </w:rPr>
        <w:t>de la République kirghize</w:t>
      </w:r>
      <w:r>
        <w:rPr>
          <w:rFonts w:eastAsia="Times New Roman"/>
          <w:lang w:val="fr-FR"/>
        </w:rPr>
        <w:t xml:space="preserve"> et à une décision </w:t>
      </w:r>
      <w:r w:rsidRPr="00466CE7">
        <w:rPr>
          <w:rFonts w:eastAsia="Times New Roman"/>
          <w:lang w:val="fr-FR"/>
        </w:rPr>
        <w:t>gouvernemental</w:t>
      </w:r>
      <w:r>
        <w:rPr>
          <w:rFonts w:eastAsia="Times New Roman"/>
          <w:lang w:val="fr-FR"/>
        </w:rPr>
        <w:t xml:space="preserve">e de </w:t>
      </w:r>
      <w:r w:rsidRPr="00466CE7">
        <w:rPr>
          <w:rFonts w:eastAsia="Times New Roman"/>
          <w:lang w:val="fr-FR"/>
        </w:rPr>
        <w:t xml:space="preserve">2006, </w:t>
      </w:r>
      <w:r>
        <w:rPr>
          <w:rFonts w:eastAsia="Times New Roman"/>
          <w:lang w:val="fr-FR"/>
        </w:rPr>
        <w:t xml:space="preserve">un service de restauration scolaire est organisé </w:t>
      </w:r>
      <w:r w:rsidRPr="00466CE7">
        <w:rPr>
          <w:rFonts w:eastAsia="Times New Roman"/>
          <w:lang w:val="fr-FR"/>
        </w:rPr>
        <w:t xml:space="preserve">dans </w:t>
      </w:r>
      <w:r>
        <w:rPr>
          <w:rFonts w:eastAsia="Times New Roman"/>
          <w:lang w:val="fr-FR"/>
        </w:rPr>
        <w:t>tous les</w:t>
      </w:r>
      <w:r w:rsidRPr="00965EC3">
        <w:rPr>
          <w:rFonts w:eastAsia="Times New Roman"/>
          <w:lang w:val="fr-FR"/>
        </w:rPr>
        <w:t xml:space="preserve"> </w:t>
      </w:r>
      <w:r>
        <w:rPr>
          <w:rFonts w:eastAsia="Times New Roman"/>
          <w:lang w:val="fr-FR"/>
        </w:rPr>
        <w:t>établissements d’enseignement général</w:t>
      </w:r>
      <w:r w:rsidRPr="00466CE7">
        <w:rPr>
          <w:rFonts w:eastAsia="Times New Roman"/>
          <w:lang w:val="fr-FR"/>
        </w:rPr>
        <w:t xml:space="preserve">. </w:t>
      </w:r>
    </w:p>
    <w:p w14:paraId="1CEC7124" w14:textId="77777777" w:rsidR="009C6834" w:rsidRPr="00466CE7" w:rsidRDefault="009C6834" w:rsidP="009C6834">
      <w:pPr>
        <w:pStyle w:val="SingleTxtG"/>
        <w:rPr>
          <w:rFonts w:eastAsia="Times New Roman"/>
          <w:lang w:val="fr-FR"/>
        </w:rPr>
      </w:pPr>
      <w:r w:rsidRPr="00466CE7">
        <w:rPr>
          <w:rFonts w:eastAsia="Times New Roman"/>
          <w:lang w:val="fr-FR"/>
        </w:rPr>
        <w:t>349.</w:t>
      </w:r>
      <w:r w:rsidRPr="00466CE7">
        <w:rPr>
          <w:rFonts w:eastAsia="Times New Roman"/>
          <w:lang w:val="fr-FR"/>
        </w:rPr>
        <w:tab/>
      </w:r>
      <w:r>
        <w:rPr>
          <w:rFonts w:eastAsia="Times New Roman"/>
          <w:lang w:val="fr-FR"/>
        </w:rPr>
        <w:t>U</w:t>
      </w:r>
      <w:r w:rsidRPr="00466CE7">
        <w:rPr>
          <w:rFonts w:eastAsia="Times New Roman"/>
          <w:lang w:val="fr-FR"/>
        </w:rPr>
        <w:t>n programme d</w:t>
      </w:r>
      <w:r>
        <w:rPr>
          <w:rFonts w:eastAsia="Times New Roman"/>
          <w:lang w:val="fr-FR"/>
        </w:rPr>
        <w:t>’</w:t>
      </w:r>
      <w:r w:rsidRPr="00466CE7">
        <w:rPr>
          <w:rFonts w:eastAsia="Times New Roman"/>
          <w:lang w:val="fr-FR"/>
        </w:rPr>
        <w:t xml:space="preserve">optimisation </w:t>
      </w:r>
      <w:r>
        <w:rPr>
          <w:rFonts w:eastAsia="Times New Roman"/>
          <w:lang w:val="fr-FR"/>
        </w:rPr>
        <w:t>de la restauration scolaire</w:t>
      </w:r>
      <w:r w:rsidRPr="00466CE7">
        <w:rPr>
          <w:rFonts w:eastAsia="Times New Roman"/>
          <w:lang w:val="fr-FR"/>
        </w:rPr>
        <w:t xml:space="preserve"> est mis en œuvre </w:t>
      </w:r>
      <w:r>
        <w:rPr>
          <w:rFonts w:eastAsia="Times New Roman"/>
          <w:lang w:val="fr-FR"/>
        </w:rPr>
        <w:t xml:space="preserve">depuis 2013 </w:t>
      </w:r>
      <w:r w:rsidRPr="00466CE7">
        <w:rPr>
          <w:rFonts w:eastAsia="Times New Roman"/>
          <w:lang w:val="fr-FR"/>
        </w:rPr>
        <w:t xml:space="preserve">avec </w:t>
      </w:r>
      <w:r>
        <w:rPr>
          <w:rFonts w:eastAsia="Times New Roman"/>
          <w:lang w:val="fr-FR"/>
        </w:rPr>
        <w:t xml:space="preserve">l’appui </w:t>
      </w:r>
      <w:r w:rsidRPr="00466CE7">
        <w:rPr>
          <w:rFonts w:eastAsia="Times New Roman"/>
          <w:lang w:val="fr-FR"/>
        </w:rPr>
        <w:t>technique du PAM.</w:t>
      </w:r>
    </w:p>
    <w:p w14:paraId="35BD2329" w14:textId="3A8729EA" w:rsidR="009C6834" w:rsidRDefault="009C6834" w:rsidP="00987D7E">
      <w:pPr>
        <w:pStyle w:val="SingleTxtG"/>
        <w:keepNext/>
        <w:rPr>
          <w:rFonts w:eastAsia="Times New Roman"/>
          <w:lang w:val="fr-FR"/>
        </w:rPr>
      </w:pPr>
      <w:r w:rsidRPr="00466CE7">
        <w:rPr>
          <w:rFonts w:eastAsia="Times New Roman"/>
          <w:lang w:val="fr-FR"/>
        </w:rPr>
        <w:t>350.</w:t>
      </w:r>
      <w:r w:rsidRPr="00466CE7">
        <w:rPr>
          <w:rFonts w:eastAsia="Times New Roman"/>
          <w:lang w:val="fr-FR"/>
        </w:rPr>
        <w:tab/>
      </w:r>
      <w:r>
        <w:rPr>
          <w:rFonts w:eastAsia="Times New Roman"/>
          <w:lang w:val="fr-FR"/>
        </w:rPr>
        <w:t xml:space="preserve">Plusieurs textes ont ainsi été élaborés et </w:t>
      </w:r>
      <w:r w:rsidRPr="00466CE7">
        <w:rPr>
          <w:rFonts w:eastAsia="Times New Roman"/>
          <w:lang w:val="fr-FR"/>
        </w:rPr>
        <w:t>adopté</w:t>
      </w:r>
      <w:r>
        <w:rPr>
          <w:rFonts w:eastAsia="Times New Roman"/>
          <w:lang w:val="fr-FR"/>
        </w:rPr>
        <w:t>s :</w:t>
      </w:r>
    </w:p>
    <w:p w14:paraId="33FAA566" w14:textId="340DC535" w:rsidR="009C6834" w:rsidRPr="00DF6565" w:rsidRDefault="00987D7E" w:rsidP="00987D7E">
      <w:pPr>
        <w:pStyle w:val="Bullet1G"/>
        <w:rPr>
          <w:lang w:val="fr-FR"/>
        </w:rPr>
      </w:pPr>
      <w:r>
        <w:rPr>
          <w:lang w:val="fr-FR"/>
        </w:rPr>
        <w:t xml:space="preserve">Une </w:t>
      </w:r>
      <w:r w:rsidR="009C6834">
        <w:rPr>
          <w:lang w:val="fr-FR"/>
        </w:rPr>
        <w:t>d</w:t>
      </w:r>
      <w:r w:rsidR="009C6834" w:rsidRPr="00DF6565">
        <w:rPr>
          <w:lang w:val="fr-FR"/>
        </w:rPr>
        <w:t>é</w:t>
      </w:r>
      <w:r w:rsidR="009C6834">
        <w:rPr>
          <w:lang w:val="fr-FR"/>
        </w:rPr>
        <w:t xml:space="preserve">cision du </w:t>
      </w:r>
      <w:r w:rsidR="00BB253D">
        <w:rPr>
          <w:lang w:val="fr-FR"/>
        </w:rPr>
        <w:t xml:space="preserve">Gouvernement </w:t>
      </w:r>
      <w:r w:rsidR="009C6834" w:rsidRPr="00DF6565">
        <w:rPr>
          <w:lang w:val="fr-FR"/>
        </w:rPr>
        <w:t xml:space="preserve">(2014) </w:t>
      </w:r>
      <w:r w:rsidR="009C6834">
        <w:rPr>
          <w:lang w:val="fr-FR"/>
        </w:rPr>
        <w:t>s</w:t>
      </w:r>
      <w:r w:rsidR="009C6834" w:rsidRPr="00DF6565">
        <w:rPr>
          <w:lang w:val="fr-FR"/>
        </w:rPr>
        <w:t xml:space="preserve">ur les principales orientations du développement de </w:t>
      </w:r>
      <w:r w:rsidR="009C6834">
        <w:rPr>
          <w:lang w:val="fr-FR"/>
        </w:rPr>
        <w:t xml:space="preserve">la restauration </w:t>
      </w:r>
      <w:r w:rsidR="009C6834" w:rsidRPr="00DF6565">
        <w:rPr>
          <w:lang w:val="fr-FR"/>
        </w:rPr>
        <w:t>scolaire</w:t>
      </w:r>
      <w:r w:rsidR="009C6834">
        <w:rPr>
          <w:lang w:val="fr-FR"/>
        </w:rPr>
        <w:t> </w:t>
      </w:r>
      <w:r w:rsidR="009C6834" w:rsidRPr="00DF6565">
        <w:rPr>
          <w:lang w:val="fr-FR"/>
        </w:rPr>
        <w:t>;</w:t>
      </w:r>
    </w:p>
    <w:p w14:paraId="31A81B2A" w14:textId="0B659D61" w:rsidR="009C6834" w:rsidRPr="00DF6565" w:rsidRDefault="00987D7E" w:rsidP="00987D7E">
      <w:pPr>
        <w:pStyle w:val="Bullet1G"/>
        <w:rPr>
          <w:lang w:val="fr-FR"/>
        </w:rPr>
      </w:pPr>
      <w:r>
        <w:rPr>
          <w:lang w:val="fr-FR"/>
        </w:rPr>
        <w:t xml:space="preserve">Une </w:t>
      </w:r>
      <w:r w:rsidR="009C6834">
        <w:rPr>
          <w:lang w:val="fr-FR"/>
        </w:rPr>
        <w:t>d</w:t>
      </w:r>
      <w:r w:rsidR="009C6834" w:rsidRPr="00DF6565">
        <w:rPr>
          <w:lang w:val="fr-FR"/>
        </w:rPr>
        <w:t>é</w:t>
      </w:r>
      <w:r w:rsidR="009C6834">
        <w:rPr>
          <w:lang w:val="fr-FR"/>
        </w:rPr>
        <w:t xml:space="preserve">cision du </w:t>
      </w:r>
      <w:r w:rsidR="00BB253D">
        <w:rPr>
          <w:lang w:val="fr-FR"/>
        </w:rPr>
        <w:t xml:space="preserve">Gouvernement </w:t>
      </w:r>
      <w:r w:rsidR="009C6834" w:rsidRPr="00DF6565">
        <w:rPr>
          <w:lang w:val="fr-FR"/>
        </w:rPr>
        <w:t xml:space="preserve">(2014 et 2015) </w:t>
      </w:r>
      <w:r w:rsidR="009C6834">
        <w:rPr>
          <w:lang w:val="fr-FR"/>
        </w:rPr>
        <w:t>su</w:t>
      </w:r>
      <w:r w:rsidR="009C6834" w:rsidRPr="00DF6565">
        <w:rPr>
          <w:lang w:val="fr-FR"/>
        </w:rPr>
        <w:t>r l</w:t>
      </w:r>
      <w:r w:rsidR="009C6834">
        <w:rPr>
          <w:lang w:val="fr-FR"/>
        </w:rPr>
        <w:t>’</w:t>
      </w:r>
      <w:r w:rsidR="009C6834" w:rsidRPr="00DF6565">
        <w:rPr>
          <w:lang w:val="fr-FR"/>
        </w:rPr>
        <w:t>a</w:t>
      </w:r>
      <w:r w:rsidR="009C6834">
        <w:rPr>
          <w:lang w:val="fr-FR"/>
        </w:rPr>
        <w:t xml:space="preserve">ffectation de cuisiniers dans </w:t>
      </w:r>
      <w:r w:rsidR="009C6834" w:rsidRPr="00DF6565">
        <w:rPr>
          <w:lang w:val="fr-FR"/>
        </w:rPr>
        <w:t xml:space="preserve">les écoles </w:t>
      </w:r>
      <w:r w:rsidR="009C6834">
        <w:rPr>
          <w:lang w:val="fr-FR"/>
        </w:rPr>
        <w:t>du pays</w:t>
      </w:r>
      <w:r w:rsidR="009C6834" w:rsidRPr="00DF6565">
        <w:rPr>
          <w:lang w:val="fr-FR"/>
        </w:rPr>
        <w:t xml:space="preserve">, </w:t>
      </w:r>
      <w:r w:rsidR="009C6834">
        <w:rPr>
          <w:lang w:val="fr-FR"/>
        </w:rPr>
        <w:t xml:space="preserve">qui concerne </w:t>
      </w:r>
      <w:r w:rsidR="009C6834" w:rsidRPr="00DF6565">
        <w:rPr>
          <w:lang w:val="fr-FR"/>
        </w:rPr>
        <w:t>523</w:t>
      </w:r>
      <w:r>
        <w:rPr>
          <w:lang w:val="fr-FR"/>
        </w:rPr>
        <w:t> </w:t>
      </w:r>
      <w:r w:rsidR="009C6834" w:rsidRPr="00DF6565">
        <w:rPr>
          <w:lang w:val="fr-FR"/>
        </w:rPr>
        <w:t>écoles</w:t>
      </w:r>
      <w:r w:rsidR="009C6834">
        <w:rPr>
          <w:lang w:val="fr-FR"/>
        </w:rPr>
        <w:t> </w:t>
      </w:r>
      <w:r w:rsidR="009C6834" w:rsidRPr="00DF6565">
        <w:rPr>
          <w:lang w:val="fr-FR"/>
        </w:rPr>
        <w:t>;</w:t>
      </w:r>
    </w:p>
    <w:p w14:paraId="1926DD52" w14:textId="2D222193" w:rsidR="009C6834" w:rsidRPr="00DF6565" w:rsidRDefault="00987D7E" w:rsidP="00987D7E">
      <w:pPr>
        <w:pStyle w:val="Bullet1G"/>
        <w:rPr>
          <w:lang w:val="fr-FR"/>
        </w:rPr>
      </w:pPr>
      <w:r>
        <w:rPr>
          <w:lang w:val="fr-FR"/>
        </w:rPr>
        <w:t xml:space="preserve">Des </w:t>
      </w:r>
      <w:r w:rsidR="009C6834">
        <w:rPr>
          <w:lang w:val="fr-FR"/>
        </w:rPr>
        <w:t xml:space="preserve">ordonnances </w:t>
      </w:r>
      <w:r w:rsidR="009C6834" w:rsidRPr="00DF6565">
        <w:rPr>
          <w:lang w:val="fr-FR"/>
        </w:rPr>
        <w:t>du M</w:t>
      </w:r>
      <w:r w:rsidR="009C6834">
        <w:rPr>
          <w:lang w:val="fr-FR"/>
        </w:rPr>
        <w:t xml:space="preserve">inistère de l’éducation et de la science et du Ministère de la santé </w:t>
      </w:r>
      <w:r w:rsidR="009C6834" w:rsidRPr="00DF6565">
        <w:rPr>
          <w:lang w:val="fr-FR"/>
        </w:rPr>
        <w:t xml:space="preserve">(2014) approuvant le programme de développement de la </w:t>
      </w:r>
      <w:r w:rsidR="009C6834">
        <w:rPr>
          <w:lang w:val="fr-FR"/>
        </w:rPr>
        <w:t xml:space="preserve">restauration </w:t>
      </w:r>
      <w:r w:rsidR="009C6834" w:rsidRPr="00DF6565">
        <w:rPr>
          <w:lang w:val="fr-FR"/>
        </w:rPr>
        <w:t>scolaire dans les écoles de la République kirghize</w:t>
      </w:r>
      <w:r>
        <w:rPr>
          <w:lang w:val="fr-FR"/>
        </w:rPr>
        <w:t> </w:t>
      </w:r>
      <w:r w:rsidR="009C6834" w:rsidRPr="00DF6565">
        <w:rPr>
          <w:lang w:val="fr-FR"/>
        </w:rPr>
        <w:t>;</w:t>
      </w:r>
    </w:p>
    <w:p w14:paraId="03055C13" w14:textId="42EDD8C8" w:rsidR="009C6834" w:rsidRPr="00DF6565" w:rsidRDefault="00987D7E" w:rsidP="00987D7E">
      <w:pPr>
        <w:pStyle w:val="Bullet1G"/>
        <w:rPr>
          <w:lang w:val="fr-FR"/>
        </w:rPr>
      </w:pPr>
      <w:r>
        <w:rPr>
          <w:lang w:val="fr-FR"/>
        </w:rPr>
        <w:t xml:space="preserve">Une </w:t>
      </w:r>
      <w:r w:rsidR="009C6834">
        <w:rPr>
          <w:lang w:val="fr-FR"/>
        </w:rPr>
        <w:t xml:space="preserve">ordonnance </w:t>
      </w:r>
      <w:r w:rsidR="009C6834" w:rsidRPr="00DF6565">
        <w:rPr>
          <w:lang w:val="fr-FR"/>
        </w:rPr>
        <w:t xml:space="preserve">du </w:t>
      </w:r>
      <w:r w:rsidR="009C6834">
        <w:rPr>
          <w:lang w:val="fr-FR"/>
        </w:rPr>
        <w:t>Ministère de l’éducation et de la science</w:t>
      </w:r>
      <w:r w:rsidR="009C6834" w:rsidRPr="00DF6565">
        <w:rPr>
          <w:lang w:val="fr-FR"/>
        </w:rPr>
        <w:t xml:space="preserve"> approuvant le plan pour une </w:t>
      </w:r>
      <w:r w:rsidR="009C6834">
        <w:rPr>
          <w:lang w:val="fr-FR"/>
        </w:rPr>
        <w:t xml:space="preserve">alimentation saine et un mode de vie sain </w:t>
      </w:r>
      <w:r w:rsidR="009C6834" w:rsidRPr="00DF6565">
        <w:rPr>
          <w:lang w:val="fr-FR"/>
        </w:rPr>
        <w:t>(2013-2014).</w:t>
      </w:r>
    </w:p>
    <w:p w14:paraId="7FA9EABD" w14:textId="33F1805C" w:rsidR="009C6834" w:rsidRPr="00466CE7" w:rsidRDefault="009C6834" w:rsidP="009C6834">
      <w:pPr>
        <w:pStyle w:val="SingleTxtG"/>
        <w:rPr>
          <w:rFonts w:eastAsia="Times New Roman"/>
          <w:lang w:val="fr-FR"/>
        </w:rPr>
      </w:pPr>
      <w:r w:rsidRPr="00466CE7">
        <w:rPr>
          <w:rFonts w:eastAsia="Times New Roman"/>
          <w:lang w:val="fr-FR"/>
        </w:rPr>
        <w:t>351.</w:t>
      </w:r>
      <w:r w:rsidRPr="00466CE7">
        <w:rPr>
          <w:rFonts w:eastAsia="Times New Roman"/>
          <w:lang w:val="fr-FR"/>
        </w:rPr>
        <w:tab/>
      </w:r>
      <w:r>
        <w:rPr>
          <w:rFonts w:eastAsia="Times New Roman"/>
          <w:lang w:val="fr-FR"/>
        </w:rPr>
        <w:t xml:space="preserve">Des équipements ont été mis </w:t>
      </w:r>
      <w:r w:rsidRPr="00466CE7">
        <w:rPr>
          <w:rFonts w:eastAsia="Times New Roman"/>
          <w:lang w:val="fr-FR"/>
        </w:rPr>
        <w:t>en place dans 65</w:t>
      </w:r>
      <w:r w:rsidR="00CB4ECD">
        <w:rPr>
          <w:rFonts w:eastAsia="Times New Roman"/>
          <w:lang w:val="fr-FR"/>
        </w:rPr>
        <w:t> %</w:t>
      </w:r>
      <w:r w:rsidRPr="00466CE7">
        <w:rPr>
          <w:rFonts w:eastAsia="Times New Roman"/>
          <w:lang w:val="fr-FR"/>
        </w:rPr>
        <w:t xml:space="preserve"> des écoles du pays. Une fiche technique de 130</w:t>
      </w:r>
      <w:r w:rsidR="00987D7E">
        <w:rPr>
          <w:rFonts w:eastAsia="Times New Roman"/>
          <w:lang w:val="fr-FR"/>
        </w:rPr>
        <w:t> </w:t>
      </w:r>
      <w:r>
        <w:rPr>
          <w:rFonts w:eastAsia="Times New Roman"/>
          <w:lang w:val="fr-FR"/>
        </w:rPr>
        <w:t xml:space="preserve">plats </w:t>
      </w:r>
      <w:r w:rsidRPr="00466CE7">
        <w:rPr>
          <w:rFonts w:eastAsia="Times New Roman"/>
          <w:lang w:val="fr-FR"/>
        </w:rPr>
        <w:t>a été élaborée et approuvée</w:t>
      </w:r>
      <w:r>
        <w:rPr>
          <w:rFonts w:eastAsia="Times New Roman"/>
          <w:lang w:val="fr-FR"/>
        </w:rPr>
        <w:t>,</w:t>
      </w:r>
      <w:r w:rsidRPr="00466CE7">
        <w:rPr>
          <w:rFonts w:eastAsia="Times New Roman"/>
          <w:lang w:val="fr-FR"/>
        </w:rPr>
        <w:t xml:space="preserve"> et de nouveaux modèles de </w:t>
      </w:r>
      <w:r>
        <w:rPr>
          <w:rFonts w:eastAsia="Times New Roman"/>
          <w:lang w:val="fr-FR"/>
        </w:rPr>
        <w:t xml:space="preserve">restauration scolaire </w:t>
      </w:r>
      <w:r w:rsidRPr="00466CE7">
        <w:rPr>
          <w:rFonts w:eastAsia="Times New Roman"/>
          <w:lang w:val="fr-FR"/>
        </w:rPr>
        <w:t>ont été introduits dans 836</w:t>
      </w:r>
      <w:r w:rsidR="00987D7E">
        <w:rPr>
          <w:rFonts w:eastAsia="Times New Roman"/>
          <w:lang w:val="fr-FR"/>
        </w:rPr>
        <w:t> </w:t>
      </w:r>
      <w:r w:rsidRPr="00466CE7">
        <w:rPr>
          <w:rFonts w:eastAsia="Times New Roman"/>
          <w:lang w:val="fr-FR"/>
        </w:rPr>
        <w:t xml:space="preserve">écoles, qui </w:t>
      </w:r>
      <w:r>
        <w:rPr>
          <w:rFonts w:eastAsia="Times New Roman"/>
          <w:lang w:val="fr-FR"/>
        </w:rPr>
        <w:t xml:space="preserve">ont </w:t>
      </w:r>
      <w:r w:rsidRPr="00466CE7">
        <w:rPr>
          <w:rFonts w:eastAsia="Times New Roman"/>
          <w:lang w:val="fr-FR"/>
        </w:rPr>
        <w:t xml:space="preserve">permis de </w:t>
      </w:r>
      <w:r>
        <w:rPr>
          <w:rFonts w:eastAsia="Times New Roman"/>
          <w:lang w:val="fr-FR"/>
        </w:rPr>
        <w:t xml:space="preserve">proposer </w:t>
      </w:r>
      <w:r w:rsidRPr="00466CE7">
        <w:rPr>
          <w:rFonts w:eastAsia="Times New Roman"/>
          <w:lang w:val="fr-FR"/>
        </w:rPr>
        <w:t xml:space="preserve">aux élèves </w:t>
      </w:r>
      <w:r>
        <w:rPr>
          <w:rFonts w:eastAsia="Times New Roman"/>
          <w:lang w:val="fr-FR"/>
        </w:rPr>
        <w:t xml:space="preserve">du </w:t>
      </w:r>
      <w:r w:rsidRPr="00466CE7">
        <w:rPr>
          <w:rFonts w:eastAsia="Times New Roman"/>
          <w:lang w:val="fr-FR"/>
        </w:rPr>
        <w:t xml:space="preserve">primaire des </w:t>
      </w:r>
      <w:r>
        <w:rPr>
          <w:rFonts w:eastAsia="Times New Roman"/>
          <w:lang w:val="fr-FR"/>
        </w:rPr>
        <w:t xml:space="preserve">repas </w:t>
      </w:r>
      <w:r w:rsidRPr="00466CE7">
        <w:rPr>
          <w:rFonts w:eastAsia="Times New Roman"/>
          <w:lang w:val="fr-FR"/>
        </w:rPr>
        <w:t xml:space="preserve">chauds et </w:t>
      </w:r>
      <w:r>
        <w:rPr>
          <w:rFonts w:eastAsia="Times New Roman"/>
          <w:lang w:val="fr-FR"/>
        </w:rPr>
        <w:t>complets</w:t>
      </w:r>
      <w:r w:rsidRPr="00466CE7">
        <w:rPr>
          <w:rFonts w:eastAsia="Times New Roman"/>
          <w:lang w:val="fr-FR"/>
        </w:rPr>
        <w:t xml:space="preserve"> dans les limites </w:t>
      </w:r>
      <w:r>
        <w:rPr>
          <w:rFonts w:eastAsia="Times New Roman"/>
          <w:lang w:val="fr-FR"/>
        </w:rPr>
        <w:t xml:space="preserve">des ressources </w:t>
      </w:r>
      <w:r w:rsidRPr="00466CE7">
        <w:rPr>
          <w:rFonts w:eastAsia="Times New Roman"/>
          <w:lang w:val="fr-FR"/>
        </w:rPr>
        <w:t>budgétaires.</w:t>
      </w:r>
    </w:p>
    <w:p w14:paraId="349F4A73" w14:textId="16B6B32E" w:rsidR="009C6834" w:rsidRPr="00466CE7" w:rsidRDefault="009C6834" w:rsidP="009C6834">
      <w:pPr>
        <w:pStyle w:val="SingleTxtG"/>
        <w:rPr>
          <w:rFonts w:eastAsia="Times New Roman"/>
          <w:lang w:val="fr-FR"/>
        </w:rPr>
      </w:pPr>
      <w:r w:rsidRPr="00466CE7">
        <w:rPr>
          <w:rFonts w:eastAsia="Times New Roman"/>
          <w:lang w:val="fr-FR"/>
        </w:rPr>
        <w:t>352.</w:t>
      </w:r>
      <w:r w:rsidRPr="00466CE7">
        <w:rPr>
          <w:rFonts w:eastAsia="Times New Roman"/>
          <w:lang w:val="fr-FR"/>
        </w:rPr>
        <w:tab/>
      </w:r>
      <w:r>
        <w:rPr>
          <w:rFonts w:eastAsia="Times New Roman"/>
          <w:lang w:val="fr-FR"/>
        </w:rPr>
        <w:t xml:space="preserve">Grâce à des </w:t>
      </w:r>
      <w:r w:rsidRPr="00466CE7">
        <w:rPr>
          <w:rFonts w:eastAsia="Times New Roman"/>
          <w:lang w:val="fr-FR"/>
        </w:rPr>
        <w:t>donateurs</w:t>
      </w:r>
      <w:r>
        <w:rPr>
          <w:rFonts w:eastAsia="Times New Roman"/>
          <w:lang w:val="fr-FR"/>
        </w:rPr>
        <w:t xml:space="preserve"> comme </w:t>
      </w:r>
      <w:r w:rsidRPr="00466CE7">
        <w:rPr>
          <w:rFonts w:eastAsia="Times New Roman"/>
          <w:lang w:val="fr-FR"/>
        </w:rPr>
        <w:t>le PAM et Mercy Co</w:t>
      </w:r>
      <w:r>
        <w:rPr>
          <w:rFonts w:eastAsia="Times New Roman"/>
          <w:lang w:val="fr-FR"/>
        </w:rPr>
        <w:t xml:space="preserve">rps International et aux collectivités </w:t>
      </w:r>
      <w:r w:rsidRPr="00466CE7">
        <w:rPr>
          <w:rFonts w:eastAsia="Times New Roman"/>
          <w:lang w:val="fr-FR"/>
        </w:rPr>
        <w:t>locale</w:t>
      </w:r>
      <w:r>
        <w:rPr>
          <w:rFonts w:eastAsia="Times New Roman"/>
          <w:lang w:val="fr-FR"/>
        </w:rPr>
        <w:t>s</w:t>
      </w:r>
      <w:r w:rsidRPr="00466CE7">
        <w:rPr>
          <w:rFonts w:eastAsia="Times New Roman"/>
          <w:lang w:val="fr-FR"/>
        </w:rPr>
        <w:t xml:space="preserve">, </w:t>
      </w:r>
      <w:r>
        <w:rPr>
          <w:rFonts w:eastAsia="Times New Roman"/>
          <w:lang w:val="fr-FR"/>
        </w:rPr>
        <w:t xml:space="preserve">sur les </w:t>
      </w:r>
      <w:r w:rsidRPr="00466CE7">
        <w:rPr>
          <w:rFonts w:eastAsia="Times New Roman"/>
          <w:lang w:val="fr-FR"/>
        </w:rPr>
        <w:t>2</w:t>
      </w:r>
      <w:r w:rsidR="00987D7E">
        <w:rPr>
          <w:rFonts w:eastAsia="Times New Roman"/>
          <w:lang w:val="fr-FR"/>
        </w:rPr>
        <w:t> </w:t>
      </w:r>
      <w:r w:rsidRPr="00466CE7">
        <w:rPr>
          <w:rFonts w:eastAsia="Times New Roman"/>
          <w:lang w:val="fr-FR"/>
        </w:rPr>
        <w:t>236</w:t>
      </w:r>
      <w:r w:rsidR="00987D7E">
        <w:rPr>
          <w:rFonts w:eastAsia="Times New Roman"/>
          <w:lang w:val="fr-FR"/>
        </w:rPr>
        <w:t> </w:t>
      </w:r>
      <w:r w:rsidRPr="00466CE7">
        <w:rPr>
          <w:rFonts w:eastAsia="Times New Roman"/>
          <w:lang w:val="fr-FR"/>
        </w:rPr>
        <w:t>établissements d</w:t>
      </w:r>
      <w:r>
        <w:rPr>
          <w:rFonts w:eastAsia="Times New Roman"/>
          <w:lang w:val="fr-FR"/>
        </w:rPr>
        <w:t>’</w:t>
      </w:r>
      <w:r w:rsidRPr="00466CE7">
        <w:rPr>
          <w:rFonts w:eastAsia="Times New Roman"/>
          <w:lang w:val="fr-FR"/>
        </w:rPr>
        <w:t>enseignement général</w:t>
      </w:r>
      <w:r>
        <w:rPr>
          <w:rFonts w:eastAsia="Times New Roman"/>
          <w:lang w:val="fr-FR"/>
        </w:rPr>
        <w:t xml:space="preserve"> du pays, qui accueillent quelque </w:t>
      </w:r>
      <w:r w:rsidRPr="00466CE7">
        <w:rPr>
          <w:rFonts w:eastAsia="Times New Roman"/>
          <w:lang w:val="fr-FR"/>
        </w:rPr>
        <w:t>443</w:t>
      </w:r>
      <w:r w:rsidR="00987D7E">
        <w:rPr>
          <w:rFonts w:eastAsia="Times New Roman"/>
          <w:lang w:val="fr-FR"/>
        </w:rPr>
        <w:t> </w:t>
      </w:r>
      <w:r w:rsidRPr="00466CE7">
        <w:rPr>
          <w:rFonts w:eastAsia="Times New Roman"/>
          <w:lang w:val="fr-FR"/>
        </w:rPr>
        <w:t>000</w:t>
      </w:r>
      <w:r w:rsidR="00987D7E">
        <w:rPr>
          <w:rFonts w:eastAsia="Times New Roman"/>
          <w:lang w:val="fr-FR"/>
        </w:rPr>
        <w:t> </w:t>
      </w:r>
      <w:r>
        <w:rPr>
          <w:rFonts w:eastAsia="Times New Roman"/>
          <w:lang w:val="fr-FR"/>
        </w:rPr>
        <w:t>élèves au niveau du primaire</w:t>
      </w:r>
      <w:r w:rsidRPr="00466CE7">
        <w:rPr>
          <w:rFonts w:eastAsia="Times New Roman"/>
          <w:lang w:val="fr-FR"/>
        </w:rPr>
        <w:t>, 1</w:t>
      </w:r>
      <w:r>
        <w:rPr>
          <w:rFonts w:eastAsia="Times New Roman"/>
          <w:lang w:val="fr-FR"/>
        </w:rPr>
        <w:t> </w:t>
      </w:r>
      <w:r w:rsidRPr="00466CE7">
        <w:rPr>
          <w:rFonts w:eastAsia="Times New Roman"/>
          <w:lang w:val="fr-FR"/>
        </w:rPr>
        <w:t>146 (50,9</w:t>
      </w:r>
      <w:r w:rsidR="00CB4ECD">
        <w:rPr>
          <w:rFonts w:eastAsia="Times New Roman"/>
          <w:lang w:val="fr-FR"/>
        </w:rPr>
        <w:t> %</w:t>
      </w:r>
      <w:r>
        <w:rPr>
          <w:rFonts w:eastAsia="Times New Roman"/>
          <w:lang w:val="fr-FR"/>
        </w:rPr>
        <w:t>), procurent des repas chauds.</w:t>
      </w:r>
    </w:p>
    <w:p w14:paraId="5DF7FD02" w14:textId="426CD6A0" w:rsidR="009C6834" w:rsidRPr="00466CE7" w:rsidRDefault="009C6834" w:rsidP="009C6834">
      <w:pPr>
        <w:pStyle w:val="SingleTxtG"/>
        <w:rPr>
          <w:rFonts w:eastAsia="Times New Roman"/>
          <w:lang w:val="fr-FR"/>
        </w:rPr>
      </w:pPr>
      <w:r w:rsidRPr="00466CE7">
        <w:rPr>
          <w:rFonts w:eastAsia="Times New Roman"/>
          <w:lang w:val="fr-FR"/>
        </w:rPr>
        <w:t>353.</w:t>
      </w:r>
      <w:r w:rsidRPr="00466CE7">
        <w:rPr>
          <w:rFonts w:eastAsia="Times New Roman"/>
          <w:lang w:val="fr-FR"/>
        </w:rPr>
        <w:tab/>
      </w:r>
      <w:r>
        <w:rPr>
          <w:rFonts w:eastAsia="Times New Roman"/>
          <w:lang w:val="fr-FR"/>
        </w:rPr>
        <w:t xml:space="preserve">Au cours de la période 2012-2017, </w:t>
      </w:r>
      <w:r w:rsidRPr="00466CE7">
        <w:rPr>
          <w:rFonts w:eastAsia="Times New Roman"/>
          <w:lang w:val="fr-FR"/>
        </w:rPr>
        <w:t>Mercy</w:t>
      </w:r>
      <w:r>
        <w:rPr>
          <w:rFonts w:eastAsia="Times New Roman"/>
          <w:lang w:val="fr-FR"/>
        </w:rPr>
        <w:t xml:space="preserve"> Corps </w:t>
      </w:r>
      <w:r w:rsidRPr="00466CE7">
        <w:rPr>
          <w:rFonts w:eastAsia="Times New Roman"/>
          <w:lang w:val="fr-FR"/>
        </w:rPr>
        <w:t>International a apporté son soutien à 154</w:t>
      </w:r>
      <w:r w:rsidR="00987D7E">
        <w:rPr>
          <w:rFonts w:eastAsia="Times New Roman"/>
          <w:lang w:val="fr-FR"/>
        </w:rPr>
        <w:t> </w:t>
      </w:r>
      <w:r w:rsidRPr="00466CE7">
        <w:rPr>
          <w:rFonts w:eastAsia="Times New Roman"/>
          <w:lang w:val="fr-FR"/>
        </w:rPr>
        <w:t>écoles et 481</w:t>
      </w:r>
      <w:r w:rsidR="00987D7E">
        <w:rPr>
          <w:rFonts w:eastAsia="Times New Roman"/>
          <w:lang w:val="fr-FR"/>
        </w:rPr>
        <w:t> </w:t>
      </w:r>
      <w:r w:rsidRPr="00466CE7">
        <w:rPr>
          <w:rFonts w:eastAsia="Times New Roman"/>
          <w:lang w:val="fr-FR"/>
        </w:rPr>
        <w:t>jardins d</w:t>
      </w:r>
      <w:r>
        <w:rPr>
          <w:rFonts w:eastAsia="Times New Roman"/>
          <w:lang w:val="fr-FR"/>
        </w:rPr>
        <w:t>’</w:t>
      </w:r>
      <w:r w:rsidRPr="00466CE7">
        <w:rPr>
          <w:rFonts w:eastAsia="Times New Roman"/>
          <w:lang w:val="fr-FR"/>
        </w:rPr>
        <w:t>enfants</w:t>
      </w:r>
      <w:r>
        <w:rPr>
          <w:rFonts w:eastAsia="Times New Roman"/>
          <w:lang w:val="fr-FR"/>
        </w:rPr>
        <w:t>,</w:t>
      </w:r>
      <w:r w:rsidRPr="00466CE7">
        <w:rPr>
          <w:rFonts w:eastAsia="Times New Roman"/>
          <w:lang w:val="fr-FR"/>
        </w:rPr>
        <w:t xml:space="preserve"> fourni plus de 2</w:t>
      </w:r>
      <w:r w:rsidR="00987D7E">
        <w:rPr>
          <w:rFonts w:eastAsia="Times New Roman"/>
          <w:lang w:val="fr-FR"/>
        </w:rPr>
        <w:t> </w:t>
      </w:r>
      <w:r w:rsidRPr="00466CE7">
        <w:rPr>
          <w:rFonts w:eastAsia="Times New Roman"/>
          <w:lang w:val="fr-FR"/>
        </w:rPr>
        <w:t>000</w:t>
      </w:r>
      <w:r w:rsidR="00987D7E">
        <w:rPr>
          <w:rFonts w:eastAsia="Times New Roman"/>
          <w:lang w:val="fr-FR"/>
        </w:rPr>
        <w:t> </w:t>
      </w:r>
      <w:r w:rsidRPr="00466CE7">
        <w:rPr>
          <w:rFonts w:eastAsia="Times New Roman"/>
          <w:lang w:val="fr-FR"/>
        </w:rPr>
        <w:t>tonnes de nourriture (farine enrichie, riz, pois et huile végétale)</w:t>
      </w:r>
      <w:r>
        <w:rPr>
          <w:rFonts w:eastAsia="Times New Roman"/>
          <w:lang w:val="fr-FR"/>
        </w:rPr>
        <w:t xml:space="preserve"> et procuré quelque </w:t>
      </w:r>
      <w:r w:rsidRPr="00466CE7">
        <w:rPr>
          <w:rFonts w:eastAsia="Times New Roman"/>
          <w:lang w:val="fr-FR"/>
        </w:rPr>
        <w:t>55</w:t>
      </w:r>
      <w:r w:rsidR="00987D7E">
        <w:rPr>
          <w:rFonts w:eastAsia="Times New Roman"/>
          <w:lang w:val="fr-FR"/>
        </w:rPr>
        <w:t> </w:t>
      </w:r>
      <w:r w:rsidRPr="00466CE7">
        <w:rPr>
          <w:rFonts w:eastAsia="Times New Roman"/>
          <w:lang w:val="fr-FR"/>
        </w:rPr>
        <w:t xml:space="preserve">millions de </w:t>
      </w:r>
      <w:r>
        <w:rPr>
          <w:rFonts w:eastAsia="Times New Roman"/>
          <w:lang w:val="fr-FR"/>
        </w:rPr>
        <w:t>repas</w:t>
      </w:r>
      <w:r w:rsidRPr="00466CE7">
        <w:rPr>
          <w:rFonts w:eastAsia="Times New Roman"/>
          <w:lang w:val="fr-FR"/>
        </w:rPr>
        <w:t xml:space="preserve"> chauds </w:t>
      </w:r>
      <w:r>
        <w:rPr>
          <w:rFonts w:eastAsia="Times New Roman"/>
          <w:lang w:val="fr-FR"/>
        </w:rPr>
        <w:t xml:space="preserve">à </w:t>
      </w:r>
      <w:r w:rsidRPr="00466CE7">
        <w:rPr>
          <w:rFonts w:eastAsia="Times New Roman"/>
          <w:lang w:val="fr-FR"/>
        </w:rPr>
        <w:t>plus de 32</w:t>
      </w:r>
      <w:r w:rsidR="00987D7E">
        <w:rPr>
          <w:rFonts w:eastAsia="Times New Roman"/>
          <w:lang w:val="fr-FR"/>
        </w:rPr>
        <w:t> </w:t>
      </w:r>
      <w:r w:rsidRPr="00466CE7">
        <w:rPr>
          <w:rFonts w:eastAsia="Times New Roman"/>
          <w:lang w:val="fr-FR"/>
        </w:rPr>
        <w:t>000</w:t>
      </w:r>
      <w:r w:rsidR="00987D7E">
        <w:rPr>
          <w:rFonts w:eastAsia="Times New Roman"/>
          <w:lang w:val="fr-FR"/>
        </w:rPr>
        <w:t> </w:t>
      </w:r>
      <w:r>
        <w:rPr>
          <w:rFonts w:eastAsia="Times New Roman"/>
          <w:lang w:val="fr-FR"/>
        </w:rPr>
        <w:t xml:space="preserve">écoliers du </w:t>
      </w:r>
      <w:r w:rsidRPr="00466CE7">
        <w:rPr>
          <w:rFonts w:eastAsia="Times New Roman"/>
          <w:lang w:val="fr-FR"/>
        </w:rPr>
        <w:t>pr</w:t>
      </w:r>
      <w:r>
        <w:rPr>
          <w:rFonts w:eastAsia="Times New Roman"/>
          <w:lang w:val="fr-FR"/>
        </w:rPr>
        <w:t>imaire et 50</w:t>
      </w:r>
      <w:r w:rsidR="00987D7E">
        <w:rPr>
          <w:rFonts w:eastAsia="Times New Roman"/>
          <w:lang w:val="fr-FR"/>
        </w:rPr>
        <w:t> </w:t>
      </w:r>
      <w:r w:rsidRPr="00466CE7">
        <w:rPr>
          <w:rFonts w:eastAsia="Times New Roman"/>
          <w:lang w:val="fr-FR"/>
        </w:rPr>
        <w:t>000</w:t>
      </w:r>
      <w:r w:rsidR="00987D7E">
        <w:rPr>
          <w:rFonts w:eastAsia="Times New Roman"/>
          <w:lang w:val="fr-FR"/>
        </w:rPr>
        <w:t> </w:t>
      </w:r>
      <w:r>
        <w:rPr>
          <w:rFonts w:eastAsia="Times New Roman"/>
          <w:lang w:val="fr-FR"/>
        </w:rPr>
        <w:t>enfants des jardins d’enfant</w:t>
      </w:r>
      <w:r w:rsidRPr="00466CE7">
        <w:rPr>
          <w:rFonts w:eastAsia="Times New Roman"/>
          <w:lang w:val="fr-FR"/>
        </w:rPr>
        <w:t xml:space="preserve">. </w:t>
      </w:r>
    </w:p>
    <w:p w14:paraId="0DB230C3" w14:textId="043A707B" w:rsidR="009C6834" w:rsidRPr="00466CE7" w:rsidRDefault="009C6834" w:rsidP="009C6834">
      <w:pPr>
        <w:pStyle w:val="SingleTxtG"/>
        <w:rPr>
          <w:rFonts w:eastAsia="Times New Roman"/>
          <w:lang w:val="fr-FR"/>
        </w:rPr>
      </w:pPr>
      <w:r w:rsidRPr="00466CE7">
        <w:rPr>
          <w:rFonts w:eastAsia="Times New Roman"/>
          <w:lang w:val="fr-FR"/>
        </w:rPr>
        <w:t>354.</w:t>
      </w:r>
      <w:r w:rsidRPr="00466CE7">
        <w:rPr>
          <w:rFonts w:eastAsia="Times New Roman"/>
          <w:lang w:val="fr-FR"/>
        </w:rPr>
        <w:tab/>
        <w:t xml:space="preserve">Tous les produits ont des déclarations de conformité </w:t>
      </w:r>
      <w:r>
        <w:rPr>
          <w:rFonts w:eastAsia="Times New Roman"/>
          <w:lang w:val="fr-FR"/>
        </w:rPr>
        <w:t>EAC (eurasiatique)</w:t>
      </w:r>
      <w:r w:rsidRPr="00466CE7">
        <w:rPr>
          <w:rFonts w:eastAsia="Times New Roman"/>
          <w:lang w:val="fr-FR"/>
        </w:rPr>
        <w:t>. L</w:t>
      </w:r>
      <w:r>
        <w:rPr>
          <w:rFonts w:eastAsia="Times New Roman"/>
          <w:lang w:val="fr-FR"/>
        </w:rPr>
        <w:t xml:space="preserve">a ration </w:t>
      </w:r>
      <w:r w:rsidRPr="00466CE7">
        <w:rPr>
          <w:rFonts w:eastAsia="Times New Roman"/>
          <w:lang w:val="fr-FR"/>
        </w:rPr>
        <w:t xml:space="preserve">alimentaire </w:t>
      </w:r>
      <w:r>
        <w:rPr>
          <w:rFonts w:eastAsia="Times New Roman"/>
          <w:lang w:val="fr-FR"/>
        </w:rPr>
        <w:t xml:space="preserve">journalière par enfant </w:t>
      </w:r>
      <w:r w:rsidRPr="00466CE7">
        <w:rPr>
          <w:rFonts w:eastAsia="Times New Roman"/>
          <w:lang w:val="fr-FR"/>
        </w:rPr>
        <w:t xml:space="preserve">prévue par le programme </w:t>
      </w:r>
      <w:r>
        <w:rPr>
          <w:rFonts w:eastAsia="Times New Roman"/>
          <w:lang w:val="fr-FR"/>
        </w:rPr>
        <w:t xml:space="preserve">est de </w:t>
      </w:r>
      <w:r w:rsidRPr="00466CE7">
        <w:rPr>
          <w:rFonts w:eastAsia="Times New Roman"/>
          <w:lang w:val="fr-FR"/>
        </w:rPr>
        <w:t>50</w:t>
      </w:r>
      <w:r w:rsidR="00DE0C81">
        <w:rPr>
          <w:rFonts w:eastAsia="Times New Roman"/>
          <w:lang w:val="fr-FR"/>
        </w:rPr>
        <w:t> </w:t>
      </w:r>
      <w:r w:rsidRPr="00466CE7">
        <w:rPr>
          <w:rFonts w:eastAsia="Times New Roman"/>
          <w:lang w:val="fr-FR"/>
        </w:rPr>
        <w:t>g de farine, 10</w:t>
      </w:r>
      <w:r w:rsidR="00DE0C81">
        <w:rPr>
          <w:rFonts w:eastAsia="Times New Roman"/>
          <w:lang w:val="fr-FR"/>
        </w:rPr>
        <w:t> </w:t>
      </w:r>
      <w:r w:rsidRPr="00466CE7">
        <w:rPr>
          <w:rFonts w:eastAsia="Times New Roman"/>
          <w:lang w:val="fr-FR"/>
        </w:rPr>
        <w:t>g de riz, 5</w:t>
      </w:r>
      <w:r w:rsidR="00DE0C81">
        <w:rPr>
          <w:rFonts w:eastAsia="Times New Roman"/>
          <w:lang w:val="fr-FR"/>
        </w:rPr>
        <w:t> </w:t>
      </w:r>
      <w:r w:rsidRPr="00466CE7">
        <w:rPr>
          <w:rFonts w:eastAsia="Times New Roman"/>
          <w:lang w:val="fr-FR"/>
        </w:rPr>
        <w:t>g de pois et 5</w:t>
      </w:r>
      <w:r w:rsidR="00DE0C81">
        <w:rPr>
          <w:rFonts w:eastAsia="Times New Roman"/>
          <w:lang w:val="fr-FR"/>
        </w:rPr>
        <w:t> </w:t>
      </w:r>
      <w:r w:rsidRPr="00466CE7">
        <w:rPr>
          <w:rFonts w:eastAsia="Times New Roman"/>
          <w:lang w:val="fr-FR"/>
        </w:rPr>
        <w:t>g d</w:t>
      </w:r>
      <w:r>
        <w:rPr>
          <w:rFonts w:eastAsia="Times New Roman"/>
          <w:lang w:val="fr-FR"/>
        </w:rPr>
        <w:t>’</w:t>
      </w:r>
      <w:r w:rsidRPr="00466CE7">
        <w:rPr>
          <w:rFonts w:eastAsia="Times New Roman"/>
          <w:lang w:val="fr-FR"/>
        </w:rPr>
        <w:t>huile. Les jardins d</w:t>
      </w:r>
      <w:r>
        <w:rPr>
          <w:rFonts w:eastAsia="Times New Roman"/>
          <w:lang w:val="fr-FR"/>
        </w:rPr>
        <w:t>’</w:t>
      </w:r>
      <w:r w:rsidRPr="00466CE7">
        <w:rPr>
          <w:rFonts w:eastAsia="Times New Roman"/>
          <w:lang w:val="fr-FR"/>
        </w:rPr>
        <w:t xml:space="preserve">enfants et les écoles complètent ces produits avec des légumes frais, de la viande et du lait </w:t>
      </w:r>
      <w:r>
        <w:rPr>
          <w:rFonts w:eastAsia="Times New Roman"/>
          <w:lang w:val="fr-FR"/>
        </w:rPr>
        <w:t xml:space="preserve">grâce aux ressources des </w:t>
      </w:r>
      <w:r w:rsidRPr="00466CE7">
        <w:rPr>
          <w:rFonts w:eastAsia="Times New Roman"/>
          <w:lang w:val="fr-FR"/>
        </w:rPr>
        <w:t>budget</w:t>
      </w:r>
      <w:r>
        <w:rPr>
          <w:rFonts w:eastAsia="Times New Roman"/>
          <w:lang w:val="fr-FR"/>
        </w:rPr>
        <w:t>s locaux</w:t>
      </w:r>
      <w:r w:rsidRPr="00466CE7">
        <w:rPr>
          <w:rFonts w:eastAsia="Times New Roman"/>
          <w:lang w:val="fr-FR"/>
        </w:rPr>
        <w:t xml:space="preserve"> et </w:t>
      </w:r>
      <w:r>
        <w:rPr>
          <w:rFonts w:eastAsia="Times New Roman"/>
          <w:lang w:val="fr-FR"/>
        </w:rPr>
        <w:t xml:space="preserve">à la </w:t>
      </w:r>
      <w:r w:rsidRPr="00466CE7">
        <w:rPr>
          <w:rFonts w:eastAsia="Times New Roman"/>
          <w:lang w:val="fr-FR"/>
        </w:rPr>
        <w:t>contribution des parents.</w:t>
      </w:r>
    </w:p>
    <w:p w14:paraId="0805660F" w14:textId="18AA5B78" w:rsidR="009C6834" w:rsidRPr="00466CE7" w:rsidRDefault="009C6834" w:rsidP="00E1792A">
      <w:pPr>
        <w:pStyle w:val="SingleTxtG"/>
        <w:rPr>
          <w:rFonts w:eastAsia="Times New Roman"/>
          <w:lang w:val="fr-FR"/>
        </w:rPr>
      </w:pPr>
      <w:r w:rsidRPr="00466CE7">
        <w:rPr>
          <w:rFonts w:eastAsia="Times New Roman"/>
          <w:lang w:val="fr-FR"/>
        </w:rPr>
        <w:t>355.</w:t>
      </w:r>
      <w:r w:rsidRPr="00466CE7">
        <w:rPr>
          <w:rFonts w:eastAsia="Times New Roman"/>
          <w:lang w:val="fr-FR"/>
        </w:rPr>
        <w:tab/>
      </w:r>
      <w:r>
        <w:rPr>
          <w:rFonts w:eastAsia="Times New Roman"/>
          <w:lang w:val="fr-FR"/>
        </w:rPr>
        <w:t>Il a été décidé e</w:t>
      </w:r>
      <w:r w:rsidRPr="00466CE7">
        <w:rPr>
          <w:rFonts w:eastAsia="Times New Roman"/>
          <w:lang w:val="fr-FR"/>
        </w:rPr>
        <w:t>n 2017</w:t>
      </w:r>
      <w:r>
        <w:rPr>
          <w:rFonts w:eastAsia="Times New Roman"/>
          <w:lang w:val="fr-FR"/>
        </w:rPr>
        <w:t xml:space="preserve"> de reconduire le financement du </w:t>
      </w:r>
      <w:r w:rsidRPr="00466CE7">
        <w:rPr>
          <w:rFonts w:eastAsia="Times New Roman"/>
          <w:lang w:val="fr-FR"/>
        </w:rPr>
        <w:t xml:space="preserve">programme pour </w:t>
      </w:r>
      <w:r>
        <w:rPr>
          <w:rFonts w:eastAsia="Times New Roman"/>
          <w:lang w:val="fr-FR"/>
        </w:rPr>
        <w:t xml:space="preserve">la période </w:t>
      </w:r>
      <w:r w:rsidRPr="00466CE7">
        <w:rPr>
          <w:rFonts w:eastAsia="Times New Roman"/>
          <w:lang w:val="fr-FR"/>
        </w:rPr>
        <w:t xml:space="preserve">2018-2021. </w:t>
      </w:r>
      <w:r>
        <w:rPr>
          <w:rFonts w:eastAsia="Times New Roman"/>
          <w:lang w:val="fr-FR"/>
        </w:rPr>
        <w:t xml:space="preserve">La nouvelle phase du programme permettra de venir en aide à </w:t>
      </w:r>
      <w:r w:rsidRPr="00466CE7">
        <w:rPr>
          <w:rFonts w:eastAsia="Times New Roman"/>
          <w:lang w:val="fr-FR"/>
        </w:rPr>
        <w:t>350</w:t>
      </w:r>
      <w:r w:rsidR="00DE0C81">
        <w:rPr>
          <w:rFonts w:eastAsia="Times New Roman"/>
          <w:lang w:val="fr-FR"/>
        </w:rPr>
        <w:t> </w:t>
      </w:r>
      <w:r w:rsidRPr="00466CE7">
        <w:rPr>
          <w:rFonts w:eastAsia="Times New Roman"/>
          <w:lang w:val="fr-FR"/>
        </w:rPr>
        <w:t xml:space="preserve">écoles primaires supplémentaires, </w:t>
      </w:r>
      <w:r>
        <w:rPr>
          <w:rFonts w:eastAsia="Times New Roman"/>
          <w:lang w:val="fr-FR"/>
        </w:rPr>
        <w:t>situées pour la plupart dans d</w:t>
      </w:r>
      <w:r w:rsidRPr="00466CE7">
        <w:rPr>
          <w:rFonts w:eastAsia="Times New Roman"/>
          <w:lang w:val="fr-FR"/>
        </w:rPr>
        <w:t xml:space="preserve">es régions </w:t>
      </w:r>
      <w:r>
        <w:rPr>
          <w:rFonts w:eastAsia="Times New Roman"/>
          <w:lang w:val="fr-FR"/>
        </w:rPr>
        <w:t xml:space="preserve">de haute montagne et des régions difficiles d’accès, ce qui </w:t>
      </w:r>
      <w:r w:rsidRPr="00466CE7">
        <w:rPr>
          <w:rFonts w:eastAsia="Times New Roman"/>
          <w:lang w:val="fr-FR"/>
        </w:rPr>
        <w:t>porte</w:t>
      </w:r>
      <w:r w:rsidRPr="001D79FC">
        <w:rPr>
          <w:rFonts w:eastAsia="Times New Roman"/>
          <w:lang w:val="fr-FR"/>
        </w:rPr>
        <w:t xml:space="preserve"> </w:t>
      </w:r>
      <w:r w:rsidRPr="00466CE7">
        <w:rPr>
          <w:rFonts w:eastAsia="Times New Roman"/>
          <w:lang w:val="fr-FR"/>
        </w:rPr>
        <w:t>à 430 le nombre total d</w:t>
      </w:r>
      <w:r>
        <w:rPr>
          <w:rFonts w:eastAsia="Times New Roman"/>
          <w:lang w:val="fr-FR"/>
        </w:rPr>
        <w:t>’</w:t>
      </w:r>
      <w:r w:rsidRPr="00466CE7">
        <w:rPr>
          <w:rFonts w:eastAsia="Times New Roman"/>
          <w:lang w:val="fr-FR"/>
        </w:rPr>
        <w:t xml:space="preserve">écoles primaires </w:t>
      </w:r>
      <w:r>
        <w:rPr>
          <w:rFonts w:eastAsia="Times New Roman"/>
          <w:lang w:val="fr-FR"/>
        </w:rPr>
        <w:t xml:space="preserve">qui bénéficieront d’un soutien </w:t>
      </w:r>
      <w:r w:rsidRPr="00466CE7">
        <w:rPr>
          <w:rFonts w:eastAsia="Times New Roman"/>
          <w:lang w:val="fr-FR"/>
        </w:rPr>
        <w:t>en 2018-2021.</w:t>
      </w:r>
    </w:p>
    <w:p w14:paraId="52291049" w14:textId="426CC315" w:rsidR="009C6834" w:rsidRPr="00466CE7" w:rsidRDefault="009C6834" w:rsidP="003F1243">
      <w:pPr>
        <w:pStyle w:val="SingleTxtG"/>
        <w:rPr>
          <w:rFonts w:eastAsia="Times New Roman"/>
          <w:lang w:val="fr-FR"/>
        </w:rPr>
      </w:pPr>
      <w:r w:rsidRPr="00466CE7">
        <w:rPr>
          <w:rFonts w:eastAsia="Times New Roman"/>
          <w:lang w:val="fr-FR"/>
        </w:rPr>
        <w:t>356.</w:t>
      </w:r>
      <w:r w:rsidRPr="00466CE7">
        <w:rPr>
          <w:rFonts w:eastAsia="Times New Roman"/>
          <w:lang w:val="fr-FR"/>
        </w:rPr>
        <w:tab/>
      </w:r>
      <w:r>
        <w:rPr>
          <w:rFonts w:eastAsia="Times New Roman"/>
          <w:lang w:val="fr-FR"/>
        </w:rPr>
        <w:t xml:space="preserve">Par une décision adoptée en 2010, le </w:t>
      </w:r>
      <w:r w:rsidR="00455D20">
        <w:rPr>
          <w:rFonts w:eastAsia="Times New Roman"/>
          <w:lang w:val="fr-FR"/>
        </w:rPr>
        <w:t xml:space="preserve">Gouvernement </w:t>
      </w:r>
      <w:r>
        <w:rPr>
          <w:rFonts w:eastAsia="Times New Roman"/>
          <w:lang w:val="fr-FR"/>
        </w:rPr>
        <w:t xml:space="preserve">a fixé le </w:t>
      </w:r>
      <w:r w:rsidRPr="00466CE7">
        <w:rPr>
          <w:rFonts w:eastAsia="Times New Roman"/>
          <w:lang w:val="fr-FR"/>
        </w:rPr>
        <w:t xml:space="preserve">coût </w:t>
      </w:r>
      <w:r>
        <w:rPr>
          <w:rFonts w:eastAsia="Times New Roman"/>
          <w:lang w:val="fr-FR"/>
        </w:rPr>
        <w:t xml:space="preserve">du </w:t>
      </w:r>
      <w:r w:rsidRPr="00466CE7">
        <w:rPr>
          <w:rFonts w:eastAsia="Times New Roman"/>
          <w:lang w:val="fr-FR"/>
        </w:rPr>
        <w:t>repas</w:t>
      </w:r>
      <w:r>
        <w:rPr>
          <w:rFonts w:eastAsia="Times New Roman"/>
          <w:lang w:val="fr-FR"/>
        </w:rPr>
        <w:t>,</w:t>
      </w:r>
      <w:r w:rsidRPr="00466CE7">
        <w:rPr>
          <w:rFonts w:eastAsia="Times New Roman"/>
          <w:lang w:val="fr-FR"/>
        </w:rPr>
        <w:t xml:space="preserve"> </w:t>
      </w:r>
      <w:r>
        <w:rPr>
          <w:rFonts w:eastAsia="Times New Roman"/>
          <w:lang w:val="fr-FR"/>
        </w:rPr>
        <w:t xml:space="preserve">à compter </w:t>
      </w:r>
      <w:r w:rsidRPr="00466CE7">
        <w:rPr>
          <w:rFonts w:eastAsia="Times New Roman"/>
          <w:lang w:val="fr-FR"/>
        </w:rPr>
        <w:t>du 1</w:t>
      </w:r>
      <w:r w:rsidRPr="00DE0C81">
        <w:rPr>
          <w:rFonts w:eastAsia="Times New Roman"/>
          <w:vertAlign w:val="superscript"/>
          <w:lang w:val="fr-FR"/>
        </w:rPr>
        <w:t>er</w:t>
      </w:r>
      <w:r w:rsidR="00DE0C81">
        <w:rPr>
          <w:rFonts w:eastAsia="Times New Roman"/>
          <w:lang w:val="fr-FR"/>
        </w:rPr>
        <w:t> </w:t>
      </w:r>
      <w:r w:rsidRPr="00466CE7">
        <w:rPr>
          <w:rFonts w:eastAsia="Times New Roman"/>
          <w:lang w:val="fr-FR"/>
        </w:rPr>
        <w:t>septembre 2010</w:t>
      </w:r>
      <w:r>
        <w:rPr>
          <w:rFonts w:eastAsia="Times New Roman"/>
          <w:lang w:val="fr-FR"/>
        </w:rPr>
        <w:t>,</w:t>
      </w:r>
      <w:r w:rsidRPr="00466CE7">
        <w:rPr>
          <w:rFonts w:eastAsia="Times New Roman"/>
          <w:lang w:val="fr-FR"/>
        </w:rPr>
        <w:t xml:space="preserve"> à </w:t>
      </w:r>
      <w:r w:rsidR="002A6A2B">
        <w:rPr>
          <w:rFonts w:eastAsia="Times New Roman"/>
          <w:lang w:val="fr-FR"/>
        </w:rPr>
        <w:t>10</w:t>
      </w:r>
      <w:r w:rsidR="00DE0C81">
        <w:rPr>
          <w:rFonts w:eastAsia="Times New Roman"/>
          <w:lang w:val="fr-FR"/>
        </w:rPr>
        <w:t> </w:t>
      </w:r>
      <w:proofErr w:type="spellStart"/>
      <w:r>
        <w:rPr>
          <w:rFonts w:eastAsia="Times New Roman"/>
          <w:lang w:val="fr-FR"/>
        </w:rPr>
        <w:t>soms</w:t>
      </w:r>
      <w:proofErr w:type="spellEnd"/>
      <w:r>
        <w:rPr>
          <w:rFonts w:eastAsia="Times New Roman"/>
          <w:lang w:val="fr-FR"/>
        </w:rPr>
        <w:t xml:space="preserve"> </w:t>
      </w:r>
      <w:r w:rsidRPr="00466CE7">
        <w:rPr>
          <w:rFonts w:eastAsia="Times New Roman"/>
          <w:lang w:val="fr-FR"/>
        </w:rPr>
        <w:t>par jour et par élève pour les classes</w:t>
      </w:r>
      <w:r w:rsidR="00DE0C81">
        <w:rPr>
          <w:rFonts w:eastAsia="Times New Roman"/>
          <w:lang w:val="fr-FR"/>
        </w:rPr>
        <w:t> </w:t>
      </w:r>
      <w:r w:rsidRPr="00466CE7">
        <w:rPr>
          <w:rFonts w:eastAsia="Times New Roman"/>
          <w:lang w:val="fr-FR"/>
        </w:rPr>
        <w:t xml:space="preserve">1 à 4 des </w:t>
      </w:r>
      <w:r>
        <w:rPr>
          <w:rFonts w:eastAsia="Times New Roman"/>
          <w:lang w:val="fr-FR"/>
        </w:rPr>
        <w:t>établissements d’enseignement général situé</w:t>
      </w:r>
      <w:r w:rsidRPr="00466CE7">
        <w:rPr>
          <w:rFonts w:eastAsia="Times New Roman"/>
          <w:lang w:val="fr-FR"/>
        </w:rPr>
        <w:t xml:space="preserve">s dans des </w:t>
      </w:r>
      <w:r>
        <w:rPr>
          <w:rFonts w:eastAsia="Times New Roman"/>
          <w:lang w:val="fr-FR"/>
        </w:rPr>
        <w:t xml:space="preserve">régions de haute montagne </w:t>
      </w:r>
      <w:r w:rsidRPr="00466CE7">
        <w:rPr>
          <w:rFonts w:eastAsia="Times New Roman"/>
          <w:lang w:val="fr-FR"/>
        </w:rPr>
        <w:t xml:space="preserve">et </w:t>
      </w:r>
      <w:r>
        <w:rPr>
          <w:rFonts w:eastAsia="Times New Roman"/>
          <w:lang w:val="fr-FR"/>
        </w:rPr>
        <w:t xml:space="preserve">des régions </w:t>
      </w:r>
      <w:r w:rsidRPr="00466CE7">
        <w:rPr>
          <w:rFonts w:eastAsia="Times New Roman"/>
          <w:lang w:val="fr-FR"/>
        </w:rPr>
        <w:t>reculées d</w:t>
      </w:r>
      <w:r>
        <w:rPr>
          <w:rFonts w:eastAsia="Times New Roman"/>
          <w:lang w:val="fr-FR"/>
        </w:rPr>
        <w:t>’</w:t>
      </w:r>
      <w:r w:rsidRPr="00466CE7">
        <w:rPr>
          <w:rFonts w:eastAsia="Times New Roman"/>
          <w:lang w:val="fr-FR"/>
        </w:rPr>
        <w:t>accès</w:t>
      </w:r>
      <w:r>
        <w:rPr>
          <w:rFonts w:eastAsia="Times New Roman"/>
          <w:lang w:val="fr-FR"/>
        </w:rPr>
        <w:t xml:space="preserve"> malaisé, où les</w:t>
      </w:r>
      <w:r w:rsidRPr="001D79FC">
        <w:rPr>
          <w:rFonts w:eastAsia="Times New Roman"/>
          <w:lang w:val="fr-FR"/>
        </w:rPr>
        <w:t xml:space="preserve"> </w:t>
      </w:r>
      <w:r w:rsidRPr="00466CE7">
        <w:rPr>
          <w:rFonts w:eastAsia="Times New Roman"/>
          <w:lang w:val="fr-FR"/>
        </w:rPr>
        <w:t xml:space="preserve">conditions naturelles et climatiques </w:t>
      </w:r>
      <w:r>
        <w:rPr>
          <w:rFonts w:eastAsia="Times New Roman"/>
          <w:lang w:val="fr-FR"/>
        </w:rPr>
        <w:t xml:space="preserve">sont </w:t>
      </w:r>
      <w:r w:rsidRPr="00466CE7">
        <w:rPr>
          <w:rFonts w:eastAsia="Times New Roman"/>
          <w:lang w:val="fr-FR"/>
        </w:rPr>
        <w:t>difficiles et défavorables.</w:t>
      </w:r>
    </w:p>
    <w:p w14:paraId="0C629B43" w14:textId="11176D34" w:rsidR="009C6834" w:rsidRPr="00466CE7" w:rsidRDefault="009C6834" w:rsidP="00E1792A">
      <w:pPr>
        <w:pStyle w:val="SingleTxtG"/>
        <w:keepLines/>
        <w:rPr>
          <w:rFonts w:eastAsia="Times New Roman"/>
          <w:lang w:val="fr-FR"/>
        </w:rPr>
      </w:pPr>
      <w:r w:rsidRPr="00466CE7">
        <w:rPr>
          <w:rFonts w:eastAsia="Times New Roman"/>
          <w:lang w:val="fr-FR"/>
        </w:rPr>
        <w:lastRenderedPageBreak/>
        <w:t>357.</w:t>
      </w:r>
      <w:r w:rsidRPr="00466CE7">
        <w:rPr>
          <w:rFonts w:eastAsia="Times New Roman"/>
          <w:lang w:val="fr-FR"/>
        </w:rPr>
        <w:tab/>
      </w:r>
      <w:r>
        <w:rPr>
          <w:rFonts w:eastAsia="Times New Roman"/>
          <w:lang w:val="fr-FR"/>
        </w:rPr>
        <w:t xml:space="preserve">Dans le prolongement du </w:t>
      </w:r>
      <w:r w:rsidRPr="00466CE7">
        <w:rPr>
          <w:rFonts w:eastAsia="Times New Roman"/>
          <w:lang w:val="fr-FR"/>
        </w:rPr>
        <w:t xml:space="preserve">programme de sécurité alimentaire et </w:t>
      </w:r>
      <w:r>
        <w:rPr>
          <w:rFonts w:eastAsia="Times New Roman"/>
          <w:lang w:val="fr-FR"/>
        </w:rPr>
        <w:t>d’alimentation</w:t>
      </w:r>
      <w:r w:rsidRPr="00466CE7">
        <w:rPr>
          <w:rFonts w:eastAsia="Times New Roman"/>
          <w:lang w:val="fr-FR"/>
        </w:rPr>
        <w:t xml:space="preserve"> pour 2015-2017 approuvé par </w:t>
      </w:r>
      <w:r>
        <w:rPr>
          <w:rFonts w:eastAsia="Times New Roman"/>
          <w:lang w:val="fr-FR"/>
        </w:rPr>
        <w:t xml:space="preserve">une </w:t>
      </w:r>
      <w:r w:rsidRPr="00466CE7">
        <w:rPr>
          <w:rFonts w:eastAsia="Times New Roman"/>
          <w:lang w:val="fr-FR"/>
        </w:rPr>
        <w:t xml:space="preserve">décision du </w:t>
      </w:r>
      <w:r w:rsidR="00455D20" w:rsidRPr="00466CE7">
        <w:rPr>
          <w:rFonts w:eastAsia="Times New Roman"/>
          <w:lang w:val="fr-FR"/>
        </w:rPr>
        <w:t xml:space="preserve">Gouvernement </w:t>
      </w:r>
      <w:r>
        <w:rPr>
          <w:rFonts w:eastAsia="Times New Roman"/>
          <w:lang w:val="fr-FR"/>
        </w:rPr>
        <w:t xml:space="preserve">en </w:t>
      </w:r>
      <w:r w:rsidRPr="00466CE7">
        <w:rPr>
          <w:rFonts w:eastAsia="Times New Roman"/>
          <w:lang w:val="fr-FR"/>
        </w:rPr>
        <w:t>2015</w:t>
      </w:r>
      <w:r>
        <w:rPr>
          <w:rFonts w:eastAsia="Times New Roman"/>
          <w:lang w:val="fr-FR"/>
        </w:rPr>
        <w:t xml:space="preserve">, un nouveau </w:t>
      </w:r>
      <w:r w:rsidRPr="00466CE7">
        <w:rPr>
          <w:rFonts w:eastAsia="Times New Roman"/>
          <w:lang w:val="fr-FR"/>
        </w:rPr>
        <w:t>programme</w:t>
      </w:r>
      <w:r>
        <w:rPr>
          <w:rFonts w:eastAsia="Times New Roman"/>
          <w:lang w:val="fr-FR"/>
        </w:rPr>
        <w:t>, ainsi qu’un plan d’action pour sa mise en œuvre, ont été approuvés</w:t>
      </w:r>
      <w:r w:rsidRPr="00466CE7">
        <w:rPr>
          <w:rFonts w:eastAsia="Times New Roman"/>
          <w:lang w:val="fr-FR"/>
        </w:rPr>
        <w:t xml:space="preserve"> pour </w:t>
      </w:r>
      <w:r>
        <w:rPr>
          <w:rFonts w:eastAsia="Times New Roman"/>
          <w:lang w:val="fr-FR"/>
        </w:rPr>
        <w:t xml:space="preserve">la période </w:t>
      </w:r>
      <w:r w:rsidRPr="00466CE7">
        <w:rPr>
          <w:rFonts w:eastAsia="Times New Roman"/>
          <w:lang w:val="fr-FR"/>
        </w:rPr>
        <w:t>2019</w:t>
      </w:r>
      <w:r w:rsidR="00DE0C81">
        <w:rPr>
          <w:rFonts w:eastAsia="Times New Roman"/>
          <w:lang w:val="fr-FR"/>
        </w:rPr>
        <w:noBreakHyphen/>
      </w:r>
      <w:r w:rsidRPr="00466CE7">
        <w:rPr>
          <w:rFonts w:eastAsia="Times New Roman"/>
          <w:lang w:val="fr-FR"/>
        </w:rPr>
        <w:t>2023 par un</w:t>
      </w:r>
      <w:r>
        <w:rPr>
          <w:rFonts w:eastAsia="Times New Roman"/>
          <w:lang w:val="fr-FR"/>
        </w:rPr>
        <w:t>e</w:t>
      </w:r>
      <w:r w:rsidRPr="00466CE7">
        <w:rPr>
          <w:rFonts w:eastAsia="Times New Roman"/>
          <w:lang w:val="fr-FR"/>
        </w:rPr>
        <w:t xml:space="preserve"> dé</w:t>
      </w:r>
      <w:r>
        <w:rPr>
          <w:rFonts w:eastAsia="Times New Roman"/>
          <w:lang w:val="fr-FR"/>
        </w:rPr>
        <w:t xml:space="preserve">cision du </w:t>
      </w:r>
      <w:r w:rsidR="00455D20">
        <w:rPr>
          <w:rFonts w:eastAsia="Times New Roman"/>
          <w:lang w:val="fr-FR"/>
        </w:rPr>
        <w:t xml:space="preserve">Gouvernement </w:t>
      </w:r>
      <w:r>
        <w:rPr>
          <w:rFonts w:eastAsia="Times New Roman"/>
          <w:lang w:val="fr-FR"/>
        </w:rPr>
        <w:t xml:space="preserve">en </w:t>
      </w:r>
      <w:r w:rsidRPr="00466CE7">
        <w:rPr>
          <w:rFonts w:eastAsia="Times New Roman"/>
          <w:lang w:val="fr-FR"/>
        </w:rPr>
        <w:t>2019</w:t>
      </w:r>
      <w:r>
        <w:rPr>
          <w:rFonts w:eastAsia="Times New Roman"/>
          <w:lang w:val="fr-FR"/>
        </w:rPr>
        <w:t>. Les</w:t>
      </w:r>
      <w:r w:rsidRPr="00466CE7">
        <w:rPr>
          <w:rFonts w:eastAsia="Times New Roman"/>
          <w:lang w:val="fr-FR"/>
        </w:rPr>
        <w:t xml:space="preserve"> objectifs </w:t>
      </w:r>
      <w:r>
        <w:rPr>
          <w:rFonts w:eastAsia="Times New Roman"/>
          <w:lang w:val="fr-FR"/>
        </w:rPr>
        <w:t xml:space="preserve">de ce programme </w:t>
      </w:r>
      <w:r w:rsidRPr="00466CE7">
        <w:rPr>
          <w:rFonts w:eastAsia="Times New Roman"/>
          <w:lang w:val="fr-FR"/>
        </w:rPr>
        <w:t xml:space="preserve">sont </w:t>
      </w:r>
      <w:r>
        <w:rPr>
          <w:rFonts w:eastAsia="Times New Roman"/>
          <w:lang w:val="fr-FR"/>
        </w:rPr>
        <w:t xml:space="preserve">de garantir </w:t>
      </w:r>
      <w:r w:rsidRPr="00466CE7">
        <w:rPr>
          <w:rFonts w:eastAsia="Times New Roman"/>
          <w:lang w:val="fr-FR"/>
        </w:rPr>
        <w:t xml:space="preserve">la sécurité alimentaire du pays, </w:t>
      </w:r>
      <w:r>
        <w:rPr>
          <w:rFonts w:eastAsia="Times New Roman"/>
          <w:lang w:val="fr-FR"/>
        </w:rPr>
        <w:t xml:space="preserve">d’intervenir </w:t>
      </w:r>
      <w:r w:rsidRPr="00466CE7">
        <w:rPr>
          <w:rFonts w:eastAsia="Times New Roman"/>
          <w:lang w:val="fr-FR"/>
        </w:rPr>
        <w:t xml:space="preserve">rapidement </w:t>
      </w:r>
      <w:r>
        <w:rPr>
          <w:rFonts w:eastAsia="Times New Roman"/>
          <w:lang w:val="fr-FR"/>
        </w:rPr>
        <w:t xml:space="preserve">en cas de menaces </w:t>
      </w:r>
      <w:r w:rsidRPr="00466CE7">
        <w:rPr>
          <w:rFonts w:eastAsia="Times New Roman"/>
          <w:lang w:val="fr-FR"/>
        </w:rPr>
        <w:t xml:space="preserve">internes </w:t>
      </w:r>
      <w:r>
        <w:rPr>
          <w:rFonts w:eastAsia="Times New Roman"/>
          <w:lang w:val="fr-FR"/>
        </w:rPr>
        <w:t xml:space="preserve">ou </w:t>
      </w:r>
      <w:r w:rsidRPr="00466CE7">
        <w:rPr>
          <w:rFonts w:eastAsia="Times New Roman"/>
          <w:lang w:val="fr-FR"/>
        </w:rPr>
        <w:t xml:space="preserve">externes </w:t>
      </w:r>
      <w:r>
        <w:rPr>
          <w:rFonts w:eastAsia="Times New Roman"/>
          <w:lang w:val="fr-FR"/>
        </w:rPr>
        <w:t xml:space="preserve">visant </w:t>
      </w:r>
      <w:r w:rsidRPr="00466CE7">
        <w:rPr>
          <w:rFonts w:eastAsia="Times New Roman"/>
          <w:lang w:val="fr-FR"/>
        </w:rPr>
        <w:t>la stabilité du marché alimentaire</w:t>
      </w:r>
      <w:r>
        <w:rPr>
          <w:rFonts w:eastAsia="Times New Roman"/>
          <w:lang w:val="fr-FR"/>
        </w:rPr>
        <w:t>,</w:t>
      </w:r>
      <w:r w:rsidRPr="00466CE7">
        <w:rPr>
          <w:rFonts w:eastAsia="Times New Roman"/>
          <w:lang w:val="fr-FR"/>
        </w:rPr>
        <w:t xml:space="preserve"> et de mettre en œuvre les priorités stratégiques du pays</w:t>
      </w:r>
      <w:r w:rsidRPr="00832B88">
        <w:rPr>
          <w:rFonts w:eastAsia="Times New Roman"/>
          <w:lang w:val="fr-FR"/>
        </w:rPr>
        <w:t xml:space="preserve"> </w:t>
      </w:r>
      <w:r>
        <w:rPr>
          <w:rFonts w:eastAsia="Times New Roman"/>
          <w:lang w:val="fr-FR"/>
        </w:rPr>
        <w:t xml:space="preserve">en matière de </w:t>
      </w:r>
      <w:r w:rsidRPr="00466CE7">
        <w:rPr>
          <w:rFonts w:eastAsia="Times New Roman"/>
          <w:lang w:val="fr-FR"/>
        </w:rPr>
        <w:t>développement durable.</w:t>
      </w:r>
    </w:p>
    <w:p w14:paraId="3DEB0B8B" w14:textId="77777777" w:rsidR="009C6834" w:rsidRPr="00466CE7" w:rsidRDefault="009C6834" w:rsidP="009C6834">
      <w:pPr>
        <w:pStyle w:val="SingleTxtG"/>
        <w:rPr>
          <w:rFonts w:eastAsia="Times New Roman"/>
          <w:lang w:val="fr-FR"/>
        </w:rPr>
      </w:pPr>
      <w:r w:rsidRPr="00466CE7">
        <w:rPr>
          <w:rFonts w:eastAsia="Times New Roman"/>
          <w:lang w:val="fr-FR"/>
        </w:rPr>
        <w:t>358.</w:t>
      </w:r>
      <w:r w:rsidRPr="00466CE7">
        <w:rPr>
          <w:rFonts w:eastAsia="Times New Roman"/>
          <w:lang w:val="fr-FR"/>
        </w:rPr>
        <w:tab/>
        <w:t>L</w:t>
      </w:r>
      <w:r>
        <w:rPr>
          <w:rFonts w:eastAsia="Times New Roman"/>
          <w:lang w:val="fr-FR"/>
        </w:rPr>
        <w:t>’</w:t>
      </w:r>
      <w:r w:rsidRPr="00466CE7">
        <w:rPr>
          <w:rFonts w:eastAsia="Times New Roman"/>
          <w:lang w:val="fr-FR"/>
        </w:rPr>
        <w:t xml:space="preserve">une des orientations stratégiques de ce programme </w:t>
      </w:r>
      <w:r>
        <w:rPr>
          <w:rFonts w:eastAsia="Times New Roman"/>
          <w:lang w:val="fr-FR"/>
        </w:rPr>
        <w:t xml:space="preserve">consiste à améliorer </w:t>
      </w:r>
      <w:r w:rsidRPr="00466CE7">
        <w:rPr>
          <w:rFonts w:eastAsia="Times New Roman"/>
          <w:lang w:val="fr-FR"/>
        </w:rPr>
        <w:t xml:space="preserve">la disponibilité </w:t>
      </w:r>
      <w:r>
        <w:rPr>
          <w:rFonts w:eastAsia="Times New Roman"/>
          <w:lang w:val="fr-FR"/>
        </w:rPr>
        <w:t xml:space="preserve">des produits </w:t>
      </w:r>
      <w:r w:rsidRPr="00466CE7">
        <w:rPr>
          <w:rFonts w:eastAsia="Times New Roman"/>
          <w:lang w:val="fr-FR"/>
        </w:rPr>
        <w:t>alimentaire</w:t>
      </w:r>
      <w:r>
        <w:rPr>
          <w:rFonts w:eastAsia="Times New Roman"/>
          <w:lang w:val="fr-FR"/>
        </w:rPr>
        <w:t>s</w:t>
      </w:r>
      <w:r w:rsidRPr="00466CE7">
        <w:rPr>
          <w:rFonts w:eastAsia="Times New Roman"/>
          <w:lang w:val="fr-FR"/>
        </w:rPr>
        <w:t xml:space="preserve"> </w:t>
      </w:r>
      <w:r>
        <w:rPr>
          <w:rFonts w:eastAsia="Times New Roman"/>
          <w:lang w:val="fr-FR"/>
        </w:rPr>
        <w:t xml:space="preserve">destinés à la </w:t>
      </w:r>
      <w:r w:rsidRPr="00466CE7">
        <w:rPr>
          <w:rFonts w:eastAsia="Times New Roman"/>
          <w:lang w:val="fr-FR"/>
        </w:rPr>
        <w:t xml:space="preserve">consommation </w:t>
      </w:r>
      <w:r>
        <w:rPr>
          <w:rFonts w:eastAsia="Times New Roman"/>
          <w:lang w:val="fr-FR"/>
        </w:rPr>
        <w:t xml:space="preserve">de </w:t>
      </w:r>
      <w:r w:rsidRPr="00466CE7">
        <w:rPr>
          <w:rFonts w:eastAsia="Times New Roman"/>
          <w:lang w:val="fr-FR"/>
        </w:rPr>
        <w:t>la population</w:t>
      </w:r>
      <w:r>
        <w:rPr>
          <w:rFonts w:eastAsia="Times New Roman"/>
          <w:lang w:val="fr-FR"/>
        </w:rPr>
        <w:t xml:space="preserve">. Il s’agit </w:t>
      </w:r>
      <w:r w:rsidRPr="00466CE7">
        <w:rPr>
          <w:rFonts w:eastAsia="Times New Roman"/>
          <w:lang w:val="fr-FR"/>
        </w:rPr>
        <w:t>d</w:t>
      </w:r>
      <w:r>
        <w:rPr>
          <w:rFonts w:eastAsia="Times New Roman"/>
          <w:lang w:val="fr-FR"/>
        </w:rPr>
        <w:t>’</w:t>
      </w:r>
      <w:r w:rsidRPr="00466CE7">
        <w:rPr>
          <w:rFonts w:eastAsia="Times New Roman"/>
          <w:lang w:val="fr-FR"/>
        </w:rPr>
        <w:t xml:space="preserve">accroître la stabilité de la production nationale de </w:t>
      </w:r>
      <w:r>
        <w:rPr>
          <w:rFonts w:eastAsia="Times New Roman"/>
          <w:lang w:val="fr-FR"/>
        </w:rPr>
        <w:t xml:space="preserve">produits </w:t>
      </w:r>
      <w:r w:rsidRPr="00466CE7">
        <w:rPr>
          <w:rFonts w:eastAsia="Times New Roman"/>
          <w:lang w:val="fr-FR"/>
        </w:rPr>
        <w:t>alimentaires de base</w:t>
      </w:r>
      <w:r>
        <w:rPr>
          <w:rFonts w:eastAsia="Times New Roman"/>
          <w:lang w:val="fr-FR"/>
        </w:rPr>
        <w:t xml:space="preserve"> et</w:t>
      </w:r>
      <w:r w:rsidRPr="00466CE7">
        <w:rPr>
          <w:rFonts w:eastAsia="Times New Roman"/>
          <w:lang w:val="fr-FR"/>
        </w:rPr>
        <w:t xml:space="preserve"> d</w:t>
      </w:r>
      <w:r>
        <w:rPr>
          <w:rFonts w:eastAsia="Times New Roman"/>
          <w:lang w:val="fr-FR"/>
        </w:rPr>
        <w:t>’</w:t>
      </w:r>
      <w:r w:rsidRPr="00466CE7">
        <w:rPr>
          <w:rFonts w:eastAsia="Times New Roman"/>
          <w:lang w:val="fr-FR"/>
        </w:rPr>
        <w:t>augmenter le volume des approvisionnements alimentaires sur le marché intérieur</w:t>
      </w:r>
      <w:r w:rsidRPr="00832B88">
        <w:rPr>
          <w:rFonts w:eastAsia="Times New Roman"/>
          <w:lang w:val="fr-FR"/>
        </w:rPr>
        <w:t xml:space="preserve"> </w:t>
      </w:r>
      <w:r w:rsidRPr="00466CE7">
        <w:rPr>
          <w:rFonts w:eastAsia="Times New Roman"/>
          <w:lang w:val="fr-FR"/>
        </w:rPr>
        <w:t xml:space="preserve">et </w:t>
      </w:r>
      <w:r>
        <w:rPr>
          <w:rFonts w:eastAsia="Times New Roman"/>
          <w:lang w:val="fr-FR"/>
        </w:rPr>
        <w:t>d’en assurer la pérennité</w:t>
      </w:r>
      <w:r w:rsidRPr="00466CE7">
        <w:rPr>
          <w:rFonts w:eastAsia="Times New Roman"/>
          <w:lang w:val="fr-FR"/>
        </w:rPr>
        <w:t>.</w:t>
      </w:r>
    </w:p>
    <w:p w14:paraId="7D26A1CB" w14:textId="04412B30" w:rsidR="009C6834" w:rsidRPr="00466CE7" w:rsidRDefault="009C6834" w:rsidP="009C6834">
      <w:pPr>
        <w:pStyle w:val="SingleTxtG"/>
        <w:rPr>
          <w:rFonts w:eastAsia="Times New Roman"/>
          <w:lang w:val="fr-FR"/>
        </w:rPr>
      </w:pPr>
      <w:r w:rsidRPr="00466CE7">
        <w:rPr>
          <w:rFonts w:eastAsia="Times New Roman"/>
          <w:lang w:val="fr-FR"/>
        </w:rPr>
        <w:t>359.</w:t>
      </w:r>
      <w:r w:rsidRPr="00466CE7">
        <w:rPr>
          <w:rFonts w:eastAsia="Times New Roman"/>
          <w:lang w:val="fr-FR"/>
        </w:rPr>
        <w:tab/>
        <w:t>La République kirghize est un pays où la présence de fer dans l</w:t>
      </w:r>
      <w:r>
        <w:rPr>
          <w:rFonts w:eastAsia="Times New Roman"/>
          <w:lang w:val="fr-FR"/>
        </w:rPr>
        <w:t>’</w:t>
      </w:r>
      <w:r w:rsidRPr="00466CE7">
        <w:rPr>
          <w:rFonts w:eastAsia="Times New Roman"/>
          <w:lang w:val="fr-FR"/>
        </w:rPr>
        <w:t>environnement est endémique et où l</w:t>
      </w:r>
      <w:r>
        <w:rPr>
          <w:rFonts w:eastAsia="Times New Roman"/>
          <w:lang w:val="fr-FR"/>
        </w:rPr>
        <w:t>’</w:t>
      </w:r>
      <w:r w:rsidRPr="00466CE7">
        <w:rPr>
          <w:rFonts w:eastAsia="Times New Roman"/>
          <w:lang w:val="fr-FR"/>
        </w:rPr>
        <w:t>incidence de l</w:t>
      </w:r>
      <w:r>
        <w:rPr>
          <w:rFonts w:eastAsia="Times New Roman"/>
          <w:lang w:val="fr-FR"/>
        </w:rPr>
        <w:t>’</w:t>
      </w:r>
      <w:r w:rsidRPr="00466CE7">
        <w:rPr>
          <w:rFonts w:eastAsia="Times New Roman"/>
          <w:lang w:val="fr-FR"/>
        </w:rPr>
        <w:t xml:space="preserve">anémie ferriprive est </w:t>
      </w:r>
      <w:r>
        <w:rPr>
          <w:rFonts w:eastAsia="Times New Roman"/>
          <w:lang w:val="fr-FR"/>
        </w:rPr>
        <w:t>forte</w:t>
      </w:r>
      <w:r w:rsidRPr="00466CE7">
        <w:rPr>
          <w:rFonts w:eastAsia="Times New Roman"/>
          <w:lang w:val="fr-FR"/>
        </w:rPr>
        <w:t xml:space="preserve"> au sein de la population. C</w:t>
      </w:r>
      <w:r>
        <w:rPr>
          <w:rFonts w:eastAsia="Times New Roman"/>
          <w:lang w:val="fr-FR"/>
        </w:rPr>
        <w:t>’</w:t>
      </w:r>
      <w:r w:rsidRPr="00466CE7">
        <w:rPr>
          <w:rFonts w:eastAsia="Times New Roman"/>
          <w:lang w:val="fr-FR"/>
        </w:rPr>
        <w:t xml:space="preserve">est pourquoi </w:t>
      </w:r>
      <w:r>
        <w:rPr>
          <w:rFonts w:eastAsia="Times New Roman"/>
          <w:lang w:val="fr-FR"/>
        </w:rPr>
        <w:t xml:space="preserve">elle a adopté </w:t>
      </w:r>
      <w:r w:rsidRPr="00466CE7">
        <w:rPr>
          <w:rFonts w:eastAsia="Times New Roman"/>
          <w:lang w:val="fr-FR"/>
        </w:rPr>
        <w:t xml:space="preserve">en 2009 </w:t>
      </w:r>
      <w:r>
        <w:rPr>
          <w:rFonts w:eastAsia="Times New Roman"/>
          <w:lang w:val="fr-FR"/>
        </w:rPr>
        <w:t xml:space="preserve">une </w:t>
      </w:r>
      <w:r w:rsidRPr="00466CE7">
        <w:rPr>
          <w:rFonts w:eastAsia="Times New Roman"/>
          <w:lang w:val="fr-FR"/>
        </w:rPr>
        <w:t>loi sur l</w:t>
      </w:r>
      <w:r>
        <w:rPr>
          <w:rFonts w:eastAsia="Times New Roman"/>
          <w:lang w:val="fr-FR"/>
        </w:rPr>
        <w:t>’</w:t>
      </w:r>
      <w:r w:rsidRPr="00466CE7">
        <w:rPr>
          <w:rFonts w:eastAsia="Times New Roman"/>
          <w:lang w:val="fr-FR"/>
        </w:rPr>
        <w:t xml:space="preserve">enrichissement de la farine de boulangerie </w:t>
      </w:r>
      <w:r>
        <w:rPr>
          <w:rFonts w:eastAsia="Times New Roman"/>
          <w:lang w:val="fr-FR"/>
        </w:rPr>
        <w:t xml:space="preserve">qui impose l’enrichissement de </w:t>
      </w:r>
      <w:r w:rsidRPr="00466CE7">
        <w:rPr>
          <w:rFonts w:eastAsia="Times New Roman"/>
          <w:lang w:val="fr-FR"/>
        </w:rPr>
        <w:t>la farine de première qualité et d</w:t>
      </w:r>
      <w:r>
        <w:rPr>
          <w:rFonts w:eastAsia="Times New Roman"/>
          <w:lang w:val="fr-FR"/>
        </w:rPr>
        <w:t xml:space="preserve">e qualité supérieure (produite ou </w:t>
      </w:r>
      <w:r w:rsidRPr="00466CE7">
        <w:rPr>
          <w:rFonts w:eastAsia="Times New Roman"/>
          <w:lang w:val="fr-FR"/>
        </w:rPr>
        <w:t xml:space="preserve">importée). </w:t>
      </w:r>
      <w:r>
        <w:rPr>
          <w:rFonts w:eastAsia="Times New Roman"/>
          <w:lang w:val="fr-FR"/>
        </w:rPr>
        <w:t xml:space="preserve">Le </w:t>
      </w:r>
      <w:r w:rsidR="000479B3">
        <w:rPr>
          <w:rFonts w:eastAsia="Times New Roman"/>
          <w:lang w:val="fr-FR"/>
        </w:rPr>
        <w:t>Kirghizistan</w:t>
      </w:r>
      <w:r>
        <w:rPr>
          <w:rFonts w:eastAsia="Times New Roman"/>
          <w:lang w:val="fr-FR"/>
        </w:rPr>
        <w:t xml:space="preserve"> importe </w:t>
      </w:r>
      <w:r w:rsidRPr="00466CE7">
        <w:rPr>
          <w:rFonts w:eastAsia="Times New Roman"/>
          <w:lang w:val="fr-FR"/>
        </w:rPr>
        <w:t>55</w:t>
      </w:r>
      <w:r w:rsidR="00DE0C81">
        <w:rPr>
          <w:rFonts w:eastAsia="Times New Roman"/>
          <w:lang w:val="fr-FR"/>
        </w:rPr>
        <w:t> </w:t>
      </w:r>
      <w:r w:rsidRPr="00466CE7">
        <w:rPr>
          <w:rFonts w:eastAsia="Times New Roman"/>
          <w:lang w:val="fr-FR"/>
        </w:rPr>
        <w:t xml:space="preserve">% de </w:t>
      </w:r>
      <w:r>
        <w:rPr>
          <w:rFonts w:eastAsia="Times New Roman"/>
          <w:lang w:val="fr-FR"/>
        </w:rPr>
        <w:t>l</w:t>
      </w:r>
      <w:r w:rsidRPr="00466CE7">
        <w:rPr>
          <w:rFonts w:eastAsia="Times New Roman"/>
          <w:lang w:val="fr-FR"/>
        </w:rPr>
        <w:t>a farine</w:t>
      </w:r>
      <w:r>
        <w:rPr>
          <w:rFonts w:eastAsia="Times New Roman"/>
          <w:lang w:val="fr-FR"/>
        </w:rPr>
        <w:t xml:space="preserve"> qu’il consomme, notamment de</w:t>
      </w:r>
      <w:r w:rsidRPr="00466CE7">
        <w:rPr>
          <w:rFonts w:eastAsia="Times New Roman"/>
          <w:lang w:val="fr-FR"/>
        </w:rPr>
        <w:t xml:space="preserve"> la farine non enrichie. </w:t>
      </w:r>
    </w:p>
    <w:p w14:paraId="4E19E1D4" w14:textId="77777777" w:rsidR="009C6834" w:rsidRPr="00466CE7" w:rsidRDefault="009C6834" w:rsidP="009C6834">
      <w:pPr>
        <w:pStyle w:val="SingleTxtG"/>
        <w:rPr>
          <w:rFonts w:eastAsia="Times New Roman"/>
          <w:lang w:val="fr-FR"/>
        </w:rPr>
      </w:pPr>
      <w:r w:rsidRPr="00466CE7">
        <w:rPr>
          <w:rFonts w:eastAsia="Times New Roman"/>
          <w:lang w:val="fr-FR"/>
        </w:rPr>
        <w:t>360.</w:t>
      </w:r>
      <w:r w:rsidRPr="00466CE7">
        <w:rPr>
          <w:rFonts w:eastAsia="Times New Roman"/>
          <w:lang w:val="fr-FR"/>
        </w:rPr>
        <w:tab/>
      </w:r>
      <w:r>
        <w:rPr>
          <w:rFonts w:eastAsia="Times New Roman"/>
          <w:lang w:val="fr-FR"/>
        </w:rPr>
        <w:t>L</w:t>
      </w:r>
      <w:r w:rsidRPr="00466CE7">
        <w:rPr>
          <w:rFonts w:eastAsia="Times New Roman"/>
          <w:lang w:val="fr-FR"/>
        </w:rPr>
        <w:t>e règlement technique de l</w:t>
      </w:r>
      <w:r>
        <w:rPr>
          <w:rFonts w:eastAsia="Times New Roman"/>
          <w:lang w:val="fr-FR"/>
        </w:rPr>
        <w:t>’</w:t>
      </w:r>
      <w:r w:rsidRPr="00466CE7">
        <w:rPr>
          <w:rFonts w:eastAsia="Times New Roman"/>
          <w:lang w:val="fr-FR"/>
        </w:rPr>
        <w:t>Union douanière sur la sécurité</w:t>
      </w:r>
      <w:r>
        <w:rPr>
          <w:rFonts w:eastAsia="Times New Roman"/>
          <w:lang w:val="fr-FR"/>
        </w:rPr>
        <w:t xml:space="preserve"> des produits alimentaires </w:t>
      </w:r>
      <w:r w:rsidRPr="00466CE7">
        <w:rPr>
          <w:rFonts w:eastAsia="Times New Roman"/>
          <w:lang w:val="fr-FR"/>
        </w:rPr>
        <w:t xml:space="preserve">(TR </w:t>
      </w:r>
      <w:r>
        <w:rPr>
          <w:rFonts w:eastAsia="Times New Roman"/>
          <w:lang w:val="fr-FR"/>
        </w:rPr>
        <w:t>T</w:t>
      </w:r>
      <w:r w:rsidRPr="00466CE7">
        <w:rPr>
          <w:rFonts w:eastAsia="Times New Roman"/>
          <w:lang w:val="fr-FR"/>
        </w:rPr>
        <w:t>C 021/2011)</w:t>
      </w:r>
      <w:r>
        <w:rPr>
          <w:rFonts w:eastAsia="Times New Roman"/>
          <w:lang w:val="fr-FR"/>
        </w:rPr>
        <w:t xml:space="preserve">, </w:t>
      </w:r>
      <w:r w:rsidRPr="00466CE7">
        <w:rPr>
          <w:rFonts w:eastAsia="Times New Roman"/>
          <w:lang w:val="fr-FR"/>
        </w:rPr>
        <w:t>entré en vigueur</w:t>
      </w:r>
      <w:r w:rsidRPr="005061E4">
        <w:rPr>
          <w:rFonts w:eastAsia="Times New Roman"/>
          <w:lang w:val="fr-FR"/>
        </w:rPr>
        <w:t xml:space="preserve"> </w:t>
      </w:r>
      <w:r>
        <w:rPr>
          <w:rFonts w:eastAsia="Times New Roman"/>
          <w:lang w:val="fr-FR"/>
        </w:rPr>
        <w:t xml:space="preserve">en </w:t>
      </w:r>
      <w:r w:rsidRPr="00466CE7">
        <w:rPr>
          <w:rFonts w:eastAsia="Times New Roman"/>
          <w:lang w:val="fr-FR"/>
        </w:rPr>
        <w:t>2017</w:t>
      </w:r>
      <w:r>
        <w:rPr>
          <w:rFonts w:eastAsia="Times New Roman"/>
          <w:lang w:val="fr-FR"/>
        </w:rPr>
        <w:t xml:space="preserve">, ne contient pas de disposition concernant </w:t>
      </w:r>
      <w:r w:rsidRPr="00466CE7">
        <w:rPr>
          <w:rFonts w:eastAsia="Times New Roman"/>
          <w:lang w:val="fr-FR"/>
        </w:rPr>
        <w:t>l</w:t>
      </w:r>
      <w:r>
        <w:rPr>
          <w:rFonts w:eastAsia="Times New Roman"/>
          <w:lang w:val="fr-FR"/>
        </w:rPr>
        <w:t>’</w:t>
      </w:r>
      <w:r w:rsidRPr="00466CE7">
        <w:rPr>
          <w:rFonts w:eastAsia="Times New Roman"/>
          <w:lang w:val="fr-FR"/>
        </w:rPr>
        <w:t xml:space="preserve">enrichissement de la farine. </w:t>
      </w:r>
      <w:r>
        <w:rPr>
          <w:rFonts w:eastAsia="Times New Roman"/>
          <w:lang w:val="fr-FR"/>
        </w:rPr>
        <w:t xml:space="preserve">Le </w:t>
      </w:r>
      <w:r w:rsidRPr="00466CE7">
        <w:rPr>
          <w:rFonts w:eastAsia="Times New Roman"/>
          <w:lang w:val="fr-FR"/>
        </w:rPr>
        <w:t>traité de l</w:t>
      </w:r>
      <w:r>
        <w:rPr>
          <w:rFonts w:eastAsia="Times New Roman"/>
          <w:lang w:val="fr-FR"/>
        </w:rPr>
        <w:t>’</w:t>
      </w:r>
      <w:r w:rsidRPr="00466CE7">
        <w:rPr>
          <w:rFonts w:eastAsia="Times New Roman"/>
          <w:lang w:val="fr-FR"/>
        </w:rPr>
        <w:t>U</w:t>
      </w:r>
      <w:r>
        <w:rPr>
          <w:rFonts w:eastAsia="Times New Roman"/>
          <w:lang w:val="fr-FR"/>
        </w:rPr>
        <w:t xml:space="preserve">nion économique eurasiatique ne permet pas aux membres de l’Union </w:t>
      </w:r>
      <w:r w:rsidRPr="00466CE7">
        <w:rPr>
          <w:rFonts w:eastAsia="Times New Roman"/>
          <w:lang w:val="fr-FR"/>
        </w:rPr>
        <w:t>d</w:t>
      </w:r>
      <w:r>
        <w:rPr>
          <w:rFonts w:eastAsia="Times New Roman"/>
          <w:lang w:val="fr-FR"/>
        </w:rPr>
        <w:t>’</w:t>
      </w:r>
      <w:r w:rsidRPr="00466CE7">
        <w:rPr>
          <w:rFonts w:eastAsia="Times New Roman"/>
          <w:lang w:val="fr-FR"/>
        </w:rPr>
        <w:t>interdire l</w:t>
      </w:r>
      <w:r>
        <w:rPr>
          <w:rFonts w:eastAsia="Times New Roman"/>
          <w:lang w:val="fr-FR"/>
        </w:rPr>
        <w:t>’</w:t>
      </w:r>
      <w:r w:rsidRPr="00466CE7">
        <w:rPr>
          <w:rFonts w:eastAsia="Times New Roman"/>
          <w:lang w:val="fr-FR"/>
        </w:rPr>
        <w:t xml:space="preserve">importation de produits si </w:t>
      </w:r>
      <w:r>
        <w:rPr>
          <w:rFonts w:eastAsia="Times New Roman"/>
          <w:lang w:val="fr-FR"/>
        </w:rPr>
        <w:t xml:space="preserve">les entreprises </w:t>
      </w:r>
      <w:r w:rsidRPr="00466CE7">
        <w:rPr>
          <w:rFonts w:eastAsia="Times New Roman"/>
          <w:lang w:val="fr-FR"/>
        </w:rPr>
        <w:t xml:space="preserve">disposent </w:t>
      </w:r>
      <w:r>
        <w:rPr>
          <w:rFonts w:eastAsia="Times New Roman"/>
          <w:lang w:val="fr-FR"/>
        </w:rPr>
        <w:t xml:space="preserve">pour ces produits </w:t>
      </w:r>
      <w:r w:rsidRPr="00466CE7">
        <w:rPr>
          <w:rFonts w:eastAsia="Times New Roman"/>
          <w:lang w:val="fr-FR"/>
        </w:rPr>
        <w:t>d</w:t>
      </w:r>
      <w:r>
        <w:rPr>
          <w:rFonts w:eastAsia="Times New Roman"/>
          <w:lang w:val="fr-FR"/>
        </w:rPr>
        <w:t>’</w:t>
      </w:r>
      <w:r w:rsidRPr="00466CE7">
        <w:rPr>
          <w:rFonts w:eastAsia="Times New Roman"/>
          <w:lang w:val="fr-FR"/>
        </w:rPr>
        <w:t>une déclaration de conformité</w:t>
      </w:r>
      <w:r>
        <w:rPr>
          <w:rFonts w:eastAsia="Times New Roman"/>
          <w:lang w:val="fr-FR"/>
        </w:rPr>
        <w:t xml:space="preserve"> EAC (eurasiatique)</w:t>
      </w:r>
      <w:r w:rsidRPr="00466CE7">
        <w:rPr>
          <w:rFonts w:eastAsia="Times New Roman"/>
          <w:lang w:val="fr-FR"/>
        </w:rPr>
        <w:t xml:space="preserve">. </w:t>
      </w:r>
      <w:r>
        <w:rPr>
          <w:rFonts w:eastAsia="Times New Roman"/>
          <w:lang w:val="fr-FR"/>
        </w:rPr>
        <w:t xml:space="preserve">Les produits ne sont contrôlés qu’au moment où ils entrent sur </w:t>
      </w:r>
      <w:r w:rsidRPr="00466CE7">
        <w:rPr>
          <w:rFonts w:eastAsia="Times New Roman"/>
          <w:lang w:val="fr-FR"/>
        </w:rPr>
        <w:t xml:space="preserve">le marché </w:t>
      </w:r>
      <w:r>
        <w:rPr>
          <w:rFonts w:eastAsia="Times New Roman"/>
          <w:lang w:val="fr-FR"/>
        </w:rPr>
        <w:t>kirghize</w:t>
      </w:r>
      <w:r w:rsidRPr="00466CE7">
        <w:rPr>
          <w:rFonts w:eastAsia="Times New Roman"/>
          <w:lang w:val="fr-FR"/>
        </w:rPr>
        <w:t>.</w:t>
      </w:r>
    </w:p>
    <w:p w14:paraId="51F9703C" w14:textId="77777777" w:rsidR="009C6834" w:rsidRPr="00466CE7" w:rsidRDefault="009C6834" w:rsidP="009C6834">
      <w:pPr>
        <w:pStyle w:val="SingleTxtG"/>
        <w:rPr>
          <w:rFonts w:eastAsia="Times New Roman"/>
          <w:lang w:val="fr-FR"/>
        </w:rPr>
      </w:pPr>
      <w:r w:rsidRPr="00466CE7">
        <w:rPr>
          <w:rFonts w:eastAsia="Times New Roman"/>
          <w:lang w:val="fr-FR"/>
        </w:rPr>
        <w:t>361.</w:t>
      </w:r>
      <w:r w:rsidRPr="00466CE7">
        <w:rPr>
          <w:rFonts w:eastAsia="Times New Roman"/>
          <w:lang w:val="fr-FR"/>
        </w:rPr>
        <w:tab/>
        <w:t>Compte tenu de cette situation, la Commission économique eurasi</w:t>
      </w:r>
      <w:r>
        <w:rPr>
          <w:rFonts w:eastAsia="Times New Roman"/>
          <w:lang w:val="fr-FR"/>
        </w:rPr>
        <w:t>atique</w:t>
      </w:r>
      <w:r w:rsidRPr="00466CE7">
        <w:rPr>
          <w:rFonts w:eastAsia="Times New Roman"/>
          <w:lang w:val="fr-FR"/>
        </w:rPr>
        <w:t xml:space="preserve"> a </w:t>
      </w:r>
      <w:r>
        <w:rPr>
          <w:rFonts w:eastAsia="Times New Roman"/>
          <w:lang w:val="fr-FR"/>
        </w:rPr>
        <w:t>entrepris au début de l’année</w:t>
      </w:r>
      <w:r w:rsidRPr="00466CE7">
        <w:rPr>
          <w:rFonts w:eastAsia="Times New Roman"/>
          <w:lang w:val="fr-FR"/>
        </w:rPr>
        <w:t xml:space="preserve"> 2019</w:t>
      </w:r>
      <w:r>
        <w:rPr>
          <w:rFonts w:eastAsia="Times New Roman"/>
          <w:lang w:val="fr-FR"/>
        </w:rPr>
        <w:t xml:space="preserve"> un processus visant à modifier et compléter le</w:t>
      </w:r>
      <w:r w:rsidRPr="00466CE7">
        <w:rPr>
          <w:rFonts w:eastAsia="Times New Roman"/>
          <w:lang w:val="fr-FR"/>
        </w:rPr>
        <w:t xml:space="preserve"> règlement technique de l</w:t>
      </w:r>
      <w:r>
        <w:rPr>
          <w:rFonts w:eastAsia="Times New Roman"/>
          <w:lang w:val="fr-FR"/>
        </w:rPr>
        <w:t>’</w:t>
      </w:r>
      <w:r w:rsidRPr="00466CE7">
        <w:rPr>
          <w:rFonts w:eastAsia="Times New Roman"/>
          <w:lang w:val="fr-FR"/>
        </w:rPr>
        <w:t xml:space="preserve">Union douanière TR </w:t>
      </w:r>
      <w:r>
        <w:rPr>
          <w:rFonts w:eastAsia="Times New Roman"/>
          <w:lang w:val="fr-FR"/>
        </w:rPr>
        <w:t>T</w:t>
      </w:r>
      <w:r w:rsidRPr="00466CE7">
        <w:rPr>
          <w:rFonts w:eastAsia="Times New Roman"/>
          <w:lang w:val="fr-FR"/>
        </w:rPr>
        <w:t>C</w:t>
      </w:r>
      <w:r>
        <w:rPr>
          <w:rFonts w:eastAsia="Times New Roman"/>
          <w:lang w:val="fr-FR"/>
        </w:rPr>
        <w:t xml:space="preserve"> </w:t>
      </w:r>
      <w:r w:rsidRPr="00466CE7">
        <w:rPr>
          <w:rFonts w:eastAsia="Times New Roman"/>
          <w:lang w:val="fr-FR"/>
        </w:rPr>
        <w:t>021/2011</w:t>
      </w:r>
      <w:r>
        <w:rPr>
          <w:rFonts w:eastAsia="Times New Roman"/>
          <w:lang w:val="fr-FR"/>
        </w:rPr>
        <w:t xml:space="preserve"> pour y inclure des dispositions concernant </w:t>
      </w:r>
      <w:r w:rsidRPr="00466CE7">
        <w:rPr>
          <w:rFonts w:eastAsia="Times New Roman"/>
          <w:lang w:val="fr-FR"/>
        </w:rPr>
        <w:t>l</w:t>
      </w:r>
      <w:r>
        <w:rPr>
          <w:rFonts w:eastAsia="Times New Roman"/>
          <w:lang w:val="fr-FR"/>
        </w:rPr>
        <w:t>’</w:t>
      </w:r>
      <w:r w:rsidRPr="00466CE7">
        <w:rPr>
          <w:rFonts w:eastAsia="Times New Roman"/>
          <w:lang w:val="fr-FR"/>
        </w:rPr>
        <w:t>enrichissement de la farine de première qualité</w:t>
      </w:r>
      <w:r>
        <w:rPr>
          <w:rFonts w:eastAsia="Times New Roman"/>
          <w:lang w:val="fr-FR"/>
        </w:rPr>
        <w:t xml:space="preserve"> et de qualité supérieure</w:t>
      </w:r>
      <w:r w:rsidRPr="00466CE7">
        <w:rPr>
          <w:rFonts w:eastAsia="Times New Roman"/>
          <w:lang w:val="fr-FR"/>
        </w:rPr>
        <w:t>.</w:t>
      </w:r>
    </w:p>
    <w:p w14:paraId="69538F0D" w14:textId="50BFAD28" w:rsidR="009C6834" w:rsidRPr="00466CE7" w:rsidRDefault="009C6834" w:rsidP="00DE0C81">
      <w:pPr>
        <w:pStyle w:val="H1G"/>
        <w:rPr>
          <w:lang w:val="fr-FR"/>
        </w:rPr>
      </w:pPr>
      <w:r w:rsidRPr="00466CE7">
        <w:rPr>
          <w:lang w:val="fr-FR"/>
        </w:rPr>
        <w:tab/>
      </w:r>
      <w:r w:rsidRPr="00466CE7">
        <w:rPr>
          <w:lang w:val="fr-FR"/>
        </w:rPr>
        <w:tab/>
      </w:r>
      <w:r w:rsidR="00CB4ECD">
        <w:rPr>
          <w:lang w:val="fr-FR"/>
        </w:rPr>
        <w:t>Article </w:t>
      </w:r>
      <w:r w:rsidRPr="00466CE7">
        <w:rPr>
          <w:lang w:val="fr-FR"/>
        </w:rPr>
        <w:t>22</w:t>
      </w:r>
      <w:r w:rsidRPr="00466CE7">
        <w:rPr>
          <w:lang w:val="fr-FR"/>
        </w:rPr>
        <w:br/>
      </w:r>
      <w:r>
        <w:rPr>
          <w:lang w:val="fr-FR"/>
        </w:rPr>
        <w:t>Accès aux soins de santé</w:t>
      </w:r>
    </w:p>
    <w:p w14:paraId="45A3DD15" w14:textId="77777777" w:rsidR="009C6834" w:rsidRPr="00466CE7" w:rsidRDefault="009C6834" w:rsidP="009C6834">
      <w:pPr>
        <w:pStyle w:val="SingleTxtG"/>
        <w:rPr>
          <w:rFonts w:eastAsia="Times New Roman"/>
          <w:lang w:val="fr-FR"/>
        </w:rPr>
      </w:pPr>
      <w:r w:rsidRPr="00466CE7">
        <w:rPr>
          <w:rFonts w:eastAsia="Times New Roman"/>
          <w:lang w:val="fr-FR"/>
        </w:rPr>
        <w:t>362.</w:t>
      </w:r>
      <w:r w:rsidRPr="00466CE7">
        <w:rPr>
          <w:rFonts w:eastAsia="Times New Roman"/>
          <w:lang w:val="fr-FR"/>
        </w:rPr>
        <w:tab/>
      </w:r>
      <w:r>
        <w:rPr>
          <w:rFonts w:eastAsia="Times New Roman"/>
          <w:lang w:val="fr-FR"/>
        </w:rPr>
        <w:t>S</w:t>
      </w:r>
      <w:r w:rsidRPr="00466CE7">
        <w:rPr>
          <w:rFonts w:eastAsia="Times New Roman"/>
          <w:lang w:val="fr-FR"/>
        </w:rPr>
        <w:t xml:space="preserve">elon la loi </w:t>
      </w:r>
      <w:r>
        <w:rPr>
          <w:rFonts w:eastAsia="Times New Roman"/>
          <w:lang w:val="fr-FR"/>
        </w:rPr>
        <w:t>s</w:t>
      </w:r>
      <w:r w:rsidRPr="00466CE7">
        <w:rPr>
          <w:rFonts w:eastAsia="Times New Roman"/>
          <w:lang w:val="fr-FR"/>
        </w:rPr>
        <w:t>ur la prot</w:t>
      </w:r>
      <w:r>
        <w:rPr>
          <w:rFonts w:eastAsia="Times New Roman"/>
          <w:lang w:val="fr-FR"/>
        </w:rPr>
        <w:t>ection de la santé publique, l’</w:t>
      </w:r>
      <w:r w:rsidRPr="00466CE7">
        <w:rPr>
          <w:rFonts w:eastAsia="Times New Roman"/>
          <w:lang w:val="fr-FR"/>
        </w:rPr>
        <w:t xml:space="preserve">objectif principal de la politique </w:t>
      </w:r>
      <w:r>
        <w:rPr>
          <w:rFonts w:eastAsia="Times New Roman"/>
          <w:lang w:val="fr-FR"/>
        </w:rPr>
        <w:t xml:space="preserve">de l’État dans le domaine de la santé consiste à permettre aux citoyens d’exercer leur droit </w:t>
      </w:r>
      <w:r w:rsidRPr="00466CE7">
        <w:rPr>
          <w:rFonts w:eastAsia="Times New Roman"/>
          <w:lang w:val="fr-FR"/>
        </w:rPr>
        <w:t>inaliénable</w:t>
      </w:r>
      <w:r>
        <w:rPr>
          <w:rFonts w:eastAsia="Times New Roman"/>
          <w:lang w:val="fr-FR"/>
        </w:rPr>
        <w:t>,</w:t>
      </w:r>
      <w:r w:rsidRPr="00E65C71">
        <w:rPr>
          <w:rFonts w:eastAsia="Times New Roman"/>
          <w:lang w:val="fr-FR"/>
        </w:rPr>
        <w:t xml:space="preserve"> </w:t>
      </w:r>
      <w:r w:rsidRPr="00466CE7">
        <w:rPr>
          <w:rFonts w:eastAsia="Times New Roman"/>
          <w:lang w:val="fr-FR"/>
        </w:rPr>
        <w:t>garanti par la Constitution</w:t>
      </w:r>
      <w:r>
        <w:rPr>
          <w:rFonts w:eastAsia="Times New Roman"/>
          <w:lang w:val="fr-FR"/>
        </w:rPr>
        <w:t xml:space="preserve">, à préserver et protéger </w:t>
      </w:r>
      <w:r w:rsidRPr="00466CE7">
        <w:rPr>
          <w:rFonts w:eastAsia="Times New Roman"/>
          <w:lang w:val="fr-FR"/>
        </w:rPr>
        <w:t>leur santé</w:t>
      </w:r>
      <w:r>
        <w:rPr>
          <w:rFonts w:eastAsia="Times New Roman"/>
          <w:lang w:val="fr-FR"/>
        </w:rPr>
        <w:t xml:space="preserve"> ainsi que </w:t>
      </w:r>
      <w:r w:rsidRPr="00466CE7">
        <w:rPr>
          <w:rFonts w:eastAsia="Times New Roman"/>
          <w:lang w:val="fr-FR"/>
        </w:rPr>
        <w:t xml:space="preserve">la </w:t>
      </w:r>
      <w:r>
        <w:rPr>
          <w:rFonts w:eastAsia="Times New Roman"/>
          <w:lang w:val="fr-FR"/>
        </w:rPr>
        <w:t xml:space="preserve">vie et la </w:t>
      </w:r>
      <w:r w:rsidRPr="00466CE7">
        <w:rPr>
          <w:rFonts w:eastAsia="Times New Roman"/>
          <w:lang w:val="fr-FR"/>
        </w:rPr>
        <w:t>santé d</w:t>
      </w:r>
      <w:r>
        <w:rPr>
          <w:rFonts w:eastAsia="Times New Roman"/>
          <w:lang w:val="fr-FR"/>
        </w:rPr>
        <w:t>’autrui</w:t>
      </w:r>
      <w:r w:rsidRPr="00466CE7">
        <w:rPr>
          <w:rFonts w:eastAsia="Times New Roman"/>
          <w:lang w:val="fr-FR"/>
        </w:rPr>
        <w:t>.</w:t>
      </w:r>
    </w:p>
    <w:p w14:paraId="3A655608" w14:textId="4AC5192A" w:rsidR="009C6834" w:rsidRPr="00466CE7" w:rsidRDefault="009C6834" w:rsidP="009C6834">
      <w:pPr>
        <w:pStyle w:val="SingleTxtG"/>
        <w:rPr>
          <w:rFonts w:eastAsia="Times New Roman"/>
          <w:lang w:val="fr-FR"/>
        </w:rPr>
      </w:pPr>
      <w:r w:rsidRPr="00466CE7">
        <w:rPr>
          <w:rFonts w:eastAsia="Times New Roman"/>
          <w:lang w:val="fr-FR"/>
        </w:rPr>
        <w:t>363.</w:t>
      </w:r>
      <w:r w:rsidRPr="00466CE7">
        <w:rPr>
          <w:rFonts w:eastAsia="Times New Roman"/>
          <w:lang w:val="fr-FR"/>
        </w:rPr>
        <w:tab/>
        <w:t>L</w:t>
      </w:r>
      <w:r>
        <w:rPr>
          <w:rFonts w:eastAsia="Times New Roman"/>
          <w:lang w:val="fr-FR"/>
        </w:rPr>
        <w:t>’</w:t>
      </w:r>
      <w:r w:rsidRPr="00466CE7">
        <w:rPr>
          <w:rFonts w:eastAsia="Times New Roman"/>
          <w:lang w:val="fr-FR"/>
        </w:rPr>
        <w:t>accès aux services de s</w:t>
      </w:r>
      <w:r>
        <w:rPr>
          <w:rFonts w:eastAsia="Times New Roman"/>
          <w:lang w:val="fr-FR"/>
        </w:rPr>
        <w:t>oins de santé primaire</w:t>
      </w:r>
      <w:r w:rsidR="00455D20">
        <w:rPr>
          <w:rFonts w:eastAsia="Times New Roman"/>
          <w:lang w:val="fr-FR"/>
        </w:rPr>
        <w:t>s</w:t>
      </w:r>
      <w:r>
        <w:rPr>
          <w:rFonts w:eastAsia="Times New Roman"/>
          <w:lang w:val="fr-FR"/>
        </w:rPr>
        <w:t>, et</w:t>
      </w:r>
      <w:r w:rsidRPr="00466CE7">
        <w:rPr>
          <w:rFonts w:eastAsia="Times New Roman"/>
          <w:lang w:val="fr-FR"/>
        </w:rPr>
        <w:t xml:space="preserve"> </w:t>
      </w:r>
      <w:r>
        <w:rPr>
          <w:rFonts w:eastAsia="Times New Roman"/>
          <w:lang w:val="fr-FR"/>
        </w:rPr>
        <w:t xml:space="preserve">l’exercice du </w:t>
      </w:r>
      <w:r w:rsidRPr="00466CE7">
        <w:rPr>
          <w:rFonts w:eastAsia="Times New Roman"/>
          <w:lang w:val="fr-FR"/>
        </w:rPr>
        <w:t xml:space="preserve">droit </w:t>
      </w:r>
      <w:r>
        <w:rPr>
          <w:rFonts w:eastAsia="Times New Roman"/>
          <w:lang w:val="fr-FR"/>
        </w:rPr>
        <w:t xml:space="preserve">de </w:t>
      </w:r>
      <w:r w:rsidRPr="00466CE7">
        <w:rPr>
          <w:rFonts w:eastAsia="Times New Roman"/>
          <w:lang w:val="fr-FR"/>
        </w:rPr>
        <w:t xml:space="preserve">choisir librement </w:t>
      </w:r>
      <w:r>
        <w:rPr>
          <w:rFonts w:eastAsia="Times New Roman"/>
          <w:lang w:val="fr-FR"/>
        </w:rPr>
        <w:t xml:space="preserve">son cabinet de médecine familiale </w:t>
      </w:r>
      <w:r w:rsidRPr="00466CE7">
        <w:rPr>
          <w:rFonts w:eastAsia="Times New Roman"/>
          <w:lang w:val="fr-FR"/>
        </w:rPr>
        <w:t xml:space="preserve">dans la zone </w:t>
      </w:r>
      <w:r>
        <w:rPr>
          <w:rFonts w:eastAsia="Times New Roman"/>
          <w:lang w:val="fr-FR"/>
        </w:rPr>
        <w:t xml:space="preserve">desservie par les centres de médecine familiale et de médecine généraliste dont on dépend, </w:t>
      </w:r>
      <w:r w:rsidRPr="00466CE7">
        <w:rPr>
          <w:rFonts w:eastAsia="Times New Roman"/>
          <w:lang w:val="fr-FR"/>
        </w:rPr>
        <w:t xml:space="preserve">sont régis par les règles </w:t>
      </w:r>
      <w:r>
        <w:rPr>
          <w:rFonts w:eastAsia="Times New Roman"/>
          <w:lang w:val="fr-FR"/>
        </w:rPr>
        <w:t xml:space="preserve">relatives à l’enregistrement des citoyens auprès des cabinets </w:t>
      </w:r>
      <w:r w:rsidRPr="00466CE7">
        <w:rPr>
          <w:rFonts w:eastAsia="Times New Roman"/>
          <w:lang w:val="fr-FR"/>
        </w:rPr>
        <w:t xml:space="preserve">de </w:t>
      </w:r>
      <w:r>
        <w:rPr>
          <w:rFonts w:eastAsia="Times New Roman"/>
          <w:lang w:val="fr-FR"/>
        </w:rPr>
        <w:t xml:space="preserve">médecine familiale, </w:t>
      </w:r>
      <w:r w:rsidRPr="00466CE7">
        <w:rPr>
          <w:rFonts w:eastAsia="Times New Roman"/>
          <w:lang w:val="fr-FR"/>
        </w:rPr>
        <w:t xml:space="preserve">approuvées par le </w:t>
      </w:r>
      <w:r>
        <w:rPr>
          <w:rFonts w:eastAsia="Times New Roman"/>
          <w:lang w:val="fr-FR"/>
        </w:rPr>
        <w:t>M</w:t>
      </w:r>
      <w:r w:rsidRPr="00466CE7">
        <w:rPr>
          <w:rFonts w:eastAsia="Times New Roman"/>
          <w:lang w:val="fr-FR"/>
        </w:rPr>
        <w:t xml:space="preserve">inistère de la </w:t>
      </w:r>
      <w:r>
        <w:rPr>
          <w:rFonts w:eastAsia="Times New Roman"/>
          <w:lang w:val="fr-FR"/>
        </w:rPr>
        <w:t>s</w:t>
      </w:r>
      <w:r w:rsidRPr="00466CE7">
        <w:rPr>
          <w:rFonts w:eastAsia="Times New Roman"/>
          <w:lang w:val="fr-FR"/>
        </w:rPr>
        <w:t xml:space="preserve">anté. Ces règles </w:t>
      </w:r>
      <w:r>
        <w:rPr>
          <w:rFonts w:eastAsia="Times New Roman"/>
          <w:lang w:val="fr-FR"/>
        </w:rPr>
        <w:t xml:space="preserve">reposent </w:t>
      </w:r>
      <w:r w:rsidRPr="00466CE7">
        <w:rPr>
          <w:rFonts w:eastAsia="Times New Roman"/>
          <w:lang w:val="fr-FR"/>
        </w:rPr>
        <w:t xml:space="preserve">sur les principes de </w:t>
      </w:r>
      <w:r>
        <w:rPr>
          <w:rFonts w:eastAsia="Times New Roman"/>
          <w:lang w:val="fr-FR"/>
        </w:rPr>
        <w:t xml:space="preserve">la </w:t>
      </w:r>
      <w:r w:rsidRPr="00466CE7">
        <w:rPr>
          <w:rFonts w:eastAsia="Times New Roman"/>
          <w:lang w:val="fr-FR"/>
        </w:rPr>
        <w:t xml:space="preserve">territorialité, </w:t>
      </w:r>
      <w:r>
        <w:rPr>
          <w:rFonts w:eastAsia="Times New Roman"/>
          <w:lang w:val="fr-FR"/>
        </w:rPr>
        <w:t xml:space="preserve">du </w:t>
      </w:r>
      <w:r w:rsidRPr="00466CE7">
        <w:rPr>
          <w:rFonts w:eastAsia="Times New Roman"/>
          <w:lang w:val="fr-FR"/>
        </w:rPr>
        <w:t xml:space="preserve">libre choix </w:t>
      </w:r>
      <w:r>
        <w:rPr>
          <w:rFonts w:eastAsia="Times New Roman"/>
          <w:lang w:val="fr-FR"/>
        </w:rPr>
        <w:t xml:space="preserve">de son cabinet dans sa zone de </w:t>
      </w:r>
      <w:r w:rsidRPr="00466CE7">
        <w:rPr>
          <w:rFonts w:eastAsia="Times New Roman"/>
          <w:lang w:val="fr-FR"/>
        </w:rPr>
        <w:t>résidence, d</w:t>
      </w:r>
      <w:r>
        <w:rPr>
          <w:rFonts w:eastAsia="Times New Roman"/>
          <w:lang w:val="fr-FR"/>
        </w:rPr>
        <w:t>e l’</w:t>
      </w:r>
      <w:r w:rsidRPr="00466CE7">
        <w:rPr>
          <w:rFonts w:eastAsia="Times New Roman"/>
          <w:lang w:val="fr-FR"/>
        </w:rPr>
        <w:t xml:space="preserve">égalité </w:t>
      </w:r>
      <w:r>
        <w:rPr>
          <w:rFonts w:eastAsia="Times New Roman"/>
          <w:lang w:val="fr-FR"/>
        </w:rPr>
        <w:t xml:space="preserve">d’accès aux </w:t>
      </w:r>
      <w:r w:rsidRPr="00466CE7">
        <w:rPr>
          <w:rFonts w:eastAsia="Times New Roman"/>
          <w:lang w:val="fr-FR"/>
        </w:rPr>
        <w:t>soins de santé primaires</w:t>
      </w:r>
      <w:r>
        <w:rPr>
          <w:rFonts w:eastAsia="Times New Roman"/>
          <w:lang w:val="fr-FR"/>
        </w:rPr>
        <w:t xml:space="preserve"> quels que soient son </w:t>
      </w:r>
      <w:r w:rsidRPr="00466CE7">
        <w:rPr>
          <w:rFonts w:eastAsia="Times New Roman"/>
          <w:lang w:val="fr-FR"/>
        </w:rPr>
        <w:t xml:space="preserve">statut social et </w:t>
      </w:r>
      <w:r>
        <w:rPr>
          <w:rFonts w:eastAsia="Times New Roman"/>
          <w:lang w:val="fr-FR"/>
        </w:rPr>
        <w:t>sa pathologie</w:t>
      </w:r>
      <w:r w:rsidRPr="00466CE7">
        <w:rPr>
          <w:rFonts w:eastAsia="Times New Roman"/>
          <w:lang w:val="fr-FR"/>
        </w:rPr>
        <w:t xml:space="preserve">, et </w:t>
      </w:r>
      <w:r>
        <w:rPr>
          <w:rFonts w:eastAsia="Times New Roman"/>
          <w:lang w:val="fr-FR"/>
        </w:rPr>
        <w:t xml:space="preserve">du caractère confidentiel </w:t>
      </w:r>
      <w:r w:rsidRPr="00466CE7">
        <w:rPr>
          <w:rFonts w:eastAsia="Times New Roman"/>
          <w:lang w:val="fr-FR"/>
        </w:rPr>
        <w:t xml:space="preserve">des </w:t>
      </w:r>
      <w:r>
        <w:rPr>
          <w:rFonts w:eastAsia="Times New Roman"/>
          <w:lang w:val="fr-FR"/>
        </w:rPr>
        <w:t>renseignements communiqués lors de l’enregistrement</w:t>
      </w:r>
      <w:r w:rsidRPr="00466CE7">
        <w:rPr>
          <w:rFonts w:eastAsia="Times New Roman"/>
          <w:lang w:val="fr-FR"/>
        </w:rPr>
        <w:t>.</w:t>
      </w:r>
    </w:p>
    <w:p w14:paraId="5CA23DDB" w14:textId="2890390E" w:rsidR="009C6834" w:rsidRPr="00466CE7" w:rsidRDefault="009C6834" w:rsidP="009C6834">
      <w:pPr>
        <w:pStyle w:val="SingleTxtG"/>
        <w:rPr>
          <w:rFonts w:eastAsia="Times New Roman"/>
          <w:lang w:val="fr-FR"/>
        </w:rPr>
      </w:pPr>
      <w:r w:rsidRPr="00466CE7">
        <w:rPr>
          <w:rFonts w:eastAsia="Times New Roman"/>
          <w:lang w:val="fr-FR"/>
        </w:rPr>
        <w:t>364.</w:t>
      </w:r>
      <w:r w:rsidRPr="00466CE7">
        <w:rPr>
          <w:rFonts w:eastAsia="Times New Roman"/>
          <w:lang w:val="fr-FR"/>
        </w:rPr>
        <w:tab/>
        <w:t>Le</w:t>
      </w:r>
      <w:r>
        <w:rPr>
          <w:rFonts w:eastAsia="Times New Roman"/>
          <w:lang w:val="fr-FR"/>
        </w:rPr>
        <w:t xml:space="preserve"> droit à des </w:t>
      </w:r>
      <w:r w:rsidRPr="00466CE7">
        <w:rPr>
          <w:rFonts w:eastAsia="Times New Roman"/>
          <w:lang w:val="fr-FR"/>
        </w:rPr>
        <w:t xml:space="preserve">services médicaux </w:t>
      </w:r>
      <w:r>
        <w:rPr>
          <w:rFonts w:eastAsia="Times New Roman"/>
          <w:lang w:val="fr-FR"/>
        </w:rPr>
        <w:t xml:space="preserve">est </w:t>
      </w:r>
      <w:r w:rsidRPr="00466CE7">
        <w:rPr>
          <w:rFonts w:eastAsia="Times New Roman"/>
          <w:lang w:val="fr-FR"/>
        </w:rPr>
        <w:t>mis en œuvre conformément au programme de</w:t>
      </w:r>
      <w:r>
        <w:rPr>
          <w:rFonts w:eastAsia="Times New Roman"/>
          <w:lang w:val="fr-FR"/>
        </w:rPr>
        <w:t>s</w:t>
      </w:r>
      <w:r w:rsidRPr="00466CE7">
        <w:rPr>
          <w:rFonts w:eastAsia="Times New Roman"/>
          <w:lang w:val="fr-FR"/>
        </w:rPr>
        <w:t xml:space="preserve"> </w:t>
      </w:r>
      <w:r>
        <w:rPr>
          <w:rFonts w:eastAsia="Times New Roman"/>
          <w:lang w:val="fr-FR"/>
        </w:rPr>
        <w:t xml:space="preserve">prestations de santé </w:t>
      </w:r>
      <w:r w:rsidRPr="00466CE7">
        <w:rPr>
          <w:rFonts w:eastAsia="Times New Roman"/>
          <w:lang w:val="fr-FR"/>
        </w:rPr>
        <w:t xml:space="preserve">garanties </w:t>
      </w:r>
      <w:r>
        <w:rPr>
          <w:rFonts w:eastAsia="Times New Roman"/>
          <w:lang w:val="fr-FR"/>
        </w:rPr>
        <w:t xml:space="preserve">par </w:t>
      </w:r>
      <w:r w:rsidRPr="00466CE7">
        <w:rPr>
          <w:rFonts w:eastAsia="Times New Roman"/>
          <w:lang w:val="fr-FR"/>
        </w:rPr>
        <w:t>l</w:t>
      </w:r>
      <w:r>
        <w:rPr>
          <w:rFonts w:eastAsia="Times New Roman"/>
          <w:lang w:val="fr-FR"/>
        </w:rPr>
        <w:t>’</w:t>
      </w:r>
      <w:r w:rsidRPr="00466CE7">
        <w:rPr>
          <w:rFonts w:eastAsia="Times New Roman"/>
          <w:lang w:val="fr-FR"/>
        </w:rPr>
        <w:t xml:space="preserve">État approuvé par </w:t>
      </w:r>
      <w:r>
        <w:rPr>
          <w:rFonts w:eastAsia="Times New Roman"/>
          <w:lang w:val="fr-FR"/>
        </w:rPr>
        <w:t xml:space="preserve">une décision du </w:t>
      </w:r>
      <w:r w:rsidR="00455D20">
        <w:rPr>
          <w:rFonts w:eastAsia="Times New Roman"/>
          <w:lang w:val="fr-FR"/>
        </w:rPr>
        <w:t xml:space="preserve">Gouvernement </w:t>
      </w:r>
      <w:r>
        <w:rPr>
          <w:rFonts w:eastAsia="Times New Roman"/>
          <w:lang w:val="fr-FR"/>
        </w:rPr>
        <w:t xml:space="preserve">en </w:t>
      </w:r>
      <w:r w:rsidRPr="00466CE7">
        <w:rPr>
          <w:rFonts w:eastAsia="Times New Roman"/>
          <w:lang w:val="fr-FR"/>
        </w:rPr>
        <w:t xml:space="preserve">2015, qui </w:t>
      </w:r>
      <w:r>
        <w:rPr>
          <w:rFonts w:eastAsia="Times New Roman"/>
          <w:lang w:val="fr-FR"/>
        </w:rPr>
        <w:t xml:space="preserve">détermine le volume, </w:t>
      </w:r>
      <w:r w:rsidRPr="00466CE7">
        <w:rPr>
          <w:rFonts w:eastAsia="Times New Roman"/>
          <w:lang w:val="fr-FR"/>
        </w:rPr>
        <w:t>les conditions et les types de soins médicaux</w:t>
      </w:r>
      <w:r>
        <w:rPr>
          <w:rFonts w:eastAsia="Times New Roman"/>
          <w:lang w:val="fr-FR"/>
        </w:rPr>
        <w:t xml:space="preserve"> dispensés</w:t>
      </w:r>
      <w:r w:rsidRPr="00466CE7">
        <w:rPr>
          <w:rFonts w:eastAsia="Times New Roman"/>
          <w:lang w:val="fr-FR"/>
        </w:rPr>
        <w:t>. Le programme de</w:t>
      </w:r>
      <w:r>
        <w:rPr>
          <w:rFonts w:eastAsia="Times New Roman"/>
          <w:lang w:val="fr-FR"/>
        </w:rPr>
        <w:t>s</w:t>
      </w:r>
      <w:r w:rsidRPr="00466CE7">
        <w:rPr>
          <w:rFonts w:eastAsia="Times New Roman"/>
          <w:lang w:val="fr-FR"/>
        </w:rPr>
        <w:t xml:space="preserve"> prestations</w:t>
      </w:r>
      <w:r>
        <w:rPr>
          <w:rFonts w:eastAsia="Times New Roman"/>
          <w:lang w:val="fr-FR"/>
        </w:rPr>
        <w:t xml:space="preserve"> de santé</w:t>
      </w:r>
      <w:r w:rsidRPr="00466CE7">
        <w:rPr>
          <w:rFonts w:eastAsia="Times New Roman"/>
          <w:lang w:val="fr-FR"/>
        </w:rPr>
        <w:t xml:space="preserve"> garanties par l</w:t>
      </w:r>
      <w:r>
        <w:rPr>
          <w:rFonts w:eastAsia="Times New Roman"/>
          <w:lang w:val="fr-FR"/>
        </w:rPr>
        <w:t>’</w:t>
      </w:r>
      <w:r w:rsidRPr="00466CE7">
        <w:rPr>
          <w:rFonts w:eastAsia="Times New Roman"/>
          <w:lang w:val="fr-FR"/>
        </w:rPr>
        <w:t>État assure l</w:t>
      </w:r>
      <w:r>
        <w:rPr>
          <w:rFonts w:eastAsia="Times New Roman"/>
          <w:lang w:val="fr-FR"/>
        </w:rPr>
        <w:t>’</w:t>
      </w:r>
      <w:r w:rsidRPr="00466CE7">
        <w:rPr>
          <w:rFonts w:eastAsia="Times New Roman"/>
          <w:lang w:val="fr-FR"/>
        </w:rPr>
        <w:t xml:space="preserve">accès </w:t>
      </w:r>
      <w:r>
        <w:rPr>
          <w:rFonts w:eastAsia="Times New Roman"/>
          <w:lang w:val="fr-FR"/>
        </w:rPr>
        <w:t xml:space="preserve">à des </w:t>
      </w:r>
      <w:r w:rsidRPr="00466CE7">
        <w:rPr>
          <w:rFonts w:eastAsia="Times New Roman"/>
          <w:lang w:val="fr-FR"/>
        </w:rPr>
        <w:t xml:space="preserve">services médicaux à tous les citoyens, indépendamment de </w:t>
      </w:r>
      <w:r>
        <w:rPr>
          <w:rFonts w:eastAsia="Times New Roman"/>
          <w:lang w:val="fr-FR"/>
        </w:rPr>
        <w:t>l’</w:t>
      </w:r>
      <w:r w:rsidRPr="00466CE7">
        <w:rPr>
          <w:rFonts w:eastAsia="Times New Roman"/>
          <w:lang w:val="fr-FR"/>
        </w:rPr>
        <w:t xml:space="preserve">orientation sexuelle, de </w:t>
      </w:r>
      <w:r>
        <w:rPr>
          <w:rFonts w:eastAsia="Times New Roman"/>
          <w:lang w:val="fr-FR"/>
        </w:rPr>
        <w:t>l’appartenance nationale</w:t>
      </w:r>
      <w:r w:rsidRPr="00466CE7">
        <w:rPr>
          <w:rFonts w:eastAsia="Times New Roman"/>
          <w:lang w:val="fr-FR"/>
        </w:rPr>
        <w:t>, de</w:t>
      </w:r>
      <w:r>
        <w:rPr>
          <w:rFonts w:eastAsia="Times New Roman"/>
          <w:lang w:val="fr-FR"/>
        </w:rPr>
        <w:t>s</w:t>
      </w:r>
      <w:r w:rsidRPr="00466CE7">
        <w:rPr>
          <w:rFonts w:eastAsia="Times New Roman"/>
          <w:lang w:val="fr-FR"/>
        </w:rPr>
        <w:t xml:space="preserve"> relations de genre, de </w:t>
      </w:r>
      <w:r>
        <w:rPr>
          <w:rFonts w:eastAsia="Times New Roman"/>
          <w:lang w:val="fr-FR"/>
        </w:rPr>
        <w:t>l’</w:t>
      </w:r>
      <w:r w:rsidRPr="00466CE7">
        <w:rPr>
          <w:rFonts w:eastAsia="Times New Roman"/>
          <w:lang w:val="fr-FR"/>
        </w:rPr>
        <w:t xml:space="preserve">âge, etc. </w:t>
      </w:r>
    </w:p>
    <w:p w14:paraId="572BE94D" w14:textId="77777777" w:rsidR="009C6834" w:rsidRPr="00466CE7" w:rsidRDefault="009C6834" w:rsidP="003F1243">
      <w:pPr>
        <w:pStyle w:val="SingleTxtG"/>
        <w:rPr>
          <w:rFonts w:eastAsia="Times New Roman"/>
          <w:lang w:val="fr-FR"/>
        </w:rPr>
      </w:pPr>
      <w:r w:rsidRPr="00466CE7">
        <w:rPr>
          <w:rFonts w:eastAsia="Times New Roman"/>
          <w:lang w:val="fr-FR"/>
        </w:rPr>
        <w:t>365.</w:t>
      </w:r>
      <w:r w:rsidRPr="00466CE7">
        <w:rPr>
          <w:rFonts w:eastAsia="Times New Roman"/>
          <w:lang w:val="fr-FR"/>
        </w:rPr>
        <w:tab/>
        <w:t>Conformément au programme de</w:t>
      </w:r>
      <w:r>
        <w:rPr>
          <w:rFonts w:eastAsia="Times New Roman"/>
          <w:lang w:val="fr-FR"/>
        </w:rPr>
        <w:t>s</w:t>
      </w:r>
      <w:r w:rsidRPr="00466CE7">
        <w:rPr>
          <w:rFonts w:eastAsia="Times New Roman"/>
          <w:lang w:val="fr-FR"/>
        </w:rPr>
        <w:t xml:space="preserve"> prestations garanties par l</w:t>
      </w:r>
      <w:r>
        <w:rPr>
          <w:rFonts w:eastAsia="Times New Roman"/>
          <w:lang w:val="fr-FR"/>
        </w:rPr>
        <w:t>’</w:t>
      </w:r>
      <w:r w:rsidRPr="00466CE7">
        <w:rPr>
          <w:rFonts w:eastAsia="Times New Roman"/>
          <w:lang w:val="fr-FR"/>
        </w:rPr>
        <w:t xml:space="preserve">État, les femmes admises pour une interruption de grossesse pour raisons sociales </w:t>
      </w:r>
      <w:r>
        <w:rPr>
          <w:rFonts w:eastAsia="Times New Roman"/>
          <w:lang w:val="fr-FR"/>
        </w:rPr>
        <w:t xml:space="preserve">ou </w:t>
      </w:r>
      <w:r w:rsidRPr="00466CE7">
        <w:rPr>
          <w:rFonts w:eastAsia="Times New Roman"/>
          <w:lang w:val="fr-FR"/>
        </w:rPr>
        <w:t xml:space="preserve">médicales </w:t>
      </w:r>
      <w:r>
        <w:rPr>
          <w:rFonts w:eastAsia="Times New Roman"/>
          <w:lang w:val="fr-FR"/>
        </w:rPr>
        <w:t xml:space="preserve">font partie de </w:t>
      </w:r>
      <w:r w:rsidRPr="00466CE7">
        <w:rPr>
          <w:rFonts w:eastAsia="Times New Roman"/>
          <w:lang w:val="fr-FR"/>
        </w:rPr>
        <w:t xml:space="preserve">la catégorie des citoyens </w:t>
      </w:r>
      <w:r>
        <w:rPr>
          <w:rFonts w:eastAsia="Times New Roman"/>
          <w:lang w:val="fr-FR"/>
        </w:rPr>
        <w:t xml:space="preserve">qui </w:t>
      </w:r>
      <w:r w:rsidRPr="00466CE7">
        <w:rPr>
          <w:rFonts w:eastAsia="Times New Roman"/>
          <w:lang w:val="fr-FR"/>
        </w:rPr>
        <w:t>ont le droit de recevoir</w:t>
      </w:r>
      <w:r>
        <w:rPr>
          <w:rFonts w:eastAsia="Times New Roman"/>
          <w:lang w:val="fr-FR"/>
        </w:rPr>
        <w:t xml:space="preserve">, </w:t>
      </w:r>
      <w:r w:rsidRPr="00466CE7">
        <w:rPr>
          <w:rFonts w:eastAsia="Times New Roman"/>
          <w:lang w:val="fr-FR"/>
        </w:rPr>
        <w:t>en ambulatoire et en hospitalisation</w:t>
      </w:r>
      <w:r>
        <w:rPr>
          <w:rFonts w:eastAsia="Times New Roman"/>
          <w:lang w:val="fr-FR"/>
        </w:rPr>
        <w:t>,</w:t>
      </w:r>
      <w:r w:rsidRPr="00466CE7">
        <w:rPr>
          <w:rFonts w:eastAsia="Times New Roman"/>
          <w:lang w:val="fr-FR"/>
        </w:rPr>
        <w:t xml:space="preserve"> des soins médicaux gratuits</w:t>
      </w:r>
      <w:r w:rsidRPr="00346662">
        <w:rPr>
          <w:rFonts w:eastAsia="Times New Roman"/>
          <w:lang w:val="fr-FR"/>
        </w:rPr>
        <w:t xml:space="preserve"> </w:t>
      </w:r>
      <w:r>
        <w:rPr>
          <w:rFonts w:eastAsia="Times New Roman"/>
          <w:lang w:val="fr-FR"/>
        </w:rPr>
        <w:t xml:space="preserve">en fonction des signes </w:t>
      </w:r>
      <w:r w:rsidRPr="00466CE7">
        <w:rPr>
          <w:rFonts w:eastAsia="Times New Roman"/>
          <w:lang w:val="fr-FR"/>
        </w:rPr>
        <w:t xml:space="preserve">cliniques de </w:t>
      </w:r>
      <w:r>
        <w:rPr>
          <w:rFonts w:eastAsia="Times New Roman"/>
          <w:lang w:val="fr-FR"/>
        </w:rPr>
        <w:t>l’état pathologique</w:t>
      </w:r>
      <w:r w:rsidRPr="00466CE7">
        <w:rPr>
          <w:rFonts w:eastAsia="Times New Roman"/>
          <w:lang w:val="fr-FR"/>
        </w:rPr>
        <w:t>.</w:t>
      </w:r>
    </w:p>
    <w:p w14:paraId="4AA21AA5" w14:textId="77777777" w:rsidR="009C6834" w:rsidRPr="00466CE7" w:rsidRDefault="009C6834" w:rsidP="009C6834">
      <w:pPr>
        <w:pStyle w:val="SingleTxtG"/>
        <w:rPr>
          <w:rFonts w:eastAsia="Times New Roman"/>
          <w:lang w:val="fr-FR"/>
        </w:rPr>
      </w:pPr>
      <w:r w:rsidRPr="00466CE7">
        <w:rPr>
          <w:rFonts w:eastAsia="Times New Roman"/>
          <w:lang w:val="fr-FR"/>
        </w:rPr>
        <w:lastRenderedPageBreak/>
        <w:t>366.</w:t>
      </w:r>
      <w:r w:rsidRPr="00466CE7">
        <w:rPr>
          <w:rFonts w:eastAsia="Times New Roman"/>
          <w:lang w:val="fr-FR"/>
        </w:rPr>
        <w:tab/>
        <w:t>Afin d</w:t>
      </w:r>
      <w:r>
        <w:rPr>
          <w:rFonts w:eastAsia="Times New Roman"/>
          <w:lang w:val="fr-FR"/>
        </w:rPr>
        <w:t>’</w:t>
      </w:r>
      <w:r w:rsidRPr="00466CE7">
        <w:rPr>
          <w:rFonts w:eastAsia="Times New Roman"/>
          <w:lang w:val="fr-FR"/>
        </w:rPr>
        <w:t>améliorer l</w:t>
      </w:r>
      <w:r>
        <w:rPr>
          <w:rFonts w:eastAsia="Times New Roman"/>
          <w:lang w:val="fr-FR"/>
        </w:rPr>
        <w:t>’</w:t>
      </w:r>
      <w:r w:rsidRPr="00466CE7">
        <w:rPr>
          <w:rFonts w:eastAsia="Times New Roman"/>
          <w:lang w:val="fr-FR"/>
        </w:rPr>
        <w:t xml:space="preserve">accès aux programmes </w:t>
      </w:r>
      <w:r>
        <w:rPr>
          <w:rFonts w:eastAsia="Times New Roman"/>
          <w:lang w:val="fr-FR"/>
        </w:rPr>
        <w:t>de médicaments gratuits</w:t>
      </w:r>
      <w:r w:rsidRPr="00466CE7">
        <w:rPr>
          <w:rFonts w:eastAsia="Times New Roman"/>
          <w:lang w:val="fr-FR"/>
        </w:rPr>
        <w:t xml:space="preserve">, les femmes non </w:t>
      </w:r>
      <w:r>
        <w:rPr>
          <w:rFonts w:eastAsia="Times New Roman"/>
          <w:lang w:val="fr-FR"/>
        </w:rPr>
        <w:t xml:space="preserve">affiliées au régime obligatoire enregistrées pour une grossesse au lieu de leur résidence </w:t>
      </w:r>
      <w:r w:rsidRPr="00466CE7">
        <w:rPr>
          <w:rFonts w:eastAsia="Times New Roman"/>
          <w:lang w:val="fr-FR"/>
        </w:rPr>
        <w:t xml:space="preserve">bénéficient gratuitement des </w:t>
      </w:r>
      <w:r>
        <w:rPr>
          <w:rFonts w:eastAsia="Times New Roman"/>
          <w:lang w:val="fr-FR"/>
        </w:rPr>
        <w:t>prestations du régime obligatoire</w:t>
      </w:r>
      <w:r w:rsidRPr="00466CE7">
        <w:rPr>
          <w:rFonts w:eastAsia="Times New Roman"/>
          <w:lang w:val="fr-FR"/>
        </w:rPr>
        <w:t xml:space="preserve">. </w:t>
      </w:r>
    </w:p>
    <w:p w14:paraId="47E50674" w14:textId="67FABEB7" w:rsidR="009C6834" w:rsidRPr="00466CE7" w:rsidRDefault="009C6834" w:rsidP="009C6834">
      <w:pPr>
        <w:pStyle w:val="SingleTxtG"/>
        <w:rPr>
          <w:rFonts w:eastAsia="Times New Roman"/>
          <w:lang w:val="fr-FR"/>
        </w:rPr>
      </w:pPr>
      <w:r w:rsidRPr="00466CE7">
        <w:rPr>
          <w:rFonts w:eastAsia="Times New Roman"/>
          <w:lang w:val="fr-FR"/>
        </w:rPr>
        <w:t>367.</w:t>
      </w:r>
      <w:r w:rsidRPr="00466CE7">
        <w:rPr>
          <w:rFonts w:eastAsia="Times New Roman"/>
          <w:lang w:val="fr-FR"/>
        </w:rPr>
        <w:tab/>
      </w:r>
      <w:r>
        <w:rPr>
          <w:rFonts w:eastAsia="Times New Roman"/>
          <w:lang w:val="fr-FR"/>
        </w:rPr>
        <w:t>En 2019, 134 </w:t>
      </w:r>
      <w:r w:rsidRPr="00466CE7">
        <w:rPr>
          <w:rFonts w:eastAsia="Times New Roman"/>
          <w:lang w:val="fr-FR"/>
        </w:rPr>
        <w:t>3</w:t>
      </w:r>
      <w:r>
        <w:rPr>
          <w:rFonts w:eastAsia="Times New Roman"/>
          <w:lang w:val="fr-FR"/>
        </w:rPr>
        <w:t>00 </w:t>
      </w:r>
      <w:r w:rsidRPr="00466CE7">
        <w:rPr>
          <w:rFonts w:eastAsia="Times New Roman"/>
          <w:lang w:val="fr-FR"/>
        </w:rPr>
        <w:t xml:space="preserve">ordonnances ont </w:t>
      </w:r>
      <w:r>
        <w:rPr>
          <w:rFonts w:eastAsia="Times New Roman"/>
          <w:lang w:val="fr-FR"/>
        </w:rPr>
        <w:t xml:space="preserve">ainsi </w:t>
      </w:r>
      <w:r w:rsidRPr="00466CE7">
        <w:rPr>
          <w:rFonts w:eastAsia="Times New Roman"/>
          <w:lang w:val="fr-FR"/>
        </w:rPr>
        <w:t xml:space="preserve">été délivrées </w:t>
      </w:r>
      <w:r>
        <w:rPr>
          <w:rFonts w:eastAsia="Times New Roman"/>
          <w:lang w:val="fr-FR"/>
        </w:rPr>
        <w:t xml:space="preserve">à des </w:t>
      </w:r>
      <w:r w:rsidRPr="00466CE7">
        <w:rPr>
          <w:rFonts w:eastAsia="Times New Roman"/>
          <w:lang w:val="fr-FR"/>
        </w:rPr>
        <w:t xml:space="preserve">femmes enceintes pour un coût de remboursement </w:t>
      </w:r>
      <w:r>
        <w:rPr>
          <w:rFonts w:eastAsia="Times New Roman"/>
          <w:lang w:val="fr-FR"/>
        </w:rPr>
        <w:t xml:space="preserve">se montant à </w:t>
      </w:r>
      <w:r w:rsidRPr="00466CE7">
        <w:rPr>
          <w:rFonts w:eastAsia="Times New Roman"/>
          <w:lang w:val="fr-FR"/>
        </w:rPr>
        <w:t>24</w:t>
      </w:r>
      <w:r>
        <w:rPr>
          <w:rFonts w:eastAsia="Times New Roman"/>
          <w:lang w:val="fr-FR"/>
        </w:rPr>
        <w:t>,</w:t>
      </w:r>
      <w:r w:rsidRPr="00466CE7">
        <w:rPr>
          <w:rFonts w:eastAsia="Times New Roman"/>
          <w:lang w:val="fr-FR"/>
        </w:rPr>
        <w:t>2</w:t>
      </w:r>
      <w:r w:rsidR="00DE0C81">
        <w:rPr>
          <w:rFonts w:eastAsia="Times New Roman"/>
          <w:lang w:val="fr-FR"/>
        </w:rPr>
        <w:t> </w:t>
      </w:r>
      <w:r w:rsidRPr="00466CE7">
        <w:rPr>
          <w:rFonts w:eastAsia="Times New Roman"/>
          <w:lang w:val="fr-FR"/>
        </w:rPr>
        <w:t xml:space="preserve">millions de </w:t>
      </w:r>
      <w:proofErr w:type="spellStart"/>
      <w:r w:rsidRPr="00466CE7">
        <w:rPr>
          <w:rFonts w:eastAsia="Times New Roman"/>
          <w:lang w:val="fr-FR"/>
        </w:rPr>
        <w:t>soms</w:t>
      </w:r>
      <w:proofErr w:type="spellEnd"/>
      <w:r w:rsidRPr="00466CE7">
        <w:rPr>
          <w:rFonts w:eastAsia="Times New Roman"/>
          <w:lang w:val="fr-FR"/>
        </w:rPr>
        <w:t>.</w:t>
      </w:r>
    </w:p>
    <w:p w14:paraId="38357A2A" w14:textId="77777777" w:rsidR="009C6834" w:rsidRPr="00466CE7" w:rsidRDefault="009C6834" w:rsidP="009C6834">
      <w:pPr>
        <w:pStyle w:val="SingleTxtG"/>
        <w:rPr>
          <w:rFonts w:eastAsia="Times New Roman"/>
          <w:lang w:val="fr-FR"/>
        </w:rPr>
      </w:pPr>
      <w:r w:rsidRPr="00466CE7">
        <w:rPr>
          <w:rFonts w:eastAsia="Times New Roman"/>
          <w:lang w:val="fr-FR"/>
        </w:rPr>
        <w:t>368.</w:t>
      </w:r>
      <w:r w:rsidRPr="00466CE7">
        <w:rPr>
          <w:rFonts w:eastAsia="Times New Roman"/>
          <w:lang w:val="fr-FR"/>
        </w:rPr>
        <w:tab/>
        <w:t>L</w:t>
      </w:r>
      <w:r>
        <w:rPr>
          <w:rFonts w:eastAsia="Times New Roman"/>
          <w:lang w:val="fr-FR"/>
        </w:rPr>
        <w:t>e barème des prix des services médicaux</w:t>
      </w:r>
      <w:r w:rsidRPr="00DA20D4">
        <w:rPr>
          <w:rFonts w:eastAsia="Times New Roman"/>
          <w:lang w:val="fr-FR"/>
        </w:rPr>
        <w:t xml:space="preserve"> </w:t>
      </w:r>
      <w:r>
        <w:rPr>
          <w:rFonts w:eastAsia="Times New Roman"/>
          <w:lang w:val="fr-FR"/>
        </w:rPr>
        <w:t xml:space="preserve">dans </w:t>
      </w:r>
      <w:r w:rsidRPr="00466CE7">
        <w:rPr>
          <w:rFonts w:eastAsia="Times New Roman"/>
          <w:lang w:val="fr-FR"/>
        </w:rPr>
        <w:t xml:space="preserve">les </w:t>
      </w:r>
      <w:r>
        <w:rPr>
          <w:rFonts w:eastAsia="Times New Roman"/>
          <w:lang w:val="fr-FR"/>
        </w:rPr>
        <w:t xml:space="preserve">établissements </w:t>
      </w:r>
      <w:r w:rsidRPr="00466CE7">
        <w:rPr>
          <w:rFonts w:eastAsia="Times New Roman"/>
          <w:lang w:val="fr-FR"/>
        </w:rPr>
        <w:t xml:space="preserve">de santé </w:t>
      </w:r>
      <w:r>
        <w:rPr>
          <w:rFonts w:eastAsia="Times New Roman"/>
          <w:lang w:val="fr-FR"/>
        </w:rPr>
        <w:t xml:space="preserve">relevant du </w:t>
      </w:r>
      <w:r w:rsidRPr="00466CE7">
        <w:rPr>
          <w:rFonts w:eastAsia="Times New Roman"/>
          <w:lang w:val="fr-FR"/>
        </w:rPr>
        <w:t>système du payeur unique</w:t>
      </w:r>
      <w:r>
        <w:rPr>
          <w:rFonts w:eastAsia="Times New Roman"/>
          <w:lang w:val="fr-FR"/>
        </w:rPr>
        <w:t>,</w:t>
      </w:r>
      <w:r w:rsidRPr="00466CE7">
        <w:rPr>
          <w:rFonts w:eastAsia="Times New Roman"/>
          <w:lang w:val="fr-FR"/>
        </w:rPr>
        <w:t xml:space="preserve"> </w:t>
      </w:r>
      <w:r>
        <w:rPr>
          <w:rFonts w:eastAsia="Times New Roman"/>
          <w:lang w:val="fr-FR"/>
        </w:rPr>
        <w:t xml:space="preserve">notamment de </w:t>
      </w:r>
      <w:r w:rsidRPr="00466CE7">
        <w:rPr>
          <w:rFonts w:eastAsia="Times New Roman"/>
          <w:lang w:val="fr-FR"/>
        </w:rPr>
        <w:t>l</w:t>
      </w:r>
      <w:r>
        <w:rPr>
          <w:rFonts w:eastAsia="Times New Roman"/>
          <w:lang w:val="fr-FR"/>
        </w:rPr>
        <w:t>’IVG médicamenteuse</w:t>
      </w:r>
      <w:r w:rsidRPr="00466CE7">
        <w:rPr>
          <w:rFonts w:eastAsia="Times New Roman"/>
          <w:lang w:val="fr-FR"/>
        </w:rPr>
        <w:t>, est actuellement en cours de révision.</w:t>
      </w:r>
    </w:p>
    <w:p w14:paraId="769C77EB" w14:textId="0177654D" w:rsidR="009C6834" w:rsidRPr="00466CE7" w:rsidRDefault="009C6834" w:rsidP="009C6834">
      <w:pPr>
        <w:pStyle w:val="SingleTxtG"/>
        <w:rPr>
          <w:rFonts w:eastAsia="Times New Roman"/>
          <w:lang w:val="fr-FR"/>
        </w:rPr>
      </w:pPr>
      <w:r w:rsidRPr="00466CE7">
        <w:rPr>
          <w:rFonts w:eastAsia="Times New Roman"/>
          <w:lang w:val="fr-FR"/>
        </w:rPr>
        <w:t>369.</w:t>
      </w:r>
      <w:r w:rsidRPr="00466CE7">
        <w:rPr>
          <w:rFonts w:eastAsia="Times New Roman"/>
          <w:lang w:val="fr-FR"/>
        </w:rPr>
        <w:tab/>
        <w:t>L</w:t>
      </w:r>
      <w:r>
        <w:rPr>
          <w:rFonts w:eastAsia="Times New Roman"/>
          <w:lang w:val="fr-FR"/>
        </w:rPr>
        <w:t>’</w:t>
      </w:r>
      <w:r w:rsidRPr="00466CE7">
        <w:rPr>
          <w:rFonts w:eastAsia="Times New Roman"/>
          <w:lang w:val="fr-FR"/>
        </w:rPr>
        <w:t xml:space="preserve">une des priorités stratégiques du </w:t>
      </w:r>
      <w:r w:rsidR="00455D20" w:rsidRPr="00466CE7">
        <w:rPr>
          <w:rFonts w:eastAsia="Times New Roman"/>
          <w:lang w:val="fr-FR"/>
        </w:rPr>
        <w:t xml:space="preserve">Gouvernement </w:t>
      </w:r>
      <w:r>
        <w:rPr>
          <w:rFonts w:eastAsia="Times New Roman"/>
          <w:lang w:val="fr-FR"/>
        </w:rPr>
        <w:t xml:space="preserve">prévues par le </w:t>
      </w:r>
      <w:r w:rsidRPr="00466CE7">
        <w:rPr>
          <w:rFonts w:eastAsia="Times New Roman"/>
          <w:lang w:val="fr-FR"/>
        </w:rPr>
        <w:t xml:space="preserve">programme national de santé publique et de développement du système de santé </w:t>
      </w:r>
      <w:r>
        <w:rPr>
          <w:rFonts w:eastAsia="Times New Roman"/>
          <w:lang w:val="fr-FR"/>
        </w:rPr>
        <w:t xml:space="preserve">« Population en bonne santé </w:t>
      </w:r>
      <w:r w:rsidR="00DE0C81">
        <w:rPr>
          <w:rFonts w:eastAsia="Times New Roman"/>
          <w:lang w:val="fr-FR"/>
        </w:rPr>
        <w:t>− </w:t>
      </w:r>
      <w:r>
        <w:rPr>
          <w:rFonts w:eastAsia="Times New Roman"/>
          <w:lang w:val="fr-FR"/>
        </w:rPr>
        <w:t>pays prospère »</w:t>
      </w:r>
      <w:r w:rsidRPr="00466CE7">
        <w:rPr>
          <w:rFonts w:eastAsia="Times New Roman"/>
          <w:lang w:val="fr-FR"/>
        </w:rPr>
        <w:t xml:space="preserve"> </w:t>
      </w:r>
      <w:r>
        <w:rPr>
          <w:rFonts w:eastAsia="Times New Roman"/>
          <w:lang w:val="fr-FR"/>
        </w:rPr>
        <w:t xml:space="preserve">pour la période </w:t>
      </w:r>
      <w:r w:rsidRPr="00466CE7">
        <w:rPr>
          <w:rFonts w:eastAsia="Times New Roman"/>
          <w:lang w:val="fr-FR"/>
        </w:rPr>
        <w:t>2019-2030 est d</w:t>
      </w:r>
      <w:r>
        <w:rPr>
          <w:rFonts w:eastAsia="Times New Roman"/>
          <w:lang w:val="fr-FR"/>
        </w:rPr>
        <w:t>’</w:t>
      </w:r>
      <w:r w:rsidRPr="00466CE7">
        <w:rPr>
          <w:rFonts w:eastAsia="Times New Roman"/>
          <w:lang w:val="fr-FR"/>
        </w:rPr>
        <w:t xml:space="preserve">améliorer la qualité de </w:t>
      </w:r>
      <w:r>
        <w:rPr>
          <w:rFonts w:eastAsia="Times New Roman"/>
          <w:lang w:val="fr-FR"/>
        </w:rPr>
        <w:t xml:space="preserve">la vie et </w:t>
      </w:r>
      <w:r w:rsidRPr="00466CE7">
        <w:rPr>
          <w:rFonts w:eastAsia="Times New Roman"/>
          <w:lang w:val="fr-FR"/>
        </w:rPr>
        <w:t xml:space="preserve">la santé </w:t>
      </w:r>
      <w:r>
        <w:rPr>
          <w:rFonts w:eastAsia="Times New Roman"/>
          <w:lang w:val="fr-FR"/>
        </w:rPr>
        <w:t>des mères et des enfants</w:t>
      </w:r>
      <w:r w:rsidRPr="00466CE7">
        <w:rPr>
          <w:rFonts w:eastAsia="Times New Roman"/>
          <w:lang w:val="fr-FR"/>
        </w:rPr>
        <w:t>, qui contribuent pleinement à la santé de</w:t>
      </w:r>
      <w:r>
        <w:rPr>
          <w:rFonts w:eastAsia="Times New Roman"/>
          <w:lang w:val="fr-FR"/>
        </w:rPr>
        <w:t xml:space="preserve"> toute</w:t>
      </w:r>
      <w:r w:rsidRPr="00466CE7">
        <w:rPr>
          <w:rFonts w:eastAsia="Times New Roman"/>
          <w:lang w:val="fr-FR"/>
        </w:rPr>
        <w:t xml:space="preserve"> la nation. </w:t>
      </w:r>
    </w:p>
    <w:p w14:paraId="6BB16A54" w14:textId="44098627" w:rsidR="009C6834" w:rsidRDefault="009C6834" w:rsidP="009C6834">
      <w:pPr>
        <w:pStyle w:val="SingleTxtG"/>
        <w:rPr>
          <w:rFonts w:eastAsia="Times New Roman"/>
          <w:lang w:val="fr-FR"/>
        </w:rPr>
      </w:pPr>
      <w:r w:rsidRPr="00466CE7">
        <w:rPr>
          <w:rFonts w:eastAsia="Times New Roman"/>
          <w:lang w:val="fr-FR"/>
        </w:rPr>
        <w:t>370.</w:t>
      </w:r>
      <w:r w:rsidRPr="00466CE7">
        <w:rPr>
          <w:rFonts w:eastAsia="Times New Roman"/>
          <w:lang w:val="fr-FR"/>
        </w:rPr>
        <w:tab/>
        <w:t>Afin de garantir l</w:t>
      </w:r>
      <w:r>
        <w:rPr>
          <w:rFonts w:eastAsia="Times New Roman"/>
          <w:lang w:val="fr-FR"/>
        </w:rPr>
        <w:t>’</w:t>
      </w:r>
      <w:r w:rsidRPr="00466CE7">
        <w:rPr>
          <w:rFonts w:eastAsia="Times New Roman"/>
          <w:lang w:val="fr-FR"/>
        </w:rPr>
        <w:t xml:space="preserve">accessibilité physique et économique des médicaments au niveau ambulatoire, un programme de fourniture </w:t>
      </w:r>
      <w:r>
        <w:rPr>
          <w:rFonts w:eastAsia="Times New Roman"/>
          <w:lang w:val="fr-FR"/>
        </w:rPr>
        <w:t xml:space="preserve">à prix réduit </w:t>
      </w:r>
      <w:r w:rsidRPr="00466CE7">
        <w:rPr>
          <w:rFonts w:eastAsia="Times New Roman"/>
          <w:lang w:val="fr-FR"/>
        </w:rPr>
        <w:t xml:space="preserve">de médicaments est mis en œuvre </w:t>
      </w:r>
      <w:r>
        <w:rPr>
          <w:rFonts w:eastAsia="Times New Roman"/>
          <w:lang w:val="fr-FR"/>
        </w:rPr>
        <w:t xml:space="preserve">au titre </w:t>
      </w:r>
      <w:r w:rsidRPr="00466CE7">
        <w:rPr>
          <w:rFonts w:eastAsia="Times New Roman"/>
          <w:lang w:val="fr-FR"/>
        </w:rPr>
        <w:t>du programme complémentaire de l</w:t>
      </w:r>
      <w:r>
        <w:rPr>
          <w:rFonts w:eastAsia="Times New Roman"/>
          <w:lang w:val="fr-FR"/>
        </w:rPr>
        <w:t>’</w:t>
      </w:r>
      <w:r w:rsidRPr="00466CE7">
        <w:rPr>
          <w:rFonts w:eastAsia="Times New Roman"/>
          <w:lang w:val="fr-FR"/>
        </w:rPr>
        <w:t>assurance maladie obligatoire</w:t>
      </w:r>
      <w:r>
        <w:rPr>
          <w:rFonts w:eastAsia="Times New Roman"/>
          <w:lang w:val="fr-FR"/>
        </w:rPr>
        <w:t xml:space="preserve">. Il permet aux personnes affiliées au régime </w:t>
      </w:r>
      <w:r w:rsidRPr="00466CE7">
        <w:rPr>
          <w:rFonts w:eastAsia="Times New Roman"/>
          <w:lang w:val="fr-FR"/>
        </w:rPr>
        <w:t xml:space="preserve">obligatoire </w:t>
      </w:r>
      <w:r>
        <w:rPr>
          <w:rFonts w:eastAsia="Times New Roman"/>
          <w:lang w:val="fr-FR"/>
        </w:rPr>
        <w:t>de se procurer en pharmacie</w:t>
      </w:r>
      <w:r w:rsidRPr="00466CE7">
        <w:rPr>
          <w:rFonts w:eastAsia="Times New Roman"/>
          <w:lang w:val="fr-FR"/>
        </w:rPr>
        <w:t xml:space="preserve"> </w:t>
      </w:r>
      <w:r>
        <w:rPr>
          <w:rFonts w:eastAsia="Times New Roman"/>
          <w:lang w:val="fr-FR"/>
        </w:rPr>
        <w:t xml:space="preserve">des médicaments, </w:t>
      </w:r>
      <w:r w:rsidRPr="00466CE7">
        <w:rPr>
          <w:rFonts w:eastAsia="Times New Roman"/>
          <w:lang w:val="fr-FR"/>
        </w:rPr>
        <w:t>y</w:t>
      </w:r>
      <w:r w:rsidR="00DE0C81">
        <w:rPr>
          <w:rFonts w:eastAsia="Times New Roman"/>
          <w:lang w:val="fr-FR"/>
        </w:rPr>
        <w:t> </w:t>
      </w:r>
      <w:r w:rsidRPr="00466CE7">
        <w:rPr>
          <w:rFonts w:eastAsia="Times New Roman"/>
          <w:lang w:val="fr-FR"/>
        </w:rPr>
        <w:t>compris des contraceptifs, avec une réduction pouvant atteindre 50</w:t>
      </w:r>
      <w:r w:rsidR="00CB4ECD">
        <w:rPr>
          <w:rFonts w:eastAsia="Times New Roman"/>
          <w:lang w:val="fr-FR"/>
        </w:rPr>
        <w:t> %</w:t>
      </w:r>
      <w:r w:rsidRPr="00466CE7">
        <w:rPr>
          <w:rFonts w:eastAsia="Times New Roman"/>
          <w:lang w:val="fr-FR"/>
        </w:rPr>
        <w:t>.</w:t>
      </w:r>
    </w:p>
    <w:p w14:paraId="10491161" w14:textId="121C6183" w:rsidR="009C6834" w:rsidRPr="00DE0C81" w:rsidRDefault="009C6834" w:rsidP="009C6834">
      <w:pPr>
        <w:pStyle w:val="SingleTxtG"/>
        <w:rPr>
          <w:rFonts w:eastAsia="Times New Roman"/>
          <w:spacing w:val="-2"/>
          <w:lang w:val="fr-FR"/>
        </w:rPr>
      </w:pPr>
      <w:r>
        <w:rPr>
          <w:rFonts w:eastAsia="Times New Roman"/>
          <w:lang w:val="fr-FR"/>
        </w:rPr>
        <w:t>371.</w:t>
      </w:r>
      <w:r>
        <w:rPr>
          <w:rFonts w:eastAsia="Times New Roman"/>
          <w:lang w:val="fr-FR"/>
        </w:rPr>
        <w:tab/>
      </w:r>
      <w:r w:rsidRPr="00DE0C81">
        <w:rPr>
          <w:rFonts w:eastAsia="Times New Roman"/>
          <w:spacing w:val="-2"/>
          <w:lang w:val="fr-FR"/>
        </w:rPr>
        <w:t>Le Répertoire des médicaments remboursés au titre du programme complémentaire de l’assurance maladie obligatoire et du programme des garanties de l’État pour les soins ambulatoires comprend 55</w:t>
      </w:r>
      <w:r w:rsidR="00DE0C81" w:rsidRPr="00DE0C81">
        <w:rPr>
          <w:rFonts w:eastAsia="Times New Roman"/>
          <w:spacing w:val="-2"/>
          <w:lang w:val="fr-FR"/>
        </w:rPr>
        <w:t> </w:t>
      </w:r>
      <w:r w:rsidRPr="00DE0C81">
        <w:rPr>
          <w:rFonts w:eastAsia="Times New Roman"/>
          <w:spacing w:val="-2"/>
          <w:lang w:val="fr-FR"/>
        </w:rPr>
        <w:t>noms génériques et plus de 200</w:t>
      </w:r>
      <w:r w:rsidR="00DE0C81" w:rsidRPr="00DE0C81">
        <w:rPr>
          <w:rFonts w:eastAsia="Times New Roman"/>
          <w:spacing w:val="-2"/>
          <w:lang w:val="fr-FR"/>
        </w:rPr>
        <w:t> </w:t>
      </w:r>
      <w:r w:rsidRPr="00DE0C81">
        <w:rPr>
          <w:rFonts w:eastAsia="Times New Roman"/>
          <w:spacing w:val="-2"/>
          <w:lang w:val="fr-FR"/>
        </w:rPr>
        <w:t xml:space="preserve">noms commerciaux de médicaments et d’articles médicaux, dont six contraceptifs pour les femmes en âge de procréer (stérilet, </w:t>
      </w:r>
      <w:proofErr w:type="spellStart"/>
      <w:r w:rsidRPr="00DE0C81">
        <w:rPr>
          <w:rFonts w:eastAsia="Times New Roman"/>
          <w:spacing w:val="-2"/>
          <w:lang w:val="fr-FR"/>
        </w:rPr>
        <w:t>Levonorgestrel</w:t>
      </w:r>
      <w:proofErr w:type="spellEnd"/>
      <w:r w:rsidRPr="00DE0C81">
        <w:rPr>
          <w:rFonts w:eastAsia="Times New Roman"/>
          <w:spacing w:val="-2"/>
          <w:lang w:val="fr-FR"/>
        </w:rPr>
        <w:t>/</w:t>
      </w:r>
      <w:proofErr w:type="spellStart"/>
      <w:r w:rsidRPr="00DE0C81">
        <w:rPr>
          <w:rFonts w:eastAsia="Times New Roman"/>
          <w:spacing w:val="-2"/>
          <w:lang w:val="fr-FR"/>
        </w:rPr>
        <w:t>Ethinylestradiol</w:t>
      </w:r>
      <w:proofErr w:type="spellEnd"/>
      <w:r w:rsidRPr="00DE0C81">
        <w:rPr>
          <w:rFonts w:eastAsia="Times New Roman"/>
          <w:spacing w:val="-2"/>
          <w:lang w:val="fr-FR"/>
        </w:rPr>
        <w:t xml:space="preserve">, </w:t>
      </w:r>
      <w:proofErr w:type="spellStart"/>
      <w:r w:rsidRPr="00DE0C81">
        <w:rPr>
          <w:rFonts w:eastAsia="Times New Roman"/>
          <w:spacing w:val="-2"/>
          <w:lang w:val="fr-FR"/>
        </w:rPr>
        <w:t>Rigevidon</w:t>
      </w:r>
      <w:proofErr w:type="spellEnd"/>
      <w:r w:rsidRPr="00DE0C81">
        <w:rPr>
          <w:rFonts w:eastAsia="Times New Roman"/>
          <w:spacing w:val="-2"/>
          <w:lang w:val="fr-FR"/>
        </w:rPr>
        <w:t xml:space="preserve">, </w:t>
      </w:r>
      <w:proofErr w:type="spellStart"/>
      <w:r w:rsidRPr="00DE0C81">
        <w:rPr>
          <w:rFonts w:eastAsia="Times New Roman"/>
          <w:spacing w:val="-2"/>
          <w:lang w:val="fr-FR"/>
        </w:rPr>
        <w:t>TriRegol</w:t>
      </w:r>
      <w:proofErr w:type="spellEnd"/>
      <w:r w:rsidRPr="00DE0C81">
        <w:rPr>
          <w:rFonts w:eastAsia="Times New Roman"/>
          <w:spacing w:val="-2"/>
          <w:lang w:val="fr-FR"/>
        </w:rPr>
        <w:t xml:space="preserve">, médroxyprogestérone, </w:t>
      </w:r>
      <w:proofErr w:type="spellStart"/>
      <w:r w:rsidRPr="00DE0C81">
        <w:rPr>
          <w:rFonts w:eastAsia="Times New Roman"/>
          <w:spacing w:val="-2"/>
          <w:lang w:val="fr-FR"/>
        </w:rPr>
        <w:t>Depo</w:t>
      </w:r>
      <w:proofErr w:type="spellEnd"/>
      <w:r w:rsidRPr="00DE0C81">
        <w:rPr>
          <w:rFonts w:eastAsia="Times New Roman"/>
          <w:spacing w:val="-2"/>
          <w:lang w:val="fr-FR"/>
        </w:rPr>
        <w:t xml:space="preserve"> </w:t>
      </w:r>
      <w:proofErr w:type="spellStart"/>
      <w:r w:rsidRPr="00DE0C81">
        <w:rPr>
          <w:rFonts w:eastAsia="Times New Roman"/>
          <w:spacing w:val="-2"/>
          <w:lang w:val="fr-FR"/>
        </w:rPr>
        <w:t>Provera</w:t>
      </w:r>
      <w:proofErr w:type="spellEnd"/>
      <w:r w:rsidRPr="00DE0C81">
        <w:rPr>
          <w:rFonts w:eastAsia="Times New Roman"/>
          <w:spacing w:val="-2"/>
          <w:lang w:val="fr-FR"/>
        </w:rPr>
        <w:t>).</w:t>
      </w:r>
    </w:p>
    <w:p w14:paraId="5E2C6943" w14:textId="77777777" w:rsidR="009C6834" w:rsidRPr="00466CE7" w:rsidRDefault="009C6834" w:rsidP="009C6834">
      <w:pPr>
        <w:pStyle w:val="SingleTxtG"/>
        <w:rPr>
          <w:rFonts w:eastAsia="Times New Roman"/>
          <w:lang w:val="fr-FR"/>
        </w:rPr>
      </w:pPr>
      <w:r w:rsidRPr="00466CE7">
        <w:rPr>
          <w:rFonts w:eastAsia="Times New Roman"/>
          <w:lang w:val="fr-FR"/>
        </w:rPr>
        <w:t>372.</w:t>
      </w:r>
      <w:r w:rsidRPr="00466CE7">
        <w:rPr>
          <w:rFonts w:eastAsia="Times New Roman"/>
          <w:lang w:val="fr-FR"/>
        </w:rPr>
        <w:tab/>
      </w:r>
      <w:r>
        <w:rPr>
          <w:rFonts w:eastAsia="Times New Roman"/>
          <w:lang w:val="fr-FR"/>
        </w:rPr>
        <w:t xml:space="preserve">Pour </w:t>
      </w:r>
      <w:r w:rsidRPr="00466CE7">
        <w:rPr>
          <w:rFonts w:eastAsia="Times New Roman"/>
          <w:lang w:val="fr-FR"/>
        </w:rPr>
        <w:t xml:space="preserve">améliorer </w:t>
      </w:r>
      <w:r>
        <w:rPr>
          <w:rFonts w:eastAsia="Times New Roman"/>
          <w:lang w:val="fr-FR"/>
        </w:rPr>
        <w:t xml:space="preserve">l’accessibilité </w:t>
      </w:r>
      <w:r w:rsidRPr="00466CE7">
        <w:rPr>
          <w:rFonts w:eastAsia="Times New Roman"/>
          <w:lang w:val="fr-FR"/>
        </w:rPr>
        <w:t xml:space="preserve">des médicaments à prix réduit, </w:t>
      </w:r>
      <w:r>
        <w:rPr>
          <w:rFonts w:eastAsia="Times New Roman"/>
          <w:lang w:val="fr-FR"/>
        </w:rPr>
        <w:t xml:space="preserve">on recense </w:t>
      </w:r>
      <w:r w:rsidRPr="00466CE7">
        <w:rPr>
          <w:rFonts w:eastAsia="Times New Roman"/>
          <w:lang w:val="fr-FR"/>
        </w:rPr>
        <w:t xml:space="preserve">les personnes </w:t>
      </w:r>
      <w:r>
        <w:rPr>
          <w:rFonts w:eastAsia="Times New Roman"/>
          <w:lang w:val="fr-FR"/>
        </w:rPr>
        <w:t xml:space="preserve">appartenant à des catégories </w:t>
      </w:r>
      <w:r w:rsidRPr="00466CE7">
        <w:rPr>
          <w:rFonts w:eastAsia="Times New Roman"/>
          <w:lang w:val="fr-FR"/>
        </w:rPr>
        <w:t xml:space="preserve">de la population socialement vulnérables, </w:t>
      </w:r>
      <w:r>
        <w:rPr>
          <w:rFonts w:eastAsia="Times New Roman"/>
          <w:lang w:val="fr-FR"/>
        </w:rPr>
        <w:t xml:space="preserve">dont font partie les </w:t>
      </w:r>
      <w:r w:rsidRPr="00466CE7">
        <w:rPr>
          <w:rFonts w:eastAsia="Times New Roman"/>
          <w:lang w:val="fr-FR"/>
        </w:rPr>
        <w:t xml:space="preserve">femmes </w:t>
      </w:r>
      <w:r>
        <w:rPr>
          <w:rFonts w:eastAsia="Times New Roman"/>
          <w:lang w:val="fr-FR"/>
        </w:rPr>
        <w:t xml:space="preserve">non affiliées au régime obligatoire </w:t>
      </w:r>
      <w:r w:rsidRPr="00466CE7">
        <w:rPr>
          <w:rFonts w:eastAsia="Times New Roman"/>
          <w:lang w:val="fr-FR"/>
        </w:rPr>
        <w:t xml:space="preserve">enregistrées </w:t>
      </w:r>
      <w:r>
        <w:rPr>
          <w:rFonts w:eastAsia="Times New Roman"/>
          <w:lang w:val="fr-FR"/>
        </w:rPr>
        <w:t xml:space="preserve">pour grossesse </w:t>
      </w:r>
      <w:r w:rsidRPr="00466CE7">
        <w:rPr>
          <w:rFonts w:eastAsia="Times New Roman"/>
          <w:lang w:val="fr-FR"/>
        </w:rPr>
        <w:t xml:space="preserve">dans </w:t>
      </w:r>
      <w:r>
        <w:rPr>
          <w:rFonts w:eastAsia="Times New Roman"/>
          <w:lang w:val="fr-FR"/>
        </w:rPr>
        <w:t xml:space="preserve">un centre </w:t>
      </w:r>
      <w:r w:rsidRPr="00466CE7">
        <w:rPr>
          <w:rFonts w:eastAsia="Times New Roman"/>
          <w:lang w:val="fr-FR"/>
        </w:rPr>
        <w:t>de médecine familiale</w:t>
      </w:r>
      <w:r w:rsidRPr="00D9462F">
        <w:rPr>
          <w:rFonts w:eastAsia="Times New Roman"/>
          <w:lang w:val="fr-FR"/>
        </w:rPr>
        <w:t xml:space="preserve"> </w:t>
      </w:r>
      <w:r>
        <w:rPr>
          <w:rFonts w:eastAsia="Times New Roman"/>
          <w:lang w:val="fr-FR"/>
        </w:rPr>
        <w:t xml:space="preserve">au </w:t>
      </w:r>
      <w:r w:rsidRPr="00466CE7">
        <w:rPr>
          <w:rFonts w:eastAsia="Times New Roman"/>
          <w:lang w:val="fr-FR"/>
        </w:rPr>
        <w:t xml:space="preserve">lieu de </w:t>
      </w:r>
      <w:r>
        <w:rPr>
          <w:rFonts w:eastAsia="Times New Roman"/>
          <w:lang w:val="fr-FR"/>
        </w:rPr>
        <w:t xml:space="preserve">leur </w:t>
      </w:r>
      <w:r w:rsidRPr="00466CE7">
        <w:rPr>
          <w:rFonts w:eastAsia="Times New Roman"/>
          <w:lang w:val="fr-FR"/>
        </w:rPr>
        <w:t>résidence.</w:t>
      </w:r>
    </w:p>
    <w:p w14:paraId="68CF23ED" w14:textId="0951F57F" w:rsidR="009C6834" w:rsidRPr="00466CE7" w:rsidRDefault="009C6834" w:rsidP="009C6834">
      <w:pPr>
        <w:pStyle w:val="SingleTxtG"/>
        <w:rPr>
          <w:rFonts w:eastAsia="Times New Roman"/>
          <w:lang w:val="fr-FR"/>
        </w:rPr>
      </w:pPr>
      <w:r w:rsidRPr="00466CE7">
        <w:rPr>
          <w:rFonts w:eastAsia="Times New Roman"/>
          <w:lang w:val="fr-FR"/>
        </w:rPr>
        <w:t>373.</w:t>
      </w:r>
      <w:r w:rsidRPr="00466CE7">
        <w:rPr>
          <w:rFonts w:eastAsia="Times New Roman"/>
          <w:lang w:val="fr-FR"/>
        </w:rPr>
        <w:tab/>
      </w:r>
      <w:r>
        <w:rPr>
          <w:rFonts w:eastAsia="Times New Roman"/>
          <w:lang w:val="fr-FR"/>
        </w:rPr>
        <w:t xml:space="preserve">Ces </w:t>
      </w:r>
      <w:r w:rsidRPr="00466CE7">
        <w:rPr>
          <w:rFonts w:eastAsia="Times New Roman"/>
          <w:lang w:val="fr-FR"/>
        </w:rPr>
        <w:t xml:space="preserve">femmes </w:t>
      </w:r>
      <w:r>
        <w:rPr>
          <w:rFonts w:eastAsia="Times New Roman"/>
          <w:lang w:val="fr-FR"/>
        </w:rPr>
        <w:t xml:space="preserve">ont le </w:t>
      </w:r>
      <w:r w:rsidRPr="00466CE7">
        <w:rPr>
          <w:rFonts w:eastAsia="Times New Roman"/>
          <w:lang w:val="fr-FR"/>
        </w:rPr>
        <w:t xml:space="preserve">droit </w:t>
      </w:r>
      <w:r>
        <w:rPr>
          <w:rFonts w:eastAsia="Times New Roman"/>
          <w:lang w:val="fr-FR"/>
        </w:rPr>
        <w:t>de bénéficier gratuitement des prestations du régime obligatoire</w:t>
      </w:r>
      <w:r w:rsidRPr="00466CE7">
        <w:rPr>
          <w:rFonts w:eastAsia="Times New Roman"/>
          <w:lang w:val="fr-FR"/>
        </w:rPr>
        <w:t xml:space="preserve"> pendant </w:t>
      </w:r>
      <w:r w:rsidR="00DE0C81">
        <w:rPr>
          <w:rFonts w:eastAsia="Times New Roman"/>
          <w:lang w:val="fr-FR"/>
        </w:rPr>
        <w:t>douze</w:t>
      </w:r>
      <w:r w:rsidRPr="00466CE7">
        <w:rPr>
          <w:rFonts w:eastAsia="Times New Roman"/>
          <w:lang w:val="fr-FR"/>
        </w:rPr>
        <w:t xml:space="preserve"> mois </w:t>
      </w:r>
      <w:r>
        <w:rPr>
          <w:rFonts w:eastAsia="Times New Roman"/>
          <w:lang w:val="fr-FR"/>
        </w:rPr>
        <w:t>calendaires</w:t>
      </w:r>
      <w:r w:rsidRPr="00466CE7">
        <w:rPr>
          <w:rFonts w:eastAsia="Times New Roman"/>
          <w:lang w:val="fr-FR"/>
        </w:rPr>
        <w:t xml:space="preserve">, </w:t>
      </w:r>
      <w:r>
        <w:rPr>
          <w:rFonts w:eastAsia="Times New Roman"/>
          <w:lang w:val="fr-FR"/>
        </w:rPr>
        <w:t xml:space="preserve">période </w:t>
      </w:r>
      <w:proofErr w:type="spellStart"/>
      <w:r>
        <w:rPr>
          <w:rFonts w:eastAsia="Times New Roman"/>
          <w:lang w:val="fr-FR"/>
        </w:rPr>
        <w:t>postnatale</w:t>
      </w:r>
      <w:proofErr w:type="spellEnd"/>
      <w:r>
        <w:rPr>
          <w:rFonts w:eastAsia="Times New Roman"/>
          <w:lang w:val="fr-FR"/>
        </w:rPr>
        <w:t xml:space="preserve"> comprise, ce qui </w:t>
      </w:r>
      <w:r w:rsidRPr="00466CE7">
        <w:rPr>
          <w:rFonts w:eastAsia="Times New Roman"/>
          <w:lang w:val="fr-FR"/>
        </w:rPr>
        <w:t>leur permet d</w:t>
      </w:r>
      <w:r>
        <w:rPr>
          <w:rFonts w:eastAsia="Times New Roman"/>
          <w:lang w:val="fr-FR"/>
        </w:rPr>
        <w:t>’</w:t>
      </w:r>
      <w:r w:rsidRPr="00466CE7">
        <w:rPr>
          <w:rFonts w:eastAsia="Times New Roman"/>
          <w:lang w:val="fr-FR"/>
        </w:rPr>
        <w:t xml:space="preserve">acheter à </w:t>
      </w:r>
      <w:r>
        <w:rPr>
          <w:rFonts w:eastAsia="Times New Roman"/>
          <w:lang w:val="fr-FR"/>
        </w:rPr>
        <w:t xml:space="preserve">prix </w:t>
      </w:r>
      <w:r w:rsidRPr="00466CE7">
        <w:rPr>
          <w:rFonts w:eastAsia="Times New Roman"/>
          <w:lang w:val="fr-FR"/>
        </w:rPr>
        <w:t>réduit (</w:t>
      </w:r>
      <w:r>
        <w:rPr>
          <w:rFonts w:eastAsia="Times New Roman"/>
          <w:lang w:val="fr-FR"/>
        </w:rPr>
        <w:t>jusqu’à 50</w:t>
      </w:r>
      <w:r w:rsidR="00CB4ECD">
        <w:rPr>
          <w:rFonts w:eastAsia="Times New Roman"/>
          <w:lang w:val="fr-FR"/>
        </w:rPr>
        <w:t> %</w:t>
      </w:r>
      <w:r>
        <w:rPr>
          <w:rFonts w:eastAsia="Times New Roman"/>
          <w:lang w:val="fr-FR"/>
        </w:rPr>
        <w:t xml:space="preserve"> de réduction) </w:t>
      </w:r>
      <w:r w:rsidRPr="00466CE7">
        <w:rPr>
          <w:rFonts w:eastAsia="Times New Roman"/>
          <w:lang w:val="fr-FR"/>
        </w:rPr>
        <w:t>de l</w:t>
      </w:r>
      <w:r>
        <w:rPr>
          <w:rFonts w:eastAsia="Times New Roman"/>
          <w:lang w:val="fr-FR"/>
        </w:rPr>
        <w:t>’</w:t>
      </w:r>
      <w:r w:rsidRPr="00466CE7">
        <w:rPr>
          <w:rFonts w:eastAsia="Times New Roman"/>
          <w:lang w:val="fr-FR"/>
        </w:rPr>
        <w:t>acide folique, de l</w:t>
      </w:r>
      <w:r>
        <w:rPr>
          <w:rFonts w:eastAsia="Times New Roman"/>
          <w:lang w:val="fr-FR"/>
        </w:rPr>
        <w:t>’</w:t>
      </w:r>
      <w:proofErr w:type="spellStart"/>
      <w:r w:rsidRPr="00466CE7">
        <w:rPr>
          <w:rFonts w:eastAsia="Times New Roman"/>
          <w:lang w:val="fr-FR"/>
        </w:rPr>
        <w:t>iodomarine</w:t>
      </w:r>
      <w:proofErr w:type="spellEnd"/>
      <w:r w:rsidRPr="00466CE7">
        <w:rPr>
          <w:rFonts w:eastAsia="Times New Roman"/>
          <w:lang w:val="fr-FR"/>
        </w:rPr>
        <w:t xml:space="preserve"> et des </w:t>
      </w:r>
      <w:r>
        <w:rPr>
          <w:rFonts w:eastAsia="Times New Roman"/>
          <w:lang w:val="fr-FR"/>
        </w:rPr>
        <w:t>préparations pharmaceutiques contenant du fer.</w:t>
      </w:r>
    </w:p>
    <w:p w14:paraId="6DA22D36" w14:textId="44267DC9" w:rsidR="009C6834" w:rsidRPr="00466CE7" w:rsidRDefault="009C6834" w:rsidP="009C6834">
      <w:pPr>
        <w:pStyle w:val="SingleTxtG"/>
        <w:rPr>
          <w:rFonts w:eastAsia="Times New Roman"/>
          <w:lang w:val="fr-FR"/>
        </w:rPr>
      </w:pPr>
      <w:r w:rsidRPr="00466CE7">
        <w:rPr>
          <w:rFonts w:eastAsia="Times New Roman"/>
          <w:lang w:val="fr-FR"/>
        </w:rPr>
        <w:t>374.</w:t>
      </w:r>
      <w:r w:rsidRPr="00466CE7">
        <w:rPr>
          <w:rFonts w:eastAsia="Times New Roman"/>
          <w:lang w:val="fr-FR"/>
        </w:rPr>
        <w:tab/>
      </w:r>
      <w:r>
        <w:rPr>
          <w:rFonts w:eastAsia="Times New Roman"/>
          <w:lang w:val="fr-FR"/>
        </w:rPr>
        <w:t xml:space="preserve">Bénéficient des </w:t>
      </w:r>
      <w:r w:rsidRPr="00466CE7">
        <w:rPr>
          <w:rFonts w:eastAsia="Times New Roman"/>
          <w:lang w:val="fr-FR"/>
        </w:rPr>
        <w:t xml:space="preserve">médicaments à prix réduit </w:t>
      </w:r>
      <w:r>
        <w:rPr>
          <w:rFonts w:eastAsia="Times New Roman"/>
          <w:lang w:val="fr-FR"/>
        </w:rPr>
        <w:t xml:space="preserve">au titre </w:t>
      </w:r>
      <w:r w:rsidRPr="00466CE7">
        <w:rPr>
          <w:rFonts w:eastAsia="Times New Roman"/>
          <w:lang w:val="fr-FR"/>
        </w:rPr>
        <w:t>du programme complémentaire</w:t>
      </w:r>
      <w:r>
        <w:rPr>
          <w:rFonts w:eastAsia="Times New Roman"/>
          <w:lang w:val="fr-FR"/>
        </w:rPr>
        <w:t xml:space="preserve">, </w:t>
      </w:r>
      <w:r w:rsidRPr="00466CE7">
        <w:rPr>
          <w:rFonts w:eastAsia="Times New Roman"/>
          <w:lang w:val="fr-FR"/>
        </w:rPr>
        <w:t xml:space="preserve">les </w:t>
      </w:r>
      <w:r>
        <w:rPr>
          <w:rFonts w:eastAsia="Times New Roman"/>
          <w:lang w:val="fr-FR"/>
        </w:rPr>
        <w:t>personnes affiliées au régime obligatoire</w:t>
      </w:r>
      <w:r w:rsidRPr="00466CE7">
        <w:rPr>
          <w:rFonts w:eastAsia="Times New Roman"/>
          <w:lang w:val="fr-FR"/>
        </w:rPr>
        <w:t xml:space="preserve"> et les catégories de citoyens bénéficiant </w:t>
      </w:r>
      <w:r>
        <w:rPr>
          <w:rFonts w:eastAsia="Times New Roman"/>
          <w:lang w:val="fr-FR"/>
        </w:rPr>
        <w:t>d’avantages pour des raisons sociales ou médicales :</w:t>
      </w:r>
      <w:r w:rsidRPr="00466CE7">
        <w:rPr>
          <w:rFonts w:eastAsia="Times New Roman"/>
          <w:lang w:val="fr-FR"/>
        </w:rPr>
        <w:t xml:space="preserve"> retraités, enfants, bénéficiaires </w:t>
      </w:r>
      <w:r>
        <w:rPr>
          <w:rFonts w:eastAsia="Times New Roman"/>
          <w:lang w:val="fr-FR"/>
        </w:rPr>
        <w:t xml:space="preserve">d’allocations </w:t>
      </w:r>
      <w:r w:rsidRPr="00466CE7">
        <w:rPr>
          <w:rFonts w:eastAsia="Times New Roman"/>
          <w:lang w:val="fr-FR"/>
        </w:rPr>
        <w:t>sociales, femmes enceintes, chômeurs inscrits, étudiants</w:t>
      </w:r>
      <w:r>
        <w:rPr>
          <w:rFonts w:eastAsia="Times New Roman"/>
          <w:lang w:val="fr-FR"/>
        </w:rPr>
        <w:t>, etc</w:t>
      </w:r>
      <w:r w:rsidRPr="00466CE7">
        <w:rPr>
          <w:rFonts w:eastAsia="Times New Roman"/>
          <w:lang w:val="fr-FR"/>
        </w:rPr>
        <w:t xml:space="preserve">. La </w:t>
      </w:r>
      <w:r>
        <w:rPr>
          <w:rFonts w:eastAsia="Times New Roman"/>
          <w:lang w:val="fr-FR"/>
        </w:rPr>
        <w:t xml:space="preserve">plus grande </w:t>
      </w:r>
      <w:r w:rsidRPr="00466CE7">
        <w:rPr>
          <w:rFonts w:eastAsia="Times New Roman"/>
          <w:lang w:val="fr-FR"/>
        </w:rPr>
        <w:t>partie (jusqu</w:t>
      </w:r>
      <w:r>
        <w:rPr>
          <w:rFonts w:eastAsia="Times New Roman"/>
          <w:lang w:val="fr-FR"/>
        </w:rPr>
        <w:t>’</w:t>
      </w:r>
      <w:r w:rsidRPr="00466CE7">
        <w:rPr>
          <w:rFonts w:eastAsia="Times New Roman"/>
          <w:lang w:val="fr-FR"/>
        </w:rPr>
        <w:t>à 40</w:t>
      </w:r>
      <w:r w:rsidR="00CB4ECD">
        <w:rPr>
          <w:rFonts w:eastAsia="Times New Roman"/>
          <w:lang w:val="fr-FR"/>
        </w:rPr>
        <w:t> %</w:t>
      </w:r>
      <w:r w:rsidRPr="00466CE7">
        <w:rPr>
          <w:rFonts w:eastAsia="Times New Roman"/>
          <w:lang w:val="fr-FR"/>
        </w:rPr>
        <w:t xml:space="preserve">) des </w:t>
      </w:r>
      <w:r>
        <w:rPr>
          <w:rFonts w:eastAsia="Times New Roman"/>
          <w:lang w:val="fr-FR"/>
        </w:rPr>
        <w:t>médicaments remboursé</w:t>
      </w:r>
      <w:r w:rsidRPr="00466CE7">
        <w:rPr>
          <w:rFonts w:eastAsia="Times New Roman"/>
          <w:lang w:val="fr-FR"/>
        </w:rPr>
        <w:t xml:space="preserve">s </w:t>
      </w:r>
      <w:r>
        <w:rPr>
          <w:rFonts w:eastAsia="Times New Roman"/>
          <w:lang w:val="fr-FR"/>
        </w:rPr>
        <w:t xml:space="preserve">aux assurés sont prescrits à des retraités </w:t>
      </w:r>
      <w:r w:rsidRPr="00466CE7">
        <w:rPr>
          <w:rFonts w:eastAsia="Times New Roman"/>
          <w:lang w:val="fr-FR"/>
        </w:rPr>
        <w:t xml:space="preserve">pour des maladies </w:t>
      </w:r>
      <w:proofErr w:type="spellStart"/>
      <w:r w:rsidRPr="00466CE7">
        <w:rPr>
          <w:rFonts w:eastAsia="Times New Roman"/>
          <w:lang w:val="fr-FR"/>
        </w:rPr>
        <w:t>cardiovasculaires</w:t>
      </w:r>
      <w:proofErr w:type="spellEnd"/>
      <w:r w:rsidRPr="00466CE7">
        <w:rPr>
          <w:rFonts w:eastAsia="Times New Roman"/>
          <w:lang w:val="fr-FR"/>
        </w:rPr>
        <w:t xml:space="preserve">. </w:t>
      </w:r>
      <w:r>
        <w:rPr>
          <w:rFonts w:eastAsia="Times New Roman"/>
          <w:lang w:val="fr-FR"/>
        </w:rPr>
        <w:t>D</w:t>
      </w:r>
      <w:r w:rsidRPr="00466CE7">
        <w:rPr>
          <w:rFonts w:eastAsia="Times New Roman"/>
          <w:lang w:val="fr-FR"/>
        </w:rPr>
        <w:t xml:space="preserve">es </w:t>
      </w:r>
      <w:r>
        <w:rPr>
          <w:rFonts w:eastAsia="Times New Roman"/>
          <w:lang w:val="fr-FR"/>
        </w:rPr>
        <w:t xml:space="preserve">préparations </w:t>
      </w:r>
      <w:r w:rsidRPr="00466CE7">
        <w:rPr>
          <w:rFonts w:eastAsia="Times New Roman"/>
          <w:lang w:val="fr-FR"/>
        </w:rPr>
        <w:t>à base de fer et des antibiotiques sont prescrits aux enfants et aux femmes enceintes.</w:t>
      </w:r>
    </w:p>
    <w:p w14:paraId="01AD62F6" w14:textId="0CC727D1" w:rsidR="009C6834" w:rsidRPr="00466CE7" w:rsidRDefault="009C6834" w:rsidP="009C6834">
      <w:pPr>
        <w:pStyle w:val="SingleTxtG"/>
        <w:rPr>
          <w:rFonts w:eastAsia="Times New Roman"/>
          <w:lang w:val="fr-FR"/>
        </w:rPr>
      </w:pPr>
      <w:r w:rsidRPr="00466CE7">
        <w:rPr>
          <w:rFonts w:eastAsia="Times New Roman"/>
          <w:lang w:val="fr-FR"/>
        </w:rPr>
        <w:t>375.</w:t>
      </w:r>
      <w:r w:rsidRPr="00466CE7">
        <w:rPr>
          <w:rFonts w:eastAsia="Times New Roman"/>
          <w:lang w:val="fr-FR"/>
        </w:rPr>
        <w:tab/>
        <w:t>L</w:t>
      </w:r>
      <w:r>
        <w:rPr>
          <w:rFonts w:eastAsia="Times New Roman"/>
          <w:lang w:val="fr-FR"/>
        </w:rPr>
        <w:t xml:space="preserve">es </w:t>
      </w:r>
      <w:r w:rsidRPr="00466CE7">
        <w:rPr>
          <w:rFonts w:eastAsia="Times New Roman"/>
          <w:lang w:val="fr-FR"/>
        </w:rPr>
        <w:t xml:space="preserve">médicaments </w:t>
      </w:r>
      <w:r>
        <w:rPr>
          <w:rFonts w:eastAsia="Times New Roman"/>
          <w:lang w:val="fr-FR"/>
        </w:rPr>
        <w:t xml:space="preserve">fournis à prix réduit au titre </w:t>
      </w:r>
      <w:r w:rsidRPr="00466CE7">
        <w:rPr>
          <w:rFonts w:eastAsia="Times New Roman"/>
          <w:lang w:val="fr-FR"/>
        </w:rPr>
        <w:t>du programme de</w:t>
      </w:r>
      <w:r>
        <w:rPr>
          <w:rFonts w:eastAsia="Times New Roman"/>
          <w:lang w:val="fr-FR"/>
        </w:rPr>
        <w:t>s</w:t>
      </w:r>
      <w:r w:rsidRPr="00466CE7">
        <w:rPr>
          <w:rFonts w:eastAsia="Times New Roman"/>
          <w:lang w:val="fr-FR"/>
        </w:rPr>
        <w:t xml:space="preserve"> prestations garanties par l</w:t>
      </w:r>
      <w:r>
        <w:rPr>
          <w:rFonts w:eastAsia="Times New Roman"/>
          <w:lang w:val="fr-FR"/>
        </w:rPr>
        <w:t>’</w:t>
      </w:r>
      <w:r w:rsidRPr="00466CE7">
        <w:rPr>
          <w:rFonts w:eastAsia="Times New Roman"/>
          <w:lang w:val="fr-FR"/>
        </w:rPr>
        <w:t xml:space="preserve">État </w:t>
      </w:r>
      <w:r>
        <w:rPr>
          <w:rFonts w:eastAsia="Times New Roman"/>
          <w:lang w:val="fr-FR"/>
        </w:rPr>
        <w:t xml:space="preserve">sont remboursés </w:t>
      </w:r>
      <w:r w:rsidRPr="00466CE7">
        <w:rPr>
          <w:rFonts w:eastAsia="Times New Roman"/>
          <w:lang w:val="fr-FR"/>
        </w:rPr>
        <w:t xml:space="preserve">par le Fonds de </w:t>
      </w:r>
      <w:r>
        <w:rPr>
          <w:rFonts w:eastAsia="Times New Roman"/>
          <w:lang w:val="fr-FR"/>
        </w:rPr>
        <w:t xml:space="preserve">l’assurance maladie obligatoire </w:t>
      </w:r>
      <w:r w:rsidRPr="00466CE7">
        <w:rPr>
          <w:rFonts w:eastAsia="Times New Roman"/>
          <w:lang w:val="fr-FR"/>
        </w:rPr>
        <w:t>à hauteur de 90</w:t>
      </w:r>
      <w:r w:rsidR="00CB4ECD">
        <w:rPr>
          <w:rFonts w:eastAsia="Times New Roman"/>
          <w:lang w:val="fr-FR"/>
        </w:rPr>
        <w:t> %</w:t>
      </w:r>
      <w:r w:rsidRPr="00466CE7">
        <w:rPr>
          <w:rFonts w:eastAsia="Times New Roman"/>
          <w:lang w:val="fr-FR"/>
        </w:rPr>
        <w:t xml:space="preserve"> du prix de base pour cinq </w:t>
      </w:r>
      <w:r>
        <w:rPr>
          <w:rFonts w:eastAsia="Times New Roman"/>
          <w:lang w:val="fr-FR"/>
        </w:rPr>
        <w:t xml:space="preserve">pathologies </w:t>
      </w:r>
      <w:r w:rsidRPr="00466CE7">
        <w:rPr>
          <w:rFonts w:eastAsia="Times New Roman"/>
          <w:lang w:val="fr-FR"/>
        </w:rPr>
        <w:t xml:space="preserve">(schizophrénie paranoïde, troubles </w:t>
      </w:r>
      <w:r>
        <w:rPr>
          <w:rFonts w:eastAsia="Times New Roman"/>
          <w:lang w:val="fr-FR"/>
        </w:rPr>
        <w:t xml:space="preserve">mentaux </w:t>
      </w:r>
      <w:r w:rsidRPr="00466CE7">
        <w:rPr>
          <w:rFonts w:eastAsia="Times New Roman"/>
          <w:lang w:val="fr-FR"/>
        </w:rPr>
        <w:t>d</w:t>
      </w:r>
      <w:r>
        <w:rPr>
          <w:rFonts w:eastAsia="Times New Roman"/>
          <w:lang w:val="fr-FR"/>
        </w:rPr>
        <w:t>’origines</w:t>
      </w:r>
      <w:r w:rsidRPr="00D9462F">
        <w:rPr>
          <w:rFonts w:eastAsia="Times New Roman"/>
          <w:lang w:val="fr-FR"/>
        </w:rPr>
        <w:t xml:space="preserve"> </w:t>
      </w:r>
      <w:r w:rsidRPr="00466CE7">
        <w:rPr>
          <w:rFonts w:eastAsia="Times New Roman"/>
          <w:lang w:val="fr-FR"/>
        </w:rPr>
        <w:t xml:space="preserve">diverses, </w:t>
      </w:r>
      <w:r>
        <w:rPr>
          <w:rFonts w:eastAsia="Times New Roman"/>
          <w:lang w:val="fr-FR"/>
        </w:rPr>
        <w:t>épilepsie</w:t>
      </w:r>
      <w:r w:rsidRPr="00466CE7">
        <w:rPr>
          <w:rFonts w:eastAsia="Times New Roman"/>
          <w:lang w:val="fr-FR"/>
        </w:rPr>
        <w:t>, asthme bronchique, cancer en phase terminale).</w:t>
      </w:r>
    </w:p>
    <w:p w14:paraId="73BA3209" w14:textId="36F4BAC7" w:rsidR="009C6834" w:rsidRPr="00466CE7" w:rsidRDefault="009C6834" w:rsidP="009C6834">
      <w:pPr>
        <w:pStyle w:val="SingleTxtG"/>
        <w:rPr>
          <w:rFonts w:eastAsia="Times New Roman"/>
          <w:lang w:val="fr-FR"/>
        </w:rPr>
      </w:pPr>
      <w:r w:rsidRPr="00466CE7">
        <w:rPr>
          <w:rFonts w:eastAsia="Times New Roman"/>
          <w:lang w:val="fr-FR"/>
        </w:rPr>
        <w:t>376.</w:t>
      </w:r>
      <w:r w:rsidRPr="00466CE7">
        <w:rPr>
          <w:rFonts w:eastAsia="Times New Roman"/>
          <w:lang w:val="fr-FR"/>
        </w:rPr>
        <w:tab/>
      </w:r>
      <w:r>
        <w:rPr>
          <w:rFonts w:eastAsia="Times New Roman"/>
          <w:lang w:val="fr-FR"/>
        </w:rPr>
        <w:t xml:space="preserve">Le montant des </w:t>
      </w:r>
      <w:r w:rsidRPr="00466CE7">
        <w:rPr>
          <w:rFonts w:eastAsia="Times New Roman"/>
          <w:lang w:val="fr-FR"/>
        </w:rPr>
        <w:t xml:space="preserve">ressources allouées </w:t>
      </w:r>
      <w:r>
        <w:rPr>
          <w:rFonts w:eastAsia="Times New Roman"/>
          <w:lang w:val="fr-FR"/>
        </w:rPr>
        <w:t xml:space="preserve">pour la fourniture de médicaments à prix réduit au titre du programme </w:t>
      </w:r>
      <w:r w:rsidRPr="00466CE7">
        <w:rPr>
          <w:rFonts w:eastAsia="Times New Roman"/>
          <w:lang w:val="fr-FR"/>
        </w:rPr>
        <w:t>de</w:t>
      </w:r>
      <w:r>
        <w:rPr>
          <w:rFonts w:eastAsia="Times New Roman"/>
          <w:lang w:val="fr-FR"/>
        </w:rPr>
        <w:t>s</w:t>
      </w:r>
      <w:r w:rsidRPr="00466CE7">
        <w:rPr>
          <w:rFonts w:eastAsia="Times New Roman"/>
          <w:lang w:val="fr-FR"/>
        </w:rPr>
        <w:t xml:space="preserve"> prestations g</w:t>
      </w:r>
      <w:r>
        <w:rPr>
          <w:rFonts w:eastAsia="Times New Roman"/>
          <w:lang w:val="fr-FR"/>
        </w:rPr>
        <w:t>aranties par l’État s’est élevé</w:t>
      </w:r>
      <w:r w:rsidRPr="00466CE7">
        <w:rPr>
          <w:rFonts w:eastAsia="Times New Roman"/>
          <w:lang w:val="fr-FR"/>
        </w:rPr>
        <w:t xml:space="preserve"> à </w:t>
      </w:r>
      <w:r>
        <w:rPr>
          <w:rFonts w:eastAsia="Times New Roman"/>
          <w:lang w:val="fr-FR"/>
        </w:rPr>
        <w:t>264</w:t>
      </w:r>
      <w:r w:rsidRPr="00466CE7">
        <w:rPr>
          <w:rFonts w:eastAsia="Times New Roman"/>
          <w:lang w:val="fr-FR"/>
        </w:rPr>
        <w:t>,5</w:t>
      </w:r>
      <w:r w:rsidR="00DE0C81">
        <w:rPr>
          <w:rFonts w:eastAsia="Times New Roman"/>
          <w:lang w:val="fr-FR"/>
        </w:rPr>
        <w:t> </w:t>
      </w:r>
      <w:r w:rsidRPr="00466CE7">
        <w:rPr>
          <w:rFonts w:eastAsia="Times New Roman"/>
          <w:lang w:val="fr-FR"/>
        </w:rPr>
        <w:t>million</w:t>
      </w:r>
      <w:r>
        <w:rPr>
          <w:rFonts w:eastAsia="Times New Roman"/>
          <w:lang w:val="fr-FR"/>
        </w:rPr>
        <w:t>s</w:t>
      </w:r>
      <w:r w:rsidRPr="00466CE7">
        <w:rPr>
          <w:rFonts w:eastAsia="Times New Roman"/>
          <w:lang w:val="fr-FR"/>
        </w:rPr>
        <w:t xml:space="preserve"> d</w:t>
      </w:r>
      <w:r>
        <w:rPr>
          <w:rFonts w:eastAsia="Times New Roman"/>
          <w:lang w:val="fr-FR"/>
        </w:rPr>
        <w:t xml:space="preserve">e </w:t>
      </w:r>
      <w:proofErr w:type="spellStart"/>
      <w:r>
        <w:rPr>
          <w:rFonts w:eastAsia="Times New Roman"/>
          <w:lang w:val="fr-FR"/>
        </w:rPr>
        <w:t>soms</w:t>
      </w:r>
      <w:proofErr w:type="spellEnd"/>
      <w:r>
        <w:rPr>
          <w:rFonts w:eastAsia="Times New Roman"/>
          <w:lang w:val="fr-FR"/>
        </w:rPr>
        <w:t xml:space="preserve"> en 2017, </w:t>
      </w:r>
      <w:r w:rsidRPr="00466CE7">
        <w:rPr>
          <w:rFonts w:eastAsia="Times New Roman"/>
          <w:lang w:val="fr-FR"/>
        </w:rPr>
        <w:t>286,4</w:t>
      </w:r>
      <w:r w:rsidR="00DE0C81">
        <w:rPr>
          <w:rFonts w:eastAsia="Times New Roman"/>
          <w:lang w:val="fr-FR"/>
        </w:rPr>
        <w:t> </w:t>
      </w:r>
      <w:r w:rsidRPr="00466CE7">
        <w:rPr>
          <w:rFonts w:eastAsia="Times New Roman"/>
          <w:lang w:val="fr-FR"/>
        </w:rPr>
        <w:t xml:space="preserve">millions de </w:t>
      </w:r>
      <w:proofErr w:type="spellStart"/>
      <w:r w:rsidRPr="00466CE7">
        <w:rPr>
          <w:rFonts w:eastAsia="Times New Roman"/>
          <w:lang w:val="fr-FR"/>
        </w:rPr>
        <w:t>soms</w:t>
      </w:r>
      <w:proofErr w:type="spellEnd"/>
      <w:r>
        <w:rPr>
          <w:rFonts w:eastAsia="Times New Roman"/>
          <w:lang w:val="fr-FR"/>
        </w:rPr>
        <w:t xml:space="preserve"> en 2018 et</w:t>
      </w:r>
      <w:r w:rsidRPr="00466CE7">
        <w:rPr>
          <w:rFonts w:eastAsia="Times New Roman"/>
          <w:lang w:val="fr-FR"/>
        </w:rPr>
        <w:t xml:space="preserve"> 334,4</w:t>
      </w:r>
      <w:r w:rsidR="00DE0C81">
        <w:rPr>
          <w:rFonts w:eastAsia="Times New Roman"/>
          <w:lang w:val="fr-FR"/>
        </w:rPr>
        <w:t> </w:t>
      </w:r>
      <w:r w:rsidRPr="00466CE7">
        <w:rPr>
          <w:rFonts w:eastAsia="Times New Roman"/>
          <w:lang w:val="fr-FR"/>
        </w:rPr>
        <w:t xml:space="preserve">millions de </w:t>
      </w:r>
      <w:proofErr w:type="spellStart"/>
      <w:r w:rsidRPr="00466CE7">
        <w:rPr>
          <w:rFonts w:eastAsia="Times New Roman"/>
          <w:lang w:val="fr-FR"/>
        </w:rPr>
        <w:t>soms</w:t>
      </w:r>
      <w:proofErr w:type="spellEnd"/>
      <w:r>
        <w:rPr>
          <w:rFonts w:eastAsia="Times New Roman"/>
          <w:lang w:val="fr-FR"/>
        </w:rPr>
        <w:t xml:space="preserve"> en 2019</w:t>
      </w:r>
      <w:r w:rsidRPr="00466CE7">
        <w:rPr>
          <w:rFonts w:eastAsia="Times New Roman"/>
          <w:lang w:val="fr-FR"/>
        </w:rPr>
        <w:t>.</w:t>
      </w:r>
    </w:p>
    <w:p w14:paraId="491E65BA" w14:textId="77777777" w:rsidR="009C6834" w:rsidRPr="00466CE7" w:rsidRDefault="009C6834" w:rsidP="003F1243">
      <w:pPr>
        <w:pStyle w:val="SingleTxtG"/>
        <w:rPr>
          <w:rFonts w:eastAsia="Times New Roman"/>
          <w:lang w:val="fr-FR"/>
        </w:rPr>
      </w:pPr>
      <w:r w:rsidRPr="00466CE7">
        <w:rPr>
          <w:rFonts w:eastAsia="Times New Roman"/>
          <w:lang w:val="fr-FR"/>
        </w:rPr>
        <w:t>377.</w:t>
      </w:r>
      <w:r w:rsidRPr="00466CE7">
        <w:rPr>
          <w:rFonts w:eastAsia="Times New Roman"/>
          <w:lang w:val="fr-FR"/>
        </w:rPr>
        <w:tab/>
        <w:t xml:space="preserve">Afin de sensibiliser </w:t>
      </w:r>
      <w:r>
        <w:rPr>
          <w:rFonts w:eastAsia="Times New Roman"/>
          <w:lang w:val="fr-FR"/>
        </w:rPr>
        <w:t>la population</w:t>
      </w:r>
      <w:r w:rsidRPr="00466CE7">
        <w:rPr>
          <w:rFonts w:eastAsia="Times New Roman"/>
          <w:lang w:val="fr-FR"/>
        </w:rPr>
        <w:t xml:space="preserve"> à ses droits en matière de soins médicaux </w:t>
      </w:r>
      <w:r>
        <w:rPr>
          <w:rFonts w:eastAsia="Times New Roman"/>
          <w:lang w:val="fr-FR"/>
        </w:rPr>
        <w:t xml:space="preserve">au titre du </w:t>
      </w:r>
      <w:r w:rsidRPr="00466CE7">
        <w:rPr>
          <w:rFonts w:eastAsia="Times New Roman"/>
          <w:lang w:val="fr-FR"/>
        </w:rPr>
        <w:t>programme de</w:t>
      </w:r>
      <w:r>
        <w:rPr>
          <w:rFonts w:eastAsia="Times New Roman"/>
          <w:lang w:val="fr-FR"/>
        </w:rPr>
        <w:t>s</w:t>
      </w:r>
      <w:r w:rsidRPr="00466CE7">
        <w:rPr>
          <w:rFonts w:eastAsia="Times New Roman"/>
          <w:lang w:val="fr-FR"/>
        </w:rPr>
        <w:t xml:space="preserve"> prestations garanties par l</w:t>
      </w:r>
      <w:r>
        <w:rPr>
          <w:rFonts w:eastAsia="Times New Roman"/>
          <w:lang w:val="fr-FR"/>
        </w:rPr>
        <w:t>’</w:t>
      </w:r>
      <w:r w:rsidRPr="00466CE7">
        <w:rPr>
          <w:rFonts w:eastAsia="Times New Roman"/>
          <w:lang w:val="fr-FR"/>
        </w:rPr>
        <w:t>État</w:t>
      </w:r>
      <w:r>
        <w:rPr>
          <w:rFonts w:eastAsia="Times New Roman"/>
          <w:lang w:val="fr-FR"/>
        </w:rPr>
        <w:t xml:space="preserve"> et</w:t>
      </w:r>
      <w:r w:rsidRPr="00466CE7">
        <w:rPr>
          <w:rFonts w:eastAsia="Times New Roman"/>
          <w:lang w:val="fr-FR"/>
        </w:rPr>
        <w:t xml:space="preserve"> du programme complémentair</w:t>
      </w:r>
      <w:r>
        <w:rPr>
          <w:rFonts w:eastAsia="Times New Roman"/>
          <w:lang w:val="fr-FR"/>
        </w:rPr>
        <w:t xml:space="preserve">e et de recenser et régler les </w:t>
      </w:r>
      <w:r w:rsidRPr="00466CE7">
        <w:rPr>
          <w:rFonts w:eastAsia="Times New Roman"/>
          <w:lang w:val="fr-FR"/>
        </w:rPr>
        <w:t xml:space="preserve">problèmes </w:t>
      </w:r>
      <w:r>
        <w:rPr>
          <w:rFonts w:eastAsia="Times New Roman"/>
          <w:lang w:val="fr-FR"/>
        </w:rPr>
        <w:t>qui se posent dans ce domaine</w:t>
      </w:r>
      <w:r w:rsidRPr="00466CE7">
        <w:rPr>
          <w:rFonts w:eastAsia="Times New Roman"/>
          <w:lang w:val="fr-FR"/>
        </w:rPr>
        <w:t xml:space="preserve">, le Fonds de </w:t>
      </w:r>
      <w:r>
        <w:rPr>
          <w:rFonts w:eastAsia="Times New Roman"/>
          <w:lang w:val="fr-FR"/>
        </w:rPr>
        <w:t xml:space="preserve">l’assurance maladie obligatoire </w:t>
      </w:r>
      <w:r w:rsidRPr="00466CE7">
        <w:rPr>
          <w:rFonts w:eastAsia="Times New Roman"/>
          <w:lang w:val="fr-FR"/>
        </w:rPr>
        <w:t xml:space="preserve">et ses </w:t>
      </w:r>
      <w:r>
        <w:rPr>
          <w:rFonts w:eastAsia="Times New Roman"/>
          <w:lang w:val="fr-FR"/>
        </w:rPr>
        <w:t xml:space="preserve">antennes territoriales </w:t>
      </w:r>
      <w:r w:rsidRPr="00466CE7">
        <w:rPr>
          <w:rFonts w:eastAsia="Times New Roman"/>
          <w:lang w:val="fr-FR"/>
        </w:rPr>
        <w:t xml:space="preserve">ont organisé des </w:t>
      </w:r>
      <w:r>
        <w:rPr>
          <w:rFonts w:eastAsia="Times New Roman"/>
          <w:lang w:val="fr-FR"/>
        </w:rPr>
        <w:t xml:space="preserve">rencontres, fait </w:t>
      </w:r>
      <w:r w:rsidRPr="00466CE7">
        <w:rPr>
          <w:rFonts w:eastAsia="Times New Roman"/>
          <w:lang w:val="fr-FR"/>
        </w:rPr>
        <w:t xml:space="preserve">des </w:t>
      </w:r>
      <w:r>
        <w:rPr>
          <w:rFonts w:eastAsia="Times New Roman"/>
          <w:lang w:val="fr-FR"/>
        </w:rPr>
        <w:t xml:space="preserve">interventions </w:t>
      </w:r>
      <w:r w:rsidRPr="00466CE7">
        <w:rPr>
          <w:rFonts w:eastAsia="Times New Roman"/>
          <w:lang w:val="fr-FR"/>
        </w:rPr>
        <w:t xml:space="preserve">et </w:t>
      </w:r>
      <w:r>
        <w:rPr>
          <w:rFonts w:eastAsia="Times New Roman"/>
          <w:lang w:val="fr-FR"/>
        </w:rPr>
        <w:t xml:space="preserve">publié des informations </w:t>
      </w:r>
      <w:r w:rsidRPr="00466CE7">
        <w:rPr>
          <w:rFonts w:eastAsia="Times New Roman"/>
          <w:lang w:val="fr-FR"/>
        </w:rPr>
        <w:t xml:space="preserve">dans les </w:t>
      </w:r>
      <w:proofErr w:type="spellStart"/>
      <w:r w:rsidRPr="00466CE7">
        <w:rPr>
          <w:rFonts w:eastAsia="Times New Roman"/>
          <w:lang w:val="fr-FR"/>
        </w:rPr>
        <w:t>médias</w:t>
      </w:r>
      <w:proofErr w:type="spellEnd"/>
      <w:r w:rsidRPr="00466CE7">
        <w:rPr>
          <w:rFonts w:eastAsia="Times New Roman"/>
          <w:lang w:val="fr-FR"/>
        </w:rPr>
        <w:t>.</w:t>
      </w:r>
    </w:p>
    <w:p w14:paraId="2E31750D" w14:textId="69AFF800" w:rsidR="009C6834" w:rsidRDefault="009C6834" w:rsidP="00E1792A">
      <w:pPr>
        <w:pStyle w:val="SingleTxtG"/>
        <w:keepLines/>
        <w:rPr>
          <w:rFonts w:eastAsia="Times New Roman"/>
          <w:lang w:val="fr-FR"/>
        </w:rPr>
      </w:pPr>
      <w:r w:rsidRPr="00466CE7">
        <w:rPr>
          <w:rFonts w:eastAsia="Times New Roman"/>
          <w:lang w:val="fr-FR"/>
        </w:rPr>
        <w:lastRenderedPageBreak/>
        <w:t>378.</w:t>
      </w:r>
      <w:r w:rsidRPr="00466CE7">
        <w:rPr>
          <w:rFonts w:eastAsia="Times New Roman"/>
          <w:lang w:val="fr-FR"/>
        </w:rPr>
        <w:tab/>
      </w:r>
      <w:r>
        <w:rPr>
          <w:rFonts w:eastAsia="Times New Roman"/>
          <w:lang w:val="fr-FR"/>
        </w:rPr>
        <w:t xml:space="preserve">Dans ce cadre, </w:t>
      </w:r>
      <w:r w:rsidRPr="00466CE7">
        <w:rPr>
          <w:rFonts w:eastAsia="Times New Roman"/>
          <w:lang w:val="fr-FR"/>
        </w:rPr>
        <w:t>1</w:t>
      </w:r>
      <w:r w:rsidR="00DE0C81">
        <w:rPr>
          <w:rFonts w:eastAsia="Times New Roman"/>
          <w:lang w:val="fr-FR"/>
        </w:rPr>
        <w:t> </w:t>
      </w:r>
      <w:r w:rsidRPr="00466CE7">
        <w:rPr>
          <w:rFonts w:eastAsia="Times New Roman"/>
          <w:lang w:val="fr-FR"/>
        </w:rPr>
        <w:t>968</w:t>
      </w:r>
      <w:r w:rsidR="00DE0C81">
        <w:rPr>
          <w:rFonts w:eastAsia="Times New Roman"/>
          <w:lang w:val="fr-FR"/>
        </w:rPr>
        <w:t> </w:t>
      </w:r>
      <w:r w:rsidRPr="00466CE7">
        <w:rPr>
          <w:rFonts w:eastAsia="Times New Roman"/>
          <w:lang w:val="fr-FR"/>
        </w:rPr>
        <w:t>r</w:t>
      </w:r>
      <w:r>
        <w:rPr>
          <w:rFonts w:eastAsia="Times New Roman"/>
          <w:lang w:val="fr-FR"/>
        </w:rPr>
        <w:t xml:space="preserve">encontres </w:t>
      </w:r>
      <w:r w:rsidRPr="00466CE7">
        <w:rPr>
          <w:rFonts w:eastAsia="Times New Roman"/>
          <w:lang w:val="fr-FR"/>
        </w:rPr>
        <w:t>ont été organisées en 2019</w:t>
      </w:r>
      <w:r>
        <w:rPr>
          <w:rFonts w:eastAsia="Times New Roman"/>
          <w:lang w:val="fr-FR"/>
        </w:rPr>
        <w:t xml:space="preserve">, dont </w:t>
      </w:r>
      <w:r w:rsidRPr="00466CE7">
        <w:rPr>
          <w:rFonts w:eastAsia="Times New Roman"/>
          <w:lang w:val="fr-FR"/>
        </w:rPr>
        <w:t>1</w:t>
      </w:r>
      <w:r w:rsidR="00DE0C81">
        <w:rPr>
          <w:rFonts w:eastAsia="Times New Roman"/>
          <w:lang w:val="fr-FR"/>
        </w:rPr>
        <w:t> </w:t>
      </w:r>
      <w:r w:rsidRPr="00466CE7">
        <w:rPr>
          <w:rFonts w:eastAsia="Times New Roman"/>
          <w:lang w:val="fr-FR"/>
        </w:rPr>
        <w:t xml:space="preserve">054 </w:t>
      </w:r>
      <w:r>
        <w:rPr>
          <w:rFonts w:eastAsia="Times New Roman"/>
          <w:lang w:val="fr-FR"/>
        </w:rPr>
        <w:t xml:space="preserve">avec la population, </w:t>
      </w:r>
      <w:r w:rsidRPr="00466CE7">
        <w:rPr>
          <w:rFonts w:eastAsia="Times New Roman"/>
          <w:lang w:val="fr-FR"/>
        </w:rPr>
        <w:t>796</w:t>
      </w:r>
      <w:r w:rsidRPr="00793117">
        <w:rPr>
          <w:rFonts w:eastAsia="Times New Roman"/>
          <w:lang w:val="fr-FR"/>
        </w:rPr>
        <w:t xml:space="preserve"> </w:t>
      </w:r>
      <w:r w:rsidRPr="00466CE7">
        <w:rPr>
          <w:rFonts w:eastAsia="Times New Roman"/>
          <w:lang w:val="fr-FR"/>
        </w:rPr>
        <w:t>avec des professionnels de santé</w:t>
      </w:r>
      <w:r>
        <w:rPr>
          <w:rFonts w:eastAsia="Times New Roman"/>
          <w:lang w:val="fr-FR"/>
        </w:rPr>
        <w:t xml:space="preserve"> et </w:t>
      </w:r>
      <w:r w:rsidRPr="00466CE7">
        <w:rPr>
          <w:rFonts w:eastAsia="Times New Roman"/>
          <w:lang w:val="fr-FR"/>
        </w:rPr>
        <w:t>118 avec des représentants d</w:t>
      </w:r>
      <w:r>
        <w:rPr>
          <w:rFonts w:eastAsia="Times New Roman"/>
          <w:lang w:val="fr-FR"/>
        </w:rPr>
        <w:t>’</w:t>
      </w:r>
      <w:r w:rsidRPr="00466CE7">
        <w:rPr>
          <w:rFonts w:eastAsia="Times New Roman"/>
          <w:lang w:val="fr-FR"/>
        </w:rPr>
        <w:t>organisations non gouvernementales (</w:t>
      </w:r>
      <w:r>
        <w:rPr>
          <w:rFonts w:eastAsia="Times New Roman"/>
          <w:lang w:val="fr-FR"/>
        </w:rPr>
        <w:t xml:space="preserve">les chiffres étaient respectivement de </w:t>
      </w:r>
      <w:r w:rsidRPr="00466CE7">
        <w:rPr>
          <w:rFonts w:eastAsia="Times New Roman"/>
          <w:lang w:val="fr-FR"/>
        </w:rPr>
        <w:t>2</w:t>
      </w:r>
      <w:r>
        <w:rPr>
          <w:rFonts w:eastAsia="Times New Roman"/>
          <w:lang w:val="fr-FR"/>
        </w:rPr>
        <w:t> </w:t>
      </w:r>
      <w:r w:rsidRPr="00466CE7">
        <w:rPr>
          <w:rFonts w:eastAsia="Times New Roman"/>
          <w:lang w:val="fr-FR"/>
        </w:rPr>
        <w:t>057</w:t>
      </w:r>
      <w:r>
        <w:rPr>
          <w:rFonts w:eastAsia="Times New Roman"/>
          <w:lang w:val="fr-FR"/>
        </w:rPr>
        <w:t>,</w:t>
      </w:r>
      <w:r w:rsidRPr="00C06191">
        <w:rPr>
          <w:rFonts w:eastAsia="Times New Roman"/>
          <w:lang w:val="fr-FR"/>
        </w:rPr>
        <w:t xml:space="preserve"> </w:t>
      </w:r>
      <w:r w:rsidRPr="00466CE7">
        <w:rPr>
          <w:rFonts w:eastAsia="Times New Roman"/>
          <w:lang w:val="fr-FR"/>
        </w:rPr>
        <w:t>1</w:t>
      </w:r>
      <w:r>
        <w:rPr>
          <w:rFonts w:eastAsia="Times New Roman"/>
          <w:lang w:val="fr-FR"/>
        </w:rPr>
        <w:t> </w:t>
      </w:r>
      <w:r w:rsidRPr="00466CE7">
        <w:rPr>
          <w:rFonts w:eastAsia="Times New Roman"/>
          <w:lang w:val="fr-FR"/>
        </w:rPr>
        <w:t>044</w:t>
      </w:r>
      <w:r>
        <w:rPr>
          <w:rFonts w:eastAsia="Times New Roman"/>
          <w:lang w:val="fr-FR"/>
        </w:rPr>
        <w:t xml:space="preserve">, </w:t>
      </w:r>
      <w:r w:rsidRPr="00466CE7">
        <w:rPr>
          <w:rFonts w:eastAsia="Times New Roman"/>
          <w:lang w:val="fr-FR"/>
        </w:rPr>
        <w:t>892</w:t>
      </w:r>
      <w:r>
        <w:rPr>
          <w:rFonts w:eastAsia="Times New Roman"/>
          <w:lang w:val="fr-FR"/>
        </w:rPr>
        <w:t xml:space="preserve"> et 121 en </w:t>
      </w:r>
      <w:r w:rsidRPr="00466CE7">
        <w:rPr>
          <w:rFonts w:eastAsia="Times New Roman"/>
          <w:lang w:val="fr-FR"/>
        </w:rPr>
        <w:t>2018</w:t>
      </w:r>
      <w:r>
        <w:rPr>
          <w:rFonts w:eastAsia="Times New Roman"/>
          <w:lang w:val="fr-FR"/>
        </w:rPr>
        <w:t xml:space="preserve"> ; de </w:t>
      </w:r>
      <w:r w:rsidRPr="00466CE7">
        <w:rPr>
          <w:rFonts w:eastAsia="Times New Roman"/>
          <w:lang w:val="fr-FR"/>
        </w:rPr>
        <w:t>1</w:t>
      </w:r>
      <w:r>
        <w:rPr>
          <w:rFonts w:eastAsia="Times New Roman"/>
          <w:lang w:val="fr-FR"/>
        </w:rPr>
        <w:t> </w:t>
      </w:r>
      <w:r w:rsidRPr="00466CE7">
        <w:rPr>
          <w:rFonts w:eastAsia="Times New Roman"/>
          <w:lang w:val="fr-FR"/>
        </w:rPr>
        <w:t>920</w:t>
      </w:r>
      <w:r>
        <w:rPr>
          <w:rFonts w:eastAsia="Times New Roman"/>
          <w:lang w:val="fr-FR"/>
        </w:rPr>
        <w:t>,</w:t>
      </w:r>
      <w:r w:rsidRPr="00C06191">
        <w:rPr>
          <w:rFonts w:eastAsia="Times New Roman"/>
          <w:lang w:val="fr-FR"/>
        </w:rPr>
        <w:t xml:space="preserve"> </w:t>
      </w:r>
      <w:r w:rsidRPr="00466CE7">
        <w:rPr>
          <w:rFonts w:eastAsia="Times New Roman"/>
          <w:lang w:val="fr-FR"/>
        </w:rPr>
        <w:t>994</w:t>
      </w:r>
      <w:r>
        <w:rPr>
          <w:rFonts w:eastAsia="Times New Roman"/>
          <w:lang w:val="fr-FR"/>
        </w:rPr>
        <w:t xml:space="preserve">, </w:t>
      </w:r>
      <w:r w:rsidRPr="00466CE7">
        <w:rPr>
          <w:rFonts w:eastAsia="Times New Roman"/>
          <w:lang w:val="fr-FR"/>
        </w:rPr>
        <w:t>800</w:t>
      </w:r>
      <w:r>
        <w:rPr>
          <w:rFonts w:eastAsia="Times New Roman"/>
          <w:lang w:val="fr-FR"/>
        </w:rPr>
        <w:t xml:space="preserve"> et 126 en 2017 ;</w:t>
      </w:r>
      <w:r w:rsidRPr="00466CE7">
        <w:rPr>
          <w:rFonts w:eastAsia="Times New Roman"/>
          <w:lang w:val="fr-FR"/>
        </w:rPr>
        <w:t xml:space="preserve"> </w:t>
      </w:r>
      <w:r>
        <w:rPr>
          <w:rFonts w:eastAsia="Times New Roman"/>
          <w:lang w:val="fr-FR"/>
        </w:rPr>
        <w:t xml:space="preserve">et de </w:t>
      </w:r>
      <w:r w:rsidRPr="00466CE7">
        <w:rPr>
          <w:rFonts w:eastAsia="Times New Roman"/>
          <w:lang w:val="fr-FR"/>
        </w:rPr>
        <w:t>1</w:t>
      </w:r>
      <w:r>
        <w:rPr>
          <w:rFonts w:eastAsia="Times New Roman"/>
          <w:lang w:val="fr-FR"/>
        </w:rPr>
        <w:t> </w:t>
      </w:r>
      <w:r w:rsidRPr="00466CE7">
        <w:rPr>
          <w:rFonts w:eastAsia="Times New Roman"/>
          <w:lang w:val="fr-FR"/>
        </w:rPr>
        <w:t>807</w:t>
      </w:r>
      <w:r>
        <w:rPr>
          <w:rFonts w:eastAsia="Times New Roman"/>
          <w:lang w:val="fr-FR"/>
        </w:rPr>
        <w:t>,</w:t>
      </w:r>
      <w:r w:rsidRPr="00C06191">
        <w:rPr>
          <w:rFonts w:eastAsia="Times New Roman"/>
          <w:lang w:val="fr-FR"/>
        </w:rPr>
        <w:t xml:space="preserve"> </w:t>
      </w:r>
      <w:r>
        <w:rPr>
          <w:rFonts w:eastAsia="Times New Roman"/>
          <w:lang w:val="fr-FR"/>
        </w:rPr>
        <w:t>1</w:t>
      </w:r>
      <w:r w:rsidR="00DE0C81">
        <w:rPr>
          <w:rFonts w:eastAsia="Times New Roman"/>
          <w:lang w:val="fr-FR"/>
        </w:rPr>
        <w:t> </w:t>
      </w:r>
      <w:r>
        <w:rPr>
          <w:rFonts w:eastAsia="Times New Roman"/>
          <w:lang w:val="fr-FR"/>
        </w:rPr>
        <w:t xml:space="preserve">807, 718 et 100 </w:t>
      </w:r>
      <w:r w:rsidRPr="00466CE7">
        <w:rPr>
          <w:rFonts w:eastAsia="Times New Roman"/>
          <w:lang w:val="fr-FR"/>
        </w:rPr>
        <w:t xml:space="preserve">en 2016). </w:t>
      </w:r>
      <w:r>
        <w:rPr>
          <w:rFonts w:eastAsia="Times New Roman"/>
          <w:lang w:val="fr-FR"/>
        </w:rPr>
        <w:t>En outre, 136</w:t>
      </w:r>
      <w:r w:rsidR="00DE0C81">
        <w:rPr>
          <w:rFonts w:eastAsia="Times New Roman"/>
          <w:lang w:val="fr-FR"/>
        </w:rPr>
        <w:t> </w:t>
      </w:r>
      <w:r>
        <w:rPr>
          <w:rFonts w:eastAsia="Times New Roman"/>
          <w:lang w:val="fr-FR"/>
        </w:rPr>
        <w:t xml:space="preserve">interventions ont eu lieu en 2019 sur les chaînes </w:t>
      </w:r>
      <w:r w:rsidRPr="00466CE7">
        <w:rPr>
          <w:rFonts w:eastAsia="Times New Roman"/>
          <w:lang w:val="fr-FR"/>
        </w:rPr>
        <w:t>de télévision nationales et locales</w:t>
      </w:r>
      <w:r>
        <w:rPr>
          <w:rFonts w:eastAsia="Times New Roman"/>
          <w:lang w:val="fr-FR"/>
        </w:rPr>
        <w:t>, 63 à la radio</w:t>
      </w:r>
      <w:r w:rsidR="00DE0C81">
        <w:rPr>
          <w:rFonts w:eastAsia="Times New Roman"/>
          <w:lang w:val="fr-FR"/>
        </w:rPr>
        <w:t xml:space="preserve"> </w:t>
      </w:r>
      <w:r>
        <w:rPr>
          <w:rFonts w:eastAsia="Times New Roman"/>
          <w:lang w:val="fr-FR"/>
        </w:rPr>
        <w:t xml:space="preserve">et 104 </w:t>
      </w:r>
      <w:r w:rsidRPr="00466CE7">
        <w:rPr>
          <w:rFonts w:eastAsia="Times New Roman"/>
          <w:lang w:val="fr-FR"/>
        </w:rPr>
        <w:t>dans la presse</w:t>
      </w:r>
      <w:r>
        <w:rPr>
          <w:rFonts w:eastAsia="Times New Roman"/>
          <w:lang w:val="fr-FR"/>
        </w:rPr>
        <w:t xml:space="preserve"> </w:t>
      </w:r>
      <w:r w:rsidRPr="00466CE7">
        <w:rPr>
          <w:rFonts w:eastAsia="Times New Roman"/>
          <w:lang w:val="fr-FR"/>
        </w:rPr>
        <w:t>(</w:t>
      </w:r>
      <w:r>
        <w:rPr>
          <w:rFonts w:eastAsia="Times New Roman"/>
          <w:lang w:val="fr-FR"/>
        </w:rPr>
        <w:t xml:space="preserve">les chiffres étaient respectivement de </w:t>
      </w:r>
      <w:r w:rsidRPr="00466CE7">
        <w:rPr>
          <w:rFonts w:eastAsia="Times New Roman"/>
          <w:lang w:val="fr-FR"/>
        </w:rPr>
        <w:t>118</w:t>
      </w:r>
      <w:r>
        <w:rPr>
          <w:rFonts w:eastAsia="Times New Roman"/>
          <w:lang w:val="fr-FR"/>
        </w:rPr>
        <w:t xml:space="preserve">, 65 et 95 en 2018 ; de </w:t>
      </w:r>
      <w:r w:rsidRPr="00466CE7">
        <w:rPr>
          <w:rFonts w:eastAsia="Times New Roman"/>
          <w:lang w:val="fr-FR"/>
        </w:rPr>
        <w:t>111</w:t>
      </w:r>
      <w:r>
        <w:rPr>
          <w:rFonts w:eastAsia="Times New Roman"/>
          <w:lang w:val="fr-FR"/>
        </w:rPr>
        <w:t xml:space="preserve">, 79 et 109 en </w:t>
      </w:r>
      <w:r w:rsidRPr="00466CE7">
        <w:rPr>
          <w:rFonts w:eastAsia="Times New Roman"/>
          <w:lang w:val="fr-FR"/>
        </w:rPr>
        <w:t>2017</w:t>
      </w:r>
      <w:r>
        <w:rPr>
          <w:rFonts w:eastAsia="Times New Roman"/>
          <w:lang w:val="fr-FR"/>
        </w:rPr>
        <w:t xml:space="preserve"> ; et de </w:t>
      </w:r>
      <w:r w:rsidRPr="00466CE7">
        <w:rPr>
          <w:rFonts w:eastAsia="Times New Roman"/>
          <w:lang w:val="fr-FR"/>
        </w:rPr>
        <w:t>110</w:t>
      </w:r>
      <w:r>
        <w:rPr>
          <w:rFonts w:eastAsia="Times New Roman"/>
          <w:lang w:val="fr-FR"/>
        </w:rPr>
        <w:t xml:space="preserve">, 80 et 104 en </w:t>
      </w:r>
      <w:r w:rsidRPr="00466CE7">
        <w:rPr>
          <w:rFonts w:eastAsia="Times New Roman"/>
          <w:lang w:val="fr-FR"/>
        </w:rPr>
        <w:t>2016)</w:t>
      </w:r>
      <w:r>
        <w:rPr>
          <w:rFonts w:eastAsia="Times New Roman"/>
          <w:lang w:val="fr-FR"/>
        </w:rPr>
        <w:t>.</w:t>
      </w:r>
    </w:p>
    <w:p w14:paraId="3A643D74" w14:textId="45B6E69D" w:rsidR="009C6834" w:rsidRPr="00466CE7" w:rsidRDefault="009C6834" w:rsidP="009C6834">
      <w:pPr>
        <w:pStyle w:val="SingleTxtG"/>
        <w:rPr>
          <w:rFonts w:eastAsia="Times New Roman"/>
          <w:lang w:val="fr-FR"/>
        </w:rPr>
      </w:pPr>
      <w:r w:rsidRPr="00466CE7">
        <w:rPr>
          <w:rFonts w:eastAsia="Times New Roman"/>
          <w:lang w:val="fr-FR"/>
        </w:rPr>
        <w:t>379.</w:t>
      </w:r>
      <w:r w:rsidRPr="00466CE7">
        <w:rPr>
          <w:rFonts w:eastAsia="Times New Roman"/>
          <w:lang w:val="fr-FR"/>
        </w:rPr>
        <w:tab/>
      </w:r>
      <w:r>
        <w:rPr>
          <w:rFonts w:eastAsia="Times New Roman"/>
          <w:lang w:val="fr-FR"/>
        </w:rPr>
        <w:t>L</w:t>
      </w:r>
      <w:r w:rsidRPr="00466CE7">
        <w:rPr>
          <w:rFonts w:eastAsia="Times New Roman"/>
          <w:lang w:val="fr-FR"/>
        </w:rPr>
        <w:t xml:space="preserve">es télévisions nationales et locales diffusent </w:t>
      </w:r>
      <w:r>
        <w:rPr>
          <w:rFonts w:eastAsia="Times New Roman"/>
          <w:lang w:val="fr-FR"/>
        </w:rPr>
        <w:t xml:space="preserve">par ailleurs dans </w:t>
      </w:r>
      <w:r w:rsidRPr="00466CE7">
        <w:rPr>
          <w:rFonts w:eastAsia="Times New Roman"/>
          <w:lang w:val="fr-FR"/>
        </w:rPr>
        <w:t xml:space="preserve">toutes les régions </w:t>
      </w:r>
      <w:r>
        <w:rPr>
          <w:rFonts w:eastAsia="Times New Roman"/>
          <w:lang w:val="fr-FR"/>
        </w:rPr>
        <w:t xml:space="preserve">du pays </w:t>
      </w:r>
      <w:r w:rsidRPr="00466CE7">
        <w:rPr>
          <w:rFonts w:eastAsia="Times New Roman"/>
          <w:lang w:val="fr-FR"/>
        </w:rPr>
        <w:t xml:space="preserve">des </w:t>
      </w:r>
      <w:r>
        <w:rPr>
          <w:rFonts w:eastAsia="Times New Roman"/>
          <w:lang w:val="fr-FR"/>
        </w:rPr>
        <w:t>messages (</w:t>
      </w:r>
      <w:r w:rsidRPr="00466CE7">
        <w:rPr>
          <w:rFonts w:eastAsia="Times New Roman"/>
          <w:lang w:val="fr-FR"/>
        </w:rPr>
        <w:t>plus de 1</w:t>
      </w:r>
      <w:r w:rsidR="00DE0C81">
        <w:rPr>
          <w:rFonts w:eastAsia="Times New Roman"/>
          <w:lang w:val="fr-FR"/>
        </w:rPr>
        <w:t> </w:t>
      </w:r>
      <w:r w:rsidRPr="00466CE7">
        <w:rPr>
          <w:rFonts w:eastAsia="Times New Roman"/>
          <w:lang w:val="fr-FR"/>
        </w:rPr>
        <w:t>700 par an</w:t>
      </w:r>
      <w:r>
        <w:rPr>
          <w:rFonts w:eastAsia="Times New Roman"/>
          <w:lang w:val="fr-FR"/>
        </w:rPr>
        <w:t xml:space="preserve">) sur la gratuité des prestations du régime obligatoire </w:t>
      </w:r>
      <w:r w:rsidRPr="00466CE7">
        <w:rPr>
          <w:rFonts w:eastAsia="Times New Roman"/>
          <w:lang w:val="fr-FR"/>
        </w:rPr>
        <w:t xml:space="preserve">pour les femmes enceintes non </w:t>
      </w:r>
      <w:r>
        <w:rPr>
          <w:rFonts w:eastAsia="Times New Roman"/>
          <w:lang w:val="fr-FR"/>
        </w:rPr>
        <w:t>affilées au régime</w:t>
      </w:r>
      <w:r w:rsidRPr="00466CE7">
        <w:rPr>
          <w:rFonts w:eastAsia="Times New Roman"/>
          <w:lang w:val="fr-FR"/>
        </w:rPr>
        <w:t>, sur les services médicaux garantis par l</w:t>
      </w:r>
      <w:r>
        <w:rPr>
          <w:rFonts w:eastAsia="Times New Roman"/>
          <w:lang w:val="fr-FR"/>
        </w:rPr>
        <w:t>’</w:t>
      </w:r>
      <w:r w:rsidRPr="00466CE7">
        <w:rPr>
          <w:rFonts w:eastAsia="Times New Roman"/>
          <w:lang w:val="fr-FR"/>
        </w:rPr>
        <w:t>État, sur le programme de</w:t>
      </w:r>
      <w:r>
        <w:rPr>
          <w:rFonts w:eastAsia="Times New Roman"/>
          <w:lang w:val="fr-FR"/>
        </w:rPr>
        <w:t xml:space="preserve">s prestations </w:t>
      </w:r>
      <w:r w:rsidRPr="00466CE7">
        <w:rPr>
          <w:rFonts w:eastAsia="Times New Roman"/>
          <w:lang w:val="fr-FR"/>
        </w:rPr>
        <w:t>garanti</w:t>
      </w:r>
      <w:r>
        <w:rPr>
          <w:rFonts w:eastAsia="Times New Roman"/>
          <w:lang w:val="fr-FR"/>
        </w:rPr>
        <w:t>e</w:t>
      </w:r>
      <w:r w:rsidRPr="00466CE7">
        <w:rPr>
          <w:rFonts w:eastAsia="Times New Roman"/>
          <w:lang w:val="fr-FR"/>
        </w:rPr>
        <w:t>s par l</w:t>
      </w:r>
      <w:r>
        <w:rPr>
          <w:rFonts w:eastAsia="Times New Roman"/>
          <w:lang w:val="fr-FR"/>
        </w:rPr>
        <w:t>’</w:t>
      </w:r>
      <w:r w:rsidRPr="00466CE7">
        <w:rPr>
          <w:rFonts w:eastAsia="Times New Roman"/>
          <w:lang w:val="fr-FR"/>
        </w:rPr>
        <w:t>État</w:t>
      </w:r>
      <w:r>
        <w:rPr>
          <w:rFonts w:eastAsia="Times New Roman"/>
          <w:lang w:val="fr-FR"/>
        </w:rPr>
        <w:t xml:space="preserve"> et</w:t>
      </w:r>
      <w:r w:rsidRPr="00466CE7">
        <w:rPr>
          <w:rFonts w:eastAsia="Times New Roman"/>
          <w:lang w:val="fr-FR"/>
        </w:rPr>
        <w:t xml:space="preserve"> sur la fourniture de </w:t>
      </w:r>
      <w:r>
        <w:rPr>
          <w:rFonts w:eastAsia="Times New Roman"/>
          <w:lang w:val="fr-FR"/>
        </w:rPr>
        <w:t>médicaments à prix réduit dans le cadre ambulatoire</w:t>
      </w:r>
      <w:r w:rsidRPr="00466CE7">
        <w:rPr>
          <w:rFonts w:eastAsia="Times New Roman"/>
          <w:lang w:val="fr-FR"/>
        </w:rPr>
        <w:t xml:space="preserve">. </w:t>
      </w:r>
    </w:p>
    <w:p w14:paraId="32965ACA" w14:textId="3349CC95" w:rsidR="009C6834" w:rsidRPr="00466CE7" w:rsidRDefault="009C6834" w:rsidP="009C6834">
      <w:pPr>
        <w:pStyle w:val="SingleTxtG"/>
        <w:rPr>
          <w:rFonts w:eastAsia="Times New Roman"/>
          <w:lang w:val="fr-FR"/>
        </w:rPr>
      </w:pPr>
      <w:r w:rsidRPr="00466CE7">
        <w:rPr>
          <w:rFonts w:eastAsia="Times New Roman"/>
          <w:lang w:val="fr-FR"/>
        </w:rPr>
        <w:t>380.</w:t>
      </w:r>
      <w:r w:rsidRPr="00466CE7">
        <w:rPr>
          <w:rFonts w:eastAsia="Times New Roman"/>
          <w:lang w:val="fr-FR"/>
        </w:rPr>
        <w:tab/>
      </w:r>
      <w:r>
        <w:rPr>
          <w:rFonts w:eastAsia="Times New Roman"/>
          <w:lang w:val="fr-FR"/>
        </w:rPr>
        <w:t xml:space="preserve">On trouve dans tous les établissements de santé sous contrat avec le Fonds de l’assurance maladie obligatoire des </w:t>
      </w:r>
      <w:r w:rsidRPr="00466CE7">
        <w:rPr>
          <w:rFonts w:eastAsia="Times New Roman"/>
          <w:lang w:val="fr-FR"/>
        </w:rPr>
        <w:t xml:space="preserve">affiches </w:t>
      </w:r>
      <w:r>
        <w:rPr>
          <w:rFonts w:eastAsia="Times New Roman"/>
          <w:lang w:val="fr-FR"/>
        </w:rPr>
        <w:t xml:space="preserve">donnant </w:t>
      </w:r>
      <w:r w:rsidRPr="00466CE7">
        <w:rPr>
          <w:rFonts w:eastAsia="Times New Roman"/>
          <w:lang w:val="fr-FR"/>
        </w:rPr>
        <w:t xml:space="preserve">des informations sur la </w:t>
      </w:r>
      <w:r>
        <w:rPr>
          <w:rFonts w:eastAsia="Times New Roman"/>
          <w:lang w:val="fr-FR"/>
        </w:rPr>
        <w:t>permanence</w:t>
      </w:r>
      <w:r w:rsidRPr="00466CE7">
        <w:rPr>
          <w:rFonts w:eastAsia="Times New Roman"/>
          <w:lang w:val="fr-FR"/>
        </w:rPr>
        <w:t xml:space="preserve"> téléphonique </w:t>
      </w:r>
      <w:r>
        <w:rPr>
          <w:rFonts w:eastAsia="Times New Roman"/>
          <w:lang w:val="fr-FR"/>
        </w:rPr>
        <w:t>du Fonds</w:t>
      </w:r>
      <w:r w:rsidRPr="00466CE7">
        <w:rPr>
          <w:rFonts w:eastAsia="Times New Roman"/>
          <w:lang w:val="fr-FR"/>
        </w:rPr>
        <w:t xml:space="preserve">. Les télévisions régionales et locales diffusent </w:t>
      </w:r>
      <w:r>
        <w:rPr>
          <w:rFonts w:eastAsia="Times New Roman"/>
          <w:lang w:val="fr-FR"/>
        </w:rPr>
        <w:t xml:space="preserve">par ailleurs </w:t>
      </w:r>
      <w:r w:rsidRPr="00466CE7">
        <w:rPr>
          <w:rFonts w:eastAsia="Times New Roman"/>
          <w:lang w:val="fr-FR"/>
        </w:rPr>
        <w:t>des messages</w:t>
      </w:r>
      <w:r w:rsidRPr="00EA30F5">
        <w:rPr>
          <w:rFonts w:eastAsia="Times New Roman"/>
          <w:lang w:val="fr-FR"/>
        </w:rPr>
        <w:t xml:space="preserve"> </w:t>
      </w:r>
      <w:r w:rsidRPr="00466CE7">
        <w:rPr>
          <w:rFonts w:eastAsia="Times New Roman"/>
          <w:lang w:val="fr-FR"/>
        </w:rPr>
        <w:t xml:space="preserve">sur </w:t>
      </w:r>
      <w:r>
        <w:rPr>
          <w:rFonts w:eastAsia="Times New Roman"/>
          <w:lang w:val="fr-FR"/>
        </w:rPr>
        <w:t>cette permanence (</w:t>
      </w:r>
      <w:r w:rsidRPr="00466CE7">
        <w:rPr>
          <w:rFonts w:eastAsia="Times New Roman"/>
          <w:lang w:val="fr-FR"/>
        </w:rPr>
        <w:t>plus de 16</w:t>
      </w:r>
      <w:r w:rsidR="00DE0C81">
        <w:rPr>
          <w:rFonts w:eastAsia="Times New Roman"/>
          <w:lang w:val="fr-FR"/>
        </w:rPr>
        <w:t> </w:t>
      </w:r>
      <w:r w:rsidRPr="00466CE7">
        <w:rPr>
          <w:rFonts w:eastAsia="Times New Roman"/>
          <w:lang w:val="fr-FR"/>
        </w:rPr>
        <w:t>000</w:t>
      </w:r>
      <w:r w:rsidR="00DE0C81">
        <w:rPr>
          <w:rFonts w:eastAsia="Times New Roman"/>
          <w:lang w:val="fr-FR"/>
        </w:rPr>
        <w:t> </w:t>
      </w:r>
      <w:r>
        <w:rPr>
          <w:rFonts w:eastAsia="Times New Roman"/>
          <w:lang w:val="fr-FR"/>
        </w:rPr>
        <w:t>diffusions et bannière publicitaires, dont 150</w:t>
      </w:r>
      <w:r w:rsidR="00DE0C81">
        <w:rPr>
          <w:rFonts w:eastAsia="Times New Roman"/>
          <w:lang w:val="fr-FR"/>
        </w:rPr>
        <w:t> </w:t>
      </w:r>
      <w:r>
        <w:rPr>
          <w:rFonts w:eastAsia="Times New Roman"/>
          <w:lang w:val="fr-FR"/>
        </w:rPr>
        <w:t>diffusions au cours de l’année écoulée)</w:t>
      </w:r>
      <w:r w:rsidRPr="00466CE7">
        <w:rPr>
          <w:rFonts w:eastAsia="Times New Roman"/>
          <w:lang w:val="fr-FR"/>
        </w:rPr>
        <w:t xml:space="preserve">. </w:t>
      </w:r>
    </w:p>
    <w:p w14:paraId="4D25D471" w14:textId="2159A732" w:rsidR="009C6834" w:rsidRPr="00466CE7" w:rsidRDefault="009C6834" w:rsidP="009C6834">
      <w:pPr>
        <w:pStyle w:val="SingleTxtG"/>
        <w:rPr>
          <w:rFonts w:eastAsia="Times New Roman"/>
          <w:lang w:val="fr-FR"/>
        </w:rPr>
      </w:pPr>
      <w:r w:rsidRPr="00466CE7">
        <w:rPr>
          <w:rFonts w:eastAsia="Times New Roman"/>
          <w:lang w:val="fr-FR"/>
        </w:rPr>
        <w:t>381.</w:t>
      </w:r>
      <w:r w:rsidRPr="00466CE7">
        <w:rPr>
          <w:rFonts w:eastAsia="Times New Roman"/>
          <w:lang w:val="fr-FR"/>
        </w:rPr>
        <w:tab/>
      </w:r>
      <w:r>
        <w:rPr>
          <w:rFonts w:eastAsia="Times New Roman"/>
          <w:lang w:val="fr-FR"/>
        </w:rPr>
        <w:t xml:space="preserve">Pour connaître </w:t>
      </w:r>
      <w:r w:rsidRPr="00466CE7">
        <w:rPr>
          <w:rFonts w:eastAsia="Times New Roman"/>
          <w:lang w:val="fr-FR"/>
        </w:rPr>
        <w:t>l</w:t>
      </w:r>
      <w:r>
        <w:rPr>
          <w:rFonts w:eastAsia="Times New Roman"/>
          <w:lang w:val="fr-FR"/>
        </w:rPr>
        <w:t>’</w:t>
      </w:r>
      <w:r w:rsidRPr="00466CE7">
        <w:rPr>
          <w:rFonts w:eastAsia="Times New Roman"/>
          <w:lang w:val="fr-FR"/>
        </w:rPr>
        <w:t xml:space="preserve">opinion </w:t>
      </w:r>
      <w:r>
        <w:rPr>
          <w:rFonts w:eastAsia="Times New Roman"/>
          <w:lang w:val="fr-FR"/>
        </w:rPr>
        <w:t xml:space="preserve">de la </w:t>
      </w:r>
      <w:r w:rsidRPr="00466CE7">
        <w:rPr>
          <w:rFonts w:eastAsia="Times New Roman"/>
          <w:lang w:val="fr-FR"/>
        </w:rPr>
        <w:t xml:space="preserve">population sur les activités des </w:t>
      </w:r>
      <w:r>
        <w:rPr>
          <w:rFonts w:eastAsia="Times New Roman"/>
          <w:lang w:val="fr-FR"/>
        </w:rPr>
        <w:t xml:space="preserve">établissements de santé, conformément à une </w:t>
      </w:r>
      <w:r w:rsidRPr="00466CE7">
        <w:rPr>
          <w:rFonts w:eastAsia="Times New Roman"/>
          <w:lang w:val="fr-FR"/>
        </w:rPr>
        <w:t xml:space="preserve">instruction du Fonds de </w:t>
      </w:r>
      <w:r>
        <w:rPr>
          <w:rFonts w:eastAsia="Times New Roman"/>
          <w:lang w:val="fr-FR"/>
        </w:rPr>
        <w:t xml:space="preserve">l’assurance maladie obligatoire approuvant la réalisation d’une enquête </w:t>
      </w:r>
      <w:r w:rsidRPr="00466CE7">
        <w:rPr>
          <w:rFonts w:eastAsia="Times New Roman"/>
          <w:lang w:val="fr-FR"/>
        </w:rPr>
        <w:t xml:space="preserve">en ligne </w:t>
      </w:r>
      <w:r>
        <w:rPr>
          <w:rFonts w:eastAsia="Times New Roman"/>
          <w:lang w:val="fr-FR"/>
        </w:rPr>
        <w:t xml:space="preserve">auprès </w:t>
      </w:r>
      <w:r w:rsidRPr="00466CE7">
        <w:rPr>
          <w:rFonts w:eastAsia="Times New Roman"/>
          <w:lang w:val="fr-FR"/>
        </w:rPr>
        <w:t xml:space="preserve">de la population, un mécanisme de suivi de la satisfaction des patients a été </w:t>
      </w:r>
      <w:r>
        <w:rPr>
          <w:rFonts w:eastAsia="Times New Roman"/>
          <w:lang w:val="fr-FR"/>
        </w:rPr>
        <w:t xml:space="preserve">mis au point </w:t>
      </w:r>
      <w:r w:rsidRPr="00466CE7">
        <w:rPr>
          <w:rFonts w:eastAsia="Times New Roman"/>
          <w:lang w:val="fr-FR"/>
        </w:rPr>
        <w:t xml:space="preserve">et </w:t>
      </w:r>
      <w:r>
        <w:rPr>
          <w:rFonts w:eastAsia="Times New Roman"/>
          <w:lang w:val="fr-FR"/>
        </w:rPr>
        <w:t xml:space="preserve">installé </w:t>
      </w:r>
      <w:r w:rsidRPr="00466CE7">
        <w:rPr>
          <w:rFonts w:eastAsia="Times New Roman"/>
          <w:lang w:val="fr-FR"/>
        </w:rPr>
        <w:t xml:space="preserve">sur une </w:t>
      </w:r>
      <w:proofErr w:type="spellStart"/>
      <w:r w:rsidRPr="00466CE7">
        <w:rPr>
          <w:rFonts w:eastAsia="Times New Roman"/>
          <w:lang w:val="fr-FR"/>
        </w:rPr>
        <w:t>plateforme</w:t>
      </w:r>
      <w:proofErr w:type="spellEnd"/>
      <w:r w:rsidRPr="00466CE7">
        <w:rPr>
          <w:rFonts w:eastAsia="Times New Roman"/>
          <w:lang w:val="fr-FR"/>
        </w:rPr>
        <w:t xml:space="preserve"> électronique (en ligne). </w:t>
      </w:r>
      <w:r>
        <w:rPr>
          <w:rFonts w:eastAsia="Times New Roman"/>
          <w:lang w:val="fr-FR"/>
        </w:rPr>
        <w:t>L’</w:t>
      </w:r>
      <w:r w:rsidRPr="00466CE7">
        <w:rPr>
          <w:rFonts w:eastAsia="Times New Roman"/>
          <w:lang w:val="fr-FR"/>
        </w:rPr>
        <w:t xml:space="preserve">enquête </w:t>
      </w:r>
      <w:r>
        <w:rPr>
          <w:rFonts w:eastAsia="Times New Roman"/>
          <w:lang w:val="fr-FR"/>
        </w:rPr>
        <w:t xml:space="preserve">a démarré en </w:t>
      </w:r>
      <w:r w:rsidRPr="00466CE7">
        <w:rPr>
          <w:rFonts w:eastAsia="Times New Roman"/>
          <w:lang w:val="fr-FR"/>
        </w:rPr>
        <w:t>avril 2019</w:t>
      </w:r>
      <w:r>
        <w:rPr>
          <w:rFonts w:eastAsia="Times New Roman"/>
          <w:lang w:val="fr-FR"/>
        </w:rPr>
        <w:t xml:space="preserve"> et, à </w:t>
      </w:r>
      <w:r w:rsidRPr="00466CE7">
        <w:rPr>
          <w:rFonts w:eastAsia="Times New Roman"/>
          <w:lang w:val="fr-FR"/>
        </w:rPr>
        <w:t>la fin de l</w:t>
      </w:r>
      <w:r>
        <w:rPr>
          <w:rFonts w:eastAsia="Times New Roman"/>
          <w:lang w:val="fr-FR"/>
        </w:rPr>
        <w:t>’</w:t>
      </w:r>
      <w:r w:rsidRPr="00466CE7">
        <w:rPr>
          <w:rFonts w:eastAsia="Times New Roman"/>
          <w:lang w:val="fr-FR"/>
        </w:rPr>
        <w:t>année 2019</w:t>
      </w:r>
      <w:r>
        <w:rPr>
          <w:rFonts w:eastAsia="Times New Roman"/>
          <w:lang w:val="fr-FR"/>
        </w:rPr>
        <w:t>, 115</w:t>
      </w:r>
      <w:r w:rsidR="00DE0C81">
        <w:rPr>
          <w:rFonts w:eastAsia="Times New Roman"/>
          <w:lang w:val="fr-FR"/>
        </w:rPr>
        <w:t> </w:t>
      </w:r>
      <w:r>
        <w:rPr>
          <w:rFonts w:eastAsia="Times New Roman"/>
          <w:lang w:val="fr-FR"/>
        </w:rPr>
        <w:t>personnes y avaient répondu</w:t>
      </w:r>
      <w:r w:rsidRPr="00466CE7">
        <w:rPr>
          <w:rFonts w:eastAsia="Times New Roman"/>
          <w:lang w:val="fr-FR"/>
        </w:rPr>
        <w:t>.</w:t>
      </w:r>
    </w:p>
    <w:p w14:paraId="3F53E3D1" w14:textId="46991EA4" w:rsidR="009C6834" w:rsidRPr="00466CE7" w:rsidRDefault="009C6834" w:rsidP="009C6834">
      <w:pPr>
        <w:pStyle w:val="SingleTxtG"/>
        <w:rPr>
          <w:rFonts w:eastAsia="Times New Roman"/>
          <w:lang w:val="fr-FR"/>
        </w:rPr>
      </w:pPr>
      <w:r w:rsidRPr="00466CE7">
        <w:rPr>
          <w:rFonts w:eastAsia="Times New Roman"/>
          <w:lang w:val="fr-FR"/>
        </w:rPr>
        <w:t>382.</w:t>
      </w:r>
      <w:r w:rsidRPr="00466CE7">
        <w:rPr>
          <w:rFonts w:eastAsia="Times New Roman"/>
          <w:lang w:val="fr-FR"/>
        </w:rPr>
        <w:tab/>
        <w:t xml:space="preserve">Le Fonds de </w:t>
      </w:r>
      <w:r>
        <w:rPr>
          <w:rFonts w:eastAsia="Times New Roman"/>
          <w:lang w:val="fr-FR"/>
        </w:rPr>
        <w:t xml:space="preserve">l’assurance maladie obligatoire </w:t>
      </w:r>
      <w:r w:rsidRPr="00466CE7">
        <w:rPr>
          <w:rFonts w:eastAsia="Times New Roman"/>
          <w:lang w:val="fr-FR"/>
        </w:rPr>
        <w:t>a publié 3</w:t>
      </w:r>
      <w:r w:rsidR="00DE0C81">
        <w:rPr>
          <w:rFonts w:eastAsia="Times New Roman"/>
          <w:lang w:val="fr-FR"/>
        </w:rPr>
        <w:t> </w:t>
      </w:r>
      <w:r w:rsidRPr="00466CE7">
        <w:rPr>
          <w:rFonts w:eastAsia="Times New Roman"/>
          <w:lang w:val="fr-FR"/>
        </w:rPr>
        <w:t>000</w:t>
      </w:r>
      <w:r w:rsidR="00DE0C81">
        <w:rPr>
          <w:rFonts w:eastAsia="Times New Roman"/>
          <w:lang w:val="fr-FR"/>
        </w:rPr>
        <w:t> </w:t>
      </w:r>
      <w:r w:rsidRPr="00466CE7">
        <w:rPr>
          <w:rFonts w:eastAsia="Times New Roman"/>
          <w:lang w:val="fr-FR"/>
        </w:rPr>
        <w:t xml:space="preserve">exemplaires </w:t>
      </w:r>
      <w:r>
        <w:rPr>
          <w:rFonts w:eastAsia="Times New Roman"/>
          <w:lang w:val="fr-FR"/>
        </w:rPr>
        <w:t xml:space="preserve">d’une brochure intitulée </w:t>
      </w:r>
      <w:proofErr w:type="spellStart"/>
      <w:r w:rsidRPr="001976C0">
        <w:rPr>
          <w:rFonts w:eastAsia="Times New Roman"/>
          <w:lang w:val="fr-FR"/>
        </w:rPr>
        <w:t>Zharandardy</w:t>
      </w:r>
      <w:proofErr w:type="spellEnd"/>
      <w:r w:rsidRPr="001976C0">
        <w:rPr>
          <w:rFonts w:eastAsia="Times New Roman"/>
          <w:lang w:val="fr-FR"/>
        </w:rPr>
        <w:t xml:space="preserve"> </w:t>
      </w:r>
      <w:proofErr w:type="spellStart"/>
      <w:r w:rsidRPr="001976C0">
        <w:rPr>
          <w:rFonts w:eastAsia="Times New Roman"/>
          <w:lang w:val="fr-FR"/>
        </w:rPr>
        <w:t>medicinalik-sanitary</w:t>
      </w:r>
      <w:proofErr w:type="spellEnd"/>
      <w:r w:rsidRPr="001976C0">
        <w:rPr>
          <w:rFonts w:eastAsia="Times New Roman"/>
          <w:lang w:val="fr-FR"/>
        </w:rPr>
        <w:t xml:space="preserve"> </w:t>
      </w:r>
      <w:proofErr w:type="spellStart"/>
      <w:r w:rsidRPr="001976C0">
        <w:rPr>
          <w:rFonts w:eastAsia="Times New Roman"/>
          <w:lang w:val="fr-FR"/>
        </w:rPr>
        <w:t>jardam</w:t>
      </w:r>
      <w:proofErr w:type="spellEnd"/>
      <w:r w:rsidRPr="001976C0">
        <w:rPr>
          <w:rFonts w:eastAsia="Times New Roman"/>
          <w:lang w:val="fr-FR"/>
        </w:rPr>
        <w:t xml:space="preserve"> </w:t>
      </w:r>
      <w:proofErr w:type="spellStart"/>
      <w:r w:rsidRPr="001976C0">
        <w:rPr>
          <w:rFonts w:eastAsia="Times New Roman"/>
          <w:lang w:val="fr-FR"/>
        </w:rPr>
        <w:t>menen</w:t>
      </w:r>
      <w:proofErr w:type="spellEnd"/>
      <w:r w:rsidRPr="001976C0">
        <w:rPr>
          <w:rFonts w:eastAsia="Times New Roman"/>
          <w:lang w:val="fr-FR"/>
        </w:rPr>
        <w:t xml:space="preserve"> </w:t>
      </w:r>
      <w:proofErr w:type="spellStart"/>
      <w:r w:rsidRPr="001976C0">
        <w:rPr>
          <w:rFonts w:eastAsia="Times New Roman"/>
          <w:lang w:val="fr-FR"/>
        </w:rPr>
        <w:t>kamsyzdoo</w:t>
      </w:r>
      <w:proofErr w:type="spellEnd"/>
      <w:r w:rsidRPr="001976C0">
        <w:rPr>
          <w:rFonts w:eastAsia="Times New Roman"/>
          <w:lang w:val="fr-FR"/>
        </w:rPr>
        <w:t xml:space="preserve"> </w:t>
      </w:r>
      <w:proofErr w:type="spellStart"/>
      <w:r w:rsidRPr="001976C0">
        <w:rPr>
          <w:rFonts w:eastAsia="Times New Roman"/>
          <w:lang w:val="fr-FR"/>
        </w:rPr>
        <w:t>boy</w:t>
      </w:r>
      <w:r>
        <w:rPr>
          <w:rFonts w:eastAsia="Times New Roman"/>
          <w:lang w:val="fr-FR"/>
        </w:rPr>
        <w:t>o</w:t>
      </w:r>
      <w:r w:rsidRPr="001976C0">
        <w:rPr>
          <w:rFonts w:eastAsia="Times New Roman"/>
          <w:lang w:val="fr-FR"/>
        </w:rPr>
        <w:t>uncha</w:t>
      </w:r>
      <w:proofErr w:type="spellEnd"/>
      <w:r w:rsidRPr="001976C0">
        <w:rPr>
          <w:rFonts w:eastAsia="Times New Roman"/>
          <w:lang w:val="fr-FR"/>
        </w:rPr>
        <w:t xml:space="preserve"> </w:t>
      </w:r>
      <w:proofErr w:type="spellStart"/>
      <w:r w:rsidRPr="001976C0">
        <w:rPr>
          <w:rFonts w:eastAsia="Times New Roman"/>
          <w:lang w:val="fr-FR"/>
        </w:rPr>
        <w:t>Mamlek</w:t>
      </w:r>
      <w:r>
        <w:rPr>
          <w:rFonts w:eastAsia="Times New Roman"/>
          <w:lang w:val="fr-FR"/>
        </w:rPr>
        <w:t>et</w:t>
      </w:r>
      <w:r w:rsidRPr="001976C0">
        <w:rPr>
          <w:rFonts w:eastAsia="Times New Roman"/>
          <w:lang w:val="fr-FR"/>
        </w:rPr>
        <w:t>tik</w:t>
      </w:r>
      <w:proofErr w:type="spellEnd"/>
      <w:r w:rsidRPr="001976C0">
        <w:rPr>
          <w:rFonts w:eastAsia="Times New Roman"/>
          <w:lang w:val="fr-FR"/>
        </w:rPr>
        <w:t xml:space="preserve"> </w:t>
      </w:r>
      <w:proofErr w:type="spellStart"/>
      <w:r w:rsidRPr="001976C0">
        <w:rPr>
          <w:rFonts w:eastAsia="Times New Roman"/>
          <w:lang w:val="fr-FR"/>
        </w:rPr>
        <w:t>kepildikter</w:t>
      </w:r>
      <w:proofErr w:type="spellEnd"/>
      <w:r w:rsidRPr="001976C0">
        <w:rPr>
          <w:rFonts w:eastAsia="Times New Roman"/>
          <w:lang w:val="fr-FR"/>
        </w:rPr>
        <w:t xml:space="preserve"> </w:t>
      </w:r>
      <w:proofErr w:type="spellStart"/>
      <w:r w:rsidRPr="001976C0">
        <w:rPr>
          <w:rFonts w:eastAsia="Times New Roman"/>
          <w:lang w:val="fr-FR"/>
        </w:rPr>
        <w:t>program</w:t>
      </w:r>
      <w:r>
        <w:rPr>
          <w:rFonts w:eastAsia="Times New Roman"/>
          <w:lang w:val="fr-FR"/>
        </w:rPr>
        <w:t>ma</w:t>
      </w:r>
      <w:r w:rsidRPr="001976C0">
        <w:rPr>
          <w:rFonts w:eastAsia="Times New Roman"/>
          <w:lang w:val="fr-FR"/>
        </w:rPr>
        <w:t>s</w:t>
      </w:r>
      <w:r>
        <w:rPr>
          <w:rFonts w:eastAsia="Times New Roman"/>
          <w:lang w:val="fr-FR"/>
        </w:rPr>
        <w:t>y</w:t>
      </w:r>
      <w:proofErr w:type="spellEnd"/>
      <w:r>
        <w:rPr>
          <w:rFonts w:eastAsia="Times New Roman"/>
          <w:lang w:val="fr-FR"/>
        </w:rPr>
        <w:t>,</w:t>
      </w:r>
      <w:r w:rsidRPr="00466CE7">
        <w:rPr>
          <w:rFonts w:eastAsia="Times New Roman"/>
          <w:lang w:val="fr-FR"/>
        </w:rPr>
        <w:t xml:space="preserve"> 27</w:t>
      </w:r>
      <w:r w:rsidR="00DE0C81">
        <w:rPr>
          <w:rFonts w:eastAsia="Times New Roman"/>
          <w:lang w:val="fr-FR"/>
        </w:rPr>
        <w:t> </w:t>
      </w:r>
      <w:r w:rsidRPr="00466CE7">
        <w:rPr>
          <w:rFonts w:eastAsia="Times New Roman"/>
          <w:lang w:val="fr-FR"/>
        </w:rPr>
        <w:t>000</w:t>
      </w:r>
      <w:r w:rsidR="00DE0C81">
        <w:rPr>
          <w:rFonts w:eastAsia="Times New Roman"/>
          <w:lang w:val="fr-FR"/>
        </w:rPr>
        <w:t> </w:t>
      </w:r>
      <w:r w:rsidRPr="00466CE7">
        <w:rPr>
          <w:rFonts w:eastAsia="Times New Roman"/>
          <w:lang w:val="fr-FR"/>
        </w:rPr>
        <w:t xml:space="preserve">exemplaires </w:t>
      </w:r>
      <w:r>
        <w:rPr>
          <w:rFonts w:eastAsia="Times New Roman"/>
          <w:lang w:val="fr-FR"/>
        </w:rPr>
        <w:t>d’une brochure sur « La</w:t>
      </w:r>
      <w:r w:rsidR="00DE0C81">
        <w:rPr>
          <w:rFonts w:eastAsia="Times New Roman"/>
          <w:lang w:val="fr-FR"/>
        </w:rPr>
        <w:t> </w:t>
      </w:r>
      <w:r>
        <w:rPr>
          <w:rFonts w:eastAsia="Times New Roman"/>
          <w:lang w:val="fr-FR"/>
        </w:rPr>
        <w:t>c</w:t>
      </w:r>
      <w:r w:rsidRPr="00466CE7">
        <w:rPr>
          <w:rFonts w:eastAsia="Times New Roman"/>
          <w:lang w:val="fr-FR"/>
        </w:rPr>
        <w:t xml:space="preserve">ontraception </w:t>
      </w:r>
      <w:r>
        <w:rPr>
          <w:rFonts w:eastAsia="Times New Roman"/>
          <w:lang w:val="fr-FR"/>
        </w:rPr>
        <w:t>à prix réduit »</w:t>
      </w:r>
      <w:r w:rsidRPr="00466CE7">
        <w:rPr>
          <w:rFonts w:eastAsia="Times New Roman"/>
          <w:lang w:val="fr-FR"/>
        </w:rPr>
        <w:t xml:space="preserve"> et 1</w:t>
      </w:r>
      <w:r w:rsidR="00DE0C81">
        <w:rPr>
          <w:rFonts w:eastAsia="Times New Roman"/>
          <w:lang w:val="fr-FR"/>
        </w:rPr>
        <w:t> </w:t>
      </w:r>
      <w:r w:rsidRPr="00466CE7">
        <w:rPr>
          <w:rFonts w:eastAsia="Times New Roman"/>
          <w:lang w:val="fr-FR"/>
        </w:rPr>
        <w:t>000</w:t>
      </w:r>
      <w:r w:rsidR="00DE0C81">
        <w:rPr>
          <w:rFonts w:eastAsia="Times New Roman"/>
          <w:lang w:val="fr-FR"/>
        </w:rPr>
        <w:t> </w:t>
      </w:r>
      <w:r w:rsidRPr="00466CE7">
        <w:rPr>
          <w:rFonts w:eastAsia="Times New Roman"/>
          <w:lang w:val="fr-FR"/>
        </w:rPr>
        <w:t xml:space="preserve">exemplaires </w:t>
      </w:r>
      <w:r>
        <w:rPr>
          <w:rFonts w:eastAsia="Times New Roman"/>
          <w:lang w:val="fr-FR"/>
        </w:rPr>
        <w:t>d’un « </w:t>
      </w:r>
      <w:proofErr w:type="spellStart"/>
      <w:r>
        <w:rPr>
          <w:rFonts w:eastAsia="Times New Roman"/>
          <w:lang w:val="fr-FR"/>
        </w:rPr>
        <w:t>Mémento</w:t>
      </w:r>
      <w:proofErr w:type="spellEnd"/>
      <w:r>
        <w:rPr>
          <w:rFonts w:eastAsia="Times New Roman"/>
          <w:lang w:val="fr-FR"/>
        </w:rPr>
        <w:t xml:space="preserve"> pour la </w:t>
      </w:r>
      <w:r w:rsidRPr="00466CE7">
        <w:rPr>
          <w:rFonts w:eastAsia="Times New Roman"/>
          <w:lang w:val="fr-FR"/>
        </w:rPr>
        <w:t xml:space="preserve">population </w:t>
      </w:r>
      <w:r>
        <w:rPr>
          <w:rFonts w:eastAsia="Times New Roman"/>
          <w:lang w:val="fr-FR"/>
        </w:rPr>
        <w:t>sur le diagnostic et le traitement de la tuberculose dans les établissements de santé ». Ces brochures ont été distribuées aux antennes territoriales du Fonds</w:t>
      </w:r>
      <w:r w:rsidRPr="00466CE7">
        <w:rPr>
          <w:rFonts w:eastAsia="Times New Roman"/>
          <w:lang w:val="fr-FR"/>
        </w:rPr>
        <w:t>.</w:t>
      </w:r>
    </w:p>
    <w:p w14:paraId="1057B0EE" w14:textId="77777777" w:rsidR="009C6834" w:rsidRPr="00466CE7" w:rsidRDefault="009C6834" w:rsidP="009C6834">
      <w:pPr>
        <w:pStyle w:val="SingleTxtG"/>
        <w:rPr>
          <w:rFonts w:eastAsia="Times New Roman"/>
          <w:lang w:val="fr-FR"/>
        </w:rPr>
      </w:pPr>
      <w:r w:rsidRPr="00466CE7">
        <w:rPr>
          <w:rFonts w:eastAsia="Times New Roman"/>
          <w:lang w:val="fr-FR"/>
        </w:rPr>
        <w:t>383.</w:t>
      </w:r>
      <w:r w:rsidRPr="00466CE7">
        <w:rPr>
          <w:rFonts w:eastAsia="Times New Roman"/>
          <w:lang w:val="fr-FR"/>
        </w:rPr>
        <w:tab/>
      </w:r>
      <w:r>
        <w:rPr>
          <w:rFonts w:eastAsia="Times New Roman"/>
          <w:lang w:val="fr-FR"/>
        </w:rPr>
        <w:t xml:space="preserve">Les personnes qui estiment que leurs droits ont été violés dans le cadre de la fourniture de </w:t>
      </w:r>
      <w:r w:rsidRPr="00466CE7">
        <w:rPr>
          <w:rFonts w:eastAsia="Times New Roman"/>
          <w:lang w:val="fr-FR"/>
        </w:rPr>
        <w:t>soins médicaux peuvent contacter</w:t>
      </w:r>
      <w:r>
        <w:rPr>
          <w:rFonts w:eastAsia="Times New Roman"/>
          <w:lang w:val="fr-FR"/>
        </w:rPr>
        <w:t xml:space="preserve"> </w:t>
      </w:r>
      <w:r w:rsidRPr="00466CE7">
        <w:rPr>
          <w:rFonts w:eastAsia="Times New Roman"/>
          <w:lang w:val="fr-FR"/>
        </w:rPr>
        <w:t xml:space="preserve">la </w:t>
      </w:r>
      <w:r>
        <w:rPr>
          <w:rFonts w:eastAsia="Times New Roman"/>
          <w:lang w:val="fr-FR"/>
        </w:rPr>
        <w:t xml:space="preserve">permanence téléphonique </w:t>
      </w:r>
      <w:r w:rsidRPr="00466CE7">
        <w:rPr>
          <w:rFonts w:eastAsia="Times New Roman"/>
          <w:lang w:val="fr-FR"/>
        </w:rPr>
        <w:t xml:space="preserve">du Fonds </w:t>
      </w:r>
      <w:r>
        <w:rPr>
          <w:rFonts w:eastAsia="Times New Roman"/>
          <w:lang w:val="fr-FR"/>
        </w:rPr>
        <w:t>de l’assurance maladie obligatoire en composant le 113</w:t>
      </w:r>
      <w:r w:rsidRPr="00466CE7">
        <w:rPr>
          <w:rFonts w:eastAsia="Times New Roman"/>
          <w:lang w:val="fr-FR"/>
        </w:rPr>
        <w:t>.</w:t>
      </w:r>
    </w:p>
    <w:p w14:paraId="0F2B5270" w14:textId="3B1885B7" w:rsidR="009C6834" w:rsidRPr="00466CE7" w:rsidRDefault="009C6834" w:rsidP="00DE0C81">
      <w:pPr>
        <w:pStyle w:val="H1G"/>
        <w:rPr>
          <w:lang w:val="fr-FR"/>
        </w:rPr>
      </w:pPr>
      <w:r w:rsidRPr="00466CE7">
        <w:rPr>
          <w:lang w:val="fr-FR"/>
        </w:rPr>
        <w:tab/>
      </w:r>
      <w:r w:rsidRPr="00466CE7">
        <w:rPr>
          <w:lang w:val="fr-FR"/>
        </w:rPr>
        <w:tab/>
      </w:r>
      <w:r w:rsidR="00CB4ECD">
        <w:rPr>
          <w:lang w:val="fr-FR"/>
        </w:rPr>
        <w:t>Article </w:t>
      </w:r>
      <w:r w:rsidRPr="00466CE7">
        <w:rPr>
          <w:lang w:val="fr-FR"/>
        </w:rPr>
        <w:t xml:space="preserve">23 </w:t>
      </w:r>
      <w:r w:rsidRPr="00466CE7">
        <w:rPr>
          <w:lang w:val="fr-FR"/>
        </w:rPr>
        <w:br/>
      </w:r>
      <w:r>
        <w:rPr>
          <w:lang w:val="fr-FR"/>
        </w:rPr>
        <w:t>Politique de lutte contre les drogues et droit à la santé</w:t>
      </w:r>
    </w:p>
    <w:p w14:paraId="0C063A1A" w14:textId="77615ED9" w:rsidR="009C6834" w:rsidRPr="00466CE7" w:rsidRDefault="009C6834" w:rsidP="009C6834">
      <w:pPr>
        <w:pStyle w:val="SingleTxtG"/>
        <w:rPr>
          <w:rFonts w:eastAsia="Times New Roman"/>
          <w:lang w:val="fr-FR"/>
        </w:rPr>
      </w:pPr>
      <w:r w:rsidRPr="00466CE7">
        <w:rPr>
          <w:rFonts w:eastAsia="Times New Roman"/>
          <w:lang w:val="fr-FR"/>
        </w:rPr>
        <w:t>384.</w:t>
      </w:r>
      <w:r w:rsidRPr="00466CE7">
        <w:rPr>
          <w:rFonts w:eastAsia="Times New Roman"/>
          <w:lang w:val="fr-FR"/>
        </w:rPr>
        <w:tab/>
      </w:r>
      <w:r>
        <w:rPr>
          <w:rFonts w:eastAsia="Times New Roman"/>
          <w:lang w:val="fr-FR"/>
        </w:rPr>
        <w:t xml:space="preserve">Conformément aux nouveaux </w:t>
      </w:r>
      <w:r w:rsidR="000479B3">
        <w:rPr>
          <w:rFonts w:eastAsia="Times New Roman"/>
          <w:lang w:val="fr-FR"/>
        </w:rPr>
        <w:t>Code pénal</w:t>
      </w:r>
      <w:r>
        <w:rPr>
          <w:rFonts w:eastAsia="Times New Roman"/>
          <w:lang w:val="fr-FR"/>
        </w:rPr>
        <w:t xml:space="preserve"> et </w:t>
      </w:r>
      <w:r w:rsidR="009603CF">
        <w:rPr>
          <w:rFonts w:eastAsia="Times New Roman"/>
          <w:lang w:val="fr-FR"/>
        </w:rPr>
        <w:t>Code</w:t>
      </w:r>
      <w:r>
        <w:rPr>
          <w:rFonts w:eastAsia="Times New Roman"/>
          <w:lang w:val="fr-FR"/>
        </w:rPr>
        <w:t xml:space="preserve"> de procédure pénale</w:t>
      </w:r>
      <w:r w:rsidRPr="00466CE7">
        <w:rPr>
          <w:rFonts w:eastAsia="Times New Roman"/>
          <w:lang w:val="fr-FR"/>
        </w:rPr>
        <w:t xml:space="preserve"> entrés en vigueur le 1</w:t>
      </w:r>
      <w:r w:rsidRPr="00DE0C81">
        <w:rPr>
          <w:rFonts w:eastAsia="Times New Roman"/>
          <w:vertAlign w:val="superscript"/>
          <w:lang w:val="fr-FR"/>
        </w:rPr>
        <w:t>er</w:t>
      </w:r>
      <w:r w:rsidR="00DE0C81">
        <w:rPr>
          <w:rFonts w:eastAsia="Times New Roman"/>
          <w:lang w:val="fr-FR"/>
        </w:rPr>
        <w:t> </w:t>
      </w:r>
      <w:r w:rsidRPr="00466CE7">
        <w:rPr>
          <w:rFonts w:eastAsia="Times New Roman"/>
          <w:lang w:val="fr-FR"/>
        </w:rPr>
        <w:t xml:space="preserve">janvier 2019, toutes les infractions doivent être </w:t>
      </w:r>
      <w:r>
        <w:rPr>
          <w:rFonts w:eastAsia="Times New Roman"/>
          <w:lang w:val="fr-FR"/>
        </w:rPr>
        <w:t xml:space="preserve">consignées </w:t>
      </w:r>
      <w:r w:rsidRPr="00466CE7">
        <w:rPr>
          <w:rFonts w:eastAsia="Times New Roman"/>
          <w:lang w:val="fr-FR"/>
        </w:rPr>
        <w:t xml:space="preserve">dans </w:t>
      </w:r>
      <w:r>
        <w:rPr>
          <w:rFonts w:eastAsia="Times New Roman"/>
          <w:lang w:val="fr-FR"/>
        </w:rPr>
        <w:t xml:space="preserve">le registre centralisé des crimes et délits. Ce registre contient l’ensemble des </w:t>
      </w:r>
      <w:r w:rsidRPr="00466CE7">
        <w:rPr>
          <w:rFonts w:eastAsia="Times New Roman"/>
          <w:lang w:val="fr-FR"/>
        </w:rPr>
        <w:t xml:space="preserve">informations </w:t>
      </w:r>
      <w:r>
        <w:rPr>
          <w:rFonts w:eastAsia="Times New Roman"/>
          <w:lang w:val="fr-FR"/>
        </w:rPr>
        <w:t xml:space="preserve">concernant </w:t>
      </w:r>
      <w:r w:rsidRPr="00466CE7">
        <w:rPr>
          <w:rFonts w:eastAsia="Times New Roman"/>
          <w:lang w:val="fr-FR"/>
        </w:rPr>
        <w:t>l</w:t>
      </w:r>
      <w:r>
        <w:rPr>
          <w:rFonts w:eastAsia="Times New Roman"/>
          <w:lang w:val="fr-FR"/>
        </w:rPr>
        <w:t>’</w:t>
      </w:r>
      <w:r w:rsidRPr="00466CE7">
        <w:rPr>
          <w:rFonts w:eastAsia="Times New Roman"/>
          <w:lang w:val="fr-FR"/>
        </w:rPr>
        <w:t xml:space="preserve">ouverture </w:t>
      </w:r>
      <w:r>
        <w:rPr>
          <w:rFonts w:eastAsia="Times New Roman"/>
          <w:lang w:val="fr-FR"/>
        </w:rPr>
        <w:t xml:space="preserve">d’une enquête </w:t>
      </w:r>
      <w:r w:rsidRPr="00466CE7">
        <w:rPr>
          <w:rFonts w:eastAsia="Times New Roman"/>
          <w:lang w:val="fr-FR"/>
        </w:rPr>
        <w:t xml:space="preserve">préliminaire, les actes de procédure, </w:t>
      </w:r>
      <w:r>
        <w:rPr>
          <w:rFonts w:eastAsia="Times New Roman"/>
          <w:lang w:val="fr-FR"/>
        </w:rPr>
        <w:t>l’évolution de la procédure</w:t>
      </w:r>
      <w:r w:rsidRPr="00466CE7">
        <w:rPr>
          <w:rFonts w:eastAsia="Times New Roman"/>
          <w:lang w:val="fr-FR"/>
        </w:rPr>
        <w:t>, les requérants et les parti</w:t>
      </w:r>
      <w:r>
        <w:rPr>
          <w:rFonts w:eastAsia="Times New Roman"/>
          <w:lang w:val="fr-FR"/>
        </w:rPr>
        <w:t>es à la procédure (</w:t>
      </w:r>
      <w:r w:rsidR="009603CF">
        <w:rPr>
          <w:rFonts w:eastAsia="Times New Roman"/>
          <w:lang w:val="fr-FR"/>
        </w:rPr>
        <w:t>Code</w:t>
      </w:r>
      <w:r>
        <w:rPr>
          <w:rFonts w:eastAsia="Times New Roman"/>
          <w:lang w:val="fr-FR"/>
        </w:rPr>
        <w:t xml:space="preserve"> de procédure pénale,</w:t>
      </w:r>
      <w:r w:rsidRPr="00CE48B9">
        <w:rPr>
          <w:rFonts w:eastAsia="Times New Roman"/>
          <w:lang w:val="fr-FR"/>
        </w:rPr>
        <w:t xml:space="preserve"> </w:t>
      </w:r>
      <w:r>
        <w:rPr>
          <w:rFonts w:eastAsia="Times New Roman"/>
          <w:lang w:val="fr-FR"/>
        </w:rPr>
        <w:t>art.</w:t>
      </w:r>
      <w:r w:rsidR="00DE0C81">
        <w:rPr>
          <w:rFonts w:eastAsia="Times New Roman"/>
          <w:lang w:val="fr-FR"/>
        </w:rPr>
        <w:t> </w:t>
      </w:r>
      <w:r w:rsidRPr="00466CE7">
        <w:rPr>
          <w:rFonts w:eastAsia="Times New Roman"/>
          <w:lang w:val="fr-FR"/>
        </w:rPr>
        <w:t>5</w:t>
      </w:r>
      <w:r>
        <w:rPr>
          <w:rFonts w:eastAsia="Times New Roman"/>
          <w:lang w:val="fr-FR"/>
        </w:rPr>
        <w:t>,</w:t>
      </w:r>
      <w:r w:rsidRPr="00466CE7">
        <w:rPr>
          <w:rFonts w:eastAsia="Times New Roman"/>
          <w:lang w:val="fr-FR"/>
        </w:rPr>
        <w:t xml:space="preserve"> par</w:t>
      </w:r>
      <w:r>
        <w:rPr>
          <w:rFonts w:eastAsia="Times New Roman"/>
          <w:lang w:val="fr-FR"/>
        </w:rPr>
        <w:t>.</w:t>
      </w:r>
      <w:r w:rsidR="00DE0C81">
        <w:rPr>
          <w:rFonts w:eastAsia="Times New Roman"/>
          <w:lang w:val="fr-FR"/>
        </w:rPr>
        <w:t> </w:t>
      </w:r>
      <w:r w:rsidRPr="00466CE7">
        <w:rPr>
          <w:rFonts w:eastAsia="Times New Roman"/>
          <w:lang w:val="fr-FR"/>
        </w:rPr>
        <w:t>9).</w:t>
      </w:r>
    </w:p>
    <w:p w14:paraId="65EFBFC0" w14:textId="77777777" w:rsidR="009C6834" w:rsidRPr="00466CE7" w:rsidRDefault="009C6834" w:rsidP="009C6834">
      <w:pPr>
        <w:pStyle w:val="SingleTxtG"/>
        <w:rPr>
          <w:rFonts w:eastAsia="Times New Roman"/>
          <w:lang w:val="fr-FR"/>
        </w:rPr>
      </w:pPr>
      <w:r w:rsidRPr="00466CE7">
        <w:rPr>
          <w:rFonts w:eastAsia="Times New Roman"/>
          <w:lang w:val="fr-FR"/>
        </w:rPr>
        <w:t>385.</w:t>
      </w:r>
      <w:r w:rsidRPr="00466CE7">
        <w:rPr>
          <w:rFonts w:eastAsia="Times New Roman"/>
          <w:lang w:val="fr-FR"/>
        </w:rPr>
        <w:tab/>
        <w:t xml:space="preserve">À cet égard, </w:t>
      </w:r>
      <w:r>
        <w:rPr>
          <w:rFonts w:eastAsia="Times New Roman"/>
          <w:lang w:val="fr-FR"/>
        </w:rPr>
        <w:t xml:space="preserve">tous les actes spéciaux </w:t>
      </w:r>
      <w:r w:rsidRPr="00466CE7">
        <w:rPr>
          <w:rFonts w:eastAsia="Times New Roman"/>
          <w:lang w:val="fr-FR"/>
        </w:rPr>
        <w:t>d</w:t>
      </w:r>
      <w:r>
        <w:rPr>
          <w:rFonts w:eastAsia="Times New Roman"/>
          <w:lang w:val="fr-FR"/>
        </w:rPr>
        <w:t>’</w:t>
      </w:r>
      <w:r w:rsidRPr="00466CE7">
        <w:rPr>
          <w:rFonts w:eastAsia="Times New Roman"/>
          <w:lang w:val="fr-FR"/>
        </w:rPr>
        <w:t>enquête</w:t>
      </w:r>
      <w:r>
        <w:rPr>
          <w:rFonts w:eastAsia="Times New Roman"/>
          <w:lang w:val="fr-FR"/>
        </w:rPr>
        <w:t xml:space="preserve"> </w:t>
      </w:r>
      <w:r w:rsidRPr="00466CE7">
        <w:rPr>
          <w:rFonts w:eastAsia="Times New Roman"/>
          <w:lang w:val="fr-FR"/>
        </w:rPr>
        <w:t>et d</w:t>
      </w:r>
      <w:r>
        <w:rPr>
          <w:rFonts w:eastAsia="Times New Roman"/>
          <w:lang w:val="fr-FR"/>
        </w:rPr>
        <w:t>’</w:t>
      </w:r>
      <w:r w:rsidRPr="00466CE7">
        <w:rPr>
          <w:rFonts w:eastAsia="Times New Roman"/>
          <w:lang w:val="fr-FR"/>
        </w:rPr>
        <w:t xml:space="preserve">investigation, </w:t>
      </w:r>
      <w:r>
        <w:rPr>
          <w:rFonts w:eastAsia="Times New Roman"/>
          <w:lang w:val="fr-FR"/>
        </w:rPr>
        <w:t>dont les arrestations, sont exécuté</w:t>
      </w:r>
      <w:r w:rsidRPr="00466CE7">
        <w:rPr>
          <w:rFonts w:eastAsia="Times New Roman"/>
          <w:lang w:val="fr-FR"/>
        </w:rPr>
        <w:t xml:space="preserve">s </w:t>
      </w:r>
      <w:r>
        <w:rPr>
          <w:rFonts w:eastAsia="Times New Roman"/>
          <w:lang w:val="fr-FR"/>
        </w:rPr>
        <w:t xml:space="preserve">uniquement </w:t>
      </w:r>
      <w:r w:rsidRPr="00466CE7">
        <w:rPr>
          <w:rFonts w:eastAsia="Times New Roman"/>
          <w:lang w:val="fr-FR"/>
        </w:rPr>
        <w:t xml:space="preserve">sur la base </w:t>
      </w:r>
      <w:r>
        <w:rPr>
          <w:rFonts w:eastAsia="Times New Roman"/>
          <w:lang w:val="fr-FR"/>
        </w:rPr>
        <w:t>d’une plainte enregistrée</w:t>
      </w:r>
      <w:r w:rsidRPr="00466CE7">
        <w:rPr>
          <w:rFonts w:eastAsia="Times New Roman"/>
          <w:lang w:val="fr-FR"/>
        </w:rPr>
        <w:t xml:space="preserve"> </w:t>
      </w:r>
      <w:r>
        <w:rPr>
          <w:rFonts w:eastAsia="Times New Roman"/>
          <w:lang w:val="fr-FR"/>
        </w:rPr>
        <w:t>auprès du service enquêteur compétent</w:t>
      </w:r>
      <w:r w:rsidRPr="00466CE7">
        <w:rPr>
          <w:rFonts w:eastAsia="Times New Roman"/>
          <w:lang w:val="fr-FR"/>
        </w:rPr>
        <w:t>.</w:t>
      </w:r>
    </w:p>
    <w:p w14:paraId="399C0D74" w14:textId="77777777" w:rsidR="009C6834" w:rsidRPr="00466CE7" w:rsidRDefault="009C6834" w:rsidP="00E1792A">
      <w:pPr>
        <w:pStyle w:val="SingleTxtG"/>
        <w:rPr>
          <w:rFonts w:eastAsia="Times New Roman"/>
          <w:lang w:val="fr-FR"/>
        </w:rPr>
      </w:pPr>
      <w:r w:rsidRPr="00466CE7">
        <w:rPr>
          <w:rFonts w:eastAsia="Times New Roman"/>
          <w:lang w:val="fr-FR"/>
        </w:rPr>
        <w:t>386.</w:t>
      </w:r>
      <w:r w:rsidRPr="00466CE7">
        <w:rPr>
          <w:rFonts w:eastAsia="Times New Roman"/>
          <w:lang w:val="fr-FR"/>
        </w:rPr>
        <w:tab/>
      </w:r>
      <w:r>
        <w:rPr>
          <w:rFonts w:eastAsia="Times New Roman"/>
          <w:lang w:val="fr-FR"/>
        </w:rPr>
        <w:t xml:space="preserve">Cela exclut l’éventualité que les </w:t>
      </w:r>
      <w:r w:rsidRPr="00466CE7">
        <w:rPr>
          <w:rFonts w:eastAsia="Times New Roman"/>
          <w:lang w:val="fr-FR"/>
        </w:rPr>
        <w:t xml:space="preserve">agents </w:t>
      </w:r>
      <w:r>
        <w:rPr>
          <w:rFonts w:eastAsia="Times New Roman"/>
          <w:lang w:val="fr-FR"/>
        </w:rPr>
        <w:t xml:space="preserve">des services du Ministère de l’intérieur effectuent des </w:t>
      </w:r>
      <w:r w:rsidRPr="00466CE7">
        <w:rPr>
          <w:rFonts w:eastAsia="Times New Roman"/>
          <w:lang w:val="fr-FR"/>
        </w:rPr>
        <w:t>act</w:t>
      </w:r>
      <w:r>
        <w:rPr>
          <w:rFonts w:eastAsia="Times New Roman"/>
          <w:lang w:val="fr-FR"/>
        </w:rPr>
        <w:t>es d’enquête injustifiés ou illicites</w:t>
      </w:r>
      <w:r w:rsidRPr="00466CE7">
        <w:rPr>
          <w:rFonts w:eastAsia="Times New Roman"/>
          <w:lang w:val="fr-FR"/>
        </w:rPr>
        <w:t>.</w:t>
      </w:r>
    </w:p>
    <w:p w14:paraId="32BCF9C7" w14:textId="77777777" w:rsidR="009C6834" w:rsidRPr="00466CE7" w:rsidRDefault="009C6834" w:rsidP="009C6834">
      <w:pPr>
        <w:pStyle w:val="SingleTxtG"/>
        <w:rPr>
          <w:rFonts w:eastAsia="Times New Roman"/>
          <w:lang w:val="fr-FR"/>
        </w:rPr>
      </w:pPr>
      <w:r>
        <w:rPr>
          <w:rFonts w:eastAsia="Times New Roman"/>
          <w:lang w:val="fr-FR"/>
        </w:rPr>
        <w:t>387.</w:t>
      </w:r>
      <w:r>
        <w:rPr>
          <w:rFonts w:eastAsia="Times New Roman"/>
          <w:lang w:val="fr-FR"/>
        </w:rPr>
        <w:tab/>
        <w:t xml:space="preserve">Aucun cas d’arrestation arbitraire visant des personnes participant </w:t>
      </w:r>
      <w:r w:rsidRPr="00466CE7">
        <w:rPr>
          <w:rFonts w:eastAsia="Times New Roman"/>
          <w:lang w:val="fr-FR"/>
        </w:rPr>
        <w:t>au programme de traitement à la méthadone</w:t>
      </w:r>
      <w:r w:rsidRPr="0077794D">
        <w:rPr>
          <w:rFonts w:eastAsia="Times New Roman"/>
          <w:lang w:val="fr-FR"/>
        </w:rPr>
        <w:t xml:space="preserve"> </w:t>
      </w:r>
      <w:r>
        <w:rPr>
          <w:rFonts w:eastAsia="Times New Roman"/>
          <w:lang w:val="fr-FR"/>
        </w:rPr>
        <w:t>n’a été enregistré en 2019</w:t>
      </w:r>
      <w:r w:rsidRPr="00466CE7">
        <w:rPr>
          <w:rFonts w:eastAsia="Times New Roman"/>
          <w:lang w:val="fr-FR"/>
        </w:rPr>
        <w:t xml:space="preserve">. </w:t>
      </w:r>
    </w:p>
    <w:p w14:paraId="16C70A95" w14:textId="49536FC6" w:rsidR="009C6834" w:rsidRPr="00466CE7" w:rsidRDefault="009C6834" w:rsidP="003F1243">
      <w:pPr>
        <w:pStyle w:val="SingleTxtG"/>
        <w:rPr>
          <w:rFonts w:eastAsia="Times New Roman"/>
          <w:lang w:val="fr-FR"/>
        </w:rPr>
      </w:pPr>
      <w:r w:rsidRPr="00466CE7">
        <w:rPr>
          <w:rFonts w:eastAsia="Times New Roman"/>
          <w:lang w:val="fr-FR"/>
        </w:rPr>
        <w:t>388.</w:t>
      </w:r>
      <w:r w:rsidRPr="00466CE7">
        <w:rPr>
          <w:rFonts w:eastAsia="Times New Roman"/>
          <w:lang w:val="fr-FR"/>
        </w:rPr>
        <w:tab/>
        <w:t>La législation ne punit pas la consommation de drogues. L</w:t>
      </w:r>
      <w:r>
        <w:rPr>
          <w:rFonts w:eastAsia="Times New Roman"/>
          <w:lang w:val="fr-FR"/>
        </w:rPr>
        <w:t>’</w:t>
      </w:r>
      <w:r w:rsidR="00CB4ECD">
        <w:rPr>
          <w:rFonts w:eastAsia="Times New Roman"/>
          <w:lang w:val="fr-FR"/>
        </w:rPr>
        <w:t>article </w:t>
      </w:r>
      <w:r w:rsidRPr="00466CE7">
        <w:rPr>
          <w:rFonts w:eastAsia="Times New Roman"/>
          <w:lang w:val="fr-FR"/>
        </w:rPr>
        <w:t xml:space="preserve">268 du </w:t>
      </w:r>
      <w:r w:rsidR="000479B3">
        <w:rPr>
          <w:rFonts w:eastAsia="Times New Roman"/>
          <w:lang w:val="fr-FR"/>
        </w:rPr>
        <w:t>Code pénal</w:t>
      </w:r>
      <w:r w:rsidRPr="00466CE7">
        <w:rPr>
          <w:rFonts w:eastAsia="Times New Roman"/>
          <w:lang w:val="fr-FR"/>
        </w:rPr>
        <w:t xml:space="preserve"> (</w:t>
      </w:r>
      <w:r>
        <w:rPr>
          <w:rFonts w:eastAsia="Times New Roman"/>
          <w:lang w:val="fr-FR"/>
        </w:rPr>
        <w:t>entré en vigueur le 1</w:t>
      </w:r>
      <w:r w:rsidRPr="00DE0C81">
        <w:rPr>
          <w:rFonts w:eastAsia="Times New Roman"/>
          <w:vertAlign w:val="superscript"/>
          <w:lang w:val="fr-FR"/>
        </w:rPr>
        <w:t>er</w:t>
      </w:r>
      <w:r w:rsidR="00DE0C81">
        <w:rPr>
          <w:rFonts w:eastAsia="Times New Roman"/>
          <w:lang w:val="fr-FR"/>
        </w:rPr>
        <w:t> </w:t>
      </w:r>
      <w:r>
        <w:rPr>
          <w:rFonts w:eastAsia="Times New Roman"/>
          <w:lang w:val="fr-FR"/>
        </w:rPr>
        <w:t>janvier 2019) intitulé « </w:t>
      </w:r>
      <w:r w:rsidRPr="00466CE7">
        <w:rPr>
          <w:rFonts w:eastAsia="Times New Roman"/>
          <w:lang w:val="fr-FR"/>
        </w:rPr>
        <w:t>Fabrication ill</w:t>
      </w:r>
      <w:r>
        <w:rPr>
          <w:rFonts w:eastAsia="Times New Roman"/>
          <w:lang w:val="fr-FR"/>
        </w:rPr>
        <w:t>icite</w:t>
      </w:r>
      <w:r w:rsidRPr="00466CE7">
        <w:rPr>
          <w:rFonts w:eastAsia="Times New Roman"/>
          <w:lang w:val="fr-FR"/>
        </w:rPr>
        <w:t xml:space="preserve"> de stupéfiants, </w:t>
      </w:r>
      <w:r>
        <w:rPr>
          <w:rFonts w:eastAsia="Times New Roman"/>
          <w:lang w:val="fr-FR"/>
        </w:rPr>
        <w:t xml:space="preserve">de </w:t>
      </w:r>
      <w:r w:rsidRPr="00466CE7">
        <w:rPr>
          <w:rFonts w:eastAsia="Times New Roman"/>
          <w:lang w:val="fr-FR"/>
        </w:rPr>
        <w:t xml:space="preserve">substances psychotropes et </w:t>
      </w:r>
      <w:r>
        <w:rPr>
          <w:rFonts w:eastAsia="Times New Roman"/>
          <w:lang w:val="fr-FR"/>
        </w:rPr>
        <w:t xml:space="preserve">de produits </w:t>
      </w:r>
      <w:r w:rsidRPr="00466CE7">
        <w:rPr>
          <w:rFonts w:eastAsia="Times New Roman"/>
          <w:lang w:val="fr-FR"/>
        </w:rPr>
        <w:t xml:space="preserve">analogues sans intention de </w:t>
      </w:r>
      <w:r>
        <w:rPr>
          <w:rFonts w:eastAsia="Times New Roman"/>
          <w:lang w:val="fr-FR"/>
        </w:rPr>
        <w:t>les vendre</w:t>
      </w:r>
      <w:r>
        <w:rPr>
          <w:lang w:val="fr-FR"/>
        </w:rPr>
        <w:t> </w:t>
      </w:r>
      <w:r>
        <w:rPr>
          <w:rFonts w:eastAsia="Times New Roman"/>
          <w:lang w:val="fr-FR"/>
        </w:rPr>
        <w:t>»</w:t>
      </w:r>
      <w:r w:rsidRPr="00466CE7">
        <w:rPr>
          <w:rFonts w:eastAsia="Times New Roman"/>
          <w:lang w:val="fr-FR"/>
        </w:rPr>
        <w:t xml:space="preserve"> </w:t>
      </w:r>
      <w:r>
        <w:rPr>
          <w:rFonts w:eastAsia="Times New Roman"/>
          <w:lang w:val="fr-FR"/>
        </w:rPr>
        <w:t xml:space="preserve">punit </w:t>
      </w:r>
      <w:r w:rsidRPr="00466CE7">
        <w:rPr>
          <w:rFonts w:eastAsia="Times New Roman"/>
          <w:lang w:val="fr-FR"/>
        </w:rPr>
        <w:t xml:space="preserve">uniquement </w:t>
      </w:r>
      <w:r>
        <w:rPr>
          <w:rFonts w:eastAsia="Times New Roman"/>
          <w:lang w:val="fr-FR"/>
        </w:rPr>
        <w:t>la fabrication, l’</w:t>
      </w:r>
      <w:r w:rsidRPr="00466CE7">
        <w:rPr>
          <w:rFonts w:eastAsia="Times New Roman"/>
          <w:lang w:val="fr-FR"/>
        </w:rPr>
        <w:t xml:space="preserve">acquisition, </w:t>
      </w:r>
      <w:r>
        <w:rPr>
          <w:rFonts w:eastAsia="Times New Roman"/>
          <w:lang w:val="fr-FR"/>
        </w:rPr>
        <w:t>l</w:t>
      </w:r>
      <w:r w:rsidRPr="00466CE7">
        <w:rPr>
          <w:rFonts w:eastAsia="Times New Roman"/>
          <w:lang w:val="fr-FR"/>
        </w:rPr>
        <w:t xml:space="preserve">e stockage, </w:t>
      </w:r>
      <w:r>
        <w:rPr>
          <w:rFonts w:eastAsia="Times New Roman"/>
          <w:lang w:val="fr-FR"/>
        </w:rPr>
        <w:t xml:space="preserve">le </w:t>
      </w:r>
      <w:r w:rsidRPr="00466CE7">
        <w:rPr>
          <w:rFonts w:eastAsia="Times New Roman"/>
          <w:lang w:val="fr-FR"/>
        </w:rPr>
        <w:t xml:space="preserve">transport ou </w:t>
      </w:r>
      <w:r>
        <w:rPr>
          <w:rFonts w:eastAsia="Times New Roman"/>
          <w:lang w:val="fr-FR"/>
        </w:rPr>
        <w:t>l’</w:t>
      </w:r>
      <w:r w:rsidRPr="00466CE7">
        <w:rPr>
          <w:rFonts w:eastAsia="Times New Roman"/>
          <w:lang w:val="fr-FR"/>
        </w:rPr>
        <w:t>expédition ill</w:t>
      </w:r>
      <w:r>
        <w:rPr>
          <w:rFonts w:eastAsia="Times New Roman"/>
          <w:lang w:val="fr-FR"/>
        </w:rPr>
        <w:t>icites</w:t>
      </w:r>
      <w:r w:rsidRPr="00466CE7">
        <w:rPr>
          <w:rFonts w:eastAsia="Times New Roman"/>
          <w:lang w:val="fr-FR"/>
        </w:rPr>
        <w:t xml:space="preserve"> de stupéfiants, de substances psychotropes ou de </w:t>
      </w:r>
      <w:r>
        <w:rPr>
          <w:rFonts w:eastAsia="Times New Roman"/>
          <w:lang w:val="fr-FR"/>
        </w:rPr>
        <w:t xml:space="preserve">produits analogues, </w:t>
      </w:r>
      <w:r w:rsidRPr="00466CE7">
        <w:rPr>
          <w:rFonts w:eastAsia="Times New Roman"/>
          <w:lang w:val="fr-FR"/>
        </w:rPr>
        <w:t xml:space="preserve">sans intention de </w:t>
      </w:r>
      <w:r>
        <w:rPr>
          <w:rFonts w:eastAsia="Times New Roman"/>
          <w:lang w:val="fr-FR"/>
        </w:rPr>
        <w:t>les vendre</w:t>
      </w:r>
      <w:r w:rsidRPr="00466CE7">
        <w:rPr>
          <w:rFonts w:eastAsia="Times New Roman"/>
          <w:lang w:val="fr-FR"/>
        </w:rPr>
        <w:t>, en grande</w:t>
      </w:r>
      <w:r>
        <w:rPr>
          <w:rFonts w:eastAsia="Times New Roman"/>
          <w:lang w:val="fr-FR"/>
        </w:rPr>
        <w:t>s</w:t>
      </w:r>
      <w:r w:rsidRPr="00466CE7">
        <w:rPr>
          <w:rFonts w:eastAsia="Times New Roman"/>
          <w:lang w:val="fr-FR"/>
        </w:rPr>
        <w:t xml:space="preserve"> et particulièrement grande</w:t>
      </w:r>
      <w:r>
        <w:rPr>
          <w:rFonts w:eastAsia="Times New Roman"/>
          <w:lang w:val="fr-FR"/>
        </w:rPr>
        <w:t>s</w:t>
      </w:r>
      <w:r w:rsidRPr="00466CE7">
        <w:rPr>
          <w:rFonts w:eastAsia="Times New Roman"/>
          <w:lang w:val="fr-FR"/>
        </w:rPr>
        <w:t xml:space="preserve"> quantité</w:t>
      </w:r>
      <w:r>
        <w:rPr>
          <w:rFonts w:eastAsia="Times New Roman"/>
          <w:lang w:val="fr-FR"/>
        </w:rPr>
        <w:t>s</w:t>
      </w:r>
      <w:r w:rsidRPr="00466CE7">
        <w:rPr>
          <w:rFonts w:eastAsia="Times New Roman"/>
          <w:lang w:val="fr-FR"/>
        </w:rPr>
        <w:t xml:space="preserve">. </w:t>
      </w:r>
    </w:p>
    <w:p w14:paraId="6CEDADF3" w14:textId="5AB3BAF5" w:rsidR="009C6834" w:rsidRPr="00466CE7" w:rsidRDefault="009C6834" w:rsidP="009C6834">
      <w:pPr>
        <w:pStyle w:val="SingleTxtG"/>
        <w:rPr>
          <w:rFonts w:eastAsia="Times New Roman"/>
          <w:lang w:val="fr-FR"/>
        </w:rPr>
      </w:pPr>
      <w:r w:rsidRPr="00466CE7">
        <w:rPr>
          <w:rFonts w:eastAsia="Times New Roman"/>
          <w:lang w:val="fr-FR"/>
        </w:rPr>
        <w:lastRenderedPageBreak/>
        <w:t>389.</w:t>
      </w:r>
      <w:r w:rsidRPr="00466CE7">
        <w:rPr>
          <w:rFonts w:eastAsia="Times New Roman"/>
          <w:lang w:val="fr-FR"/>
        </w:rPr>
        <w:tab/>
        <w:t xml:space="preserve">Cependant, le </w:t>
      </w:r>
      <w:r w:rsidR="009603CF">
        <w:rPr>
          <w:rFonts w:eastAsia="Times New Roman"/>
          <w:lang w:val="fr-FR"/>
        </w:rPr>
        <w:t>Code</w:t>
      </w:r>
      <w:r w:rsidRPr="00466CE7">
        <w:rPr>
          <w:rFonts w:eastAsia="Times New Roman"/>
          <w:lang w:val="fr-FR"/>
        </w:rPr>
        <w:t xml:space="preserve"> des </w:t>
      </w:r>
      <w:r>
        <w:rPr>
          <w:rFonts w:eastAsia="Times New Roman"/>
          <w:lang w:val="fr-FR"/>
        </w:rPr>
        <w:t>délits</w:t>
      </w:r>
      <w:r w:rsidRPr="00466CE7">
        <w:rPr>
          <w:rFonts w:eastAsia="Times New Roman"/>
          <w:lang w:val="fr-FR"/>
        </w:rPr>
        <w:t xml:space="preserve"> n</w:t>
      </w:r>
      <w:r w:rsidR="00DE0C81" w:rsidRPr="00DE0C81">
        <w:rPr>
          <w:rFonts w:eastAsia="Times New Roman"/>
          <w:vertAlign w:val="superscript"/>
          <w:lang w:val="fr-FR"/>
        </w:rPr>
        <w:t>o</w:t>
      </w:r>
      <w:r w:rsidR="00DE0C81">
        <w:rPr>
          <w:rFonts w:eastAsia="Times New Roman"/>
          <w:lang w:val="fr-FR"/>
        </w:rPr>
        <w:t> </w:t>
      </w:r>
      <w:r w:rsidRPr="00466CE7">
        <w:rPr>
          <w:rFonts w:eastAsia="Times New Roman"/>
          <w:lang w:val="fr-FR"/>
        </w:rPr>
        <w:t>18 du 1</w:t>
      </w:r>
      <w:r w:rsidRPr="00DE0C81">
        <w:rPr>
          <w:rFonts w:eastAsia="Times New Roman"/>
          <w:vertAlign w:val="superscript"/>
          <w:lang w:val="fr-FR"/>
        </w:rPr>
        <w:t>er</w:t>
      </w:r>
      <w:r w:rsidR="00DE0C81">
        <w:rPr>
          <w:rFonts w:eastAsia="Times New Roman"/>
          <w:lang w:val="fr-FR"/>
        </w:rPr>
        <w:t> </w:t>
      </w:r>
      <w:r w:rsidRPr="00466CE7">
        <w:rPr>
          <w:rFonts w:eastAsia="Times New Roman"/>
          <w:lang w:val="fr-FR"/>
        </w:rPr>
        <w:t>février 2017 (</w:t>
      </w:r>
      <w:r>
        <w:rPr>
          <w:rFonts w:eastAsia="Times New Roman"/>
          <w:lang w:val="fr-FR"/>
        </w:rPr>
        <w:t xml:space="preserve">entré en vigueur </w:t>
      </w:r>
      <w:r w:rsidRPr="00466CE7">
        <w:rPr>
          <w:rFonts w:eastAsia="Times New Roman"/>
          <w:lang w:val="fr-FR"/>
        </w:rPr>
        <w:t>le 1</w:t>
      </w:r>
      <w:r w:rsidRPr="00DE0C81">
        <w:rPr>
          <w:rFonts w:eastAsia="Times New Roman"/>
          <w:vertAlign w:val="superscript"/>
          <w:lang w:val="fr-FR"/>
        </w:rPr>
        <w:t>er</w:t>
      </w:r>
      <w:r w:rsidR="00DE0C81">
        <w:rPr>
          <w:rFonts w:eastAsia="Times New Roman"/>
          <w:lang w:val="fr-FR"/>
        </w:rPr>
        <w:t> </w:t>
      </w:r>
      <w:r w:rsidRPr="00466CE7">
        <w:rPr>
          <w:rFonts w:eastAsia="Times New Roman"/>
          <w:lang w:val="fr-FR"/>
        </w:rPr>
        <w:t xml:space="preserve">janvier 2019) comprend </w:t>
      </w:r>
      <w:r>
        <w:rPr>
          <w:rFonts w:eastAsia="Times New Roman"/>
          <w:lang w:val="fr-FR"/>
        </w:rPr>
        <w:t xml:space="preserve">un </w:t>
      </w:r>
      <w:r w:rsidR="00CB4ECD">
        <w:rPr>
          <w:rFonts w:eastAsia="Times New Roman"/>
          <w:lang w:val="fr-FR"/>
        </w:rPr>
        <w:t>article</w:t>
      </w:r>
      <w:r w:rsidR="007E6AEE">
        <w:rPr>
          <w:rFonts w:eastAsia="Times New Roman"/>
          <w:lang w:val="fr-FR"/>
        </w:rPr>
        <w:t xml:space="preserve"> </w:t>
      </w:r>
      <w:r>
        <w:rPr>
          <w:rFonts w:eastAsia="Times New Roman"/>
          <w:lang w:val="fr-FR"/>
        </w:rPr>
        <w:t>intitulé « </w:t>
      </w:r>
      <w:r w:rsidRPr="00466CE7">
        <w:rPr>
          <w:rFonts w:eastAsia="Times New Roman"/>
          <w:lang w:val="fr-FR"/>
        </w:rPr>
        <w:t xml:space="preserve">Fabrication </w:t>
      </w:r>
      <w:r>
        <w:rPr>
          <w:rFonts w:eastAsia="Times New Roman"/>
          <w:lang w:val="fr-FR"/>
        </w:rPr>
        <w:t xml:space="preserve">illicite </w:t>
      </w:r>
      <w:r w:rsidRPr="00466CE7">
        <w:rPr>
          <w:rFonts w:eastAsia="Times New Roman"/>
          <w:lang w:val="fr-FR"/>
        </w:rPr>
        <w:t xml:space="preserve">de stupéfiants ou de substances psychotropes, </w:t>
      </w:r>
      <w:r>
        <w:rPr>
          <w:rFonts w:eastAsia="Times New Roman"/>
          <w:lang w:val="fr-FR"/>
        </w:rPr>
        <w:t xml:space="preserve">ou </w:t>
      </w:r>
      <w:r w:rsidRPr="00466CE7">
        <w:rPr>
          <w:rFonts w:eastAsia="Times New Roman"/>
          <w:lang w:val="fr-FR"/>
        </w:rPr>
        <w:t xml:space="preserve">de </w:t>
      </w:r>
      <w:r>
        <w:rPr>
          <w:rFonts w:eastAsia="Times New Roman"/>
          <w:lang w:val="fr-FR"/>
        </w:rPr>
        <w:t xml:space="preserve">produits </w:t>
      </w:r>
      <w:r w:rsidRPr="00466CE7">
        <w:rPr>
          <w:rFonts w:eastAsia="Times New Roman"/>
          <w:lang w:val="fr-FR"/>
        </w:rPr>
        <w:t xml:space="preserve">analogues </w:t>
      </w:r>
      <w:r>
        <w:rPr>
          <w:rFonts w:eastAsia="Times New Roman"/>
          <w:lang w:val="fr-FR"/>
        </w:rPr>
        <w:t xml:space="preserve">ou </w:t>
      </w:r>
      <w:r w:rsidRPr="00466CE7">
        <w:rPr>
          <w:rFonts w:eastAsia="Times New Roman"/>
          <w:lang w:val="fr-FR"/>
        </w:rPr>
        <w:t>précurseurs</w:t>
      </w:r>
      <w:r>
        <w:rPr>
          <w:rFonts w:eastAsia="Times New Roman"/>
          <w:lang w:val="fr-FR"/>
        </w:rPr>
        <w:t xml:space="preserve">, </w:t>
      </w:r>
      <w:r w:rsidRPr="00466CE7">
        <w:rPr>
          <w:rFonts w:eastAsia="Times New Roman"/>
          <w:lang w:val="fr-FR"/>
        </w:rPr>
        <w:t xml:space="preserve">sans intention de </w:t>
      </w:r>
      <w:r>
        <w:rPr>
          <w:rFonts w:eastAsia="Times New Roman"/>
          <w:lang w:val="fr-FR"/>
        </w:rPr>
        <w:t xml:space="preserve">les vendre, </w:t>
      </w:r>
      <w:r w:rsidRPr="00466CE7">
        <w:rPr>
          <w:rFonts w:eastAsia="Times New Roman"/>
          <w:lang w:val="fr-FR"/>
        </w:rPr>
        <w:t>en petites quantités</w:t>
      </w:r>
      <w:r>
        <w:rPr>
          <w:rFonts w:eastAsia="Times New Roman"/>
          <w:lang w:val="fr-FR"/>
        </w:rPr>
        <w:t> »</w:t>
      </w:r>
      <w:r w:rsidRPr="00621AE0">
        <w:rPr>
          <w:rFonts w:eastAsia="Times New Roman"/>
          <w:lang w:val="fr-FR"/>
        </w:rPr>
        <w:t xml:space="preserve"> </w:t>
      </w:r>
      <w:r>
        <w:rPr>
          <w:rFonts w:eastAsia="Times New Roman"/>
          <w:lang w:val="fr-FR"/>
        </w:rPr>
        <w:t>(</w:t>
      </w:r>
      <w:r w:rsidR="00CB4ECD">
        <w:rPr>
          <w:rFonts w:eastAsia="Times New Roman"/>
          <w:lang w:val="fr-FR"/>
        </w:rPr>
        <w:t>art</w:t>
      </w:r>
      <w:r w:rsidR="00DE0C81">
        <w:rPr>
          <w:rFonts w:eastAsia="Times New Roman"/>
          <w:lang w:val="fr-FR"/>
        </w:rPr>
        <w:t>.</w:t>
      </w:r>
      <w:r w:rsidR="00CB4ECD">
        <w:rPr>
          <w:rFonts w:eastAsia="Times New Roman"/>
          <w:lang w:val="fr-FR"/>
        </w:rPr>
        <w:t> </w:t>
      </w:r>
      <w:r>
        <w:rPr>
          <w:rFonts w:eastAsia="Times New Roman"/>
          <w:lang w:val="fr-FR"/>
        </w:rPr>
        <w:t>123)</w:t>
      </w:r>
      <w:r w:rsidRPr="00466CE7">
        <w:rPr>
          <w:rFonts w:eastAsia="Times New Roman"/>
          <w:lang w:val="fr-FR"/>
        </w:rPr>
        <w:t xml:space="preserve">. Cet </w:t>
      </w:r>
      <w:r w:rsidR="00CB4ECD">
        <w:rPr>
          <w:rFonts w:eastAsia="Times New Roman"/>
          <w:lang w:val="fr-FR"/>
        </w:rPr>
        <w:t>article</w:t>
      </w:r>
      <w:r w:rsidR="00DE0C81">
        <w:rPr>
          <w:rFonts w:eastAsia="Times New Roman"/>
          <w:lang w:val="fr-FR"/>
        </w:rPr>
        <w:t xml:space="preserve"> </w:t>
      </w:r>
      <w:r w:rsidRPr="00466CE7">
        <w:rPr>
          <w:rFonts w:eastAsia="Times New Roman"/>
          <w:lang w:val="fr-FR"/>
        </w:rPr>
        <w:t>punit d</w:t>
      </w:r>
      <w:r>
        <w:rPr>
          <w:rFonts w:eastAsia="Times New Roman"/>
          <w:lang w:val="fr-FR"/>
        </w:rPr>
        <w:t>’</w:t>
      </w:r>
      <w:r w:rsidRPr="00466CE7">
        <w:rPr>
          <w:rFonts w:eastAsia="Times New Roman"/>
          <w:lang w:val="fr-FR"/>
        </w:rPr>
        <w:t>une amende de catégorie</w:t>
      </w:r>
      <w:r w:rsidR="00DE0C81">
        <w:rPr>
          <w:rFonts w:eastAsia="Times New Roman"/>
          <w:lang w:val="fr-FR"/>
        </w:rPr>
        <w:t> </w:t>
      </w:r>
      <w:r w:rsidRPr="00466CE7">
        <w:rPr>
          <w:rFonts w:eastAsia="Times New Roman"/>
          <w:lang w:val="fr-FR"/>
        </w:rPr>
        <w:t>II et d</w:t>
      </w:r>
      <w:r>
        <w:rPr>
          <w:rFonts w:eastAsia="Times New Roman"/>
          <w:lang w:val="fr-FR"/>
        </w:rPr>
        <w:t>’</w:t>
      </w:r>
      <w:r w:rsidRPr="00466CE7">
        <w:rPr>
          <w:rFonts w:eastAsia="Times New Roman"/>
          <w:lang w:val="fr-FR"/>
        </w:rPr>
        <w:t>une peine privative de liberté de catégorie</w:t>
      </w:r>
      <w:r w:rsidR="00DE0C81">
        <w:rPr>
          <w:rFonts w:eastAsia="Times New Roman"/>
          <w:lang w:val="fr-FR"/>
        </w:rPr>
        <w:t> </w:t>
      </w:r>
      <w:r w:rsidRPr="00466CE7">
        <w:rPr>
          <w:rFonts w:eastAsia="Times New Roman"/>
          <w:lang w:val="fr-FR"/>
        </w:rPr>
        <w:t>I la fabrication, l</w:t>
      </w:r>
      <w:r>
        <w:rPr>
          <w:rFonts w:eastAsia="Times New Roman"/>
          <w:lang w:val="fr-FR"/>
        </w:rPr>
        <w:t>’</w:t>
      </w:r>
      <w:r w:rsidRPr="00466CE7">
        <w:rPr>
          <w:rFonts w:eastAsia="Times New Roman"/>
          <w:lang w:val="fr-FR"/>
        </w:rPr>
        <w:t>acquisition, le stockage, le transport ou l</w:t>
      </w:r>
      <w:r>
        <w:rPr>
          <w:rFonts w:eastAsia="Times New Roman"/>
          <w:lang w:val="fr-FR"/>
        </w:rPr>
        <w:t>’</w:t>
      </w:r>
      <w:r w:rsidRPr="00466CE7">
        <w:rPr>
          <w:rFonts w:eastAsia="Times New Roman"/>
          <w:lang w:val="fr-FR"/>
        </w:rPr>
        <w:t xml:space="preserve">expédition illicites de stupéfiants, de substances psychotropes </w:t>
      </w:r>
      <w:r>
        <w:rPr>
          <w:rFonts w:eastAsia="Times New Roman"/>
          <w:lang w:val="fr-FR"/>
        </w:rPr>
        <w:t xml:space="preserve">ou </w:t>
      </w:r>
      <w:r w:rsidRPr="00466CE7">
        <w:rPr>
          <w:rFonts w:eastAsia="Times New Roman"/>
          <w:lang w:val="fr-FR"/>
        </w:rPr>
        <w:t xml:space="preserve">de </w:t>
      </w:r>
      <w:r>
        <w:rPr>
          <w:rFonts w:eastAsia="Times New Roman"/>
          <w:lang w:val="fr-FR"/>
        </w:rPr>
        <w:t xml:space="preserve">produits </w:t>
      </w:r>
      <w:r w:rsidRPr="00466CE7">
        <w:rPr>
          <w:rFonts w:eastAsia="Times New Roman"/>
          <w:lang w:val="fr-FR"/>
        </w:rPr>
        <w:t xml:space="preserve">analogues ou </w:t>
      </w:r>
      <w:r>
        <w:rPr>
          <w:rFonts w:eastAsia="Times New Roman"/>
          <w:lang w:val="fr-FR"/>
        </w:rPr>
        <w:t>précurseurs, sans intention de les vendre,</w:t>
      </w:r>
      <w:r w:rsidRPr="002E3609">
        <w:rPr>
          <w:rFonts w:eastAsia="Times New Roman"/>
          <w:lang w:val="fr-FR"/>
        </w:rPr>
        <w:t xml:space="preserve"> </w:t>
      </w:r>
      <w:r w:rsidRPr="00466CE7">
        <w:rPr>
          <w:rFonts w:eastAsia="Times New Roman"/>
          <w:lang w:val="fr-FR"/>
        </w:rPr>
        <w:t xml:space="preserve">en petites quantités. </w:t>
      </w:r>
    </w:p>
    <w:p w14:paraId="7537297A" w14:textId="3C1820AC" w:rsidR="009C6834" w:rsidRPr="00466CE7" w:rsidRDefault="009C6834" w:rsidP="009C6834">
      <w:pPr>
        <w:pStyle w:val="SingleTxtG"/>
        <w:rPr>
          <w:rFonts w:eastAsia="Times New Roman"/>
          <w:lang w:val="fr-FR"/>
        </w:rPr>
      </w:pPr>
      <w:r w:rsidRPr="00466CE7">
        <w:rPr>
          <w:rFonts w:eastAsia="Times New Roman"/>
          <w:lang w:val="fr-FR"/>
        </w:rPr>
        <w:t>390.</w:t>
      </w:r>
      <w:r w:rsidRPr="00466CE7">
        <w:rPr>
          <w:rFonts w:eastAsia="Times New Roman"/>
          <w:lang w:val="fr-FR"/>
        </w:rPr>
        <w:tab/>
        <w:t xml:space="preserve">Compte tenu du montant élevé des amendes </w:t>
      </w:r>
      <w:r>
        <w:rPr>
          <w:rFonts w:eastAsia="Times New Roman"/>
          <w:lang w:val="fr-FR"/>
        </w:rPr>
        <w:t xml:space="preserve">au regard du </w:t>
      </w:r>
      <w:r w:rsidRPr="00466CE7">
        <w:rPr>
          <w:rFonts w:eastAsia="Times New Roman"/>
          <w:lang w:val="fr-FR"/>
        </w:rPr>
        <w:t xml:space="preserve">salaire minimum et </w:t>
      </w:r>
      <w:r>
        <w:rPr>
          <w:rFonts w:eastAsia="Times New Roman"/>
          <w:lang w:val="fr-FR"/>
        </w:rPr>
        <w:t>du minimum vital</w:t>
      </w:r>
      <w:r w:rsidRPr="00466CE7">
        <w:rPr>
          <w:rFonts w:eastAsia="Times New Roman"/>
          <w:lang w:val="fr-FR"/>
        </w:rPr>
        <w:t xml:space="preserve">, </w:t>
      </w:r>
      <w:r>
        <w:rPr>
          <w:rFonts w:eastAsia="Times New Roman"/>
          <w:lang w:val="fr-FR"/>
        </w:rPr>
        <w:t>cette disposition</w:t>
      </w:r>
      <w:r w:rsidRPr="00466CE7">
        <w:rPr>
          <w:rFonts w:eastAsia="Times New Roman"/>
          <w:lang w:val="fr-FR"/>
        </w:rPr>
        <w:t xml:space="preserve"> </w:t>
      </w:r>
      <w:r>
        <w:rPr>
          <w:rFonts w:eastAsia="Times New Roman"/>
          <w:lang w:val="fr-FR"/>
        </w:rPr>
        <w:t xml:space="preserve">conduit de fait </w:t>
      </w:r>
      <w:r w:rsidRPr="00466CE7">
        <w:rPr>
          <w:rFonts w:eastAsia="Times New Roman"/>
          <w:lang w:val="fr-FR"/>
        </w:rPr>
        <w:t xml:space="preserve">à </w:t>
      </w:r>
      <w:r>
        <w:rPr>
          <w:rFonts w:eastAsia="Times New Roman"/>
          <w:lang w:val="fr-FR"/>
        </w:rPr>
        <w:t xml:space="preserve">des sanctions pénales puisque </w:t>
      </w:r>
      <w:r w:rsidRPr="00466CE7">
        <w:rPr>
          <w:rFonts w:eastAsia="Times New Roman"/>
          <w:lang w:val="fr-FR"/>
        </w:rPr>
        <w:t>la plupart des consommateurs de drogue</w:t>
      </w:r>
      <w:r w:rsidR="007E6AEE">
        <w:rPr>
          <w:rFonts w:eastAsia="Times New Roman"/>
          <w:lang w:val="fr-FR"/>
        </w:rPr>
        <w:t>s</w:t>
      </w:r>
      <w:r w:rsidRPr="00466CE7">
        <w:rPr>
          <w:rFonts w:eastAsia="Times New Roman"/>
          <w:lang w:val="fr-FR"/>
        </w:rPr>
        <w:t xml:space="preserve"> </w:t>
      </w:r>
      <w:r>
        <w:rPr>
          <w:rFonts w:eastAsia="Times New Roman"/>
          <w:lang w:val="fr-FR"/>
        </w:rPr>
        <w:t xml:space="preserve">n’ont pas les moyens de </w:t>
      </w:r>
      <w:r w:rsidRPr="00466CE7">
        <w:rPr>
          <w:rFonts w:eastAsia="Times New Roman"/>
          <w:lang w:val="fr-FR"/>
        </w:rPr>
        <w:t>payer</w:t>
      </w:r>
      <w:r>
        <w:rPr>
          <w:rFonts w:eastAsia="Times New Roman"/>
          <w:lang w:val="fr-FR"/>
        </w:rPr>
        <w:t xml:space="preserve"> de telles amendes</w:t>
      </w:r>
      <w:r w:rsidRPr="00466CE7">
        <w:rPr>
          <w:rFonts w:eastAsia="Times New Roman"/>
          <w:lang w:val="fr-FR"/>
        </w:rPr>
        <w:t xml:space="preserve">. </w:t>
      </w:r>
    </w:p>
    <w:p w14:paraId="603F243B" w14:textId="183D221C" w:rsidR="009C6834" w:rsidRPr="00466CE7" w:rsidRDefault="009C6834" w:rsidP="009C6834">
      <w:pPr>
        <w:pStyle w:val="SingleTxtG"/>
        <w:rPr>
          <w:rFonts w:eastAsia="Times New Roman"/>
          <w:lang w:val="fr-FR"/>
        </w:rPr>
      </w:pPr>
      <w:r w:rsidRPr="00466CE7">
        <w:rPr>
          <w:rFonts w:eastAsia="Times New Roman"/>
          <w:lang w:val="fr-FR"/>
        </w:rPr>
        <w:t>391.</w:t>
      </w:r>
      <w:r w:rsidRPr="00466CE7">
        <w:rPr>
          <w:rFonts w:eastAsia="Times New Roman"/>
          <w:lang w:val="fr-FR"/>
        </w:rPr>
        <w:tab/>
        <w:t>L</w:t>
      </w:r>
      <w:r>
        <w:rPr>
          <w:rFonts w:eastAsia="Times New Roman"/>
          <w:lang w:val="fr-FR"/>
        </w:rPr>
        <w:t xml:space="preserve">a mise en place </w:t>
      </w:r>
      <w:r w:rsidRPr="00466CE7">
        <w:rPr>
          <w:rFonts w:eastAsia="Times New Roman"/>
          <w:lang w:val="fr-FR"/>
        </w:rPr>
        <w:t xml:space="preserve">de la probation </w:t>
      </w:r>
      <w:r>
        <w:rPr>
          <w:rFonts w:eastAsia="Times New Roman"/>
          <w:lang w:val="fr-FR"/>
        </w:rPr>
        <w:t xml:space="preserve">permet de limiter </w:t>
      </w:r>
      <w:r w:rsidRPr="00466CE7">
        <w:rPr>
          <w:rFonts w:eastAsia="Times New Roman"/>
          <w:lang w:val="fr-FR"/>
        </w:rPr>
        <w:t xml:space="preserve">les </w:t>
      </w:r>
      <w:r>
        <w:rPr>
          <w:rFonts w:eastAsia="Times New Roman"/>
          <w:lang w:val="fr-FR"/>
        </w:rPr>
        <w:t>effets négatifs de</w:t>
      </w:r>
      <w:r w:rsidRPr="00466CE7">
        <w:rPr>
          <w:rFonts w:eastAsia="Times New Roman"/>
          <w:lang w:val="fr-FR"/>
        </w:rPr>
        <w:t xml:space="preserve"> l</w:t>
      </w:r>
      <w:r>
        <w:rPr>
          <w:rFonts w:eastAsia="Times New Roman"/>
          <w:lang w:val="fr-FR"/>
        </w:rPr>
        <w:t>’</w:t>
      </w:r>
      <w:r w:rsidRPr="00466CE7">
        <w:rPr>
          <w:rFonts w:eastAsia="Times New Roman"/>
          <w:lang w:val="fr-FR"/>
        </w:rPr>
        <w:t xml:space="preserve">application des sanctions prévues par le </w:t>
      </w:r>
      <w:r w:rsidR="000479B3">
        <w:rPr>
          <w:rFonts w:eastAsia="Times New Roman"/>
          <w:lang w:val="fr-FR"/>
        </w:rPr>
        <w:t>Code pénal</w:t>
      </w:r>
      <w:r w:rsidRPr="00466CE7">
        <w:rPr>
          <w:rFonts w:eastAsia="Times New Roman"/>
          <w:lang w:val="fr-FR"/>
        </w:rPr>
        <w:t xml:space="preserve"> et le </w:t>
      </w:r>
      <w:r w:rsidR="009603CF">
        <w:rPr>
          <w:rFonts w:eastAsia="Times New Roman"/>
          <w:lang w:val="fr-FR"/>
        </w:rPr>
        <w:t>Code</w:t>
      </w:r>
      <w:r w:rsidRPr="00466CE7">
        <w:rPr>
          <w:rFonts w:eastAsia="Times New Roman"/>
          <w:lang w:val="fr-FR"/>
        </w:rPr>
        <w:t xml:space="preserve"> des délits et contribue à la resocialisation des </w:t>
      </w:r>
      <w:r>
        <w:rPr>
          <w:rFonts w:eastAsia="Times New Roman"/>
          <w:lang w:val="fr-FR"/>
        </w:rPr>
        <w:t xml:space="preserve">consommateurs de </w:t>
      </w:r>
      <w:r w:rsidRPr="00466CE7">
        <w:rPr>
          <w:rFonts w:eastAsia="Times New Roman"/>
          <w:lang w:val="fr-FR"/>
        </w:rPr>
        <w:t xml:space="preserve">drogues. </w:t>
      </w:r>
    </w:p>
    <w:p w14:paraId="715DCF76" w14:textId="77777777" w:rsidR="009C6834" w:rsidRPr="00466CE7" w:rsidRDefault="009C6834" w:rsidP="009C6834">
      <w:pPr>
        <w:pStyle w:val="SingleTxtG"/>
        <w:rPr>
          <w:rFonts w:eastAsia="Times New Roman"/>
          <w:lang w:val="fr-FR"/>
        </w:rPr>
      </w:pPr>
      <w:r w:rsidRPr="00466CE7">
        <w:rPr>
          <w:rFonts w:eastAsia="Times New Roman"/>
          <w:lang w:val="fr-FR"/>
        </w:rPr>
        <w:t>392.</w:t>
      </w:r>
      <w:r w:rsidRPr="00466CE7">
        <w:rPr>
          <w:rFonts w:eastAsia="Times New Roman"/>
          <w:lang w:val="fr-FR"/>
        </w:rPr>
        <w:tab/>
        <w:t>L</w:t>
      </w:r>
      <w:r>
        <w:rPr>
          <w:rFonts w:eastAsia="Times New Roman"/>
          <w:lang w:val="fr-FR"/>
        </w:rPr>
        <w:t>’</w:t>
      </w:r>
      <w:r w:rsidRPr="00466CE7">
        <w:rPr>
          <w:rFonts w:eastAsia="Times New Roman"/>
          <w:lang w:val="fr-FR"/>
        </w:rPr>
        <w:t xml:space="preserve">absence de moyens efficaces </w:t>
      </w:r>
      <w:r>
        <w:rPr>
          <w:rFonts w:eastAsia="Times New Roman"/>
          <w:lang w:val="fr-FR"/>
        </w:rPr>
        <w:t xml:space="preserve">pour le </w:t>
      </w:r>
      <w:r w:rsidRPr="00466CE7">
        <w:rPr>
          <w:rFonts w:eastAsia="Times New Roman"/>
          <w:lang w:val="fr-FR"/>
        </w:rPr>
        <w:t xml:space="preserve">traitement et </w:t>
      </w:r>
      <w:r>
        <w:rPr>
          <w:rFonts w:eastAsia="Times New Roman"/>
          <w:lang w:val="fr-FR"/>
        </w:rPr>
        <w:t xml:space="preserve">la </w:t>
      </w:r>
      <w:r w:rsidRPr="00466CE7">
        <w:rPr>
          <w:rFonts w:eastAsia="Times New Roman"/>
          <w:lang w:val="fr-FR"/>
        </w:rPr>
        <w:t xml:space="preserve">réinsertion des toxicomanes reste un </w:t>
      </w:r>
      <w:r>
        <w:rPr>
          <w:rFonts w:eastAsia="Times New Roman"/>
          <w:lang w:val="fr-FR"/>
        </w:rPr>
        <w:t xml:space="preserve">sérieux </w:t>
      </w:r>
      <w:r w:rsidRPr="00466CE7">
        <w:rPr>
          <w:rFonts w:eastAsia="Times New Roman"/>
          <w:lang w:val="fr-FR"/>
        </w:rPr>
        <w:t>problème.</w:t>
      </w:r>
      <w:r>
        <w:rPr>
          <w:rFonts w:eastAsia="Times New Roman"/>
          <w:lang w:val="fr-FR"/>
        </w:rPr>
        <w:t xml:space="preserve"> Étant donné ses difficultés </w:t>
      </w:r>
      <w:r w:rsidRPr="00466CE7">
        <w:rPr>
          <w:rFonts w:eastAsia="Times New Roman"/>
          <w:lang w:val="fr-FR"/>
        </w:rPr>
        <w:t>économique</w:t>
      </w:r>
      <w:r>
        <w:rPr>
          <w:rFonts w:eastAsia="Times New Roman"/>
          <w:lang w:val="fr-FR"/>
        </w:rPr>
        <w:t>s, l</w:t>
      </w:r>
      <w:r w:rsidRPr="00466CE7">
        <w:rPr>
          <w:rFonts w:eastAsia="Times New Roman"/>
          <w:lang w:val="fr-FR"/>
        </w:rPr>
        <w:t xml:space="preserve">e </w:t>
      </w:r>
      <w:r>
        <w:rPr>
          <w:rFonts w:eastAsia="Times New Roman"/>
          <w:lang w:val="fr-FR"/>
        </w:rPr>
        <w:t xml:space="preserve">Kirghizistan n’a pas les moyens de créer </w:t>
      </w:r>
      <w:r w:rsidRPr="00466CE7">
        <w:rPr>
          <w:rFonts w:eastAsia="Times New Roman"/>
          <w:lang w:val="fr-FR"/>
        </w:rPr>
        <w:t xml:space="preserve">des centres de </w:t>
      </w:r>
      <w:r>
        <w:rPr>
          <w:rFonts w:eastAsia="Times New Roman"/>
          <w:lang w:val="fr-FR"/>
        </w:rPr>
        <w:t>réadaptation,</w:t>
      </w:r>
      <w:r w:rsidRPr="00466CE7">
        <w:rPr>
          <w:rFonts w:eastAsia="Times New Roman"/>
          <w:lang w:val="fr-FR"/>
        </w:rPr>
        <w:t xml:space="preserve"> et</w:t>
      </w:r>
      <w:r>
        <w:rPr>
          <w:rFonts w:eastAsia="Times New Roman"/>
          <w:lang w:val="fr-FR"/>
        </w:rPr>
        <w:t xml:space="preserve"> le </w:t>
      </w:r>
      <w:r w:rsidRPr="00466CE7">
        <w:rPr>
          <w:rFonts w:eastAsia="Times New Roman"/>
          <w:lang w:val="fr-FR"/>
        </w:rPr>
        <w:t>coût élevé et la faible efficacité d</w:t>
      </w:r>
      <w:r>
        <w:rPr>
          <w:rFonts w:eastAsia="Times New Roman"/>
          <w:lang w:val="fr-FR"/>
        </w:rPr>
        <w:t xml:space="preserve">es </w:t>
      </w:r>
      <w:r w:rsidRPr="00466CE7">
        <w:rPr>
          <w:rFonts w:eastAsia="Times New Roman"/>
          <w:lang w:val="fr-FR"/>
        </w:rPr>
        <w:t>programmes</w:t>
      </w:r>
      <w:r>
        <w:rPr>
          <w:rFonts w:eastAsia="Times New Roman"/>
          <w:lang w:val="fr-FR"/>
        </w:rPr>
        <w:t xml:space="preserve"> menés dans ce domaine ne font rien pour attirer les </w:t>
      </w:r>
      <w:r w:rsidRPr="00466CE7">
        <w:rPr>
          <w:rFonts w:eastAsia="Times New Roman"/>
          <w:lang w:val="fr-FR"/>
        </w:rPr>
        <w:t>donateurs.</w:t>
      </w:r>
    </w:p>
    <w:p w14:paraId="36ECCE84" w14:textId="0FAF61A4" w:rsidR="009C6834" w:rsidRPr="00466CE7" w:rsidRDefault="009C6834" w:rsidP="009C6834">
      <w:pPr>
        <w:pStyle w:val="SingleTxtG"/>
        <w:rPr>
          <w:rFonts w:eastAsia="Times New Roman"/>
          <w:lang w:val="fr-FR"/>
        </w:rPr>
      </w:pPr>
      <w:r w:rsidRPr="00466CE7">
        <w:rPr>
          <w:rFonts w:eastAsia="Times New Roman"/>
          <w:lang w:val="fr-FR"/>
        </w:rPr>
        <w:t>393.</w:t>
      </w:r>
      <w:r w:rsidRPr="00466CE7">
        <w:rPr>
          <w:rFonts w:eastAsia="Times New Roman"/>
          <w:lang w:val="fr-FR"/>
        </w:rPr>
        <w:tab/>
      </w:r>
      <w:r>
        <w:rPr>
          <w:rFonts w:eastAsia="Times New Roman"/>
          <w:lang w:val="fr-FR"/>
        </w:rPr>
        <w:t xml:space="preserve">Le </w:t>
      </w:r>
      <w:r w:rsidRPr="00466CE7">
        <w:rPr>
          <w:rFonts w:eastAsia="Times New Roman"/>
          <w:lang w:val="fr-FR"/>
        </w:rPr>
        <w:t>plan d</w:t>
      </w:r>
      <w:r>
        <w:rPr>
          <w:rFonts w:eastAsia="Times New Roman"/>
          <w:lang w:val="fr-FR"/>
        </w:rPr>
        <w:t>’</w:t>
      </w:r>
      <w:r w:rsidRPr="00466CE7">
        <w:rPr>
          <w:rFonts w:eastAsia="Times New Roman"/>
          <w:lang w:val="fr-FR"/>
        </w:rPr>
        <w:t xml:space="preserve">action pour </w:t>
      </w:r>
      <w:r>
        <w:rPr>
          <w:rFonts w:eastAsia="Times New Roman"/>
          <w:lang w:val="fr-FR"/>
        </w:rPr>
        <w:t xml:space="preserve">l’application du programme de lutte contre les drogues, approuvé par le </w:t>
      </w:r>
      <w:r w:rsidR="007E6AEE">
        <w:rPr>
          <w:rFonts w:eastAsia="Times New Roman"/>
          <w:lang w:val="fr-FR"/>
        </w:rPr>
        <w:t xml:space="preserve">Gouvernement </w:t>
      </w:r>
      <w:r>
        <w:rPr>
          <w:rFonts w:eastAsia="Times New Roman"/>
          <w:lang w:val="fr-FR"/>
        </w:rPr>
        <w:t>en 2014, est mis en œuvre</w:t>
      </w:r>
      <w:r w:rsidRPr="00466CE7">
        <w:rPr>
          <w:rFonts w:eastAsia="Times New Roman"/>
          <w:lang w:val="fr-FR"/>
        </w:rPr>
        <w:t xml:space="preserve">. </w:t>
      </w:r>
    </w:p>
    <w:p w14:paraId="35BB601E" w14:textId="1F0822DE" w:rsidR="009C6834" w:rsidRPr="00466CE7" w:rsidRDefault="009C6834" w:rsidP="009C6834">
      <w:pPr>
        <w:pStyle w:val="SingleTxtG"/>
        <w:rPr>
          <w:rFonts w:eastAsia="Times New Roman"/>
          <w:lang w:val="fr-FR"/>
        </w:rPr>
      </w:pPr>
      <w:r w:rsidRPr="00466CE7">
        <w:rPr>
          <w:rFonts w:eastAsia="Times New Roman"/>
          <w:lang w:val="fr-FR"/>
        </w:rPr>
        <w:t>394.</w:t>
      </w:r>
      <w:r w:rsidRPr="00466CE7">
        <w:rPr>
          <w:rFonts w:eastAsia="Times New Roman"/>
          <w:lang w:val="fr-FR"/>
        </w:rPr>
        <w:tab/>
        <w:t>Au</w:t>
      </w:r>
      <w:r>
        <w:rPr>
          <w:rFonts w:eastAsia="Times New Roman"/>
          <w:lang w:val="fr-FR"/>
        </w:rPr>
        <w:t xml:space="preserve"> 1</w:t>
      </w:r>
      <w:r w:rsidRPr="00B33BF0">
        <w:rPr>
          <w:rFonts w:eastAsia="Times New Roman"/>
          <w:vertAlign w:val="superscript"/>
          <w:lang w:val="fr-FR"/>
        </w:rPr>
        <w:t>er</w:t>
      </w:r>
      <w:r w:rsidR="00DE0C81">
        <w:rPr>
          <w:rFonts w:eastAsia="Times New Roman"/>
          <w:lang w:val="fr-FR"/>
        </w:rPr>
        <w:t> </w:t>
      </w:r>
      <w:r>
        <w:rPr>
          <w:rFonts w:eastAsia="Times New Roman"/>
          <w:lang w:val="fr-FR"/>
        </w:rPr>
        <w:t xml:space="preserve">septembre </w:t>
      </w:r>
      <w:r w:rsidRPr="00466CE7">
        <w:rPr>
          <w:rFonts w:eastAsia="Times New Roman"/>
          <w:lang w:val="fr-FR"/>
        </w:rPr>
        <w:t>2019, il exist</w:t>
      </w:r>
      <w:r>
        <w:rPr>
          <w:rFonts w:eastAsia="Times New Roman"/>
          <w:lang w:val="fr-FR"/>
        </w:rPr>
        <w:t>ait</w:t>
      </w:r>
      <w:r w:rsidRPr="00466CE7">
        <w:rPr>
          <w:rFonts w:eastAsia="Times New Roman"/>
          <w:lang w:val="fr-FR"/>
        </w:rPr>
        <w:t xml:space="preserve"> </w:t>
      </w:r>
      <w:r>
        <w:rPr>
          <w:rFonts w:eastAsia="Times New Roman"/>
          <w:lang w:val="fr-FR"/>
        </w:rPr>
        <w:t xml:space="preserve">dans le pays </w:t>
      </w:r>
      <w:r w:rsidRPr="00466CE7">
        <w:rPr>
          <w:rFonts w:eastAsia="Times New Roman"/>
          <w:lang w:val="fr-FR"/>
        </w:rPr>
        <w:t>24</w:t>
      </w:r>
      <w:r w:rsidR="00DE0C81">
        <w:rPr>
          <w:rFonts w:eastAsia="Times New Roman"/>
          <w:lang w:val="fr-FR"/>
        </w:rPr>
        <w:t> </w:t>
      </w:r>
      <w:r w:rsidRPr="00466CE7">
        <w:rPr>
          <w:rFonts w:eastAsia="Times New Roman"/>
          <w:lang w:val="fr-FR"/>
        </w:rPr>
        <w:t>sites (</w:t>
      </w:r>
      <w:r>
        <w:rPr>
          <w:rFonts w:eastAsia="Times New Roman"/>
          <w:lang w:val="fr-FR"/>
        </w:rPr>
        <w:t xml:space="preserve">points de distribution </w:t>
      </w:r>
      <w:r w:rsidRPr="00466CE7">
        <w:rPr>
          <w:rFonts w:eastAsia="Times New Roman"/>
          <w:lang w:val="fr-FR"/>
        </w:rPr>
        <w:t xml:space="preserve">de méthadone, etc.) </w:t>
      </w:r>
      <w:r>
        <w:rPr>
          <w:rFonts w:eastAsia="Times New Roman"/>
          <w:lang w:val="fr-FR"/>
        </w:rPr>
        <w:t xml:space="preserve">à l’appui de </w:t>
      </w:r>
      <w:r w:rsidRPr="00466CE7">
        <w:rPr>
          <w:rFonts w:eastAsia="Times New Roman"/>
          <w:lang w:val="fr-FR"/>
        </w:rPr>
        <w:t xml:space="preserve">la thérapie </w:t>
      </w:r>
      <w:r>
        <w:rPr>
          <w:rFonts w:eastAsia="Times New Roman"/>
          <w:lang w:val="fr-FR"/>
        </w:rPr>
        <w:t xml:space="preserve">de substitution </w:t>
      </w:r>
      <w:r w:rsidRPr="00466CE7">
        <w:rPr>
          <w:rFonts w:eastAsia="Times New Roman"/>
          <w:lang w:val="fr-FR"/>
        </w:rPr>
        <w:t xml:space="preserve">à la méthadone (nombre réel 1052/85), dont 15 dans des </w:t>
      </w:r>
      <w:r>
        <w:rPr>
          <w:rFonts w:eastAsia="Times New Roman"/>
          <w:lang w:val="fr-FR"/>
        </w:rPr>
        <w:t xml:space="preserve">établissements </w:t>
      </w:r>
      <w:r w:rsidRPr="00466CE7">
        <w:rPr>
          <w:rFonts w:eastAsia="Times New Roman"/>
          <w:lang w:val="fr-FR"/>
        </w:rPr>
        <w:t>de santé (666/73) et 9 dans des établissements pénitentiaires (386/12).</w:t>
      </w:r>
    </w:p>
    <w:p w14:paraId="70632148" w14:textId="77777777" w:rsidR="009C6834" w:rsidRPr="00466CE7" w:rsidRDefault="009C6834" w:rsidP="009C6834">
      <w:pPr>
        <w:pStyle w:val="SingleTxtG"/>
        <w:rPr>
          <w:rFonts w:eastAsia="Times New Roman"/>
          <w:lang w:val="fr-FR"/>
        </w:rPr>
      </w:pPr>
      <w:r>
        <w:rPr>
          <w:rFonts w:eastAsia="Times New Roman"/>
          <w:lang w:val="fr-FR"/>
        </w:rPr>
        <w:t>395.</w:t>
      </w:r>
      <w:r>
        <w:rPr>
          <w:rFonts w:eastAsia="Times New Roman"/>
          <w:lang w:val="fr-FR"/>
        </w:rPr>
        <w:tab/>
        <w:t>Tous c</w:t>
      </w:r>
      <w:r w:rsidRPr="00466CE7">
        <w:rPr>
          <w:rFonts w:eastAsia="Times New Roman"/>
          <w:lang w:val="fr-FR"/>
        </w:rPr>
        <w:t>es sites sont</w:t>
      </w:r>
      <w:r>
        <w:rPr>
          <w:rFonts w:eastAsia="Times New Roman"/>
          <w:lang w:val="fr-FR"/>
        </w:rPr>
        <w:t xml:space="preserve"> équipés du matériel nécessaire</w:t>
      </w:r>
      <w:r w:rsidRPr="00466CE7">
        <w:rPr>
          <w:rFonts w:eastAsia="Times New Roman"/>
          <w:lang w:val="fr-FR"/>
        </w:rPr>
        <w:t xml:space="preserve"> ainsi que de syst</w:t>
      </w:r>
      <w:r>
        <w:rPr>
          <w:rFonts w:eastAsia="Times New Roman"/>
          <w:lang w:val="fr-FR"/>
        </w:rPr>
        <w:t xml:space="preserve">èmes de </w:t>
      </w:r>
      <w:proofErr w:type="spellStart"/>
      <w:r>
        <w:rPr>
          <w:rFonts w:eastAsia="Times New Roman"/>
          <w:lang w:val="fr-FR"/>
        </w:rPr>
        <w:t>vidéosurveillance</w:t>
      </w:r>
      <w:proofErr w:type="spellEnd"/>
      <w:r>
        <w:rPr>
          <w:rFonts w:eastAsia="Times New Roman"/>
          <w:lang w:val="fr-FR"/>
        </w:rPr>
        <w:t xml:space="preserve"> et d’appel </w:t>
      </w:r>
      <w:r w:rsidRPr="00466CE7">
        <w:rPr>
          <w:rFonts w:eastAsia="Times New Roman"/>
          <w:lang w:val="fr-FR"/>
        </w:rPr>
        <w:t>d</w:t>
      </w:r>
      <w:r>
        <w:rPr>
          <w:rFonts w:eastAsia="Times New Roman"/>
          <w:lang w:val="fr-FR"/>
        </w:rPr>
        <w:t xml:space="preserve">’urgence </w:t>
      </w:r>
      <w:r w:rsidRPr="00466CE7">
        <w:rPr>
          <w:rFonts w:eastAsia="Times New Roman"/>
          <w:lang w:val="fr-FR"/>
        </w:rPr>
        <w:t>pour la sécurité du personnel médical.</w:t>
      </w:r>
    </w:p>
    <w:p w14:paraId="2600C4D0" w14:textId="77777777" w:rsidR="009C6834" w:rsidRPr="00466CE7" w:rsidRDefault="009C6834" w:rsidP="009C6834">
      <w:pPr>
        <w:pStyle w:val="SingleTxtG"/>
        <w:rPr>
          <w:rFonts w:eastAsia="Times New Roman"/>
          <w:lang w:val="fr-FR"/>
        </w:rPr>
      </w:pPr>
      <w:r w:rsidRPr="00466CE7">
        <w:rPr>
          <w:rFonts w:eastAsia="Times New Roman"/>
          <w:lang w:val="fr-FR"/>
        </w:rPr>
        <w:t>396.</w:t>
      </w:r>
      <w:r w:rsidRPr="00466CE7">
        <w:rPr>
          <w:rFonts w:eastAsia="Times New Roman"/>
          <w:lang w:val="fr-FR"/>
        </w:rPr>
        <w:tab/>
      </w:r>
      <w:r>
        <w:rPr>
          <w:rFonts w:eastAsia="Times New Roman"/>
          <w:lang w:val="fr-FR"/>
        </w:rPr>
        <w:t xml:space="preserve">Tous les sites tiennent un </w:t>
      </w:r>
      <w:r w:rsidRPr="00466CE7">
        <w:rPr>
          <w:rFonts w:eastAsia="Times New Roman"/>
          <w:lang w:val="fr-FR"/>
        </w:rPr>
        <w:t xml:space="preserve">registre électronique des patients sous </w:t>
      </w:r>
      <w:r>
        <w:rPr>
          <w:rFonts w:eastAsia="Times New Roman"/>
          <w:lang w:val="fr-FR"/>
        </w:rPr>
        <w:t xml:space="preserve">thérapie </w:t>
      </w:r>
      <w:r w:rsidRPr="00466CE7">
        <w:rPr>
          <w:rFonts w:eastAsia="Times New Roman"/>
          <w:lang w:val="fr-FR"/>
        </w:rPr>
        <w:t>de substitution à la méthadone.</w:t>
      </w:r>
    </w:p>
    <w:p w14:paraId="068B2A92" w14:textId="2CD54358" w:rsidR="009C6834" w:rsidRPr="00466CE7" w:rsidRDefault="009C6834" w:rsidP="009C6834">
      <w:pPr>
        <w:pStyle w:val="SingleTxtG"/>
        <w:rPr>
          <w:rFonts w:eastAsia="Times New Roman"/>
          <w:lang w:val="fr-FR"/>
        </w:rPr>
      </w:pPr>
      <w:r>
        <w:rPr>
          <w:rFonts w:eastAsia="Times New Roman"/>
          <w:lang w:val="fr-FR"/>
        </w:rPr>
        <w:t>397.</w:t>
      </w:r>
      <w:r>
        <w:rPr>
          <w:rFonts w:eastAsia="Times New Roman"/>
          <w:lang w:val="fr-FR"/>
        </w:rPr>
        <w:tab/>
        <w:t xml:space="preserve">Toutes ces personnes </w:t>
      </w:r>
      <w:r w:rsidRPr="00466CE7">
        <w:rPr>
          <w:rFonts w:eastAsia="Times New Roman"/>
          <w:lang w:val="fr-FR"/>
        </w:rPr>
        <w:t>reçoivent gratuitement de la méthadone</w:t>
      </w:r>
      <w:r w:rsidR="007E6AEE">
        <w:rPr>
          <w:rFonts w:eastAsia="Times New Roman"/>
          <w:lang w:val="fr-FR"/>
        </w:rPr>
        <w:t> </w:t>
      </w:r>
      <w:r w:rsidRPr="00466CE7">
        <w:rPr>
          <w:rFonts w:eastAsia="Times New Roman"/>
          <w:lang w:val="fr-FR"/>
        </w:rPr>
        <w:t xml:space="preserve">; en cas de </w:t>
      </w:r>
      <w:r>
        <w:rPr>
          <w:rFonts w:eastAsia="Times New Roman"/>
          <w:lang w:val="fr-FR"/>
        </w:rPr>
        <w:t xml:space="preserve">troubles </w:t>
      </w:r>
      <w:r w:rsidRPr="00466CE7">
        <w:rPr>
          <w:rFonts w:eastAsia="Times New Roman"/>
          <w:lang w:val="fr-FR"/>
        </w:rPr>
        <w:t xml:space="preserve">somatiques, </w:t>
      </w:r>
      <w:r>
        <w:rPr>
          <w:rFonts w:eastAsia="Times New Roman"/>
          <w:lang w:val="fr-FR"/>
        </w:rPr>
        <w:t xml:space="preserve">elles sont prises en charge </w:t>
      </w:r>
      <w:r w:rsidRPr="00466CE7">
        <w:rPr>
          <w:rFonts w:eastAsia="Times New Roman"/>
          <w:lang w:val="fr-FR"/>
        </w:rPr>
        <w:t xml:space="preserve">(en milieu hospitalier) </w:t>
      </w:r>
      <w:r>
        <w:rPr>
          <w:rFonts w:eastAsia="Times New Roman"/>
          <w:lang w:val="fr-FR"/>
        </w:rPr>
        <w:t xml:space="preserve">dans le cadre du système des prestations </w:t>
      </w:r>
      <w:r w:rsidRPr="00466CE7">
        <w:rPr>
          <w:rFonts w:eastAsia="Times New Roman"/>
          <w:lang w:val="fr-FR"/>
        </w:rPr>
        <w:t xml:space="preserve">garanties </w:t>
      </w:r>
      <w:r>
        <w:rPr>
          <w:rFonts w:eastAsia="Times New Roman"/>
          <w:lang w:val="fr-FR"/>
        </w:rPr>
        <w:t xml:space="preserve">par </w:t>
      </w:r>
      <w:r w:rsidRPr="00466CE7">
        <w:rPr>
          <w:rFonts w:eastAsia="Times New Roman"/>
          <w:lang w:val="fr-FR"/>
        </w:rPr>
        <w:t>l</w:t>
      </w:r>
      <w:r>
        <w:rPr>
          <w:rFonts w:eastAsia="Times New Roman"/>
          <w:lang w:val="fr-FR"/>
        </w:rPr>
        <w:t>’</w:t>
      </w:r>
      <w:r w:rsidRPr="00466CE7">
        <w:rPr>
          <w:rFonts w:eastAsia="Times New Roman"/>
          <w:lang w:val="fr-FR"/>
        </w:rPr>
        <w:t>État.</w:t>
      </w:r>
    </w:p>
    <w:p w14:paraId="23ECCFB3" w14:textId="77777777" w:rsidR="009C6834" w:rsidRPr="00466CE7" w:rsidRDefault="009C6834" w:rsidP="009C6834">
      <w:pPr>
        <w:pStyle w:val="SingleTxtG"/>
        <w:rPr>
          <w:rFonts w:eastAsia="Times New Roman"/>
          <w:lang w:val="fr-FR"/>
        </w:rPr>
      </w:pPr>
      <w:r w:rsidRPr="00466CE7">
        <w:rPr>
          <w:rFonts w:eastAsia="Times New Roman"/>
          <w:lang w:val="fr-FR"/>
        </w:rPr>
        <w:t>398.</w:t>
      </w:r>
      <w:r w:rsidRPr="00466CE7">
        <w:rPr>
          <w:rFonts w:eastAsia="Times New Roman"/>
          <w:lang w:val="fr-FR"/>
        </w:rPr>
        <w:tab/>
        <w:t>Afin de réduire la stigmatisation et la discrimination à l</w:t>
      </w:r>
      <w:r>
        <w:rPr>
          <w:rFonts w:eastAsia="Times New Roman"/>
          <w:lang w:val="fr-FR"/>
        </w:rPr>
        <w:t>’</w:t>
      </w:r>
      <w:r w:rsidRPr="00466CE7">
        <w:rPr>
          <w:rFonts w:eastAsia="Times New Roman"/>
          <w:lang w:val="fr-FR"/>
        </w:rPr>
        <w:t>égard des toxicoman</w:t>
      </w:r>
      <w:r>
        <w:rPr>
          <w:rFonts w:eastAsia="Times New Roman"/>
          <w:lang w:val="fr-FR"/>
        </w:rPr>
        <w:t>es</w:t>
      </w:r>
      <w:r w:rsidRPr="00466CE7">
        <w:rPr>
          <w:rFonts w:eastAsia="Times New Roman"/>
          <w:lang w:val="fr-FR"/>
        </w:rPr>
        <w:t xml:space="preserve"> </w:t>
      </w:r>
      <w:r>
        <w:rPr>
          <w:rFonts w:eastAsia="Times New Roman"/>
          <w:lang w:val="fr-FR"/>
        </w:rPr>
        <w:t xml:space="preserve">et d’informer la population sur les mesures de </w:t>
      </w:r>
      <w:r w:rsidRPr="00466CE7">
        <w:rPr>
          <w:rFonts w:eastAsia="Times New Roman"/>
          <w:lang w:val="fr-FR"/>
        </w:rPr>
        <w:t xml:space="preserve">prévention de la toxicomanie, un plan de formation </w:t>
      </w:r>
      <w:r>
        <w:rPr>
          <w:rFonts w:eastAsia="Times New Roman"/>
          <w:lang w:val="fr-FR"/>
        </w:rPr>
        <w:t>intitulé « </w:t>
      </w:r>
      <w:r w:rsidRPr="00466CE7">
        <w:rPr>
          <w:rFonts w:eastAsia="Times New Roman"/>
          <w:lang w:val="fr-FR"/>
        </w:rPr>
        <w:t>Activités conjointes de prévention de la toxicomanie pour 2019</w:t>
      </w:r>
      <w:r>
        <w:rPr>
          <w:rFonts w:eastAsia="Times New Roman"/>
          <w:lang w:val="fr-FR"/>
        </w:rPr>
        <w:t> »</w:t>
      </w:r>
      <w:r w:rsidRPr="00466CE7">
        <w:rPr>
          <w:rFonts w:eastAsia="Times New Roman"/>
          <w:lang w:val="fr-FR"/>
        </w:rPr>
        <w:t xml:space="preserve"> a été </w:t>
      </w:r>
      <w:r>
        <w:rPr>
          <w:rFonts w:eastAsia="Times New Roman"/>
          <w:lang w:val="fr-FR"/>
        </w:rPr>
        <w:t xml:space="preserve">élaboré </w:t>
      </w:r>
      <w:r w:rsidRPr="00466CE7">
        <w:rPr>
          <w:rFonts w:eastAsia="Times New Roman"/>
          <w:lang w:val="fr-FR"/>
        </w:rPr>
        <w:t xml:space="preserve">et approuvé par le </w:t>
      </w:r>
      <w:r>
        <w:rPr>
          <w:rFonts w:eastAsia="Times New Roman"/>
          <w:lang w:val="fr-FR"/>
        </w:rPr>
        <w:t xml:space="preserve">Centre national de </w:t>
      </w:r>
      <w:proofErr w:type="spellStart"/>
      <w:r>
        <w:rPr>
          <w:rFonts w:eastAsia="Times New Roman"/>
          <w:lang w:val="fr-FR"/>
        </w:rPr>
        <w:t>narcologie</w:t>
      </w:r>
      <w:proofErr w:type="spellEnd"/>
      <w:r>
        <w:rPr>
          <w:rFonts w:eastAsia="Times New Roman"/>
          <w:lang w:val="fr-FR"/>
        </w:rPr>
        <w:t xml:space="preserve"> et le Secteur de la lutte contre le trafic de stupéfiants</w:t>
      </w:r>
      <w:r w:rsidRPr="00466CE7">
        <w:rPr>
          <w:rFonts w:eastAsia="Times New Roman"/>
          <w:lang w:val="fr-FR"/>
        </w:rPr>
        <w:t xml:space="preserve">. </w:t>
      </w:r>
      <w:r>
        <w:rPr>
          <w:rFonts w:eastAsia="Times New Roman"/>
          <w:lang w:val="fr-FR"/>
        </w:rPr>
        <w:t xml:space="preserve">Des activités </w:t>
      </w:r>
      <w:r w:rsidRPr="00466CE7">
        <w:rPr>
          <w:rFonts w:eastAsia="Times New Roman"/>
          <w:lang w:val="fr-FR"/>
        </w:rPr>
        <w:t>d</w:t>
      </w:r>
      <w:r>
        <w:rPr>
          <w:rFonts w:eastAsia="Times New Roman"/>
          <w:lang w:val="fr-FR"/>
        </w:rPr>
        <w:t>’</w:t>
      </w:r>
      <w:r w:rsidRPr="00466CE7">
        <w:rPr>
          <w:rFonts w:eastAsia="Times New Roman"/>
          <w:lang w:val="fr-FR"/>
        </w:rPr>
        <w:t>information sont</w:t>
      </w:r>
      <w:r>
        <w:rPr>
          <w:rFonts w:eastAsia="Times New Roman"/>
          <w:lang w:val="fr-FR"/>
        </w:rPr>
        <w:t xml:space="preserve"> actuellement</w:t>
      </w:r>
      <w:r w:rsidRPr="00466CE7">
        <w:rPr>
          <w:rFonts w:eastAsia="Times New Roman"/>
          <w:lang w:val="fr-FR"/>
        </w:rPr>
        <w:t xml:space="preserve"> </w:t>
      </w:r>
      <w:r>
        <w:rPr>
          <w:rFonts w:eastAsia="Times New Roman"/>
          <w:lang w:val="fr-FR"/>
        </w:rPr>
        <w:t xml:space="preserve">menées </w:t>
      </w:r>
      <w:r w:rsidRPr="00466CE7">
        <w:rPr>
          <w:rFonts w:eastAsia="Times New Roman"/>
          <w:lang w:val="fr-FR"/>
        </w:rPr>
        <w:t xml:space="preserve">conformément </w:t>
      </w:r>
      <w:r>
        <w:rPr>
          <w:rFonts w:eastAsia="Times New Roman"/>
          <w:lang w:val="fr-FR"/>
        </w:rPr>
        <w:t xml:space="preserve">à ce </w:t>
      </w:r>
      <w:r w:rsidRPr="00466CE7">
        <w:rPr>
          <w:rFonts w:eastAsia="Times New Roman"/>
          <w:lang w:val="fr-FR"/>
        </w:rPr>
        <w:t>plan.</w:t>
      </w:r>
    </w:p>
    <w:p w14:paraId="4EE8C365" w14:textId="0B8CD63B" w:rsidR="009C6834" w:rsidRPr="00466CE7" w:rsidRDefault="009C6834" w:rsidP="009C6834">
      <w:pPr>
        <w:pStyle w:val="SingleTxtG"/>
        <w:rPr>
          <w:rFonts w:eastAsia="Times New Roman"/>
          <w:lang w:val="fr-FR"/>
        </w:rPr>
      </w:pPr>
      <w:r w:rsidRPr="00466CE7">
        <w:rPr>
          <w:rFonts w:eastAsia="Times New Roman"/>
          <w:lang w:val="fr-FR"/>
        </w:rPr>
        <w:t>399.</w:t>
      </w:r>
      <w:r w:rsidRPr="00466CE7">
        <w:rPr>
          <w:rFonts w:eastAsia="Times New Roman"/>
          <w:lang w:val="fr-FR"/>
        </w:rPr>
        <w:tab/>
      </w:r>
      <w:r>
        <w:rPr>
          <w:rFonts w:eastAsia="Times New Roman"/>
          <w:lang w:val="fr-FR"/>
        </w:rPr>
        <w:t xml:space="preserve">Par une ordonnance </w:t>
      </w:r>
      <w:r w:rsidRPr="00466CE7">
        <w:rPr>
          <w:rFonts w:eastAsia="Times New Roman"/>
          <w:lang w:val="fr-FR"/>
        </w:rPr>
        <w:t>conjoint</w:t>
      </w:r>
      <w:r>
        <w:rPr>
          <w:rFonts w:eastAsia="Times New Roman"/>
          <w:lang w:val="fr-FR"/>
        </w:rPr>
        <w:t>e</w:t>
      </w:r>
      <w:r w:rsidRPr="00466CE7">
        <w:rPr>
          <w:rFonts w:eastAsia="Times New Roman"/>
          <w:lang w:val="fr-FR"/>
        </w:rPr>
        <w:t xml:space="preserve"> (2014) </w:t>
      </w:r>
      <w:r>
        <w:rPr>
          <w:rFonts w:eastAsia="Times New Roman"/>
          <w:lang w:val="fr-FR"/>
        </w:rPr>
        <w:t>sur le renforcement de la prévention de l’infection à VIH dans le cadre des relations avec les groupes vulnérables, le Ministère de la santé, le Ministère de l’intérieur, le Service pénitentiaire et le</w:t>
      </w:r>
      <w:r w:rsidR="00DE0C81">
        <w:rPr>
          <w:rFonts w:eastAsia="Times New Roman"/>
          <w:lang w:val="fr-FR"/>
        </w:rPr>
        <w:t xml:space="preserve"> </w:t>
      </w:r>
      <w:r>
        <w:rPr>
          <w:rFonts w:eastAsia="Times New Roman"/>
          <w:lang w:val="fr-FR"/>
        </w:rPr>
        <w:t xml:space="preserve">Service de lutte contre les stupéfiants ont approuvé une </w:t>
      </w:r>
      <w:r w:rsidRPr="00466CE7">
        <w:rPr>
          <w:rFonts w:eastAsia="Times New Roman"/>
          <w:lang w:val="fr-FR"/>
        </w:rPr>
        <w:t>Instruction sur la prévention d</w:t>
      </w:r>
      <w:r>
        <w:rPr>
          <w:rFonts w:eastAsia="Times New Roman"/>
          <w:lang w:val="fr-FR"/>
        </w:rPr>
        <w:t xml:space="preserve">e l’infection à </w:t>
      </w:r>
      <w:r w:rsidRPr="00466CE7">
        <w:rPr>
          <w:rFonts w:eastAsia="Times New Roman"/>
          <w:lang w:val="fr-FR"/>
        </w:rPr>
        <w:t xml:space="preserve">VIH par les organes </w:t>
      </w:r>
      <w:r>
        <w:rPr>
          <w:rFonts w:eastAsia="Times New Roman"/>
          <w:lang w:val="fr-FR"/>
        </w:rPr>
        <w:t>de l’État</w:t>
      </w:r>
      <w:r w:rsidRPr="00466CE7">
        <w:rPr>
          <w:rFonts w:eastAsia="Times New Roman"/>
          <w:lang w:val="fr-FR"/>
        </w:rPr>
        <w:t xml:space="preserve"> autorisés </w:t>
      </w:r>
      <w:r>
        <w:rPr>
          <w:rFonts w:eastAsia="Times New Roman"/>
          <w:lang w:val="fr-FR"/>
        </w:rPr>
        <w:t xml:space="preserve">relevant du Ministère de l’intérieur, du Service de lutte contre les stupéfiants et de l’administration pénitentiaire qui interviennent auprès des </w:t>
      </w:r>
      <w:r w:rsidRPr="00466CE7">
        <w:rPr>
          <w:rFonts w:eastAsia="Times New Roman"/>
          <w:lang w:val="fr-FR"/>
        </w:rPr>
        <w:t>groupes vulnérables</w:t>
      </w:r>
      <w:r>
        <w:rPr>
          <w:rFonts w:eastAsia="Times New Roman"/>
          <w:lang w:val="fr-FR"/>
        </w:rPr>
        <w:t xml:space="preserve">. Cette instruction interdit aux forces de l’ordre de </w:t>
      </w:r>
      <w:r w:rsidRPr="00466CE7">
        <w:rPr>
          <w:rFonts w:eastAsia="Times New Roman"/>
          <w:lang w:val="fr-FR"/>
        </w:rPr>
        <w:t xml:space="preserve">procéder à des </w:t>
      </w:r>
      <w:r>
        <w:rPr>
          <w:rFonts w:eastAsia="Times New Roman"/>
          <w:lang w:val="fr-FR"/>
        </w:rPr>
        <w:t xml:space="preserve">arrestations </w:t>
      </w:r>
      <w:r w:rsidRPr="00466CE7">
        <w:rPr>
          <w:rFonts w:eastAsia="Times New Roman"/>
          <w:lang w:val="fr-FR"/>
        </w:rPr>
        <w:t xml:space="preserve">injustifiées et à des fouilles personnelles </w:t>
      </w:r>
      <w:r>
        <w:rPr>
          <w:rFonts w:eastAsia="Times New Roman"/>
          <w:lang w:val="fr-FR"/>
        </w:rPr>
        <w:t xml:space="preserve">à l’égard de personnes participant à des </w:t>
      </w:r>
      <w:r w:rsidRPr="00466CE7">
        <w:rPr>
          <w:rFonts w:eastAsia="Times New Roman"/>
          <w:lang w:val="fr-FR"/>
        </w:rPr>
        <w:t xml:space="preserve">programmes de réduction des </w:t>
      </w:r>
      <w:r>
        <w:rPr>
          <w:rFonts w:eastAsia="Times New Roman"/>
          <w:lang w:val="fr-FR"/>
        </w:rPr>
        <w:t xml:space="preserve">risques </w:t>
      </w:r>
      <w:r w:rsidRPr="00466CE7">
        <w:rPr>
          <w:rFonts w:eastAsia="Times New Roman"/>
          <w:lang w:val="fr-FR"/>
        </w:rPr>
        <w:t>(points d</w:t>
      </w:r>
      <w:r>
        <w:rPr>
          <w:rFonts w:eastAsia="Times New Roman"/>
          <w:lang w:val="fr-FR"/>
        </w:rPr>
        <w:t>’</w:t>
      </w:r>
      <w:r w:rsidRPr="00466CE7">
        <w:rPr>
          <w:rFonts w:eastAsia="Times New Roman"/>
          <w:lang w:val="fr-FR"/>
        </w:rPr>
        <w:t xml:space="preserve">échange de seringues, </w:t>
      </w:r>
      <w:r>
        <w:rPr>
          <w:rFonts w:eastAsia="Times New Roman"/>
          <w:lang w:val="fr-FR"/>
        </w:rPr>
        <w:t xml:space="preserve">de distribution de </w:t>
      </w:r>
      <w:r w:rsidRPr="00466CE7">
        <w:rPr>
          <w:rFonts w:eastAsia="Times New Roman"/>
          <w:lang w:val="fr-FR"/>
        </w:rPr>
        <w:t>méthadone).</w:t>
      </w:r>
    </w:p>
    <w:p w14:paraId="529CCA77" w14:textId="0F8CCDC0" w:rsidR="009C6834" w:rsidRPr="00466CE7" w:rsidRDefault="009C6834" w:rsidP="00DE0C81">
      <w:pPr>
        <w:pStyle w:val="H1G"/>
        <w:rPr>
          <w:lang w:val="fr-FR"/>
        </w:rPr>
      </w:pPr>
      <w:r w:rsidRPr="00466CE7">
        <w:rPr>
          <w:lang w:val="fr-FR"/>
        </w:rPr>
        <w:tab/>
      </w:r>
      <w:r w:rsidRPr="00466CE7">
        <w:rPr>
          <w:lang w:val="fr-FR"/>
        </w:rPr>
        <w:tab/>
      </w:r>
      <w:r w:rsidR="00CB4ECD">
        <w:rPr>
          <w:lang w:val="fr-FR"/>
        </w:rPr>
        <w:t>Article </w:t>
      </w:r>
      <w:r w:rsidRPr="00466CE7">
        <w:rPr>
          <w:lang w:val="fr-FR"/>
        </w:rPr>
        <w:t>24</w:t>
      </w:r>
      <w:r w:rsidRPr="00466CE7">
        <w:rPr>
          <w:lang w:val="fr-FR"/>
        </w:rPr>
        <w:br/>
      </w:r>
      <w:r>
        <w:rPr>
          <w:lang w:val="fr-FR"/>
        </w:rPr>
        <w:t>Mortalité maternelle</w:t>
      </w:r>
    </w:p>
    <w:p w14:paraId="641009BA" w14:textId="58F730FD" w:rsidR="009C6834" w:rsidRPr="00466CE7" w:rsidRDefault="009C6834" w:rsidP="009C6834">
      <w:pPr>
        <w:pStyle w:val="SingleTxtG"/>
        <w:rPr>
          <w:rFonts w:eastAsia="Times New Roman"/>
          <w:lang w:val="fr-FR"/>
        </w:rPr>
      </w:pPr>
      <w:r w:rsidRPr="00466CE7">
        <w:rPr>
          <w:rFonts w:eastAsia="Times New Roman"/>
          <w:lang w:val="fr-FR"/>
        </w:rPr>
        <w:t>400.</w:t>
      </w:r>
      <w:r w:rsidRPr="00466CE7">
        <w:rPr>
          <w:rFonts w:eastAsia="Times New Roman"/>
          <w:lang w:val="fr-FR"/>
        </w:rPr>
        <w:tab/>
      </w:r>
      <w:r>
        <w:rPr>
          <w:rFonts w:eastAsia="Times New Roman"/>
          <w:lang w:val="fr-FR"/>
        </w:rPr>
        <w:t>D’après les données du Comité national de statistique</w:t>
      </w:r>
      <w:r w:rsidRPr="00466CE7">
        <w:rPr>
          <w:rFonts w:eastAsia="Times New Roman"/>
          <w:lang w:val="fr-FR"/>
        </w:rPr>
        <w:t xml:space="preserve"> (</w:t>
      </w:r>
      <w:r>
        <w:rPr>
          <w:rFonts w:eastAsia="Times New Roman"/>
          <w:lang w:val="fr-FR"/>
        </w:rPr>
        <w:t xml:space="preserve">Nombre </w:t>
      </w:r>
      <w:r w:rsidRPr="00466CE7">
        <w:rPr>
          <w:rFonts w:eastAsia="Times New Roman"/>
          <w:lang w:val="fr-FR"/>
        </w:rPr>
        <w:t xml:space="preserve">des femmes et des hommes </w:t>
      </w:r>
      <w:r>
        <w:rPr>
          <w:rFonts w:eastAsia="Times New Roman"/>
          <w:lang w:val="fr-FR"/>
        </w:rPr>
        <w:t xml:space="preserve">dans </w:t>
      </w:r>
      <w:r w:rsidRPr="00466CE7">
        <w:rPr>
          <w:rFonts w:eastAsia="Times New Roman"/>
          <w:lang w:val="fr-FR"/>
        </w:rPr>
        <w:t>la République kirghize</w:t>
      </w:r>
      <w:r>
        <w:rPr>
          <w:rFonts w:eastAsia="Times New Roman"/>
          <w:lang w:val="fr-FR"/>
        </w:rPr>
        <w:t xml:space="preserve"> </w:t>
      </w:r>
      <w:r w:rsidR="00DE0C81">
        <w:rPr>
          <w:rFonts w:eastAsia="Times New Roman"/>
          <w:lang w:val="fr-FR"/>
        </w:rPr>
        <w:t>−</w:t>
      </w:r>
      <w:r>
        <w:rPr>
          <w:rFonts w:eastAsia="Times New Roman"/>
          <w:lang w:val="fr-FR"/>
        </w:rPr>
        <w:t xml:space="preserve"> </w:t>
      </w:r>
      <w:r w:rsidRPr="00466CE7">
        <w:rPr>
          <w:rFonts w:eastAsia="Times New Roman"/>
          <w:lang w:val="fr-FR"/>
        </w:rPr>
        <w:t xml:space="preserve">2014-2018, </w:t>
      </w:r>
      <w:r>
        <w:rPr>
          <w:rFonts w:eastAsia="Times New Roman"/>
          <w:lang w:val="fr-FR"/>
        </w:rPr>
        <w:t xml:space="preserve">recueil publié en </w:t>
      </w:r>
      <w:r w:rsidRPr="00466CE7">
        <w:rPr>
          <w:rFonts w:eastAsia="Times New Roman"/>
          <w:lang w:val="fr-FR"/>
        </w:rPr>
        <w:t xml:space="preserve">2019), </w:t>
      </w:r>
      <w:r>
        <w:rPr>
          <w:rFonts w:eastAsia="Times New Roman"/>
          <w:lang w:val="fr-FR"/>
        </w:rPr>
        <w:t xml:space="preserve">le taux de </w:t>
      </w:r>
      <w:r w:rsidRPr="00466CE7">
        <w:rPr>
          <w:rFonts w:eastAsia="Times New Roman"/>
          <w:lang w:val="fr-FR"/>
        </w:rPr>
        <w:t xml:space="preserve">mortalité maternelle reste </w:t>
      </w:r>
      <w:r>
        <w:rPr>
          <w:rFonts w:eastAsia="Times New Roman"/>
          <w:lang w:val="fr-FR"/>
        </w:rPr>
        <w:t xml:space="preserve">à un niveau </w:t>
      </w:r>
      <w:r w:rsidRPr="00466CE7">
        <w:rPr>
          <w:rFonts w:eastAsia="Times New Roman"/>
          <w:lang w:val="fr-FR"/>
        </w:rPr>
        <w:t>éle</w:t>
      </w:r>
      <w:r>
        <w:rPr>
          <w:rFonts w:eastAsia="Times New Roman"/>
          <w:lang w:val="fr-FR"/>
        </w:rPr>
        <w:t>vé</w:t>
      </w:r>
      <w:r w:rsidRPr="00466CE7">
        <w:rPr>
          <w:rFonts w:eastAsia="Times New Roman"/>
          <w:lang w:val="fr-FR"/>
        </w:rPr>
        <w:t xml:space="preserve">. </w:t>
      </w:r>
    </w:p>
    <w:p w14:paraId="5651FDE2" w14:textId="7BA7BF98" w:rsidR="009C6834" w:rsidRPr="00466CE7" w:rsidRDefault="009C6834" w:rsidP="009C6834">
      <w:pPr>
        <w:pStyle w:val="SingleTxtG"/>
        <w:rPr>
          <w:rFonts w:eastAsia="Times New Roman"/>
          <w:lang w:val="fr-FR"/>
        </w:rPr>
      </w:pPr>
      <w:r w:rsidRPr="00466CE7">
        <w:rPr>
          <w:rFonts w:eastAsia="Times New Roman"/>
          <w:lang w:val="fr-FR"/>
        </w:rPr>
        <w:lastRenderedPageBreak/>
        <w:t>401.</w:t>
      </w:r>
      <w:r w:rsidRPr="00466CE7">
        <w:rPr>
          <w:rFonts w:eastAsia="Times New Roman"/>
          <w:lang w:val="fr-FR"/>
        </w:rPr>
        <w:tab/>
        <w:t>En 2018, 49</w:t>
      </w:r>
      <w:r w:rsidR="00DE0C81">
        <w:rPr>
          <w:rFonts w:eastAsia="Times New Roman"/>
          <w:lang w:val="fr-FR"/>
        </w:rPr>
        <w:t> </w:t>
      </w:r>
      <w:r w:rsidRPr="00466CE7">
        <w:rPr>
          <w:rFonts w:eastAsia="Times New Roman"/>
          <w:lang w:val="fr-FR"/>
        </w:rPr>
        <w:t xml:space="preserve">femmes </w:t>
      </w:r>
      <w:r>
        <w:rPr>
          <w:rFonts w:eastAsia="Times New Roman"/>
          <w:lang w:val="fr-FR"/>
        </w:rPr>
        <w:t>s</w:t>
      </w:r>
      <w:r w:rsidRPr="00466CE7">
        <w:rPr>
          <w:rFonts w:eastAsia="Times New Roman"/>
          <w:lang w:val="fr-FR"/>
        </w:rPr>
        <w:t xml:space="preserve">ont </w:t>
      </w:r>
      <w:r>
        <w:rPr>
          <w:rFonts w:eastAsia="Times New Roman"/>
          <w:lang w:val="fr-FR"/>
        </w:rPr>
        <w:t xml:space="preserve">décédées des suites de </w:t>
      </w:r>
      <w:r w:rsidRPr="00466CE7">
        <w:rPr>
          <w:rFonts w:eastAsia="Times New Roman"/>
          <w:lang w:val="fr-FR"/>
        </w:rPr>
        <w:t xml:space="preserve">complications </w:t>
      </w:r>
      <w:r>
        <w:rPr>
          <w:rFonts w:eastAsia="Times New Roman"/>
          <w:lang w:val="fr-FR"/>
        </w:rPr>
        <w:t xml:space="preserve">liées à la </w:t>
      </w:r>
      <w:r w:rsidRPr="00466CE7">
        <w:rPr>
          <w:rFonts w:eastAsia="Times New Roman"/>
          <w:lang w:val="fr-FR"/>
        </w:rPr>
        <w:t xml:space="preserve">grossesse, </w:t>
      </w:r>
      <w:r>
        <w:rPr>
          <w:rFonts w:eastAsia="Times New Roman"/>
          <w:lang w:val="fr-FR"/>
        </w:rPr>
        <w:t xml:space="preserve">à </w:t>
      </w:r>
      <w:r w:rsidRPr="00466CE7">
        <w:rPr>
          <w:rFonts w:eastAsia="Times New Roman"/>
          <w:lang w:val="fr-FR"/>
        </w:rPr>
        <w:t>l</w:t>
      </w:r>
      <w:r>
        <w:rPr>
          <w:rFonts w:eastAsia="Times New Roman"/>
          <w:lang w:val="fr-FR"/>
        </w:rPr>
        <w:t>’</w:t>
      </w:r>
      <w:r w:rsidRPr="00466CE7">
        <w:rPr>
          <w:rFonts w:eastAsia="Times New Roman"/>
          <w:lang w:val="fr-FR"/>
        </w:rPr>
        <w:t xml:space="preserve">accouchement et </w:t>
      </w:r>
      <w:r>
        <w:rPr>
          <w:rFonts w:eastAsia="Times New Roman"/>
          <w:lang w:val="fr-FR"/>
        </w:rPr>
        <w:t xml:space="preserve">à </w:t>
      </w:r>
      <w:r w:rsidRPr="00466CE7">
        <w:rPr>
          <w:rFonts w:eastAsia="Times New Roman"/>
          <w:lang w:val="fr-FR"/>
        </w:rPr>
        <w:t xml:space="preserve">la période post-partum, soit </w:t>
      </w:r>
      <w:r>
        <w:rPr>
          <w:rFonts w:eastAsia="Times New Roman"/>
          <w:lang w:val="fr-FR"/>
        </w:rPr>
        <w:t xml:space="preserve">un taux de </w:t>
      </w:r>
      <w:r w:rsidRPr="00466CE7">
        <w:rPr>
          <w:rFonts w:eastAsia="Times New Roman"/>
          <w:lang w:val="fr-FR"/>
        </w:rPr>
        <w:t>29</w:t>
      </w:r>
      <w:r w:rsidR="00DE0C81">
        <w:rPr>
          <w:rFonts w:eastAsia="Times New Roman"/>
          <w:lang w:val="fr-FR"/>
        </w:rPr>
        <w:t> </w:t>
      </w:r>
      <w:r>
        <w:rPr>
          <w:rFonts w:eastAsia="Times New Roman"/>
          <w:lang w:val="fr-FR"/>
        </w:rPr>
        <w:t xml:space="preserve">décès </w:t>
      </w:r>
      <w:r w:rsidRPr="00466CE7">
        <w:rPr>
          <w:rFonts w:eastAsia="Times New Roman"/>
          <w:lang w:val="fr-FR"/>
        </w:rPr>
        <w:t>pour 100</w:t>
      </w:r>
      <w:r w:rsidR="00DE0C81">
        <w:rPr>
          <w:rFonts w:eastAsia="Times New Roman"/>
          <w:lang w:val="fr-FR"/>
        </w:rPr>
        <w:t> </w:t>
      </w:r>
      <w:r w:rsidRPr="00466CE7">
        <w:rPr>
          <w:rFonts w:eastAsia="Times New Roman"/>
          <w:lang w:val="fr-FR"/>
        </w:rPr>
        <w:t>000</w:t>
      </w:r>
      <w:r w:rsidR="00DE0C81">
        <w:rPr>
          <w:rFonts w:eastAsia="Times New Roman"/>
          <w:lang w:val="fr-FR"/>
        </w:rPr>
        <w:t> </w:t>
      </w:r>
      <w:r>
        <w:rPr>
          <w:rFonts w:eastAsia="Times New Roman"/>
          <w:lang w:val="fr-FR"/>
        </w:rPr>
        <w:t xml:space="preserve">naissances vivantes ; </w:t>
      </w:r>
      <w:r w:rsidRPr="00466CE7">
        <w:rPr>
          <w:rFonts w:eastAsia="Times New Roman"/>
          <w:lang w:val="fr-FR"/>
        </w:rPr>
        <w:t>67,3</w:t>
      </w:r>
      <w:r w:rsidR="00CB4ECD">
        <w:rPr>
          <w:rFonts w:eastAsia="Times New Roman"/>
          <w:lang w:val="fr-FR"/>
        </w:rPr>
        <w:t> %</w:t>
      </w:r>
      <w:r w:rsidRPr="00466CE7">
        <w:rPr>
          <w:rFonts w:eastAsia="Times New Roman"/>
          <w:lang w:val="fr-FR"/>
        </w:rPr>
        <w:t xml:space="preserve"> </w:t>
      </w:r>
      <w:r>
        <w:rPr>
          <w:rFonts w:eastAsia="Times New Roman"/>
          <w:lang w:val="fr-FR"/>
        </w:rPr>
        <w:t xml:space="preserve">de ces décès </w:t>
      </w:r>
      <w:r w:rsidRPr="00466CE7">
        <w:rPr>
          <w:rFonts w:eastAsia="Times New Roman"/>
          <w:lang w:val="fr-FR"/>
        </w:rPr>
        <w:t xml:space="preserve">ont été enregistrés </w:t>
      </w:r>
      <w:r>
        <w:rPr>
          <w:rFonts w:eastAsia="Times New Roman"/>
          <w:lang w:val="fr-FR"/>
        </w:rPr>
        <w:t xml:space="preserve">en milieu rural </w:t>
      </w:r>
      <w:r w:rsidRPr="00466CE7">
        <w:rPr>
          <w:rFonts w:eastAsia="Times New Roman"/>
          <w:lang w:val="fr-FR"/>
        </w:rPr>
        <w:t>(voir tableau 2).</w:t>
      </w:r>
    </w:p>
    <w:p w14:paraId="2285B4B9" w14:textId="77777777" w:rsidR="009C6834" w:rsidRPr="00466CE7" w:rsidRDefault="009C6834" w:rsidP="009C6834">
      <w:pPr>
        <w:pStyle w:val="SingleTxtG"/>
        <w:rPr>
          <w:rFonts w:eastAsia="Times New Roman"/>
          <w:lang w:val="fr-FR"/>
        </w:rPr>
      </w:pPr>
      <w:r w:rsidRPr="00466CE7">
        <w:rPr>
          <w:rFonts w:eastAsia="Times New Roman"/>
          <w:lang w:val="fr-FR"/>
        </w:rPr>
        <w:t>402.</w:t>
      </w:r>
      <w:r w:rsidRPr="00466CE7">
        <w:rPr>
          <w:rFonts w:eastAsia="Times New Roman"/>
          <w:lang w:val="fr-FR"/>
        </w:rPr>
        <w:tab/>
        <w:t xml:space="preserve">Ces dernières années, les maladies </w:t>
      </w:r>
      <w:proofErr w:type="spellStart"/>
      <w:r w:rsidRPr="00466CE7">
        <w:rPr>
          <w:rFonts w:eastAsia="Times New Roman"/>
          <w:lang w:val="fr-FR"/>
        </w:rPr>
        <w:t>extragénitales</w:t>
      </w:r>
      <w:proofErr w:type="spellEnd"/>
      <w:r w:rsidRPr="00466CE7">
        <w:rPr>
          <w:rFonts w:eastAsia="Times New Roman"/>
          <w:lang w:val="fr-FR"/>
        </w:rPr>
        <w:t xml:space="preserve"> ont </w:t>
      </w:r>
      <w:r>
        <w:rPr>
          <w:rFonts w:eastAsia="Times New Roman"/>
          <w:lang w:val="fr-FR"/>
        </w:rPr>
        <w:t xml:space="preserve">représenté la première cause </w:t>
      </w:r>
      <w:r w:rsidRPr="00466CE7">
        <w:rPr>
          <w:rFonts w:eastAsia="Times New Roman"/>
          <w:lang w:val="fr-FR"/>
        </w:rPr>
        <w:t>de mortalité maternelle.</w:t>
      </w:r>
    </w:p>
    <w:p w14:paraId="7E72ED14" w14:textId="2FB8676B" w:rsidR="009C6834" w:rsidRPr="00466CE7" w:rsidRDefault="009C6834" w:rsidP="009C6834">
      <w:pPr>
        <w:pStyle w:val="SingleTxtG"/>
        <w:rPr>
          <w:rFonts w:eastAsia="Times New Roman"/>
          <w:lang w:val="fr-FR"/>
        </w:rPr>
      </w:pPr>
      <w:r w:rsidRPr="00466CE7">
        <w:rPr>
          <w:rFonts w:eastAsia="Times New Roman"/>
          <w:lang w:val="fr-FR"/>
        </w:rPr>
        <w:t>403.</w:t>
      </w:r>
      <w:r w:rsidRPr="00466CE7">
        <w:rPr>
          <w:rFonts w:eastAsia="Times New Roman"/>
          <w:lang w:val="fr-FR"/>
        </w:rPr>
        <w:tab/>
        <w:t xml:space="preserve">En 2019, le taux de mortalité maternelle </w:t>
      </w:r>
      <w:r>
        <w:rPr>
          <w:rFonts w:eastAsia="Times New Roman"/>
          <w:lang w:val="fr-FR"/>
        </w:rPr>
        <w:t xml:space="preserve">s’est établi à </w:t>
      </w:r>
      <w:r w:rsidRPr="00466CE7">
        <w:rPr>
          <w:rFonts w:eastAsia="Times New Roman"/>
          <w:lang w:val="fr-FR"/>
        </w:rPr>
        <w:t>25 po</w:t>
      </w:r>
      <w:r>
        <w:rPr>
          <w:rFonts w:eastAsia="Times New Roman"/>
          <w:lang w:val="fr-FR"/>
        </w:rPr>
        <w:t>ur 100</w:t>
      </w:r>
      <w:r w:rsidR="00DE0C81">
        <w:rPr>
          <w:rFonts w:eastAsia="Times New Roman"/>
          <w:lang w:val="fr-FR"/>
        </w:rPr>
        <w:t> </w:t>
      </w:r>
      <w:r>
        <w:rPr>
          <w:rFonts w:eastAsia="Times New Roman"/>
          <w:lang w:val="fr-FR"/>
        </w:rPr>
        <w:t>000</w:t>
      </w:r>
      <w:r w:rsidR="00DE0C81">
        <w:rPr>
          <w:rFonts w:eastAsia="Times New Roman"/>
          <w:lang w:val="fr-FR"/>
        </w:rPr>
        <w:t> </w:t>
      </w:r>
      <w:r>
        <w:rPr>
          <w:rFonts w:eastAsia="Times New Roman"/>
          <w:lang w:val="fr-FR"/>
        </w:rPr>
        <w:t xml:space="preserve">naissances vivantes : </w:t>
      </w:r>
      <w:r w:rsidRPr="00466CE7">
        <w:rPr>
          <w:rFonts w:eastAsia="Times New Roman"/>
          <w:lang w:val="fr-FR"/>
        </w:rPr>
        <w:t>43</w:t>
      </w:r>
      <w:r w:rsidR="00DE0C81">
        <w:rPr>
          <w:rFonts w:eastAsia="Times New Roman"/>
          <w:lang w:val="fr-FR"/>
        </w:rPr>
        <w:t> </w:t>
      </w:r>
      <w:r w:rsidRPr="00466CE7">
        <w:rPr>
          <w:rFonts w:eastAsia="Times New Roman"/>
          <w:lang w:val="fr-FR"/>
        </w:rPr>
        <w:t xml:space="preserve">femmes </w:t>
      </w:r>
      <w:r>
        <w:rPr>
          <w:rFonts w:eastAsia="Times New Roman"/>
          <w:lang w:val="fr-FR"/>
        </w:rPr>
        <w:t xml:space="preserve">sont </w:t>
      </w:r>
      <w:r w:rsidRPr="00466CE7">
        <w:rPr>
          <w:rFonts w:eastAsia="Times New Roman"/>
          <w:lang w:val="fr-FR"/>
        </w:rPr>
        <w:t xml:space="preserve">décédées </w:t>
      </w:r>
      <w:r>
        <w:rPr>
          <w:rFonts w:eastAsia="Times New Roman"/>
          <w:lang w:val="fr-FR"/>
        </w:rPr>
        <w:t xml:space="preserve">en couches ou pendant le </w:t>
      </w:r>
      <w:r w:rsidRPr="00466CE7">
        <w:rPr>
          <w:rFonts w:eastAsia="Times New Roman"/>
          <w:lang w:val="fr-FR"/>
        </w:rPr>
        <w:t xml:space="preserve">post-partum. </w:t>
      </w:r>
      <w:r>
        <w:rPr>
          <w:rFonts w:eastAsia="Times New Roman"/>
          <w:lang w:val="fr-FR"/>
        </w:rPr>
        <w:t>P</w:t>
      </w:r>
      <w:r w:rsidRPr="00466CE7">
        <w:rPr>
          <w:rFonts w:eastAsia="Times New Roman"/>
          <w:lang w:val="fr-FR"/>
        </w:rPr>
        <w:t>ar rapport à 2018</w:t>
      </w:r>
      <w:r>
        <w:rPr>
          <w:rFonts w:eastAsia="Times New Roman"/>
          <w:lang w:val="fr-FR"/>
        </w:rPr>
        <w:t>, cela représente une diminution de 13,8</w:t>
      </w:r>
      <w:r w:rsidR="00CB4ECD">
        <w:rPr>
          <w:rFonts w:eastAsia="Times New Roman"/>
          <w:lang w:val="fr-FR"/>
        </w:rPr>
        <w:t> %</w:t>
      </w:r>
      <w:r w:rsidRPr="00466CE7">
        <w:rPr>
          <w:rFonts w:eastAsia="Times New Roman"/>
          <w:lang w:val="fr-FR"/>
        </w:rPr>
        <w:t xml:space="preserve">. </w:t>
      </w:r>
    </w:p>
    <w:p w14:paraId="19FE0A3C" w14:textId="3325AF5E" w:rsidR="009C6834" w:rsidRPr="00466CE7" w:rsidRDefault="009C6834" w:rsidP="009C6834">
      <w:pPr>
        <w:pStyle w:val="SingleTxtG"/>
        <w:rPr>
          <w:rFonts w:eastAsia="Times New Roman"/>
          <w:lang w:val="fr-FR"/>
        </w:rPr>
      </w:pPr>
      <w:r w:rsidRPr="00466CE7">
        <w:rPr>
          <w:rFonts w:eastAsia="Times New Roman"/>
          <w:lang w:val="fr-FR"/>
        </w:rPr>
        <w:t>404.</w:t>
      </w:r>
      <w:r w:rsidRPr="00466CE7">
        <w:rPr>
          <w:rFonts w:eastAsia="Times New Roman"/>
          <w:lang w:val="fr-FR"/>
        </w:rPr>
        <w:tab/>
      </w:r>
      <w:r>
        <w:rPr>
          <w:rFonts w:eastAsia="Times New Roman"/>
          <w:lang w:val="fr-FR"/>
        </w:rPr>
        <w:t xml:space="preserve">Le taux de mortalité maternelle parmi les femmes migrantes a augmenté </w:t>
      </w:r>
      <w:r w:rsidRPr="00466CE7">
        <w:rPr>
          <w:rFonts w:eastAsia="Times New Roman"/>
          <w:lang w:val="fr-FR"/>
        </w:rPr>
        <w:t>de 24,9</w:t>
      </w:r>
      <w:r w:rsidR="00CB4ECD">
        <w:rPr>
          <w:rFonts w:eastAsia="Times New Roman"/>
          <w:lang w:val="fr-FR"/>
        </w:rPr>
        <w:t> %</w:t>
      </w:r>
      <w:r>
        <w:rPr>
          <w:rFonts w:eastAsia="Times New Roman"/>
          <w:lang w:val="fr-FR"/>
        </w:rPr>
        <w:t> :</w:t>
      </w:r>
      <w:r w:rsidRPr="00466CE7">
        <w:rPr>
          <w:rFonts w:eastAsia="Times New Roman"/>
          <w:lang w:val="fr-FR"/>
        </w:rPr>
        <w:t xml:space="preserve"> sur </w:t>
      </w:r>
      <w:r>
        <w:rPr>
          <w:rFonts w:eastAsia="Times New Roman"/>
          <w:lang w:val="fr-FR"/>
        </w:rPr>
        <w:t xml:space="preserve">les </w:t>
      </w:r>
      <w:r w:rsidRPr="00466CE7">
        <w:rPr>
          <w:rFonts w:eastAsia="Times New Roman"/>
          <w:lang w:val="fr-FR"/>
        </w:rPr>
        <w:t>43</w:t>
      </w:r>
      <w:r w:rsidR="00DE0C81">
        <w:rPr>
          <w:rFonts w:eastAsia="Times New Roman"/>
          <w:lang w:val="fr-FR"/>
        </w:rPr>
        <w:t> </w:t>
      </w:r>
      <w:r>
        <w:rPr>
          <w:rFonts w:eastAsia="Times New Roman"/>
          <w:lang w:val="fr-FR"/>
        </w:rPr>
        <w:t xml:space="preserve">femmes décédées </w:t>
      </w:r>
      <w:r w:rsidRPr="00466CE7">
        <w:rPr>
          <w:rFonts w:eastAsia="Times New Roman"/>
          <w:lang w:val="fr-FR"/>
        </w:rPr>
        <w:t>en 2019</w:t>
      </w:r>
      <w:r>
        <w:rPr>
          <w:rFonts w:eastAsia="Times New Roman"/>
          <w:lang w:val="fr-FR"/>
        </w:rPr>
        <w:t>,</w:t>
      </w:r>
      <w:r w:rsidRPr="002B1620">
        <w:rPr>
          <w:rFonts w:eastAsia="Times New Roman"/>
          <w:lang w:val="fr-FR"/>
        </w:rPr>
        <w:t xml:space="preserve"> </w:t>
      </w:r>
      <w:r>
        <w:rPr>
          <w:rFonts w:eastAsia="Times New Roman"/>
          <w:lang w:val="fr-FR"/>
        </w:rPr>
        <w:t xml:space="preserve">neuf </w:t>
      </w:r>
      <w:r w:rsidRPr="00466CE7">
        <w:rPr>
          <w:rFonts w:eastAsia="Times New Roman"/>
          <w:lang w:val="fr-FR"/>
        </w:rPr>
        <w:t>étaient des migrantes</w:t>
      </w:r>
      <w:r>
        <w:rPr>
          <w:rFonts w:eastAsia="Times New Roman"/>
          <w:lang w:val="fr-FR"/>
        </w:rPr>
        <w:t xml:space="preserve"> </w:t>
      </w:r>
      <w:r w:rsidRPr="00466CE7">
        <w:rPr>
          <w:rFonts w:eastAsia="Times New Roman"/>
          <w:lang w:val="fr-FR"/>
        </w:rPr>
        <w:t>(20,9</w:t>
      </w:r>
      <w:r w:rsidR="00CB4ECD">
        <w:rPr>
          <w:rFonts w:eastAsia="Times New Roman"/>
          <w:lang w:val="fr-FR"/>
        </w:rPr>
        <w:t> %</w:t>
      </w:r>
      <w:r w:rsidRPr="00466CE7">
        <w:rPr>
          <w:rFonts w:eastAsia="Times New Roman"/>
          <w:lang w:val="fr-FR"/>
        </w:rPr>
        <w:t>)</w:t>
      </w:r>
      <w:r>
        <w:rPr>
          <w:rFonts w:eastAsia="Times New Roman"/>
          <w:lang w:val="fr-FR"/>
        </w:rPr>
        <w:t xml:space="preserve">, </w:t>
      </w:r>
      <w:r w:rsidRPr="00466CE7">
        <w:rPr>
          <w:rFonts w:eastAsia="Times New Roman"/>
          <w:lang w:val="fr-FR"/>
        </w:rPr>
        <w:t xml:space="preserve">dont </w:t>
      </w:r>
      <w:r>
        <w:rPr>
          <w:rFonts w:eastAsia="Times New Roman"/>
          <w:lang w:val="fr-FR"/>
        </w:rPr>
        <w:t xml:space="preserve">trois migrantes </w:t>
      </w:r>
      <w:r w:rsidRPr="00466CE7">
        <w:rPr>
          <w:rFonts w:eastAsia="Times New Roman"/>
          <w:lang w:val="fr-FR"/>
        </w:rPr>
        <w:t>externes</w:t>
      </w:r>
      <w:r>
        <w:rPr>
          <w:rFonts w:eastAsia="Times New Roman"/>
          <w:lang w:val="fr-FR"/>
        </w:rPr>
        <w:t xml:space="preserve">. En </w:t>
      </w:r>
      <w:r w:rsidRPr="00466CE7">
        <w:rPr>
          <w:rFonts w:eastAsia="Times New Roman"/>
          <w:lang w:val="fr-FR"/>
        </w:rPr>
        <w:t>2018</w:t>
      </w:r>
      <w:r>
        <w:rPr>
          <w:rFonts w:eastAsia="Times New Roman"/>
          <w:lang w:val="fr-FR"/>
        </w:rPr>
        <w:t>, huit des femmes décédées étaient des migrantes (</w:t>
      </w:r>
      <w:r w:rsidRPr="00466CE7">
        <w:rPr>
          <w:rFonts w:eastAsia="Times New Roman"/>
          <w:lang w:val="fr-FR"/>
        </w:rPr>
        <w:t>15,7</w:t>
      </w:r>
      <w:r w:rsidR="00CB4ECD">
        <w:rPr>
          <w:rFonts w:eastAsia="Times New Roman"/>
          <w:lang w:val="fr-FR"/>
        </w:rPr>
        <w:t> %</w:t>
      </w:r>
      <w:r w:rsidRPr="00466CE7">
        <w:rPr>
          <w:rFonts w:eastAsia="Times New Roman"/>
          <w:lang w:val="fr-FR"/>
        </w:rPr>
        <w:t>).</w:t>
      </w:r>
    </w:p>
    <w:p w14:paraId="41DB5DEA" w14:textId="1C1EA005" w:rsidR="009C6834" w:rsidRPr="00466CE7" w:rsidRDefault="009C6834" w:rsidP="009C6834">
      <w:pPr>
        <w:pStyle w:val="SingleTxtG"/>
        <w:rPr>
          <w:rFonts w:eastAsia="Times New Roman"/>
          <w:lang w:val="fr-FR"/>
        </w:rPr>
      </w:pPr>
      <w:r w:rsidRPr="00466CE7">
        <w:rPr>
          <w:rFonts w:eastAsia="Times New Roman"/>
          <w:lang w:val="fr-FR"/>
        </w:rPr>
        <w:t>405.</w:t>
      </w:r>
      <w:r w:rsidRPr="00466CE7">
        <w:rPr>
          <w:rFonts w:eastAsia="Times New Roman"/>
          <w:lang w:val="fr-FR"/>
        </w:rPr>
        <w:tab/>
      </w:r>
      <w:r>
        <w:rPr>
          <w:rFonts w:eastAsia="Times New Roman"/>
          <w:lang w:val="fr-FR"/>
        </w:rPr>
        <w:t>Les</w:t>
      </w:r>
      <w:r w:rsidRPr="00466CE7">
        <w:rPr>
          <w:rFonts w:eastAsia="Times New Roman"/>
          <w:lang w:val="fr-FR"/>
        </w:rPr>
        <w:t xml:space="preserve"> décès </w:t>
      </w:r>
      <w:r>
        <w:rPr>
          <w:rFonts w:eastAsia="Times New Roman"/>
          <w:lang w:val="fr-FR"/>
        </w:rPr>
        <w:t xml:space="preserve">de femmes avec </w:t>
      </w:r>
      <w:r w:rsidRPr="00466CE7">
        <w:rPr>
          <w:rFonts w:eastAsia="Times New Roman"/>
          <w:lang w:val="fr-FR"/>
        </w:rPr>
        <w:t xml:space="preserve">une parité </w:t>
      </w:r>
      <w:r>
        <w:rPr>
          <w:rFonts w:eastAsia="Times New Roman"/>
          <w:lang w:val="fr-FR"/>
        </w:rPr>
        <w:t>égale ou supérieure à cinq</w:t>
      </w:r>
      <w:r w:rsidRPr="00466CE7">
        <w:rPr>
          <w:rFonts w:eastAsia="Times New Roman"/>
          <w:lang w:val="fr-FR"/>
        </w:rPr>
        <w:t xml:space="preserve"> </w:t>
      </w:r>
      <w:r>
        <w:rPr>
          <w:rFonts w:eastAsia="Times New Roman"/>
          <w:lang w:val="fr-FR"/>
        </w:rPr>
        <w:t xml:space="preserve">ont </w:t>
      </w:r>
      <w:r w:rsidRPr="00466CE7">
        <w:rPr>
          <w:rFonts w:eastAsia="Times New Roman"/>
          <w:lang w:val="fr-FR"/>
        </w:rPr>
        <w:t>diminué de 20</w:t>
      </w:r>
      <w:r w:rsidR="00CB4ECD">
        <w:rPr>
          <w:rFonts w:eastAsia="Times New Roman"/>
          <w:lang w:val="fr-FR"/>
        </w:rPr>
        <w:t> %</w:t>
      </w:r>
      <w:r w:rsidRPr="00466CE7">
        <w:rPr>
          <w:rFonts w:eastAsia="Times New Roman"/>
          <w:lang w:val="fr-FR"/>
        </w:rPr>
        <w:t xml:space="preserve"> </w:t>
      </w:r>
      <w:r>
        <w:rPr>
          <w:rFonts w:eastAsia="Times New Roman"/>
          <w:lang w:val="fr-FR"/>
        </w:rPr>
        <w:t xml:space="preserve">en 2019 par rapport à 2018, les décès </w:t>
      </w:r>
      <w:r w:rsidRPr="00466CE7">
        <w:rPr>
          <w:rFonts w:eastAsia="Times New Roman"/>
          <w:lang w:val="fr-FR"/>
        </w:rPr>
        <w:t xml:space="preserve">de femmes </w:t>
      </w:r>
      <w:r>
        <w:rPr>
          <w:rFonts w:eastAsia="Times New Roman"/>
          <w:lang w:val="fr-FR"/>
        </w:rPr>
        <w:t xml:space="preserve">primipares augmentant dans le même temps </w:t>
      </w:r>
      <w:r w:rsidRPr="00466CE7">
        <w:rPr>
          <w:rFonts w:eastAsia="Times New Roman"/>
          <w:lang w:val="fr-FR"/>
        </w:rPr>
        <w:t>de 32,8</w:t>
      </w:r>
      <w:r w:rsidR="00CB4ECD">
        <w:rPr>
          <w:rFonts w:eastAsia="Times New Roman"/>
          <w:lang w:val="fr-FR"/>
        </w:rPr>
        <w:t> %</w:t>
      </w:r>
      <w:r w:rsidRPr="00466CE7">
        <w:rPr>
          <w:rFonts w:eastAsia="Times New Roman"/>
          <w:lang w:val="fr-FR"/>
        </w:rPr>
        <w:t xml:space="preserve">. </w:t>
      </w:r>
    </w:p>
    <w:p w14:paraId="17AEA3BD" w14:textId="77777777" w:rsidR="009C6834" w:rsidRPr="00466CE7" w:rsidRDefault="009C6834" w:rsidP="009C6834">
      <w:pPr>
        <w:pStyle w:val="SingleTxtG"/>
        <w:rPr>
          <w:rFonts w:eastAsia="Times New Roman"/>
          <w:lang w:val="fr-FR"/>
        </w:rPr>
      </w:pPr>
      <w:r w:rsidRPr="00466CE7">
        <w:rPr>
          <w:rFonts w:eastAsia="Times New Roman"/>
          <w:lang w:val="fr-FR"/>
        </w:rPr>
        <w:t>406.</w:t>
      </w:r>
      <w:r w:rsidRPr="00466CE7">
        <w:rPr>
          <w:rFonts w:eastAsia="Times New Roman"/>
          <w:lang w:val="fr-FR"/>
        </w:rPr>
        <w:tab/>
      </w:r>
      <w:r>
        <w:rPr>
          <w:rFonts w:eastAsia="Times New Roman"/>
          <w:lang w:val="fr-FR"/>
        </w:rPr>
        <w:t>En 2019, une femme est décédée chez elle et une autre sur le trajet de l’hôpital. T</w:t>
      </w:r>
      <w:r w:rsidRPr="00466CE7">
        <w:rPr>
          <w:rFonts w:eastAsia="Times New Roman"/>
          <w:lang w:val="fr-FR"/>
        </w:rPr>
        <w:t xml:space="preserve">rois cas de décès à domicile </w:t>
      </w:r>
      <w:r>
        <w:rPr>
          <w:rFonts w:eastAsia="Times New Roman"/>
          <w:lang w:val="fr-FR"/>
        </w:rPr>
        <w:t xml:space="preserve">ont </w:t>
      </w:r>
      <w:r w:rsidRPr="00466CE7">
        <w:rPr>
          <w:rFonts w:eastAsia="Times New Roman"/>
          <w:lang w:val="fr-FR"/>
        </w:rPr>
        <w:t>été recensés</w:t>
      </w:r>
      <w:r w:rsidRPr="00403AB0">
        <w:rPr>
          <w:rFonts w:eastAsia="Times New Roman"/>
          <w:lang w:val="fr-FR"/>
        </w:rPr>
        <w:t xml:space="preserve"> </w:t>
      </w:r>
      <w:r>
        <w:rPr>
          <w:rFonts w:eastAsia="Times New Roman"/>
          <w:lang w:val="fr-FR"/>
        </w:rPr>
        <w:t>e</w:t>
      </w:r>
      <w:r w:rsidRPr="00466CE7">
        <w:rPr>
          <w:rFonts w:eastAsia="Times New Roman"/>
          <w:lang w:val="fr-FR"/>
        </w:rPr>
        <w:t xml:space="preserve">n 2018. </w:t>
      </w:r>
    </w:p>
    <w:p w14:paraId="21CC5950" w14:textId="4D540BE7" w:rsidR="009C6834" w:rsidRDefault="009C6834" w:rsidP="009C6834">
      <w:pPr>
        <w:pStyle w:val="SingleTxtG"/>
        <w:rPr>
          <w:rFonts w:eastAsia="Times New Roman"/>
          <w:lang w:val="fr-FR"/>
        </w:rPr>
      </w:pPr>
      <w:r w:rsidRPr="00466CE7">
        <w:rPr>
          <w:rFonts w:eastAsia="Times New Roman"/>
          <w:lang w:val="fr-FR"/>
        </w:rPr>
        <w:t>407.</w:t>
      </w:r>
      <w:r w:rsidRPr="00466CE7">
        <w:rPr>
          <w:rFonts w:eastAsia="Times New Roman"/>
          <w:lang w:val="fr-FR"/>
        </w:rPr>
        <w:tab/>
      </w:r>
      <w:r>
        <w:rPr>
          <w:rFonts w:eastAsia="Times New Roman"/>
          <w:lang w:val="fr-FR"/>
        </w:rPr>
        <w:t xml:space="preserve">Parmi les </w:t>
      </w:r>
      <w:r w:rsidRPr="00466CE7">
        <w:rPr>
          <w:rFonts w:eastAsia="Times New Roman"/>
          <w:lang w:val="fr-FR"/>
        </w:rPr>
        <w:t xml:space="preserve">causes de </w:t>
      </w:r>
      <w:r>
        <w:rPr>
          <w:rFonts w:eastAsia="Times New Roman"/>
          <w:lang w:val="fr-FR"/>
        </w:rPr>
        <w:t xml:space="preserve">la </w:t>
      </w:r>
      <w:r w:rsidRPr="00466CE7">
        <w:rPr>
          <w:rFonts w:eastAsia="Times New Roman"/>
          <w:lang w:val="fr-FR"/>
        </w:rPr>
        <w:t xml:space="preserve">mortalité maternelle, les maladies </w:t>
      </w:r>
      <w:proofErr w:type="spellStart"/>
      <w:r w:rsidRPr="00466CE7">
        <w:rPr>
          <w:rFonts w:eastAsia="Times New Roman"/>
          <w:lang w:val="fr-FR"/>
        </w:rPr>
        <w:t>extragénitales</w:t>
      </w:r>
      <w:proofErr w:type="spellEnd"/>
      <w:r w:rsidRPr="00466CE7">
        <w:rPr>
          <w:rFonts w:eastAsia="Times New Roman"/>
          <w:lang w:val="fr-FR"/>
        </w:rPr>
        <w:t xml:space="preserve"> occup</w:t>
      </w:r>
      <w:r>
        <w:rPr>
          <w:rFonts w:eastAsia="Times New Roman"/>
          <w:lang w:val="fr-FR"/>
        </w:rPr>
        <w:t>aient</w:t>
      </w:r>
      <w:r w:rsidRPr="00466CE7">
        <w:rPr>
          <w:rFonts w:eastAsia="Times New Roman"/>
          <w:lang w:val="fr-FR"/>
        </w:rPr>
        <w:t xml:space="preserve"> la première place en 2019</w:t>
      </w:r>
      <w:r>
        <w:rPr>
          <w:rFonts w:eastAsia="Times New Roman"/>
          <w:lang w:val="fr-FR"/>
        </w:rPr>
        <w:t xml:space="preserve"> </w:t>
      </w:r>
      <w:r w:rsidRPr="00466CE7">
        <w:rPr>
          <w:rFonts w:eastAsia="Times New Roman"/>
          <w:lang w:val="fr-FR"/>
        </w:rPr>
        <w:t>(</w:t>
      </w:r>
      <w:r>
        <w:rPr>
          <w:rFonts w:eastAsia="Times New Roman"/>
          <w:lang w:val="fr-FR"/>
        </w:rPr>
        <w:t>14</w:t>
      </w:r>
      <w:r w:rsidR="00DE0C81">
        <w:rPr>
          <w:rFonts w:eastAsia="Times New Roman"/>
          <w:lang w:val="fr-FR"/>
        </w:rPr>
        <w:t> </w:t>
      </w:r>
      <w:r>
        <w:rPr>
          <w:rFonts w:eastAsia="Times New Roman"/>
          <w:lang w:val="fr-FR"/>
        </w:rPr>
        <w:t xml:space="preserve">cas, soit </w:t>
      </w:r>
      <w:r w:rsidRPr="00466CE7">
        <w:rPr>
          <w:rFonts w:eastAsia="Times New Roman"/>
          <w:lang w:val="fr-FR"/>
        </w:rPr>
        <w:t>32,6</w:t>
      </w:r>
      <w:r w:rsidR="00CB4ECD">
        <w:rPr>
          <w:rFonts w:eastAsia="Times New Roman"/>
          <w:lang w:val="fr-FR"/>
        </w:rPr>
        <w:t> %</w:t>
      </w:r>
      <w:r w:rsidRPr="00466CE7">
        <w:rPr>
          <w:rFonts w:eastAsia="Times New Roman"/>
          <w:lang w:val="fr-FR"/>
        </w:rPr>
        <w:t>), suivies des hémorragies</w:t>
      </w:r>
      <w:r>
        <w:rPr>
          <w:rFonts w:eastAsia="Times New Roman"/>
          <w:lang w:val="fr-FR"/>
        </w:rPr>
        <w:t xml:space="preserve"> </w:t>
      </w:r>
      <w:r w:rsidRPr="00466CE7">
        <w:rPr>
          <w:rFonts w:eastAsia="Times New Roman"/>
          <w:lang w:val="fr-FR"/>
        </w:rPr>
        <w:t>(10</w:t>
      </w:r>
      <w:r w:rsidR="00DE0C81">
        <w:rPr>
          <w:rFonts w:eastAsia="Times New Roman"/>
          <w:lang w:val="fr-FR"/>
        </w:rPr>
        <w:t> </w:t>
      </w:r>
      <w:r w:rsidRPr="00466CE7">
        <w:rPr>
          <w:rFonts w:eastAsia="Times New Roman"/>
          <w:lang w:val="fr-FR"/>
        </w:rPr>
        <w:t>cas</w:t>
      </w:r>
      <w:r>
        <w:rPr>
          <w:rFonts w:eastAsia="Times New Roman"/>
          <w:lang w:val="fr-FR"/>
        </w:rPr>
        <w:t>,</w:t>
      </w:r>
      <w:r w:rsidRPr="00466CE7">
        <w:rPr>
          <w:rFonts w:eastAsia="Times New Roman"/>
          <w:lang w:val="fr-FR"/>
        </w:rPr>
        <w:t xml:space="preserve"> 23,2</w:t>
      </w:r>
      <w:r w:rsidR="00CB4ECD">
        <w:rPr>
          <w:rFonts w:eastAsia="Times New Roman"/>
          <w:lang w:val="fr-FR"/>
        </w:rPr>
        <w:t> %</w:t>
      </w:r>
      <w:r w:rsidRPr="00466CE7">
        <w:rPr>
          <w:rFonts w:eastAsia="Times New Roman"/>
          <w:lang w:val="fr-FR"/>
        </w:rPr>
        <w:t xml:space="preserve">), </w:t>
      </w:r>
      <w:r>
        <w:rPr>
          <w:rFonts w:eastAsia="Times New Roman"/>
          <w:lang w:val="fr-FR"/>
        </w:rPr>
        <w:t>des prééclampsies ou éclampsies</w:t>
      </w:r>
      <w:r w:rsidRPr="00466CE7">
        <w:rPr>
          <w:rFonts w:eastAsia="Times New Roman"/>
          <w:lang w:val="fr-FR"/>
        </w:rPr>
        <w:t xml:space="preserve"> (7</w:t>
      </w:r>
      <w:r w:rsidR="00DE0C81">
        <w:rPr>
          <w:rFonts w:eastAsia="Times New Roman"/>
          <w:lang w:val="fr-FR"/>
        </w:rPr>
        <w:t> </w:t>
      </w:r>
      <w:r w:rsidRPr="00466CE7">
        <w:rPr>
          <w:rFonts w:eastAsia="Times New Roman"/>
          <w:lang w:val="fr-FR"/>
        </w:rPr>
        <w:t>cas</w:t>
      </w:r>
      <w:r>
        <w:rPr>
          <w:rFonts w:eastAsia="Times New Roman"/>
          <w:lang w:val="fr-FR"/>
        </w:rPr>
        <w:t>,</w:t>
      </w:r>
      <w:r w:rsidRPr="00466CE7">
        <w:rPr>
          <w:rFonts w:eastAsia="Times New Roman"/>
          <w:lang w:val="fr-FR"/>
        </w:rPr>
        <w:t xml:space="preserve"> 16,3</w:t>
      </w:r>
      <w:r w:rsidR="00CB4ECD">
        <w:rPr>
          <w:rFonts w:eastAsia="Times New Roman"/>
          <w:lang w:val="fr-FR"/>
        </w:rPr>
        <w:t> %</w:t>
      </w:r>
      <w:r w:rsidRPr="00466CE7">
        <w:rPr>
          <w:rFonts w:eastAsia="Times New Roman"/>
          <w:lang w:val="fr-FR"/>
        </w:rPr>
        <w:t xml:space="preserve">), </w:t>
      </w:r>
      <w:r>
        <w:rPr>
          <w:rFonts w:eastAsia="Times New Roman"/>
          <w:lang w:val="fr-FR"/>
        </w:rPr>
        <w:t>des septicémies (8</w:t>
      </w:r>
      <w:r w:rsidR="00DE0C81">
        <w:rPr>
          <w:rFonts w:eastAsia="Times New Roman"/>
          <w:lang w:val="fr-FR"/>
        </w:rPr>
        <w:t> </w:t>
      </w:r>
      <w:r>
        <w:rPr>
          <w:rFonts w:eastAsia="Times New Roman"/>
          <w:lang w:val="fr-FR"/>
        </w:rPr>
        <w:t xml:space="preserve">cas, </w:t>
      </w:r>
      <w:r w:rsidRPr="00466CE7">
        <w:rPr>
          <w:rFonts w:eastAsia="Times New Roman"/>
          <w:lang w:val="fr-FR"/>
        </w:rPr>
        <w:t>18,6</w:t>
      </w:r>
      <w:r w:rsidR="00CB4ECD">
        <w:rPr>
          <w:rFonts w:eastAsia="Times New Roman"/>
          <w:lang w:val="fr-FR"/>
        </w:rPr>
        <w:t> %</w:t>
      </w:r>
      <w:r w:rsidRPr="00466CE7">
        <w:rPr>
          <w:rFonts w:eastAsia="Times New Roman"/>
          <w:lang w:val="fr-FR"/>
        </w:rPr>
        <w:t xml:space="preserve">) </w:t>
      </w:r>
      <w:r>
        <w:rPr>
          <w:rFonts w:eastAsia="Times New Roman"/>
          <w:lang w:val="fr-FR"/>
        </w:rPr>
        <w:t>et des embolies pulmonaires et anaphylaxies</w:t>
      </w:r>
      <w:r w:rsidRPr="00466CE7">
        <w:rPr>
          <w:rFonts w:eastAsia="Times New Roman"/>
          <w:lang w:val="fr-FR"/>
        </w:rPr>
        <w:t xml:space="preserve"> (4</w:t>
      </w:r>
      <w:r w:rsidR="00CB4ECD">
        <w:rPr>
          <w:rFonts w:eastAsia="Times New Roman"/>
          <w:lang w:val="fr-FR"/>
        </w:rPr>
        <w:t> %</w:t>
      </w:r>
      <w:r w:rsidRPr="00466CE7">
        <w:rPr>
          <w:rFonts w:eastAsia="Times New Roman"/>
          <w:lang w:val="fr-FR"/>
        </w:rPr>
        <w:t xml:space="preserve"> et 9,3</w:t>
      </w:r>
      <w:r w:rsidR="00CB4ECD">
        <w:rPr>
          <w:rFonts w:eastAsia="Times New Roman"/>
          <w:lang w:val="fr-FR"/>
        </w:rPr>
        <w:t> %</w:t>
      </w:r>
      <w:r>
        <w:rPr>
          <w:rFonts w:eastAsia="Times New Roman"/>
          <w:lang w:val="fr-FR"/>
        </w:rPr>
        <w:t xml:space="preserve"> respectivement). Le taux d’autopsie</w:t>
      </w:r>
      <w:r w:rsidRPr="00466CE7">
        <w:rPr>
          <w:rFonts w:eastAsia="Times New Roman"/>
          <w:lang w:val="fr-FR"/>
        </w:rPr>
        <w:t xml:space="preserve"> </w:t>
      </w:r>
      <w:r>
        <w:rPr>
          <w:rFonts w:eastAsia="Times New Roman"/>
          <w:lang w:val="fr-FR"/>
        </w:rPr>
        <w:t>anatomo</w:t>
      </w:r>
      <w:r w:rsidR="00DE0C81">
        <w:rPr>
          <w:rFonts w:eastAsia="Times New Roman"/>
          <w:lang w:val="fr-FR"/>
        </w:rPr>
        <w:noBreakHyphen/>
      </w:r>
      <w:r>
        <w:rPr>
          <w:rFonts w:eastAsia="Times New Roman"/>
          <w:lang w:val="fr-FR"/>
        </w:rPr>
        <w:t xml:space="preserve">pathologique </w:t>
      </w:r>
      <w:r w:rsidRPr="00466CE7">
        <w:rPr>
          <w:rFonts w:eastAsia="Times New Roman"/>
          <w:lang w:val="fr-FR"/>
        </w:rPr>
        <w:t>a diminué</w:t>
      </w:r>
      <w:r>
        <w:rPr>
          <w:rFonts w:eastAsia="Times New Roman"/>
          <w:lang w:val="fr-FR"/>
        </w:rPr>
        <w:t xml:space="preserve"> </w:t>
      </w:r>
      <w:r w:rsidRPr="00466CE7">
        <w:rPr>
          <w:rFonts w:eastAsia="Times New Roman"/>
          <w:lang w:val="fr-FR"/>
        </w:rPr>
        <w:t>de 15</w:t>
      </w:r>
      <w:r w:rsidR="00CB4ECD">
        <w:rPr>
          <w:lang w:val="fr-FR"/>
        </w:rPr>
        <w:t> %</w:t>
      </w:r>
      <w:r>
        <w:rPr>
          <w:rFonts w:eastAsia="Times New Roman"/>
          <w:lang w:val="fr-FR"/>
        </w:rPr>
        <w:t xml:space="preserve"> </w:t>
      </w:r>
      <w:r w:rsidRPr="00466CE7">
        <w:rPr>
          <w:rFonts w:eastAsia="Times New Roman"/>
          <w:lang w:val="fr-FR"/>
        </w:rPr>
        <w:t>et reste faible</w:t>
      </w:r>
      <w:r>
        <w:rPr>
          <w:rFonts w:eastAsia="Times New Roman"/>
          <w:lang w:val="fr-FR"/>
        </w:rPr>
        <w:t xml:space="preserve"> : </w:t>
      </w:r>
      <w:r w:rsidRPr="00466CE7">
        <w:rPr>
          <w:rFonts w:eastAsia="Times New Roman"/>
          <w:lang w:val="fr-FR"/>
        </w:rPr>
        <w:t>30,2</w:t>
      </w:r>
      <w:r w:rsidR="00CB4ECD">
        <w:rPr>
          <w:rFonts w:eastAsia="Times New Roman"/>
          <w:lang w:val="fr-FR"/>
        </w:rPr>
        <w:t> %</w:t>
      </w:r>
      <w:r w:rsidRPr="00466CE7">
        <w:rPr>
          <w:rFonts w:eastAsia="Times New Roman"/>
          <w:lang w:val="fr-FR"/>
        </w:rPr>
        <w:t xml:space="preserve"> </w:t>
      </w:r>
      <w:r>
        <w:rPr>
          <w:rFonts w:eastAsia="Times New Roman"/>
          <w:lang w:val="fr-FR"/>
        </w:rPr>
        <w:t>(</w:t>
      </w:r>
      <w:r w:rsidRPr="00466CE7">
        <w:rPr>
          <w:rFonts w:eastAsia="Times New Roman"/>
          <w:lang w:val="fr-FR"/>
        </w:rPr>
        <w:t>13</w:t>
      </w:r>
      <w:r w:rsidR="00DE0C81">
        <w:rPr>
          <w:rFonts w:eastAsia="Times New Roman"/>
          <w:lang w:val="fr-FR"/>
        </w:rPr>
        <w:t> </w:t>
      </w:r>
      <w:r w:rsidRPr="00466CE7">
        <w:rPr>
          <w:rFonts w:eastAsia="Times New Roman"/>
          <w:lang w:val="fr-FR"/>
        </w:rPr>
        <w:t>cas</w:t>
      </w:r>
      <w:r>
        <w:rPr>
          <w:rFonts w:eastAsia="Times New Roman"/>
          <w:lang w:val="fr-FR"/>
        </w:rPr>
        <w:t>)</w:t>
      </w:r>
      <w:r w:rsidRPr="00466CE7">
        <w:rPr>
          <w:rFonts w:eastAsia="Times New Roman"/>
          <w:lang w:val="fr-FR"/>
        </w:rPr>
        <w:t xml:space="preserve"> en 2019</w:t>
      </w:r>
      <w:r>
        <w:rPr>
          <w:rFonts w:eastAsia="Times New Roman"/>
          <w:lang w:val="fr-FR"/>
        </w:rPr>
        <w:t xml:space="preserve">, contre </w:t>
      </w:r>
      <w:r w:rsidRPr="00466CE7">
        <w:rPr>
          <w:rFonts w:eastAsia="Times New Roman"/>
          <w:lang w:val="fr-FR"/>
        </w:rPr>
        <w:t>35,3</w:t>
      </w:r>
      <w:r w:rsidR="00CB4ECD">
        <w:rPr>
          <w:rFonts w:eastAsia="Times New Roman"/>
          <w:lang w:val="fr-FR"/>
        </w:rPr>
        <w:t> %</w:t>
      </w:r>
      <w:r>
        <w:rPr>
          <w:rFonts w:eastAsia="Times New Roman"/>
          <w:lang w:val="fr-FR"/>
        </w:rPr>
        <w:t xml:space="preserve"> (</w:t>
      </w:r>
      <w:r w:rsidRPr="00466CE7">
        <w:rPr>
          <w:rFonts w:eastAsia="Times New Roman"/>
          <w:lang w:val="fr-FR"/>
        </w:rPr>
        <w:t>18</w:t>
      </w:r>
      <w:r w:rsidR="00DE0C81">
        <w:rPr>
          <w:rFonts w:eastAsia="Times New Roman"/>
          <w:lang w:val="fr-FR"/>
        </w:rPr>
        <w:t> </w:t>
      </w:r>
      <w:r w:rsidRPr="00466CE7">
        <w:rPr>
          <w:rFonts w:eastAsia="Times New Roman"/>
          <w:lang w:val="fr-FR"/>
        </w:rPr>
        <w:t>cas</w:t>
      </w:r>
      <w:r>
        <w:rPr>
          <w:rFonts w:eastAsia="Times New Roman"/>
          <w:lang w:val="fr-FR"/>
        </w:rPr>
        <w:t>)</w:t>
      </w:r>
      <w:r w:rsidRPr="00466CE7">
        <w:rPr>
          <w:rFonts w:eastAsia="Times New Roman"/>
          <w:lang w:val="fr-FR"/>
        </w:rPr>
        <w:t xml:space="preserve"> en 2018.</w:t>
      </w:r>
    </w:p>
    <w:p w14:paraId="378B08C3" w14:textId="77777777" w:rsidR="009C6834" w:rsidRPr="00466CE7" w:rsidRDefault="009C6834" w:rsidP="009C6834">
      <w:pPr>
        <w:pStyle w:val="SingleTxtG"/>
        <w:rPr>
          <w:rFonts w:eastAsia="Times New Roman"/>
          <w:lang w:val="fr-FR"/>
        </w:rPr>
      </w:pPr>
      <w:r w:rsidRPr="00466CE7">
        <w:rPr>
          <w:rFonts w:eastAsia="Times New Roman"/>
          <w:lang w:val="fr-FR"/>
        </w:rPr>
        <w:t>408.</w:t>
      </w:r>
      <w:r w:rsidRPr="00466CE7">
        <w:rPr>
          <w:rFonts w:eastAsia="Times New Roman"/>
          <w:lang w:val="fr-FR"/>
        </w:rPr>
        <w:tab/>
        <w:t xml:space="preserve">Le programme </w:t>
      </w:r>
      <w:r>
        <w:rPr>
          <w:rFonts w:eastAsia="Times New Roman"/>
          <w:lang w:val="fr-FR"/>
        </w:rPr>
        <w:t xml:space="preserve">pour le </w:t>
      </w:r>
      <w:r w:rsidRPr="00466CE7">
        <w:rPr>
          <w:rFonts w:eastAsia="Times New Roman"/>
          <w:lang w:val="fr-FR"/>
        </w:rPr>
        <w:t xml:space="preserve">développement des soins infirmiers et </w:t>
      </w:r>
      <w:r>
        <w:rPr>
          <w:rFonts w:eastAsia="Times New Roman"/>
          <w:lang w:val="fr-FR"/>
        </w:rPr>
        <w:t>obstétricaux</w:t>
      </w:r>
      <w:r w:rsidRPr="00466CE7">
        <w:rPr>
          <w:rFonts w:eastAsia="Times New Roman"/>
          <w:lang w:val="fr-FR"/>
        </w:rPr>
        <w:t xml:space="preserve"> a été approuvé par un arrêté conjoint du </w:t>
      </w:r>
      <w:r>
        <w:rPr>
          <w:rFonts w:eastAsia="Times New Roman"/>
          <w:lang w:val="fr-FR"/>
        </w:rPr>
        <w:t xml:space="preserve">Ministère de la santé </w:t>
      </w:r>
      <w:r w:rsidRPr="00466CE7">
        <w:rPr>
          <w:rFonts w:eastAsia="Times New Roman"/>
          <w:lang w:val="fr-FR"/>
        </w:rPr>
        <w:t xml:space="preserve">et du </w:t>
      </w:r>
      <w:r>
        <w:rPr>
          <w:rFonts w:eastAsia="Times New Roman"/>
          <w:lang w:val="fr-FR"/>
        </w:rPr>
        <w:t>M</w:t>
      </w:r>
      <w:r w:rsidRPr="00466CE7">
        <w:rPr>
          <w:rFonts w:eastAsia="Times New Roman"/>
          <w:lang w:val="fr-FR"/>
        </w:rPr>
        <w:t>inistère de l</w:t>
      </w:r>
      <w:r>
        <w:rPr>
          <w:rFonts w:eastAsia="Times New Roman"/>
          <w:lang w:val="fr-FR"/>
        </w:rPr>
        <w:t>’é</w:t>
      </w:r>
      <w:r w:rsidRPr="00466CE7">
        <w:rPr>
          <w:rFonts w:eastAsia="Times New Roman"/>
          <w:lang w:val="fr-FR"/>
        </w:rPr>
        <w:t xml:space="preserve">ducation </w:t>
      </w:r>
      <w:r>
        <w:rPr>
          <w:rFonts w:eastAsia="Times New Roman"/>
          <w:lang w:val="fr-FR"/>
        </w:rPr>
        <w:t xml:space="preserve">et de la science </w:t>
      </w:r>
      <w:r w:rsidRPr="00466CE7">
        <w:rPr>
          <w:rFonts w:eastAsia="Times New Roman"/>
          <w:lang w:val="fr-FR"/>
        </w:rPr>
        <w:t>(2019).</w:t>
      </w:r>
    </w:p>
    <w:p w14:paraId="6BDBEB3E" w14:textId="60F13B0F" w:rsidR="009C6834" w:rsidRPr="00466CE7" w:rsidRDefault="009C6834" w:rsidP="00DE0C81">
      <w:pPr>
        <w:pStyle w:val="SingleTxtG"/>
        <w:keepNext/>
        <w:rPr>
          <w:rFonts w:eastAsia="Times New Roman"/>
          <w:lang w:val="fr-FR"/>
        </w:rPr>
      </w:pPr>
      <w:r w:rsidRPr="00466CE7">
        <w:rPr>
          <w:rFonts w:eastAsia="Times New Roman"/>
          <w:lang w:val="fr-FR"/>
        </w:rPr>
        <w:t>409.</w:t>
      </w:r>
      <w:r w:rsidRPr="00466CE7">
        <w:rPr>
          <w:rFonts w:eastAsia="Times New Roman"/>
          <w:lang w:val="fr-FR"/>
        </w:rPr>
        <w:tab/>
      </w:r>
      <w:r>
        <w:rPr>
          <w:rFonts w:eastAsia="Times New Roman"/>
          <w:lang w:val="fr-FR"/>
        </w:rPr>
        <w:t xml:space="preserve">Le Ministère de la santé a approuvé en </w:t>
      </w:r>
      <w:r w:rsidRPr="00466CE7">
        <w:rPr>
          <w:rFonts w:eastAsia="Times New Roman"/>
          <w:lang w:val="fr-FR"/>
        </w:rPr>
        <w:t>2018</w:t>
      </w:r>
      <w:r>
        <w:rPr>
          <w:rFonts w:eastAsia="Times New Roman"/>
          <w:lang w:val="fr-FR"/>
        </w:rPr>
        <w:t>, par des arrêtés :</w:t>
      </w:r>
    </w:p>
    <w:p w14:paraId="6EDC9185" w14:textId="7960C07C" w:rsidR="009C6834" w:rsidRPr="00DF6565" w:rsidRDefault="00DE0C81" w:rsidP="00DE0C81">
      <w:pPr>
        <w:pStyle w:val="Bullet1G"/>
        <w:rPr>
          <w:lang w:val="fr-FR"/>
        </w:rPr>
      </w:pPr>
      <w:r>
        <w:rPr>
          <w:lang w:val="fr-FR"/>
        </w:rPr>
        <w:t xml:space="preserve">Les </w:t>
      </w:r>
      <w:r w:rsidR="009C6834" w:rsidRPr="00DF6565">
        <w:rPr>
          <w:lang w:val="fr-FR"/>
        </w:rPr>
        <w:t>responsabilités</w:t>
      </w:r>
      <w:r w:rsidR="009C6834">
        <w:rPr>
          <w:lang w:val="fr-FR"/>
        </w:rPr>
        <w:t xml:space="preserve"> et compétences</w:t>
      </w:r>
      <w:r w:rsidR="009C6834" w:rsidRPr="00DF6565">
        <w:rPr>
          <w:lang w:val="fr-FR"/>
        </w:rPr>
        <w:t xml:space="preserve"> fonctionnelles</w:t>
      </w:r>
      <w:r w:rsidR="009C6834">
        <w:rPr>
          <w:lang w:val="fr-FR"/>
        </w:rPr>
        <w:t xml:space="preserve"> des accoucheurs et le</w:t>
      </w:r>
      <w:r w:rsidR="009C6834" w:rsidRPr="00DF6565">
        <w:rPr>
          <w:lang w:val="fr-FR"/>
        </w:rPr>
        <w:t xml:space="preserve"> </w:t>
      </w:r>
      <w:r w:rsidR="009603CF">
        <w:rPr>
          <w:lang w:val="fr-FR"/>
        </w:rPr>
        <w:t>Code</w:t>
      </w:r>
      <w:r w:rsidR="009C6834" w:rsidRPr="00DF6565">
        <w:rPr>
          <w:lang w:val="fr-FR"/>
        </w:rPr>
        <w:t xml:space="preserve"> de déontologie des </w:t>
      </w:r>
      <w:r w:rsidR="009C6834">
        <w:rPr>
          <w:lang w:val="fr-FR"/>
        </w:rPr>
        <w:t>accoucheurs </w:t>
      </w:r>
      <w:r w:rsidR="009C6834" w:rsidRPr="00DF6565">
        <w:rPr>
          <w:lang w:val="fr-FR"/>
        </w:rPr>
        <w:t>;</w:t>
      </w:r>
    </w:p>
    <w:p w14:paraId="1EC7A004" w14:textId="44E3BA51" w:rsidR="009C6834" w:rsidRPr="00DF6565" w:rsidRDefault="00DE0C81" w:rsidP="00DE0C81">
      <w:pPr>
        <w:pStyle w:val="Bullet1G"/>
        <w:keepNext/>
        <w:rPr>
          <w:lang w:val="fr-FR"/>
        </w:rPr>
      </w:pPr>
      <w:r>
        <w:rPr>
          <w:lang w:val="fr-FR"/>
        </w:rPr>
        <w:t>C</w:t>
      </w:r>
      <w:r w:rsidRPr="00DF6565">
        <w:rPr>
          <w:lang w:val="fr-FR"/>
        </w:rPr>
        <w:t xml:space="preserve">inq </w:t>
      </w:r>
      <w:r w:rsidR="009C6834">
        <w:rPr>
          <w:lang w:val="fr-FR"/>
        </w:rPr>
        <w:t xml:space="preserve">procédures opérationnelles standard </w:t>
      </w:r>
      <w:r w:rsidR="009C6834" w:rsidRPr="00DF6565">
        <w:rPr>
          <w:lang w:val="fr-FR"/>
        </w:rPr>
        <w:t xml:space="preserve">pour les </w:t>
      </w:r>
      <w:r w:rsidR="009C6834">
        <w:rPr>
          <w:lang w:val="fr-FR"/>
        </w:rPr>
        <w:t>accoucheurs :</w:t>
      </w:r>
    </w:p>
    <w:p w14:paraId="6B52874D" w14:textId="442192CF" w:rsidR="009C6834" w:rsidRPr="00466CE7" w:rsidRDefault="009C6834" w:rsidP="00DE0C81">
      <w:pPr>
        <w:pStyle w:val="SingleTxtG"/>
        <w:ind w:left="1701"/>
        <w:rPr>
          <w:rFonts w:eastAsia="Times New Roman"/>
          <w:lang w:val="fr-FR"/>
        </w:rPr>
      </w:pPr>
      <w:r w:rsidRPr="00466CE7">
        <w:rPr>
          <w:rFonts w:eastAsia="Times New Roman"/>
          <w:lang w:val="fr-FR"/>
        </w:rPr>
        <w:t>1)</w:t>
      </w:r>
      <w:r w:rsidR="00DE0C81">
        <w:rPr>
          <w:rFonts w:eastAsia="Times New Roman"/>
          <w:lang w:val="fr-FR"/>
        </w:rPr>
        <w:tab/>
        <w:t>P</w:t>
      </w:r>
      <w:r w:rsidR="00DE0C81" w:rsidRPr="00466CE7">
        <w:rPr>
          <w:rFonts w:eastAsia="Times New Roman"/>
          <w:lang w:val="fr-FR"/>
        </w:rPr>
        <w:t xml:space="preserve">rocédure </w:t>
      </w:r>
      <w:r w:rsidRPr="00466CE7">
        <w:rPr>
          <w:rFonts w:eastAsia="Times New Roman"/>
          <w:lang w:val="fr-FR"/>
        </w:rPr>
        <w:t>opérationnelle standard pour la gestion active de la troisième p</w:t>
      </w:r>
      <w:r>
        <w:rPr>
          <w:rFonts w:eastAsia="Times New Roman"/>
          <w:lang w:val="fr-FR"/>
        </w:rPr>
        <w:t xml:space="preserve">hase </w:t>
      </w:r>
      <w:r w:rsidRPr="00466CE7">
        <w:rPr>
          <w:rFonts w:eastAsia="Times New Roman"/>
          <w:lang w:val="fr-FR"/>
        </w:rPr>
        <w:t>de travail</w:t>
      </w:r>
      <w:r w:rsidR="00DE0C81">
        <w:rPr>
          <w:rFonts w:eastAsia="Times New Roman"/>
          <w:lang w:val="fr-FR"/>
        </w:rPr>
        <w:t> </w:t>
      </w:r>
      <w:r w:rsidRPr="00466CE7">
        <w:rPr>
          <w:rFonts w:eastAsia="Times New Roman"/>
          <w:lang w:val="fr-FR"/>
        </w:rPr>
        <w:t>;</w:t>
      </w:r>
    </w:p>
    <w:p w14:paraId="581D8A9C" w14:textId="34463EE6" w:rsidR="009C6834" w:rsidRPr="00466CE7" w:rsidRDefault="009C6834" w:rsidP="00DE0C81">
      <w:pPr>
        <w:pStyle w:val="SingleTxtG"/>
        <w:ind w:left="1701"/>
        <w:rPr>
          <w:rFonts w:eastAsia="Times New Roman"/>
          <w:lang w:val="fr-FR"/>
        </w:rPr>
      </w:pPr>
      <w:r>
        <w:rPr>
          <w:rFonts w:eastAsia="Times New Roman"/>
          <w:lang w:val="fr-FR"/>
        </w:rPr>
        <w:t>2)</w:t>
      </w:r>
      <w:r w:rsidR="00DE0C81">
        <w:rPr>
          <w:rFonts w:eastAsia="Times New Roman"/>
          <w:lang w:val="fr-FR"/>
        </w:rPr>
        <w:tab/>
        <w:t>P</w:t>
      </w:r>
      <w:r w:rsidR="00DE0C81" w:rsidRPr="00466CE7">
        <w:rPr>
          <w:rFonts w:eastAsia="Times New Roman"/>
          <w:lang w:val="fr-FR"/>
        </w:rPr>
        <w:t xml:space="preserve">rocédure </w:t>
      </w:r>
      <w:r w:rsidRPr="00466CE7">
        <w:rPr>
          <w:rFonts w:eastAsia="Times New Roman"/>
          <w:lang w:val="fr-FR"/>
        </w:rPr>
        <w:t xml:space="preserve">opérationnelle standard pour </w:t>
      </w:r>
      <w:r>
        <w:rPr>
          <w:rFonts w:eastAsia="Times New Roman"/>
          <w:lang w:val="fr-FR"/>
        </w:rPr>
        <w:t xml:space="preserve">la surveillance maternelle </w:t>
      </w:r>
      <w:r w:rsidRPr="00466CE7">
        <w:rPr>
          <w:rFonts w:eastAsia="Times New Roman"/>
          <w:lang w:val="fr-FR"/>
        </w:rPr>
        <w:t xml:space="preserve">de routine </w:t>
      </w:r>
      <w:r>
        <w:rPr>
          <w:rFonts w:eastAsia="Times New Roman"/>
          <w:lang w:val="fr-FR"/>
        </w:rPr>
        <w:t xml:space="preserve">pendant le </w:t>
      </w:r>
      <w:r w:rsidRPr="00466CE7">
        <w:rPr>
          <w:rFonts w:eastAsia="Times New Roman"/>
          <w:lang w:val="fr-FR"/>
        </w:rPr>
        <w:t>post-partum</w:t>
      </w:r>
      <w:r>
        <w:rPr>
          <w:rFonts w:eastAsia="Times New Roman"/>
          <w:lang w:val="fr-FR"/>
        </w:rPr>
        <w:t xml:space="preserve"> immédiat</w:t>
      </w:r>
      <w:r w:rsidR="00DE0C81">
        <w:rPr>
          <w:rFonts w:eastAsia="Times New Roman"/>
          <w:lang w:val="fr-FR"/>
        </w:rPr>
        <w:t> </w:t>
      </w:r>
      <w:r w:rsidRPr="00466CE7">
        <w:rPr>
          <w:rFonts w:eastAsia="Times New Roman"/>
          <w:lang w:val="fr-FR"/>
        </w:rPr>
        <w:t xml:space="preserve">; </w:t>
      </w:r>
    </w:p>
    <w:p w14:paraId="005B6369" w14:textId="27A14D7F" w:rsidR="009C6834" w:rsidRPr="00466CE7" w:rsidRDefault="009C6834" w:rsidP="00DE0C81">
      <w:pPr>
        <w:pStyle w:val="SingleTxtG"/>
        <w:ind w:left="1701"/>
        <w:rPr>
          <w:rFonts w:eastAsia="Times New Roman"/>
          <w:lang w:val="fr-FR"/>
        </w:rPr>
      </w:pPr>
      <w:r w:rsidRPr="00466CE7">
        <w:rPr>
          <w:rFonts w:eastAsia="Times New Roman"/>
          <w:lang w:val="fr-FR"/>
        </w:rPr>
        <w:t>3)</w:t>
      </w:r>
      <w:r w:rsidR="00DE0C81">
        <w:rPr>
          <w:rFonts w:eastAsia="Times New Roman"/>
          <w:lang w:val="fr-FR"/>
        </w:rPr>
        <w:tab/>
        <w:t>P</w:t>
      </w:r>
      <w:r w:rsidR="00DE0C81" w:rsidRPr="00466CE7">
        <w:rPr>
          <w:rFonts w:eastAsia="Times New Roman"/>
          <w:lang w:val="fr-FR"/>
        </w:rPr>
        <w:t xml:space="preserve">rocédure </w:t>
      </w:r>
      <w:r w:rsidRPr="00466CE7">
        <w:rPr>
          <w:rFonts w:eastAsia="Times New Roman"/>
          <w:lang w:val="fr-FR"/>
        </w:rPr>
        <w:t>opérationnelle standard pour l</w:t>
      </w:r>
      <w:r>
        <w:rPr>
          <w:rFonts w:eastAsia="Times New Roman"/>
          <w:lang w:val="fr-FR"/>
        </w:rPr>
        <w:t>’</w:t>
      </w:r>
      <w:r w:rsidRPr="00466CE7">
        <w:rPr>
          <w:rFonts w:eastAsia="Times New Roman"/>
          <w:lang w:val="fr-FR"/>
        </w:rPr>
        <w:t xml:space="preserve">évaluation et la stabilisation de </w:t>
      </w:r>
      <w:r>
        <w:rPr>
          <w:rFonts w:eastAsia="Times New Roman"/>
          <w:lang w:val="fr-FR"/>
        </w:rPr>
        <w:t>l’état de santé de la femme</w:t>
      </w:r>
      <w:r w:rsidRPr="00466CE7">
        <w:rPr>
          <w:rFonts w:eastAsia="Times New Roman"/>
          <w:lang w:val="fr-FR"/>
        </w:rPr>
        <w:t xml:space="preserve"> en cas d</w:t>
      </w:r>
      <w:r>
        <w:rPr>
          <w:rFonts w:eastAsia="Times New Roman"/>
          <w:lang w:val="fr-FR"/>
        </w:rPr>
        <w:t>’</w:t>
      </w:r>
      <w:r w:rsidRPr="00466CE7">
        <w:rPr>
          <w:rFonts w:eastAsia="Times New Roman"/>
          <w:lang w:val="fr-FR"/>
        </w:rPr>
        <w:t xml:space="preserve">hémorragie </w:t>
      </w:r>
      <w:r>
        <w:rPr>
          <w:rFonts w:eastAsia="Times New Roman"/>
          <w:lang w:val="fr-FR"/>
        </w:rPr>
        <w:t xml:space="preserve">du </w:t>
      </w:r>
      <w:r w:rsidRPr="00466CE7">
        <w:rPr>
          <w:rFonts w:eastAsia="Times New Roman"/>
          <w:lang w:val="fr-FR"/>
        </w:rPr>
        <w:t>post-partum</w:t>
      </w:r>
      <w:r w:rsidR="00DE0C81">
        <w:rPr>
          <w:rFonts w:eastAsia="Times New Roman"/>
          <w:lang w:val="fr-FR"/>
        </w:rPr>
        <w:t> </w:t>
      </w:r>
      <w:r w:rsidRPr="00466CE7">
        <w:rPr>
          <w:rFonts w:eastAsia="Times New Roman"/>
          <w:lang w:val="fr-FR"/>
        </w:rPr>
        <w:t xml:space="preserve">; </w:t>
      </w:r>
    </w:p>
    <w:p w14:paraId="4D01535D" w14:textId="532C37ED" w:rsidR="009C6834" w:rsidRPr="00466CE7" w:rsidRDefault="009C6834" w:rsidP="00DE0C81">
      <w:pPr>
        <w:pStyle w:val="SingleTxtG"/>
        <w:ind w:left="1701"/>
        <w:rPr>
          <w:rFonts w:eastAsia="Times New Roman"/>
          <w:lang w:val="fr-FR"/>
        </w:rPr>
      </w:pPr>
      <w:r w:rsidRPr="00466CE7">
        <w:rPr>
          <w:rFonts w:eastAsia="Times New Roman"/>
          <w:lang w:val="fr-FR"/>
        </w:rPr>
        <w:t>4)</w:t>
      </w:r>
      <w:r w:rsidR="00DE0C81">
        <w:rPr>
          <w:rFonts w:eastAsia="Times New Roman"/>
          <w:lang w:val="fr-FR"/>
        </w:rPr>
        <w:tab/>
        <w:t>P</w:t>
      </w:r>
      <w:r w:rsidR="00DE0C81" w:rsidRPr="00466CE7">
        <w:rPr>
          <w:rFonts w:eastAsia="Times New Roman"/>
          <w:lang w:val="fr-FR"/>
        </w:rPr>
        <w:t xml:space="preserve">rocédure </w:t>
      </w:r>
      <w:r w:rsidRPr="00466CE7">
        <w:rPr>
          <w:rFonts w:eastAsia="Times New Roman"/>
          <w:lang w:val="fr-FR"/>
        </w:rPr>
        <w:t>opérationnelle standard pour l</w:t>
      </w:r>
      <w:r>
        <w:rPr>
          <w:rFonts w:eastAsia="Times New Roman"/>
          <w:lang w:val="fr-FR"/>
        </w:rPr>
        <w:t>’</w:t>
      </w:r>
      <w:r w:rsidRPr="00466CE7">
        <w:rPr>
          <w:rFonts w:eastAsia="Times New Roman"/>
          <w:lang w:val="fr-FR"/>
        </w:rPr>
        <w:t>évaluation et la stabilisation de</w:t>
      </w:r>
      <w:r>
        <w:rPr>
          <w:rFonts w:eastAsia="Times New Roman"/>
          <w:lang w:val="fr-FR"/>
        </w:rPr>
        <w:t xml:space="preserve"> l’état de santé de la femme</w:t>
      </w:r>
      <w:r w:rsidRPr="00466CE7">
        <w:rPr>
          <w:rFonts w:eastAsia="Times New Roman"/>
          <w:lang w:val="fr-FR"/>
        </w:rPr>
        <w:t xml:space="preserve"> </w:t>
      </w:r>
      <w:r>
        <w:rPr>
          <w:rFonts w:eastAsia="Times New Roman"/>
          <w:lang w:val="fr-FR"/>
        </w:rPr>
        <w:t xml:space="preserve">en cas de complications </w:t>
      </w:r>
      <w:r w:rsidRPr="00466CE7">
        <w:rPr>
          <w:rFonts w:eastAsia="Times New Roman"/>
          <w:lang w:val="fr-FR"/>
        </w:rPr>
        <w:t>du post-partum</w:t>
      </w:r>
      <w:r w:rsidR="00DE0C81">
        <w:rPr>
          <w:rFonts w:eastAsia="Times New Roman"/>
          <w:lang w:val="fr-FR"/>
        </w:rPr>
        <w:t> </w:t>
      </w:r>
      <w:r w:rsidRPr="00466CE7">
        <w:rPr>
          <w:rFonts w:eastAsia="Times New Roman"/>
          <w:lang w:val="fr-FR"/>
        </w:rPr>
        <w:t>;</w:t>
      </w:r>
    </w:p>
    <w:p w14:paraId="46E7F4AC" w14:textId="0737DE57" w:rsidR="009C6834" w:rsidRPr="00466CE7" w:rsidRDefault="009C6834" w:rsidP="00DE0C81">
      <w:pPr>
        <w:pStyle w:val="SingleTxtG"/>
        <w:ind w:left="1701"/>
        <w:rPr>
          <w:rFonts w:eastAsia="Times New Roman"/>
          <w:lang w:val="fr-FR"/>
        </w:rPr>
      </w:pPr>
      <w:r w:rsidRPr="00466CE7">
        <w:rPr>
          <w:rFonts w:eastAsia="Times New Roman"/>
          <w:lang w:val="fr-FR"/>
        </w:rPr>
        <w:t>5)</w:t>
      </w:r>
      <w:r w:rsidR="00DE0C81">
        <w:rPr>
          <w:rFonts w:eastAsia="Times New Roman"/>
          <w:lang w:val="fr-FR"/>
        </w:rPr>
        <w:tab/>
      </w:r>
      <w:proofErr w:type="spellStart"/>
      <w:r w:rsidR="00DE0C81">
        <w:rPr>
          <w:rFonts w:eastAsia="Times New Roman"/>
          <w:lang w:val="fr-FR"/>
        </w:rPr>
        <w:t>Mémento</w:t>
      </w:r>
      <w:proofErr w:type="spellEnd"/>
      <w:r w:rsidR="00DE0C81">
        <w:rPr>
          <w:rFonts w:eastAsia="Times New Roman"/>
          <w:lang w:val="fr-FR"/>
        </w:rPr>
        <w:t xml:space="preserve"> </w:t>
      </w:r>
      <w:r>
        <w:rPr>
          <w:rFonts w:eastAsia="Times New Roman"/>
          <w:lang w:val="fr-FR"/>
        </w:rPr>
        <w:t xml:space="preserve">de conseils </w:t>
      </w:r>
      <w:r w:rsidRPr="00466CE7">
        <w:rPr>
          <w:rFonts w:eastAsia="Times New Roman"/>
          <w:lang w:val="fr-FR"/>
        </w:rPr>
        <w:t>sur l</w:t>
      </w:r>
      <w:r>
        <w:rPr>
          <w:rFonts w:eastAsia="Times New Roman"/>
          <w:lang w:val="fr-FR"/>
        </w:rPr>
        <w:t xml:space="preserve">es soins maternels et </w:t>
      </w:r>
      <w:proofErr w:type="spellStart"/>
      <w:r>
        <w:rPr>
          <w:rFonts w:eastAsia="Times New Roman"/>
          <w:lang w:val="fr-FR"/>
        </w:rPr>
        <w:t>néonatals</w:t>
      </w:r>
      <w:proofErr w:type="spellEnd"/>
      <w:r w:rsidRPr="00466CE7">
        <w:rPr>
          <w:rFonts w:eastAsia="Times New Roman"/>
          <w:lang w:val="fr-FR"/>
        </w:rPr>
        <w:t xml:space="preserve">. </w:t>
      </w:r>
    </w:p>
    <w:p w14:paraId="4BA24333" w14:textId="741B08F0" w:rsidR="009C6834" w:rsidRPr="00466CE7" w:rsidRDefault="009C6834" w:rsidP="00E1792A">
      <w:pPr>
        <w:pStyle w:val="SingleTxtG"/>
        <w:rPr>
          <w:rFonts w:eastAsia="Times New Roman"/>
          <w:lang w:val="fr-FR"/>
        </w:rPr>
      </w:pPr>
      <w:r w:rsidRPr="00466CE7">
        <w:rPr>
          <w:rFonts w:eastAsia="Times New Roman"/>
          <w:lang w:val="fr-FR"/>
        </w:rPr>
        <w:t>410.</w:t>
      </w:r>
      <w:r w:rsidRPr="00466CE7">
        <w:rPr>
          <w:rFonts w:eastAsia="Times New Roman"/>
          <w:lang w:val="fr-FR"/>
        </w:rPr>
        <w:tab/>
      </w:r>
      <w:r>
        <w:rPr>
          <w:rFonts w:eastAsia="Times New Roman"/>
          <w:lang w:val="fr-FR"/>
        </w:rPr>
        <w:t>L</w:t>
      </w:r>
      <w:r w:rsidRPr="00466CE7">
        <w:rPr>
          <w:rFonts w:eastAsia="Times New Roman"/>
          <w:lang w:val="fr-FR"/>
        </w:rPr>
        <w:t>e c</w:t>
      </w:r>
      <w:r>
        <w:rPr>
          <w:rFonts w:eastAsia="Times New Roman"/>
          <w:lang w:val="fr-FR"/>
        </w:rPr>
        <w:t>entre de santé en ligne du M</w:t>
      </w:r>
      <w:r w:rsidRPr="00466CE7">
        <w:rPr>
          <w:rFonts w:eastAsia="Times New Roman"/>
          <w:lang w:val="fr-FR"/>
        </w:rPr>
        <w:t xml:space="preserve">inistère de la santé, en collaboration avec le </w:t>
      </w:r>
      <w:r w:rsidR="0071029D">
        <w:rPr>
          <w:rFonts w:eastAsia="Times New Roman"/>
          <w:lang w:val="fr-FR"/>
        </w:rPr>
        <w:t>s</w:t>
      </w:r>
      <w:r w:rsidRPr="00466CE7">
        <w:rPr>
          <w:rFonts w:eastAsia="Times New Roman"/>
          <w:lang w:val="fr-FR"/>
        </w:rPr>
        <w:t xml:space="preserve">ervice </w:t>
      </w:r>
      <w:r>
        <w:rPr>
          <w:rFonts w:eastAsia="Times New Roman"/>
          <w:lang w:val="fr-FR"/>
        </w:rPr>
        <w:t>public d’enregistrement du Gouvernement</w:t>
      </w:r>
      <w:r w:rsidRPr="00466CE7">
        <w:rPr>
          <w:rFonts w:eastAsia="Times New Roman"/>
          <w:lang w:val="fr-FR"/>
        </w:rPr>
        <w:t xml:space="preserve">, </w:t>
      </w:r>
      <w:r>
        <w:rPr>
          <w:rFonts w:eastAsia="Times New Roman"/>
          <w:lang w:val="fr-FR"/>
        </w:rPr>
        <w:t xml:space="preserve">continue d’œuvrer à </w:t>
      </w:r>
      <w:r w:rsidRPr="00466CE7">
        <w:rPr>
          <w:rFonts w:eastAsia="Times New Roman"/>
          <w:lang w:val="fr-FR"/>
        </w:rPr>
        <w:t>l</w:t>
      </w:r>
      <w:r>
        <w:rPr>
          <w:rFonts w:eastAsia="Times New Roman"/>
          <w:lang w:val="fr-FR"/>
        </w:rPr>
        <w:t>’</w:t>
      </w:r>
      <w:r w:rsidRPr="00466CE7">
        <w:rPr>
          <w:rFonts w:eastAsia="Times New Roman"/>
          <w:lang w:val="fr-FR"/>
        </w:rPr>
        <w:t xml:space="preserve">amélioration du </w:t>
      </w:r>
      <w:r>
        <w:rPr>
          <w:rFonts w:eastAsia="Times New Roman"/>
          <w:lang w:val="fr-FR"/>
        </w:rPr>
        <w:t xml:space="preserve">système informatique relatif aux certificats médicaux </w:t>
      </w:r>
      <w:r w:rsidRPr="00466CE7">
        <w:rPr>
          <w:rFonts w:eastAsia="Times New Roman"/>
          <w:lang w:val="fr-FR"/>
        </w:rPr>
        <w:t>afin de l</w:t>
      </w:r>
      <w:r>
        <w:rPr>
          <w:rFonts w:eastAsia="Times New Roman"/>
          <w:lang w:val="fr-FR"/>
        </w:rPr>
        <w:t>’</w:t>
      </w:r>
      <w:r w:rsidRPr="00466CE7">
        <w:rPr>
          <w:rFonts w:eastAsia="Times New Roman"/>
          <w:lang w:val="fr-FR"/>
        </w:rPr>
        <w:t xml:space="preserve">intégrer </w:t>
      </w:r>
      <w:r>
        <w:rPr>
          <w:rFonts w:eastAsia="Times New Roman"/>
          <w:lang w:val="fr-FR"/>
        </w:rPr>
        <w:t>à celui du registre des faits d’état civil</w:t>
      </w:r>
      <w:r w:rsidRPr="00466CE7">
        <w:rPr>
          <w:rFonts w:eastAsia="Times New Roman"/>
          <w:lang w:val="fr-FR"/>
        </w:rPr>
        <w:t>.</w:t>
      </w:r>
    </w:p>
    <w:p w14:paraId="2AF8D7C4" w14:textId="77777777" w:rsidR="009C6834" w:rsidRPr="00466CE7" w:rsidRDefault="009C6834" w:rsidP="00E1792A">
      <w:pPr>
        <w:pStyle w:val="SingleTxtG"/>
        <w:rPr>
          <w:rFonts w:eastAsia="Times New Roman"/>
          <w:lang w:val="fr-FR"/>
        </w:rPr>
      </w:pPr>
      <w:r>
        <w:rPr>
          <w:rFonts w:eastAsia="Times New Roman"/>
          <w:lang w:val="fr-FR"/>
        </w:rPr>
        <w:t>411.</w:t>
      </w:r>
      <w:r>
        <w:rPr>
          <w:rFonts w:eastAsia="Times New Roman"/>
          <w:lang w:val="fr-FR"/>
        </w:rPr>
        <w:tab/>
        <w:t xml:space="preserve">Les </w:t>
      </w:r>
      <w:r w:rsidRPr="00466CE7">
        <w:rPr>
          <w:rFonts w:eastAsia="Times New Roman"/>
          <w:lang w:val="fr-FR"/>
        </w:rPr>
        <w:t xml:space="preserve">femmes enceintes, </w:t>
      </w:r>
      <w:r>
        <w:rPr>
          <w:rFonts w:eastAsia="Times New Roman"/>
          <w:lang w:val="fr-FR"/>
        </w:rPr>
        <w:t>notamment celles qui présente</w:t>
      </w:r>
      <w:r w:rsidRPr="00466CE7">
        <w:rPr>
          <w:rFonts w:eastAsia="Times New Roman"/>
          <w:lang w:val="fr-FR"/>
        </w:rPr>
        <w:t xml:space="preserve">nt des maladies </w:t>
      </w:r>
      <w:proofErr w:type="spellStart"/>
      <w:r w:rsidRPr="00466CE7">
        <w:rPr>
          <w:rFonts w:eastAsia="Times New Roman"/>
          <w:lang w:val="fr-FR"/>
        </w:rPr>
        <w:t>extragénitales</w:t>
      </w:r>
      <w:proofErr w:type="spellEnd"/>
      <w:r w:rsidRPr="00466CE7">
        <w:rPr>
          <w:rFonts w:eastAsia="Times New Roman"/>
          <w:lang w:val="fr-FR"/>
        </w:rPr>
        <w:t xml:space="preserve">, </w:t>
      </w:r>
      <w:r>
        <w:rPr>
          <w:rFonts w:eastAsia="Times New Roman"/>
          <w:lang w:val="fr-FR"/>
        </w:rPr>
        <w:t xml:space="preserve">sont régulièrement suivies par les centres de médecine familiale, les cabinets de médecine familiale et les centres de médecine généraliste, </w:t>
      </w:r>
      <w:r w:rsidRPr="00466CE7">
        <w:rPr>
          <w:rFonts w:eastAsia="Times New Roman"/>
          <w:lang w:val="fr-FR"/>
        </w:rPr>
        <w:t xml:space="preserve">conformément au protocole clinique approuvé par le </w:t>
      </w:r>
      <w:r>
        <w:rPr>
          <w:rFonts w:eastAsia="Times New Roman"/>
          <w:lang w:val="fr-FR"/>
        </w:rPr>
        <w:t>M</w:t>
      </w:r>
      <w:r w:rsidRPr="00466CE7">
        <w:rPr>
          <w:rFonts w:eastAsia="Times New Roman"/>
          <w:lang w:val="fr-FR"/>
        </w:rPr>
        <w:t xml:space="preserve">inistère de la santé </w:t>
      </w:r>
      <w:r>
        <w:rPr>
          <w:rFonts w:eastAsia="Times New Roman"/>
          <w:lang w:val="fr-FR"/>
        </w:rPr>
        <w:t xml:space="preserve">en </w:t>
      </w:r>
      <w:r w:rsidRPr="00466CE7">
        <w:rPr>
          <w:rFonts w:eastAsia="Times New Roman"/>
          <w:lang w:val="fr-FR"/>
        </w:rPr>
        <w:t>2018</w:t>
      </w:r>
      <w:r>
        <w:rPr>
          <w:rFonts w:eastAsia="Times New Roman"/>
          <w:lang w:val="fr-FR"/>
        </w:rPr>
        <w:t xml:space="preserve"> sur les soins</w:t>
      </w:r>
      <w:r w:rsidRPr="00466CE7">
        <w:rPr>
          <w:rFonts w:eastAsia="Times New Roman"/>
          <w:lang w:val="fr-FR"/>
        </w:rPr>
        <w:t xml:space="preserve"> prénatals et </w:t>
      </w:r>
      <w:proofErr w:type="spellStart"/>
      <w:r w:rsidRPr="00466CE7">
        <w:rPr>
          <w:rFonts w:eastAsia="Times New Roman"/>
          <w:lang w:val="fr-FR"/>
        </w:rPr>
        <w:t>postnatals</w:t>
      </w:r>
      <w:proofErr w:type="spellEnd"/>
      <w:r w:rsidRPr="00466CE7">
        <w:rPr>
          <w:rFonts w:eastAsia="Times New Roman"/>
          <w:lang w:val="fr-FR"/>
        </w:rPr>
        <w:t>.</w:t>
      </w:r>
    </w:p>
    <w:p w14:paraId="277A44AF" w14:textId="77777777" w:rsidR="009C6834" w:rsidRPr="00466CE7" w:rsidRDefault="009C6834" w:rsidP="00E1792A">
      <w:pPr>
        <w:pStyle w:val="SingleTxtG"/>
        <w:keepNext/>
        <w:keepLines/>
        <w:rPr>
          <w:rFonts w:eastAsia="Times New Roman"/>
          <w:lang w:val="fr-FR"/>
        </w:rPr>
      </w:pPr>
      <w:r w:rsidRPr="00466CE7">
        <w:rPr>
          <w:rFonts w:eastAsia="Times New Roman"/>
          <w:lang w:val="fr-FR"/>
        </w:rPr>
        <w:lastRenderedPageBreak/>
        <w:t>412.</w:t>
      </w:r>
      <w:r w:rsidRPr="00466CE7">
        <w:rPr>
          <w:rFonts w:eastAsia="Times New Roman"/>
          <w:lang w:val="fr-FR"/>
        </w:rPr>
        <w:tab/>
        <w:t>L</w:t>
      </w:r>
      <w:r>
        <w:rPr>
          <w:rFonts w:eastAsia="Times New Roman"/>
          <w:lang w:val="fr-FR"/>
        </w:rPr>
        <w:t>’</w:t>
      </w:r>
      <w:r w:rsidRPr="00466CE7">
        <w:rPr>
          <w:rFonts w:eastAsia="Times New Roman"/>
          <w:lang w:val="fr-FR"/>
        </w:rPr>
        <w:t>institutionnalisation des programmes de formation aux soins obstétricaux d</w:t>
      </w:r>
      <w:r>
        <w:rPr>
          <w:rFonts w:eastAsia="Times New Roman"/>
          <w:lang w:val="fr-FR"/>
        </w:rPr>
        <w:t>’</w:t>
      </w:r>
      <w:r w:rsidRPr="00466CE7">
        <w:rPr>
          <w:rFonts w:eastAsia="Times New Roman"/>
          <w:lang w:val="fr-FR"/>
        </w:rPr>
        <w:t>urgence</w:t>
      </w:r>
      <w:r>
        <w:rPr>
          <w:rFonts w:eastAsia="Times New Roman"/>
          <w:lang w:val="fr-FR"/>
        </w:rPr>
        <w:t xml:space="preserve"> </w:t>
      </w:r>
      <w:r w:rsidRPr="00466CE7">
        <w:rPr>
          <w:rFonts w:eastAsia="Times New Roman"/>
          <w:lang w:val="fr-FR"/>
        </w:rPr>
        <w:t>destinés aux médecins spécialistes des établissements de soins de santé primaires et d</w:t>
      </w:r>
      <w:r>
        <w:rPr>
          <w:rFonts w:eastAsia="Times New Roman"/>
          <w:lang w:val="fr-FR"/>
        </w:rPr>
        <w:t>’</w:t>
      </w:r>
      <w:r w:rsidRPr="00466CE7">
        <w:rPr>
          <w:rFonts w:eastAsia="Times New Roman"/>
          <w:lang w:val="fr-FR"/>
        </w:rPr>
        <w:t>obstétrique se poursuit. Des protocoles cliniques et des directives</w:t>
      </w:r>
      <w:r w:rsidRPr="00C71EF7">
        <w:rPr>
          <w:rFonts w:eastAsia="Times New Roman"/>
          <w:lang w:val="fr-FR"/>
        </w:rPr>
        <w:t xml:space="preserve"> </w:t>
      </w:r>
      <w:r w:rsidRPr="00466CE7">
        <w:rPr>
          <w:rFonts w:eastAsia="Times New Roman"/>
          <w:lang w:val="fr-FR"/>
        </w:rPr>
        <w:t xml:space="preserve">sur </w:t>
      </w:r>
      <w:r>
        <w:rPr>
          <w:rFonts w:eastAsia="Times New Roman"/>
          <w:lang w:val="fr-FR"/>
        </w:rPr>
        <w:t xml:space="preserve">les </w:t>
      </w:r>
      <w:r w:rsidRPr="00466CE7">
        <w:rPr>
          <w:rFonts w:eastAsia="Times New Roman"/>
          <w:lang w:val="fr-FR"/>
        </w:rPr>
        <w:t>soins obstétricaux d</w:t>
      </w:r>
      <w:r>
        <w:rPr>
          <w:rFonts w:eastAsia="Times New Roman"/>
          <w:lang w:val="fr-FR"/>
        </w:rPr>
        <w:t>’</w:t>
      </w:r>
      <w:r w:rsidRPr="00466CE7">
        <w:rPr>
          <w:rFonts w:eastAsia="Times New Roman"/>
          <w:lang w:val="fr-FR"/>
        </w:rPr>
        <w:t>urgence</w:t>
      </w:r>
      <w:r>
        <w:rPr>
          <w:rFonts w:eastAsia="Times New Roman"/>
          <w:lang w:val="fr-FR"/>
        </w:rPr>
        <w:t xml:space="preserve"> </w:t>
      </w:r>
      <w:r w:rsidRPr="00466CE7">
        <w:rPr>
          <w:rFonts w:eastAsia="Times New Roman"/>
          <w:lang w:val="fr-FR"/>
        </w:rPr>
        <w:t>ont été élaborés pour améliorer les compétences pratiques.</w:t>
      </w:r>
    </w:p>
    <w:p w14:paraId="18A9B62F" w14:textId="77777777" w:rsidR="009C6834" w:rsidRPr="00466CE7" w:rsidRDefault="009C6834" w:rsidP="009C6834">
      <w:pPr>
        <w:pStyle w:val="SingleTxtG"/>
        <w:rPr>
          <w:rFonts w:eastAsia="Times New Roman"/>
          <w:lang w:val="fr-FR"/>
        </w:rPr>
      </w:pPr>
      <w:r w:rsidRPr="00466CE7">
        <w:rPr>
          <w:rFonts w:eastAsia="Times New Roman"/>
          <w:lang w:val="fr-FR"/>
        </w:rPr>
        <w:t>413.</w:t>
      </w:r>
      <w:r w:rsidRPr="00466CE7">
        <w:rPr>
          <w:rFonts w:eastAsia="Times New Roman"/>
          <w:lang w:val="fr-FR"/>
        </w:rPr>
        <w:tab/>
      </w:r>
      <w:r>
        <w:rPr>
          <w:rFonts w:eastAsia="Times New Roman"/>
          <w:lang w:val="fr-FR"/>
        </w:rPr>
        <w:t>Lorsqu’</w:t>
      </w:r>
      <w:r w:rsidRPr="00466CE7">
        <w:rPr>
          <w:rFonts w:eastAsia="Times New Roman"/>
          <w:lang w:val="fr-FR"/>
        </w:rPr>
        <w:t>un</w:t>
      </w:r>
      <w:r w:rsidRPr="00324994">
        <w:rPr>
          <w:rFonts w:eastAsia="Times New Roman"/>
          <w:lang w:val="fr-FR"/>
        </w:rPr>
        <w:t xml:space="preserve"> </w:t>
      </w:r>
      <w:r>
        <w:rPr>
          <w:rFonts w:eastAsia="Times New Roman"/>
          <w:lang w:val="fr-FR"/>
        </w:rPr>
        <w:t xml:space="preserve">professionnel </w:t>
      </w:r>
      <w:r w:rsidRPr="00466CE7">
        <w:rPr>
          <w:rFonts w:eastAsia="Times New Roman"/>
          <w:lang w:val="fr-FR"/>
        </w:rPr>
        <w:t xml:space="preserve">de santé </w:t>
      </w:r>
      <w:r>
        <w:rPr>
          <w:rFonts w:eastAsia="Times New Roman"/>
          <w:lang w:val="fr-FR"/>
        </w:rPr>
        <w:t xml:space="preserve">détecte une </w:t>
      </w:r>
      <w:r w:rsidRPr="00466CE7">
        <w:rPr>
          <w:rFonts w:eastAsia="Times New Roman"/>
          <w:lang w:val="fr-FR"/>
        </w:rPr>
        <w:t xml:space="preserve">maladie </w:t>
      </w:r>
      <w:proofErr w:type="spellStart"/>
      <w:r w:rsidRPr="00466CE7">
        <w:rPr>
          <w:rFonts w:eastAsia="Times New Roman"/>
          <w:lang w:val="fr-FR"/>
        </w:rPr>
        <w:t>extragénitale</w:t>
      </w:r>
      <w:proofErr w:type="spellEnd"/>
      <w:r w:rsidRPr="00466CE7">
        <w:rPr>
          <w:rFonts w:eastAsia="Times New Roman"/>
          <w:lang w:val="fr-FR"/>
        </w:rPr>
        <w:t xml:space="preserve"> chez une femme enceinte, </w:t>
      </w:r>
      <w:r>
        <w:rPr>
          <w:rFonts w:eastAsia="Times New Roman"/>
          <w:lang w:val="fr-FR"/>
        </w:rPr>
        <w:t xml:space="preserve">il </w:t>
      </w:r>
      <w:r w:rsidRPr="00466CE7">
        <w:rPr>
          <w:rFonts w:eastAsia="Times New Roman"/>
          <w:lang w:val="fr-FR"/>
        </w:rPr>
        <w:t xml:space="preserve">consulte </w:t>
      </w:r>
      <w:r>
        <w:rPr>
          <w:rFonts w:eastAsia="Times New Roman"/>
          <w:lang w:val="fr-FR"/>
        </w:rPr>
        <w:t xml:space="preserve">les </w:t>
      </w:r>
      <w:r w:rsidRPr="00466CE7">
        <w:rPr>
          <w:rFonts w:eastAsia="Times New Roman"/>
          <w:lang w:val="fr-FR"/>
        </w:rPr>
        <w:t xml:space="preserve">spécialistes </w:t>
      </w:r>
      <w:r>
        <w:rPr>
          <w:rFonts w:eastAsia="Times New Roman"/>
          <w:lang w:val="fr-FR"/>
        </w:rPr>
        <w:t xml:space="preserve">compétents et, si </w:t>
      </w:r>
      <w:r w:rsidRPr="00466CE7">
        <w:rPr>
          <w:rFonts w:eastAsia="Times New Roman"/>
          <w:lang w:val="fr-FR"/>
        </w:rPr>
        <w:t xml:space="preserve">nécessaire, </w:t>
      </w:r>
      <w:r>
        <w:rPr>
          <w:rFonts w:eastAsia="Times New Roman"/>
          <w:lang w:val="fr-FR"/>
        </w:rPr>
        <w:t>fait hospitaliser celle-ci dans le service indiqué</w:t>
      </w:r>
      <w:r w:rsidRPr="00466CE7">
        <w:rPr>
          <w:rFonts w:eastAsia="Times New Roman"/>
          <w:lang w:val="fr-FR"/>
        </w:rPr>
        <w:t xml:space="preserve">. </w:t>
      </w:r>
    </w:p>
    <w:p w14:paraId="41BEDCED" w14:textId="77777777" w:rsidR="009C6834" w:rsidRPr="00466CE7" w:rsidRDefault="009C6834" w:rsidP="009C6834">
      <w:pPr>
        <w:pStyle w:val="SingleTxtG"/>
        <w:rPr>
          <w:rFonts w:eastAsia="Times New Roman"/>
          <w:lang w:val="fr-FR"/>
        </w:rPr>
      </w:pPr>
      <w:r w:rsidRPr="00466CE7">
        <w:rPr>
          <w:rFonts w:eastAsia="Times New Roman"/>
          <w:lang w:val="fr-FR"/>
        </w:rPr>
        <w:t>414.</w:t>
      </w:r>
      <w:r w:rsidRPr="00466CE7">
        <w:rPr>
          <w:rFonts w:eastAsia="Times New Roman"/>
          <w:lang w:val="fr-FR"/>
        </w:rPr>
        <w:tab/>
      </w:r>
      <w:r>
        <w:rPr>
          <w:rFonts w:eastAsia="Times New Roman"/>
          <w:lang w:val="fr-FR"/>
        </w:rPr>
        <w:t>L</w:t>
      </w:r>
      <w:r w:rsidRPr="00466CE7">
        <w:rPr>
          <w:rFonts w:eastAsia="Times New Roman"/>
          <w:lang w:val="fr-FR"/>
        </w:rPr>
        <w:t xml:space="preserve">e </w:t>
      </w:r>
      <w:r>
        <w:rPr>
          <w:rFonts w:eastAsia="Times New Roman"/>
          <w:lang w:val="fr-FR"/>
        </w:rPr>
        <w:t xml:space="preserve">Ministère de la santé </w:t>
      </w:r>
      <w:r w:rsidRPr="00466CE7">
        <w:rPr>
          <w:rFonts w:eastAsia="Times New Roman"/>
          <w:lang w:val="fr-FR"/>
        </w:rPr>
        <w:t xml:space="preserve">et le </w:t>
      </w:r>
      <w:r>
        <w:rPr>
          <w:rFonts w:eastAsia="Times New Roman"/>
          <w:lang w:val="fr-FR"/>
        </w:rPr>
        <w:t xml:space="preserve">Fonds de l’assurance maladie obligatoire </w:t>
      </w:r>
      <w:r w:rsidRPr="00466CE7">
        <w:rPr>
          <w:rFonts w:eastAsia="Times New Roman"/>
          <w:lang w:val="fr-FR"/>
        </w:rPr>
        <w:t xml:space="preserve">ont </w:t>
      </w:r>
      <w:r>
        <w:rPr>
          <w:rFonts w:eastAsia="Times New Roman"/>
          <w:lang w:val="fr-FR"/>
        </w:rPr>
        <w:t xml:space="preserve">pris des mesures en 2018 pour optimiser le </w:t>
      </w:r>
      <w:r w:rsidRPr="00466CE7">
        <w:rPr>
          <w:rFonts w:eastAsia="Times New Roman"/>
          <w:lang w:val="fr-FR"/>
        </w:rPr>
        <w:t xml:space="preserve">fonctionnement des </w:t>
      </w:r>
      <w:r>
        <w:rPr>
          <w:rFonts w:eastAsia="Times New Roman"/>
          <w:lang w:val="fr-FR"/>
        </w:rPr>
        <w:t xml:space="preserve">unités d’accueil dans les maternités </w:t>
      </w:r>
      <w:r w:rsidRPr="00466CE7">
        <w:rPr>
          <w:rFonts w:eastAsia="Times New Roman"/>
          <w:lang w:val="fr-FR"/>
        </w:rPr>
        <w:t xml:space="preserve">de Bichkek (Centre périnatal de Bichkek, </w:t>
      </w:r>
      <w:r>
        <w:rPr>
          <w:rFonts w:eastAsia="Times New Roman"/>
          <w:lang w:val="fr-FR"/>
        </w:rPr>
        <w:t xml:space="preserve">maternités </w:t>
      </w:r>
      <w:r w:rsidRPr="00933295">
        <w:rPr>
          <w:rFonts w:eastAsia="Times New Roman"/>
          <w:lang w:val="fr-FR"/>
        </w:rPr>
        <w:t>n</w:t>
      </w:r>
      <w:r w:rsidRPr="00933295">
        <w:rPr>
          <w:rFonts w:eastAsia="Times New Roman"/>
          <w:vertAlign w:val="superscript"/>
          <w:lang w:val="fr-FR"/>
        </w:rPr>
        <w:t>o</w:t>
      </w:r>
      <w:r>
        <w:rPr>
          <w:rFonts w:eastAsia="Times New Roman"/>
          <w:vertAlign w:val="superscript"/>
          <w:lang w:val="fr-FR"/>
        </w:rPr>
        <w:t>s</w:t>
      </w:r>
      <w:r>
        <w:rPr>
          <w:rFonts w:eastAsia="Times New Roman"/>
          <w:lang w:val="fr-FR"/>
        </w:rPr>
        <w:t> 1 et 2</w:t>
      </w:r>
      <w:r w:rsidRPr="00466CE7">
        <w:rPr>
          <w:rFonts w:eastAsia="Times New Roman"/>
          <w:lang w:val="fr-FR"/>
        </w:rPr>
        <w:t xml:space="preserve">), ce qui a </w:t>
      </w:r>
      <w:r>
        <w:rPr>
          <w:rFonts w:eastAsia="Times New Roman"/>
          <w:lang w:val="fr-FR"/>
        </w:rPr>
        <w:t xml:space="preserve">permis d’améliorer l’accès aux services </w:t>
      </w:r>
      <w:r w:rsidRPr="00466CE7">
        <w:rPr>
          <w:rFonts w:eastAsia="Times New Roman"/>
          <w:lang w:val="fr-FR"/>
        </w:rPr>
        <w:t xml:space="preserve">diagnostiques et thérapeutiques. </w:t>
      </w:r>
      <w:r>
        <w:rPr>
          <w:rFonts w:eastAsia="Times New Roman"/>
          <w:lang w:val="fr-FR"/>
        </w:rPr>
        <w:t xml:space="preserve">Un </w:t>
      </w:r>
      <w:r w:rsidRPr="00466CE7">
        <w:rPr>
          <w:rFonts w:eastAsia="Times New Roman"/>
          <w:lang w:val="fr-FR"/>
        </w:rPr>
        <w:t xml:space="preserve">système optimal de prise en charge des femmes enceintes et des femmes en couches </w:t>
      </w:r>
      <w:r>
        <w:rPr>
          <w:rFonts w:eastAsia="Times New Roman"/>
          <w:lang w:val="fr-FR"/>
        </w:rPr>
        <w:t>a ainsi été mis en place</w:t>
      </w:r>
      <w:r w:rsidRPr="00E84BA5">
        <w:rPr>
          <w:rFonts w:eastAsia="Times New Roman"/>
          <w:lang w:val="fr-FR"/>
        </w:rPr>
        <w:t xml:space="preserve"> </w:t>
      </w:r>
      <w:r w:rsidRPr="00466CE7">
        <w:rPr>
          <w:rFonts w:eastAsia="Times New Roman"/>
          <w:lang w:val="fr-FR"/>
        </w:rPr>
        <w:t>dans les maternités.</w:t>
      </w:r>
    </w:p>
    <w:p w14:paraId="522E3E3F" w14:textId="77777777" w:rsidR="009C6834" w:rsidRPr="00466CE7" w:rsidRDefault="009C6834" w:rsidP="009C6834">
      <w:pPr>
        <w:pStyle w:val="SingleTxtG"/>
        <w:rPr>
          <w:rFonts w:eastAsia="Times New Roman"/>
          <w:lang w:val="fr-FR"/>
        </w:rPr>
      </w:pPr>
      <w:r w:rsidRPr="00466CE7">
        <w:rPr>
          <w:rFonts w:eastAsia="Times New Roman"/>
          <w:lang w:val="fr-FR"/>
        </w:rPr>
        <w:t>415.</w:t>
      </w:r>
      <w:r w:rsidRPr="00466CE7">
        <w:rPr>
          <w:rFonts w:eastAsia="Times New Roman"/>
          <w:lang w:val="fr-FR"/>
        </w:rPr>
        <w:tab/>
      </w:r>
      <w:r>
        <w:rPr>
          <w:rFonts w:eastAsia="Times New Roman"/>
          <w:lang w:val="fr-FR"/>
        </w:rPr>
        <w:t xml:space="preserve">À </w:t>
      </w:r>
      <w:r w:rsidRPr="00466CE7">
        <w:rPr>
          <w:rFonts w:eastAsia="Times New Roman"/>
          <w:lang w:val="fr-FR"/>
        </w:rPr>
        <w:t>l</w:t>
      </w:r>
      <w:r>
        <w:rPr>
          <w:rFonts w:eastAsia="Times New Roman"/>
          <w:lang w:val="fr-FR"/>
        </w:rPr>
        <w:t>’</w:t>
      </w:r>
      <w:r w:rsidRPr="00466CE7">
        <w:rPr>
          <w:rFonts w:eastAsia="Times New Roman"/>
          <w:lang w:val="fr-FR"/>
        </w:rPr>
        <w:t xml:space="preserve">hôpital national </w:t>
      </w:r>
      <w:r>
        <w:rPr>
          <w:rFonts w:eastAsia="Times New Roman"/>
          <w:lang w:val="fr-FR"/>
        </w:rPr>
        <w:t xml:space="preserve">relevant </w:t>
      </w:r>
      <w:r w:rsidRPr="00466CE7">
        <w:rPr>
          <w:rFonts w:eastAsia="Times New Roman"/>
          <w:lang w:val="fr-FR"/>
        </w:rPr>
        <w:t xml:space="preserve">du </w:t>
      </w:r>
      <w:r>
        <w:rPr>
          <w:rFonts w:eastAsia="Times New Roman"/>
          <w:lang w:val="fr-FR"/>
        </w:rPr>
        <w:t>M</w:t>
      </w:r>
      <w:r w:rsidRPr="00466CE7">
        <w:rPr>
          <w:rFonts w:eastAsia="Times New Roman"/>
          <w:lang w:val="fr-FR"/>
        </w:rPr>
        <w:t>inistère de la santé</w:t>
      </w:r>
      <w:r>
        <w:rPr>
          <w:rFonts w:eastAsia="Times New Roman"/>
          <w:lang w:val="fr-FR"/>
        </w:rPr>
        <w:t xml:space="preserve">, un </w:t>
      </w:r>
      <w:r w:rsidRPr="00466CE7">
        <w:rPr>
          <w:rFonts w:eastAsia="Times New Roman"/>
          <w:lang w:val="fr-FR"/>
        </w:rPr>
        <w:t>service de consultatio</w:t>
      </w:r>
      <w:r>
        <w:rPr>
          <w:rFonts w:eastAsia="Times New Roman"/>
          <w:lang w:val="fr-FR"/>
        </w:rPr>
        <w:t>n et de transport d’urgence (</w:t>
      </w:r>
      <w:r w:rsidRPr="00466CE7">
        <w:rPr>
          <w:rFonts w:eastAsia="Times New Roman"/>
          <w:lang w:val="fr-FR"/>
        </w:rPr>
        <w:t>aviation</w:t>
      </w:r>
      <w:r>
        <w:rPr>
          <w:rFonts w:eastAsia="Times New Roman"/>
          <w:lang w:val="fr-FR"/>
        </w:rPr>
        <w:t xml:space="preserve"> sanitaire) est en place pour les urgences </w:t>
      </w:r>
      <w:r w:rsidRPr="00466CE7">
        <w:rPr>
          <w:rFonts w:eastAsia="Times New Roman"/>
          <w:lang w:val="fr-FR"/>
        </w:rPr>
        <w:t xml:space="preserve">obstétriques et gynécologiques et </w:t>
      </w:r>
      <w:r>
        <w:rPr>
          <w:rFonts w:eastAsia="Times New Roman"/>
          <w:lang w:val="fr-FR"/>
        </w:rPr>
        <w:t xml:space="preserve">pour les urgences </w:t>
      </w:r>
      <w:proofErr w:type="spellStart"/>
      <w:r w:rsidRPr="00466CE7">
        <w:rPr>
          <w:rFonts w:eastAsia="Times New Roman"/>
          <w:lang w:val="fr-FR"/>
        </w:rPr>
        <w:t>néonatal</w:t>
      </w:r>
      <w:r>
        <w:rPr>
          <w:rFonts w:eastAsia="Times New Roman"/>
          <w:lang w:val="fr-FR"/>
        </w:rPr>
        <w:t>e</w:t>
      </w:r>
      <w:r w:rsidRPr="00466CE7">
        <w:rPr>
          <w:rFonts w:eastAsia="Times New Roman"/>
          <w:lang w:val="fr-FR"/>
        </w:rPr>
        <w:t>s</w:t>
      </w:r>
      <w:proofErr w:type="spellEnd"/>
      <w:r>
        <w:rPr>
          <w:rFonts w:eastAsia="Times New Roman"/>
          <w:lang w:val="fr-FR"/>
        </w:rPr>
        <w:t xml:space="preserve"> survenant dans le pays</w:t>
      </w:r>
      <w:r w:rsidRPr="00466CE7">
        <w:rPr>
          <w:rFonts w:eastAsia="Times New Roman"/>
          <w:lang w:val="fr-FR"/>
        </w:rPr>
        <w:t>. Afin d</w:t>
      </w:r>
      <w:r>
        <w:rPr>
          <w:rFonts w:eastAsia="Times New Roman"/>
          <w:lang w:val="fr-FR"/>
        </w:rPr>
        <w:t>’</w:t>
      </w:r>
      <w:r w:rsidRPr="00466CE7">
        <w:rPr>
          <w:rFonts w:eastAsia="Times New Roman"/>
          <w:lang w:val="fr-FR"/>
        </w:rPr>
        <w:t>améliorer la fourniture de soins médicaux d</w:t>
      </w:r>
      <w:r>
        <w:rPr>
          <w:rFonts w:eastAsia="Times New Roman"/>
          <w:lang w:val="fr-FR"/>
        </w:rPr>
        <w:t>’</w:t>
      </w:r>
      <w:r w:rsidRPr="00466CE7">
        <w:rPr>
          <w:rFonts w:eastAsia="Times New Roman"/>
          <w:lang w:val="fr-FR"/>
        </w:rPr>
        <w:t>urgence aux femmes enceintes</w:t>
      </w:r>
      <w:r>
        <w:rPr>
          <w:rFonts w:eastAsia="Times New Roman"/>
          <w:lang w:val="fr-FR"/>
        </w:rPr>
        <w:t>,</w:t>
      </w:r>
      <w:r w:rsidRPr="00466CE7">
        <w:rPr>
          <w:rFonts w:eastAsia="Times New Roman"/>
          <w:lang w:val="fr-FR"/>
        </w:rPr>
        <w:t xml:space="preserve"> huit </w:t>
      </w:r>
      <w:r>
        <w:rPr>
          <w:rFonts w:eastAsia="Times New Roman"/>
          <w:lang w:val="fr-FR"/>
        </w:rPr>
        <w:t xml:space="preserve">unités mobiles de réanimation </w:t>
      </w:r>
      <w:r w:rsidRPr="00466CE7">
        <w:rPr>
          <w:rFonts w:eastAsia="Times New Roman"/>
          <w:lang w:val="fr-FR"/>
        </w:rPr>
        <w:t xml:space="preserve">ont été </w:t>
      </w:r>
      <w:r>
        <w:rPr>
          <w:rFonts w:eastAsia="Times New Roman"/>
          <w:lang w:val="fr-FR"/>
        </w:rPr>
        <w:t xml:space="preserve">acquises moyennant un contrat </w:t>
      </w:r>
      <w:r w:rsidRPr="00466CE7">
        <w:rPr>
          <w:rFonts w:eastAsia="Times New Roman"/>
          <w:lang w:val="fr-FR"/>
        </w:rPr>
        <w:t>SWAP</w:t>
      </w:r>
      <w:r>
        <w:rPr>
          <w:rFonts w:eastAsia="Times New Roman"/>
          <w:lang w:val="fr-FR"/>
        </w:rPr>
        <w:t xml:space="preserve"> </w:t>
      </w:r>
      <w:r w:rsidRPr="00466CE7">
        <w:rPr>
          <w:rFonts w:eastAsia="Times New Roman"/>
          <w:lang w:val="fr-FR"/>
        </w:rPr>
        <w:t xml:space="preserve">dans le cadre du programme national </w:t>
      </w:r>
      <w:proofErr w:type="spellStart"/>
      <w:r w:rsidRPr="001A760E">
        <w:rPr>
          <w:rFonts w:eastAsia="Times New Roman"/>
          <w:lang w:val="fr-FR"/>
        </w:rPr>
        <w:t>Den</w:t>
      </w:r>
      <w:proofErr w:type="spellEnd"/>
      <w:r w:rsidRPr="001A760E">
        <w:rPr>
          <w:rFonts w:eastAsia="Times New Roman"/>
          <w:lang w:val="fr-FR"/>
        </w:rPr>
        <w:t>-</w:t>
      </w:r>
      <w:proofErr w:type="spellStart"/>
      <w:r w:rsidRPr="001A760E">
        <w:rPr>
          <w:rFonts w:eastAsia="Times New Roman"/>
          <w:lang w:val="fr-FR"/>
        </w:rPr>
        <w:t>Soolouk</w:t>
      </w:r>
      <w:proofErr w:type="spellEnd"/>
      <w:r w:rsidRPr="00466CE7">
        <w:rPr>
          <w:rFonts w:eastAsia="Times New Roman"/>
          <w:lang w:val="fr-FR"/>
        </w:rPr>
        <w:t xml:space="preserve">, et </w:t>
      </w:r>
      <w:r>
        <w:rPr>
          <w:rFonts w:eastAsia="Times New Roman"/>
          <w:lang w:val="fr-FR"/>
        </w:rPr>
        <w:t xml:space="preserve">ont été </w:t>
      </w:r>
      <w:r w:rsidRPr="00466CE7">
        <w:rPr>
          <w:rFonts w:eastAsia="Times New Roman"/>
          <w:lang w:val="fr-FR"/>
        </w:rPr>
        <w:t>remis</w:t>
      </w:r>
      <w:r>
        <w:rPr>
          <w:rFonts w:eastAsia="Times New Roman"/>
          <w:lang w:val="fr-FR"/>
        </w:rPr>
        <w:t>es</w:t>
      </w:r>
      <w:r w:rsidRPr="00466CE7">
        <w:rPr>
          <w:rFonts w:eastAsia="Times New Roman"/>
          <w:lang w:val="fr-FR"/>
        </w:rPr>
        <w:t xml:space="preserve"> aux materni</w:t>
      </w:r>
      <w:r>
        <w:rPr>
          <w:rFonts w:eastAsia="Times New Roman"/>
          <w:lang w:val="fr-FR"/>
        </w:rPr>
        <w:t>tés</w:t>
      </w:r>
      <w:r w:rsidRPr="00466CE7">
        <w:rPr>
          <w:rFonts w:eastAsia="Times New Roman"/>
          <w:lang w:val="fr-FR"/>
        </w:rPr>
        <w:t xml:space="preserve"> </w:t>
      </w:r>
      <w:r>
        <w:rPr>
          <w:rFonts w:eastAsia="Times New Roman"/>
          <w:lang w:val="fr-FR"/>
        </w:rPr>
        <w:t xml:space="preserve">des régions </w:t>
      </w:r>
      <w:r w:rsidRPr="00466CE7">
        <w:rPr>
          <w:rFonts w:eastAsia="Times New Roman"/>
          <w:lang w:val="fr-FR"/>
        </w:rPr>
        <w:t xml:space="preserve">de </w:t>
      </w:r>
      <w:proofErr w:type="spellStart"/>
      <w:r>
        <w:rPr>
          <w:rFonts w:eastAsia="Times New Roman"/>
          <w:lang w:val="fr-FR"/>
        </w:rPr>
        <w:t>Dja</w:t>
      </w:r>
      <w:r w:rsidRPr="00466CE7">
        <w:rPr>
          <w:rFonts w:eastAsia="Times New Roman"/>
          <w:lang w:val="fr-FR"/>
        </w:rPr>
        <w:t>lal-Abad</w:t>
      </w:r>
      <w:proofErr w:type="spellEnd"/>
      <w:r w:rsidRPr="00466CE7">
        <w:rPr>
          <w:rFonts w:eastAsia="Times New Roman"/>
          <w:lang w:val="fr-FR"/>
        </w:rPr>
        <w:t xml:space="preserve">, </w:t>
      </w:r>
      <w:r>
        <w:rPr>
          <w:rFonts w:eastAsia="Times New Roman"/>
          <w:lang w:val="fr-FR"/>
        </w:rPr>
        <w:t xml:space="preserve">Och, </w:t>
      </w:r>
      <w:proofErr w:type="spellStart"/>
      <w:r w:rsidRPr="00466CE7">
        <w:rPr>
          <w:rFonts w:eastAsia="Times New Roman"/>
          <w:lang w:val="fr-FR"/>
        </w:rPr>
        <w:t>Batken</w:t>
      </w:r>
      <w:proofErr w:type="spellEnd"/>
      <w:r w:rsidRPr="00466CE7">
        <w:rPr>
          <w:rFonts w:eastAsia="Times New Roman"/>
          <w:lang w:val="fr-FR"/>
        </w:rPr>
        <w:t>, Issyk-K</w:t>
      </w:r>
      <w:r>
        <w:rPr>
          <w:rFonts w:eastAsia="Times New Roman"/>
          <w:lang w:val="fr-FR"/>
        </w:rPr>
        <w:t>o</w:t>
      </w:r>
      <w:r w:rsidRPr="00466CE7">
        <w:rPr>
          <w:rFonts w:eastAsia="Times New Roman"/>
          <w:lang w:val="fr-FR"/>
        </w:rPr>
        <w:t xml:space="preserve">ul, Talas, Naryn et </w:t>
      </w:r>
      <w:proofErr w:type="spellStart"/>
      <w:r>
        <w:rPr>
          <w:rFonts w:eastAsia="Times New Roman"/>
          <w:lang w:val="fr-FR"/>
        </w:rPr>
        <w:t>Tchouï</w:t>
      </w:r>
      <w:proofErr w:type="spellEnd"/>
      <w:r>
        <w:rPr>
          <w:rFonts w:eastAsia="Times New Roman"/>
          <w:lang w:val="fr-FR"/>
        </w:rPr>
        <w:t>,</w:t>
      </w:r>
      <w:r w:rsidRPr="00466CE7">
        <w:rPr>
          <w:rFonts w:eastAsia="Times New Roman"/>
          <w:lang w:val="fr-FR"/>
        </w:rPr>
        <w:t xml:space="preserve"> </w:t>
      </w:r>
      <w:r>
        <w:rPr>
          <w:rFonts w:eastAsia="Times New Roman"/>
          <w:lang w:val="fr-FR"/>
        </w:rPr>
        <w:t>ainsi qu’</w:t>
      </w:r>
      <w:r w:rsidRPr="00466CE7">
        <w:rPr>
          <w:rFonts w:eastAsia="Times New Roman"/>
          <w:lang w:val="fr-FR"/>
        </w:rPr>
        <w:t xml:space="preserve">au Centre national </w:t>
      </w:r>
      <w:r>
        <w:rPr>
          <w:rFonts w:eastAsia="Times New Roman"/>
          <w:lang w:val="fr-FR"/>
        </w:rPr>
        <w:t xml:space="preserve">de </w:t>
      </w:r>
      <w:r w:rsidRPr="00466CE7">
        <w:rPr>
          <w:rFonts w:eastAsia="Times New Roman"/>
          <w:lang w:val="fr-FR"/>
        </w:rPr>
        <w:t>pro</w:t>
      </w:r>
      <w:r>
        <w:rPr>
          <w:rFonts w:eastAsia="Times New Roman"/>
          <w:lang w:val="fr-FR"/>
        </w:rPr>
        <w:t>tection maternelle et infantile</w:t>
      </w:r>
      <w:r w:rsidRPr="00466CE7">
        <w:rPr>
          <w:rFonts w:eastAsia="Times New Roman"/>
          <w:lang w:val="fr-FR"/>
        </w:rPr>
        <w:t>.</w:t>
      </w:r>
    </w:p>
    <w:p w14:paraId="5316E209" w14:textId="00F0A4D4" w:rsidR="009C6834" w:rsidRPr="00466CE7" w:rsidRDefault="009C6834" w:rsidP="009C6834">
      <w:pPr>
        <w:pStyle w:val="SingleTxtG"/>
        <w:rPr>
          <w:rFonts w:eastAsia="Times New Roman"/>
          <w:lang w:val="fr-FR"/>
        </w:rPr>
      </w:pPr>
      <w:r w:rsidRPr="00466CE7">
        <w:rPr>
          <w:rFonts w:eastAsia="Times New Roman"/>
          <w:lang w:val="fr-FR"/>
        </w:rPr>
        <w:t>416.</w:t>
      </w:r>
      <w:r w:rsidRPr="00466CE7">
        <w:rPr>
          <w:rFonts w:eastAsia="Times New Roman"/>
          <w:lang w:val="fr-FR"/>
        </w:rPr>
        <w:tab/>
        <w:t>La construction</w:t>
      </w:r>
      <w:r w:rsidRPr="00FC4AFC">
        <w:rPr>
          <w:rFonts w:eastAsia="Times New Roman"/>
          <w:lang w:val="fr-FR"/>
        </w:rPr>
        <w:t xml:space="preserve"> </w:t>
      </w:r>
      <w:r w:rsidRPr="00466CE7">
        <w:rPr>
          <w:rFonts w:eastAsia="Times New Roman"/>
          <w:lang w:val="fr-FR"/>
        </w:rPr>
        <w:t>d</w:t>
      </w:r>
      <w:r>
        <w:rPr>
          <w:rFonts w:eastAsia="Times New Roman"/>
          <w:lang w:val="fr-FR"/>
        </w:rPr>
        <w:t>’</w:t>
      </w:r>
      <w:r w:rsidRPr="00466CE7">
        <w:rPr>
          <w:rFonts w:eastAsia="Times New Roman"/>
          <w:lang w:val="fr-FR"/>
        </w:rPr>
        <w:t>un</w:t>
      </w:r>
      <w:r>
        <w:rPr>
          <w:rFonts w:eastAsia="Times New Roman"/>
          <w:lang w:val="fr-FR"/>
        </w:rPr>
        <w:t xml:space="preserve"> centre </w:t>
      </w:r>
      <w:r w:rsidRPr="00466CE7">
        <w:rPr>
          <w:rFonts w:eastAsia="Times New Roman"/>
          <w:lang w:val="fr-FR"/>
        </w:rPr>
        <w:t>périnatal de 182</w:t>
      </w:r>
      <w:r w:rsidR="00DE0C81">
        <w:rPr>
          <w:rFonts w:eastAsia="Times New Roman"/>
          <w:lang w:val="fr-FR"/>
        </w:rPr>
        <w:t> </w:t>
      </w:r>
      <w:r w:rsidRPr="00466CE7">
        <w:rPr>
          <w:rFonts w:eastAsia="Times New Roman"/>
          <w:lang w:val="fr-FR"/>
        </w:rPr>
        <w:t>lits</w:t>
      </w:r>
      <w:r w:rsidRPr="00E84BA5">
        <w:rPr>
          <w:rFonts w:eastAsia="Times New Roman"/>
          <w:lang w:val="fr-FR"/>
        </w:rPr>
        <w:t xml:space="preserve"> </w:t>
      </w:r>
      <w:r>
        <w:rPr>
          <w:rFonts w:eastAsia="Times New Roman"/>
          <w:lang w:val="fr-FR"/>
        </w:rPr>
        <w:t xml:space="preserve">dans le </w:t>
      </w:r>
      <w:r w:rsidRPr="00466CE7">
        <w:rPr>
          <w:rFonts w:eastAsia="Times New Roman"/>
          <w:lang w:val="fr-FR"/>
        </w:rPr>
        <w:t xml:space="preserve">Centre national </w:t>
      </w:r>
      <w:r>
        <w:rPr>
          <w:rFonts w:eastAsia="Times New Roman"/>
          <w:lang w:val="fr-FR"/>
        </w:rPr>
        <w:t xml:space="preserve">de protection </w:t>
      </w:r>
      <w:r w:rsidRPr="00466CE7">
        <w:rPr>
          <w:rFonts w:eastAsia="Times New Roman"/>
          <w:lang w:val="fr-FR"/>
        </w:rPr>
        <w:t xml:space="preserve">maternelle et infantile relevant du </w:t>
      </w:r>
      <w:r>
        <w:rPr>
          <w:rFonts w:eastAsia="Times New Roman"/>
          <w:lang w:val="fr-FR"/>
        </w:rPr>
        <w:t>M</w:t>
      </w:r>
      <w:r w:rsidRPr="00466CE7">
        <w:rPr>
          <w:rFonts w:eastAsia="Times New Roman"/>
          <w:lang w:val="fr-FR"/>
        </w:rPr>
        <w:t xml:space="preserve">inistère de la </w:t>
      </w:r>
      <w:r>
        <w:rPr>
          <w:rFonts w:eastAsia="Times New Roman"/>
          <w:lang w:val="fr-FR"/>
        </w:rPr>
        <w:t>s</w:t>
      </w:r>
      <w:r w:rsidRPr="00466CE7">
        <w:rPr>
          <w:rFonts w:eastAsia="Times New Roman"/>
          <w:lang w:val="fr-FR"/>
        </w:rPr>
        <w:t>anté est en voie d</w:t>
      </w:r>
      <w:r>
        <w:rPr>
          <w:rFonts w:eastAsia="Times New Roman"/>
          <w:lang w:val="fr-FR"/>
        </w:rPr>
        <w:t>’</w:t>
      </w:r>
      <w:r w:rsidRPr="00466CE7">
        <w:rPr>
          <w:rFonts w:eastAsia="Times New Roman"/>
          <w:lang w:val="fr-FR"/>
        </w:rPr>
        <w:t>achèvement.</w:t>
      </w:r>
    </w:p>
    <w:p w14:paraId="2FEA435F" w14:textId="4F26BFAE" w:rsidR="009C6834" w:rsidRPr="00466CE7" w:rsidRDefault="009C6834" w:rsidP="009C6834">
      <w:pPr>
        <w:pStyle w:val="SingleTxtG"/>
        <w:rPr>
          <w:rFonts w:eastAsia="Times New Roman"/>
          <w:lang w:val="fr-FR"/>
        </w:rPr>
      </w:pPr>
      <w:r w:rsidRPr="00466CE7">
        <w:rPr>
          <w:rFonts w:eastAsia="Times New Roman"/>
          <w:lang w:val="fr-FR"/>
        </w:rPr>
        <w:t>417.</w:t>
      </w:r>
      <w:r w:rsidRPr="00466CE7">
        <w:rPr>
          <w:rFonts w:eastAsia="Times New Roman"/>
          <w:lang w:val="fr-FR"/>
        </w:rPr>
        <w:tab/>
      </w:r>
      <w:r>
        <w:rPr>
          <w:rFonts w:eastAsia="Times New Roman"/>
          <w:lang w:val="fr-FR"/>
        </w:rPr>
        <w:t>Pour</w:t>
      </w:r>
      <w:r w:rsidRPr="00466CE7">
        <w:rPr>
          <w:rFonts w:eastAsia="Times New Roman"/>
          <w:lang w:val="fr-FR"/>
        </w:rPr>
        <w:t xml:space="preserve"> </w:t>
      </w:r>
      <w:r>
        <w:rPr>
          <w:rFonts w:eastAsia="Times New Roman"/>
          <w:lang w:val="fr-FR"/>
        </w:rPr>
        <w:t xml:space="preserve">continuer à développer et améliorer les techniques périnatales et </w:t>
      </w:r>
      <w:r w:rsidRPr="00466CE7">
        <w:rPr>
          <w:rFonts w:eastAsia="Times New Roman"/>
          <w:lang w:val="fr-FR"/>
        </w:rPr>
        <w:t xml:space="preserve">la qualité des soins médicaux et réduire la mortalité périnatale dans le pays, le </w:t>
      </w:r>
      <w:r>
        <w:rPr>
          <w:rFonts w:eastAsia="Times New Roman"/>
          <w:lang w:val="fr-FR"/>
        </w:rPr>
        <w:t>M</w:t>
      </w:r>
      <w:r w:rsidRPr="00466CE7">
        <w:rPr>
          <w:rFonts w:eastAsia="Times New Roman"/>
          <w:lang w:val="fr-FR"/>
        </w:rPr>
        <w:t xml:space="preserve">inistère de la </w:t>
      </w:r>
      <w:r>
        <w:rPr>
          <w:rFonts w:eastAsia="Times New Roman"/>
          <w:lang w:val="fr-FR"/>
        </w:rPr>
        <w:t>s</w:t>
      </w:r>
      <w:r w:rsidRPr="00466CE7">
        <w:rPr>
          <w:rFonts w:eastAsia="Times New Roman"/>
          <w:lang w:val="fr-FR"/>
        </w:rPr>
        <w:t xml:space="preserve">anté a </w:t>
      </w:r>
      <w:r>
        <w:rPr>
          <w:rFonts w:eastAsia="Times New Roman"/>
          <w:lang w:val="fr-FR"/>
        </w:rPr>
        <w:t xml:space="preserve">mis en place une méthode </w:t>
      </w:r>
      <w:r w:rsidRPr="00466CE7">
        <w:rPr>
          <w:rFonts w:eastAsia="Times New Roman"/>
          <w:lang w:val="fr-FR"/>
        </w:rPr>
        <w:t>d</w:t>
      </w:r>
      <w:r>
        <w:rPr>
          <w:rFonts w:eastAsia="Times New Roman"/>
          <w:lang w:val="fr-FR"/>
        </w:rPr>
        <w:t>’</w:t>
      </w:r>
      <w:r w:rsidRPr="00466CE7">
        <w:rPr>
          <w:rFonts w:eastAsia="Times New Roman"/>
          <w:lang w:val="fr-FR"/>
        </w:rPr>
        <w:t xml:space="preserve">audit périnatal confidentiel dans quatre </w:t>
      </w:r>
      <w:r>
        <w:rPr>
          <w:rFonts w:eastAsia="Times New Roman"/>
          <w:lang w:val="fr-FR"/>
        </w:rPr>
        <w:t xml:space="preserve">établissements de santé </w:t>
      </w:r>
      <w:r w:rsidRPr="00466CE7">
        <w:rPr>
          <w:rFonts w:eastAsia="Times New Roman"/>
          <w:lang w:val="fr-FR"/>
        </w:rPr>
        <w:t>pilotes</w:t>
      </w:r>
      <w:r>
        <w:rPr>
          <w:rFonts w:eastAsia="Times New Roman"/>
          <w:lang w:val="fr-FR"/>
        </w:rPr>
        <w:t> :</w:t>
      </w:r>
      <w:r w:rsidRPr="00466CE7">
        <w:rPr>
          <w:rFonts w:eastAsia="Times New Roman"/>
          <w:lang w:val="fr-FR"/>
        </w:rPr>
        <w:t xml:space="preserve"> la maternité clinique du</w:t>
      </w:r>
      <w:r>
        <w:rPr>
          <w:rFonts w:eastAsia="Times New Roman"/>
          <w:lang w:val="fr-FR"/>
        </w:rPr>
        <w:t xml:space="preserve"> Centre national de protection maternelle et infantile</w:t>
      </w:r>
      <w:r w:rsidRPr="00466CE7">
        <w:rPr>
          <w:rFonts w:eastAsia="Times New Roman"/>
          <w:lang w:val="fr-FR"/>
        </w:rPr>
        <w:t xml:space="preserve">, le </w:t>
      </w:r>
      <w:r>
        <w:rPr>
          <w:rFonts w:eastAsia="Times New Roman"/>
          <w:lang w:val="fr-FR"/>
        </w:rPr>
        <w:t>c</w:t>
      </w:r>
      <w:r w:rsidRPr="00466CE7">
        <w:rPr>
          <w:rFonts w:eastAsia="Times New Roman"/>
          <w:lang w:val="fr-FR"/>
        </w:rPr>
        <w:t>entre périnatal de Bichkek, la maternité de l</w:t>
      </w:r>
      <w:r>
        <w:rPr>
          <w:rFonts w:eastAsia="Times New Roman"/>
          <w:lang w:val="fr-FR"/>
        </w:rPr>
        <w:t>’</w:t>
      </w:r>
      <w:r w:rsidRPr="00466CE7">
        <w:rPr>
          <w:rFonts w:eastAsia="Times New Roman"/>
          <w:lang w:val="fr-FR"/>
        </w:rPr>
        <w:t xml:space="preserve">hôpital clinique </w:t>
      </w:r>
      <w:proofErr w:type="spellStart"/>
      <w:r w:rsidRPr="00466CE7">
        <w:rPr>
          <w:rFonts w:eastAsia="Times New Roman"/>
          <w:lang w:val="fr-FR"/>
        </w:rPr>
        <w:t>interrégional</w:t>
      </w:r>
      <w:proofErr w:type="spellEnd"/>
      <w:r w:rsidRPr="00466CE7">
        <w:rPr>
          <w:rFonts w:eastAsia="Times New Roman"/>
          <w:lang w:val="fr-FR"/>
        </w:rPr>
        <w:t xml:space="preserve"> d</w:t>
      </w:r>
      <w:r>
        <w:rPr>
          <w:rFonts w:eastAsia="Times New Roman"/>
          <w:lang w:val="fr-FR"/>
        </w:rPr>
        <w:t>’Och</w:t>
      </w:r>
      <w:r w:rsidRPr="00466CE7">
        <w:rPr>
          <w:rFonts w:eastAsia="Times New Roman"/>
          <w:lang w:val="fr-FR"/>
        </w:rPr>
        <w:t xml:space="preserve">, </w:t>
      </w:r>
      <w:r>
        <w:rPr>
          <w:rFonts w:eastAsia="Times New Roman"/>
          <w:lang w:val="fr-FR"/>
        </w:rPr>
        <w:t xml:space="preserve">et la maternité de l’hôpital clinique de la ville d’Och. Cette méthode, qui sera ensuite introduite </w:t>
      </w:r>
      <w:r w:rsidRPr="00466CE7">
        <w:rPr>
          <w:rFonts w:eastAsia="Times New Roman"/>
          <w:lang w:val="fr-FR"/>
        </w:rPr>
        <w:t xml:space="preserve">dans </w:t>
      </w:r>
      <w:r>
        <w:rPr>
          <w:rFonts w:eastAsia="Times New Roman"/>
          <w:lang w:val="fr-FR"/>
        </w:rPr>
        <w:t xml:space="preserve">les </w:t>
      </w:r>
      <w:r w:rsidRPr="00466CE7">
        <w:rPr>
          <w:rFonts w:eastAsia="Times New Roman"/>
          <w:lang w:val="fr-FR"/>
        </w:rPr>
        <w:t>maternité</w:t>
      </w:r>
      <w:r>
        <w:rPr>
          <w:rFonts w:eastAsia="Times New Roman"/>
          <w:lang w:val="fr-FR"/>
        </w:rPr>
        <w:t xml:space="preserve">s du complexe hospitalier régional de </w:t>
      </w:r>
      <w:proofErr w:type="spellStart"/>
      <w:r>
        <w:rPr>
          <w:rFonts w:eastAsia="Times New Roman"/>
          <w:lang w:val="fr-FR"/>
        </w:rPr>
        <w:t>Batken</w:t>
      </w:r>
      <w:proofErr w:type="spellEnd"/>
      <w:r>
        <w:rPr>
          <w:rFonts w:eastAsia="Times New Roman"/>
          <w:lang w:val="fr-FR"/>
        </w:rPr>
        <w:t xml:space="preserve"> et </w:t>
      </w:r>
      <w:proofErr w:type="spellStart"/>
      <w:r>
        <w:rPr>
          <w:rFonts w:eastAsia="Times New Roman"/>
          <w:lang w:val="fr-FR"/>
        </w:rPr>
        <w:t>Djalal-Abad</w:t>
      </w:r>
      <w:proofErr w:type="spellEnd"/>
      <w:r>
        <w:rPr>
          <w:rFonts w:eastAsia="Times New Roman"/>
          <w:lang w:val="fr-FR"/>
        </w:rPr>
        <w:t>, permettra d’évaluer les indicateurs périnataux et de définir les mesures à prendre pour continuer à développer et améliorer les services médicaux tant au niveau régional qu’au sein des différentes unités d’obstétrique</w:t>
      </w:r>
      <w:r w:rsidRPr="00466CE7">
        <w:rPr>
          <w:rFonts w:eastAsia="Times New Roman"/>
          <w:lang w:val="fr-FR"/>
        </w:rPr>
        <w:t>.</w:t>
      </w:r>
    </w:p>
    <w:p w14:paraId="49274DA8" w14:textId="77777777" w:rsidR="009C6834" w:rsidRPr="00466CE7" w:rsidRDefault="009C6834" w:rsidP="009C6834">
      <w:pPr>
        <w:pStyle w:val="SingleTxtG"/>
        <w:rPr>
          <w:rFonts w:eastAsia="Times New Roman"/>
          <w:lang w:val="fr-FR"/>
        </w:rPr>
      </w:pPr>
      <w:r>
        <w:rPr>
          <w:rFonts w:eastAsia="Times New Roman"/>
          <w:lang w:val="fr-FR"/>
        </w:rPr>
        <w:t>418.</w:t>
      </w:r>
      <w:r>
        <w:rPr>
          <w:rFonts w:eastAsia="Times New Roman"/>
          <w:lang w:val="fr-FR"/>
        </w:rPr>
        <w:tab/>
        <w:t>Le Ministère de la santé</w:t>
      </w:r>
      <w:r w:rsidRPr="00466CE7">
        <w:rPr>
          <w:rFonts w:eastAsia="Times New Roman"/>
          <w:lang w:val="fr-FR"/>
        </w:rPr>
        <w:t xml:space="preserve"> a défini les critères des groupes à risque et </w:t>
      </w:r>
      <w:r>
        <w:rPr>
          <w:rFonts w:eastAsia="Times New Roman"/>
          <w:lang w:val="fr-FR"/>
        </w:rPr>
        <w:t xml:space="preserve">élaboré </w:t>
      </w:r>
      <w:r w:rsidRPr="00466CE7">
        <w:rPr>
          <w:rFonts w:eastAsia="Times New Roman"/>
          <w:lang w:val="fr-FR"/>
        </w:rPr>
        <w:t>un projet de plan quinquennal pour l</w:t>
      </w:r>
      <w:r>
        <w:rPr>
          <w:rFonts w:eastAsia="Times New Roman"/>
          <w:lang w:val="fr-FR"/>
        </w:rPr>
        <w:t>’</w:t>
      </w:r>
      <w:r w:rsidRPr="00466CE7">
        <w:rPr>
          <w:rFonts w:eastAsia="Times New Roman"/>
          <w:lang w:val="fr-FR"/>
        </w:rPr>
        <w:t>achat</w:t>
      </w:r>
      <w:r>
        <w:rPr>
          <w:rFonts w:eastAsia="Times New Roman"/>
          <w:lang w:val="fr-FR"/>
        </w:rPr>
        <w:t>,</w:t>
      </w:r>
      <w:r w:rsidRPr="00466CE7">
        <w:rPr>
          <w:rFonts w:eastAsia="Times New Roman"/>
          <w:lang w:val="fr-FR"/>
        </w:rPr>
        <w:t xml:space="preserve"> sur le budget de l</w:t>
      </w:r>
      <w:r>
        <w:rPr>
          <w:rFonts w:eastAsia="Times New Roman"/>
          <w:lang w:val="fr-FR"/>
        </w:rPr>
        <w:t>’</w:t>
      </w:r>
      <w:r w:rsidRPr="00466CE7">
        <w:rPr>
          <w:rFonts w:eastAsia="Times New Roman"/>
          <w:lang w:val="fr-FR"/>
        </w:rPr>
        <w:t>État</w:t>
      </w:r>
      <w:r>
        <w:rPr>
          <w:rFonts w:eastAsia="Times New Roman"/>
          <w:lang w:val="fr-FR"/>
        </w:rPr>
        <w:t>,</w:t>
      </w:r>
      <w:r w:rsidRPr="00466CE7">
        <w:rPr>
          <w:rFonts w:eastAsia="Times New Roman"/>
          <w:lang w:val="fr-FR"/>
        </w:rPr>
        <w:t xml:space="preserve"> de contraceptifs pour les groupes de femmes socialement vulnérables.</w:t>
      </w:r>
    </w:p>
    <w:p w14:paraId="03DAFE13" w14:textId="77777777" w:rsidR="009C6834" w:rsidRPr="00466CE7" w:rsidRDefault="009C6834" w:rsidP="009C6834">
      <w:pPr>
        <w:pStyle w:val="SingleTxtG"/>
        <w:rPr>
          <w:rFonts w:eastAsia="Times New Roman"/>
          <w:lang w:val="fr-FR"/>
        </w:rPr>
      </w:pPr>
      <w:r w:rsidRPr="00466CE7">
        <w:rPr>
          <w:rFonts w:eastAsia="Times New Roman"/>
          <w:lang w:val="fr-FR"/>
        </w:rPr>
        <w:t>419.</w:t>
      </w:r>
      <w:r w:rsidRPr="00466CE7">
        <w:rPr>
          <w:rFonts w:eastAsia="Times New Roman"/>
          <w:lang w:val="fr-FR"/>
        </w:rPr>
        <w:tab/>
        <w:t>En</w:t>
      </w:r>
      <w:r>
        <w:rPr>
          <w:rFonts w:eastAsia="Times New Roman"/>
          <w:lang w:val="fr-FR"/>
        </w:rPr>
        <w:t xml:space="preserve"> outre, par l’intermédiaire du Centre national</w:t>
      </w:r>
      <w:r w:rsidRPr="00466CE7">
        <w:rPr>
          <w:rFonts w:eastAsia="Times New Roman"/>
          <w:lang w:val="fr-FR"/>
        </w:rPr>
        <w:t xml:space="preserve"> pour la promotion de la santé, l</w:t>
      </w:r>
      <w:r>
        <w:rPr>
          <w:rFonts w:eastAsia="Times New Roman"/>
          <w:lang w:val="fr-FR"/>
        </w:rPr>
        <w:t xml:space="preserve">es liens </w:t>
      </w:r>
      <w:r w:rsidRPr="00466CE7">
        <w:rPr>
          <w:rFonts w:eastAsia="Times New Roman"/>
          <w:lang w:val="fr-FR"/>
        </w:rPr>
        <w:t xml:space="preserve">avec les </w:t>
      </w:r>
      <w:r>
        <w:rPr>
          <w:rFonts w:eastAsia="Times New Roman"/>
          <w:lang w:val="fr-FR"/>
        </w:rPr>
        <w:t xml:space="preserve">collectivités </w:t>
      </w:r>
      <w:r w:rsidRPr="00466CE7">
        <w:rPr>
          <w:rFonts w:eastAsia="Times New Roman"/>
          <w:lang w:val="fr-FR"/>
        </w:rPr>
        <w:t xml:space="preserve">locales et les acteurs religieux sur </w:t>
      </w:r>
      <w:r>
        <w:rPr>
          <w:rFonts w:eastAsia="Times New Roman"/>
          <w:lang w:val="fr-FR"/>
        </w:rPr>
        <w:t xml:space="preserve">des questions comme </w:t>
      </w:r>
      <w:r w:rsidRPr="00466CE7">
        <w:rPr>
          <w:rFonts w:eastAsia="Times New Roman"/>
          <w:lang w:val="fr-FR"/>
        </w:rPr>
        <w:t xml:space="preserve">la vaccination des enfants, </w:t>
      </w:r>
      <w:r>
        <w:rPr>
          <w:rFonts w:eastAsia="Times New Roman"/>
          <w:lang w:val="fr-FR"/>
        </w:rPr>
        <w:t xml:space="preserve">la planification </w:t>
      </w:r>
      <w:r w:rsidRPr="00466CE7">
        <w:rPr>
          <w:rFonts w:eastAsia="Times New Roman"/>
          <w:lang w:val="fr-FR"/>
        </w:rPr>
        <w:t>familial</w:t>
      </w:r>
      <w:r>
        <w:rPr>
          <w:rFonts w:eastAsia="Times New Roman"/>
          <w:lang w:val="fr-FR"/>
        </w:rPr>
        <w:t>e</w:t>
      </w:r>
      <w:r w:rsidRPr="00466CE7">
        <w:rPr>
          <w:rFonts w:eastAsia="Times New Roman"/>
          <w:lang w:val="fr-FR"/>
        </w:rPr>
        <w:t xml:space="preserve">, la maternité sans risque, la prévention des mariages précoces, des </w:t>
      </w:r>
      <w:r>
        <w:rPr>
          <w:rFonts w:eastAsia="Times New Roman"/>
          <w:lang w:val="fr-FR"/>
        </w:rPr>
        <w:t xml:space="preserve">mauvais traitements </w:t>
      </w:r>
      <w:r w:rsidRPr="00466CE7">
        <w:rPr>
          <w:rFonts w:eastAsia="Times New Roman"/>
          <w:lang w:val="fr-FR"/>
        </w:rPr>
        <w:t>et de la violence</w:t>
      </w:r>
      <w:r>
        <w:rPr>
          <w:rFonts w:eastAsia="Times New Roman"/>
          <w:lang w:val="fr-FR"/>
        </w:rPr>
        <w:t>,</w:t>
      </w:r>
      <w:r w:rsidRPr="00466CE7">
        <w:rPr>
          <w:rFonts w:eastAsia="Times New Roman"/>
          <w:lang w:val="fr-FR"/>
        </w:rPr>
        <w:t xml:space="preserve"> continue</w:t>
      </w:r>
      <w:r>
        <w:rPr>
          <w:rFonts w:eastAsia="Times New Roman"/>
          <w:lang w:val="fr-FR"/>
        </w:rPr>
        <w:t>nt d’être renforcés</w:t>
      </w:r>
      <w:r w:rsidRPr="00466CE7">
        <w:rPr>
          <w:rFonts w:eastAsia="Times New Roman"/>
          <w:lang w:val="fr-FR"/>
        </w:rPr>
        <w:t xml:space="preserve">, </w:t>
      </w:r>
      <w:r>
        <w:rPr>
          <w:rFonts w:eastAsia="Times New Roman"/>
          <w:lang w:val="fr-FR"/>
        </w:rPr>
        <w:t xml:space="preserve">en collaboration </w:t>
      </w:r>
      <w:r w:rsidRPr="00466CE7">
        <w:rPr>
          <w:rFonts w:eastAsia="Times New Roman"/>
          <w:lang w:val="fr-FR"/>
        </w:rPr>
        <w:t xml:space="preserve">avec </w:t>
      </w:r>
      <w:r>
        <w:rPr>
          <w:rFonts w:eastAsia="Times New Roman"/>
          <w:lang w:val="fr-FR"/>
        </w:rPr>
        <w:t xml:space="preserve">les </w:t>
      </w:r>
      <w:r w:rsidRPr="00466CE7">
        <w:rPr>
          <w:rFonts w:eastAsia="Times New Roman"/>
          <w:lang w:val="fr-FR"/>
        </w:rPr>
        <w:t xml:space="preserve">partenaires </w:t>
      </w:r>
      <w:r>
        <w:rPr>
          <w:rFonts w:eastAsia="Times New Roman"/>
          <w:lang w:val="fr-FR"/>
        </w:rPr>
        <w:t xml:space="preserve">de </w:t>
      </w:r>
      <w:r w:rsidRPr="00466CE7">
        <w:rPr>
          <w:rFonts w:eastAsia="Times New Roman"/>
          <w:lang w:val="fr-FR"/>
        </w:rPr>
        <w:t xml:space="preserve">développement, </w:t>
      </w:r>
      <w:r>
        <w:rPr>
          <w:rFonts w:eastAsia="Times New Roman"/>
          <w:lang w:val="fr-FR"/>
        </w:rPr>
        <w:t xml:space="preserve">les </w:t>
      </w:r>
      <w:r w:rsidRPr="00466CE7">
        <w:rPr>
          <w:rFonts w:eastAsia="Times New Roman"/>
          <w:lang w:val="fr-FR"/>
        </w:rPr>
        <w:t xml:space="preserve">ONG et </w:t>
      </w:r>
      <w:r>
        <w:rPr>
          <w:rFonts w:eastAsia="Times New Roman"/>
          <w:lang w:val="fr-FR"/>
        </w:rPr>
        <w:t>la société civile</w:t>
      </w:r>
      <w:r w:rsidRPr="00466CE7">
        <w:rPr>
          <w:rFonts w:eastAsia="Times New Roman"/>
          <w:lang w:val="fr-FR"/>
        </w:rPr>
        <w:t>.</w:t>
      </w:r>
    </w:p>
    <w:p w14:paraId="0351E2CB" w14:textId="77777777" w:rsidR="009C6834" w:rsidRPr="00466CE7" w:rsidRDefault="009C6834" w:rsidP="009C6834">
      <w:pPr>
        <w:pStyle w:val="SingleTxtG"/>
        <w:rPr>
          <w:rFonts w:eastAsia="Times New Roman"/>
          <w:lang w:val="fr-FR"/>
        </w:rPr>
      </w:pPr>
      <w:r w:rsidRPr="00466CE7">
        <w:rPr>
          <w:rFonts w:eastAsia="Times New Roman"/>
          <w:lang w:val="fr-FR"/>
        </w:rPr>
        <w:t>420.</w:t>
      </w:r>
      <w:r w:rsidRPr="00466CE7">
        <w:rPr>
          <w:rFonts w:eastAsia="Times New Roman"/>
          <w:lang w:val="fr-FR"/>
        </w:rPr>
        <w:tab/>
        <w:t>Un programme d</w:t>
      </w:r>
      <w:r>
        <w:rPr>
          <w:rFonts w:eastAsia="Times New Roman"/>
          <w:lang w:val="fr-FR"/>
        </w:rPr>
        <w:t>’</w:t>
      </w:r>
      <w:r w:rsidRPr="00466CE7">
        <w:rPr>
          <w:rFonts w:eastAsia="Times New Roman"/>
          <w:lang w:val="fr-FR"/>
        </w:rPr>
        <w:t>orientation (</w:t>
      </w:r>
      <w:r>
        <w:rPr>
          <w:rFonts w:eastAsia="Times New Roman"/>
          <w:lang w:val="fr-FR"/>
        </w:rPr>
        <w:t xml:space="preserve">avec un système de </w:t>
      </w:r>
      <w:r w:rsidRPr="00466CE7">
        <w:rPr>
          <w:rFonts w:eastAsia="Times New Roman"/>
          <w:lang w:val="fr-FR"/>
        </w:rPr>
        <w:t xml:space="preserve">bons) est en </w:t>
      </w:r>
      <w:r>
        <w:rPr>
          <w:rFonts w:eastAsia="Times New Roman"/>
          <w:lang w:val="fr-FR"/>
        </w:rPr>
        <w:t xml:space="preserve">train d’être mis en place </w:t>
      </w:r>
      <w:r w:rsidRPr="00466CE7">
        <w:rPr>
          <w:rFonts w:eastAsia="Times New Roman"/>
          <w:lang w:val="fr-FR"/>
        </w:rPr>
        <w:t>pour faciliter l</w:t>
      </w:r>
      <w:r>
        <w:rPr>
          <w:rFonts w:eastAsia="Times New Roman"/>
          <w:lang w:val="fr-FR"/>
        </w:rPr>
        <w:t>’</w:t>
      </w:r>
      <w:r w:rsidRPr="00466CE7">
        <w:rPr>
          <w:rFonts w:eastAsia="Times New Roman"/>
          <w:lang w:val="fr-FR"/>
        </w:rPr>
        <w:t xml:space="preserve">accès </w:t>
      </w:r>
      <w:r>
        <w:rPr>
          <w:rFonts w:eastAsia="Times New Roman"/>
          <w:lang w:val="fr-FR"/>
        </w:rPr>
        <w:t xml:space="preserve">des </w:t>
      </w:r>
      <w:r w:rsidRPr="00466CE7">
        <w:rPr>
          <w:rFonts w:eastAsia="Times New Roman"/>
          <w:lang w:val="fr-FR"/>
        </w:rPr>
        <w:t xml:space="preserve">femmes </w:t>
      </w:r>
      <w:r>
        <w:rPr>
          <w:rFonts w:eastAsia="Times New Roman"/>
          <w:lang w:val="fr-FR"/>
        </w:rPr>
        <w:t xml:space="preserve">appartenant à </w:t>
      </w:r>
      <w:r w:rsidRPr="00466CE7">
        <w:rPr>
          <w:rFonts w:eastAsia="Times New Roman"/>
          <w:lang w:val="fr-FR"/>
        </w:rPr>
        <w:t xml:space="preserve">des groupes vulnérables aux services de planification familiale dans les centres de district et les villes. </w:t>
      </w:r>
      <w:r>
        <w:rPr>
          <w:rFonts w:eastAsia="Times New Roman"/>
          <w:lang w:val="fr-FR"/>
        </w:rPr>
        <w:t xml:space="preserve">Il s’agit de mieux informer la population et de proposer aux femmes, une fois qu’elles ont pris </w:t>
      </w:r>
      <w:r w:rsidRPr="00466CE7">
        <w:rPr>
          <w:rFonts w:eastAsia="Times New Roman"/>
          <w:lang w:val="fr-FR"/>
        </w:rPr>
        <w:t xml:space="preserve">une décision </w:t>
      </w:r>
      <w:r>
        <w:rPr>
          <w:rFonts w:eastAsia="Times New Roman"/>
          <w:lang w:val="fr-FR"/>
        </w:rPr>
        <w:t>en connaissance de cause,</w:t>
      </w:r>
      <w:r w:rsidRPr="00466CE7">
        <w:rPr>
          <w:rFonts w:eastAsia="Times New Roman"/>
          <w:lang w:val="fr-FR"/>
        </w:rPr>
        <w:t xml:space="preserve"> </w:t>
      </w:r>
      <w:r>
        <w:rPr>
          <w:rFonts w:eastAsia="Times New Roman"/>
          <w:lang w:val="fr-FR"/>
        </w:rPr>
        <w:t xml:space="preserve">des </w:t>
      </w:r>
      <w:r w:rsidRPr="00466CE7">
        <w:rPr>
          <w:rFonts w:eastAsia="Times New Roman"/>
          <w:lang w:val="fr-FR"/>
        </w:rPr>
        <w:t>service</w:t>
      </w:r>
      <w:r>
        <w:rPr>
          <w:rFonts w:eastAsia="Times New Roman"/>
          <w:lang w:val="fr-FR"/>
        </w:rPr>
        <w:t>s</w:t>
      </w:r>
      <w:r w:rsidRPr="00466CE7">
        <w:rPr>
          <w:rFonts w:eastAsia="Times New Roman"/>
          <w:lang w:val="fr-FR"/>
        </w:rPr>
        <w:t xml:space="preserve"> sûr</w:t>
      </w:r>
      <w:r>
        <w:rPr>
          <w:rFonts w:eastAsia="Times New Roman"/>
          <w:lang w:val="fr-FR"/>
        </w:rPr>
        <w:t>s</w:t>
      </w:r>
      <w:r w:rsidRPr="00466CE7">
        <w:rPr>
          <w:rFonts w:eastAsia="Times New Roman"/>
          <w:lang w:val="fr-FR"/>
        </w:rPr>
        <w:t>.</w:t>
      </w:r>
    </w:p>
    <w:p w14:paraId="5CE99BD3" w14:textId="77777777" w:rsidR="00DE0C81" w:rsidRDefault="009C6834" w:rsidP="00E1792A">
      <w:pPr>
        <w:pStyle w:val="Titre1"/>
        <w:rPr>
          <w:lang w:val="fr-FR"/>
        </w:rPr>
      </w:pPr>
      <w:r>
        <w:rPr>
          <w:lang w:val="fr-FR"/>
        </w:rPr>
        <w:lastRenderedPageBreak/>
        <w:t>Tableau 2</w:t>
      </w:r>
    </w:p>
    <w:p w14:paraId="77762896" w14:textId="09BE0449" w:rsidR="009C6834" w:rsidRPr="00DE0C81" w:rsidRDefault="009C6834" w:rsidP="00E1792A">
      <w:pPr>
        <w:pStyle w:val="Titre1"/>
        <w:spacing w:after="120"/>
        <w:ind w:right="1134"/>
        <w:rPr>
          <w:b/>
          <w:bCs/>
          <w:lang w:val="fr-FR"/>
        </w:rPr>
      </w:pPr>
      <w:r w:rsidRPr="00DE0C81">
        <w:rPr>
          <w:b/>
          <w:bCs/>
          <w:lang w:val="fr-FR"/>
        </w:rPr>
        <w:t xml:space="preserve">Mortalité maternelle (nombre de femmes décédées des suites de complications </w:t>
      </w:r>
      <w:r w:rsidR="00DE0C81">
        <w:rPr>
          <w:b/>
          <w:bCs/>
          <w:lang w:val="fr-FR"/>
        </w:rPr>
        <w:br/>
      </w:r>
      <w:r w:rsidRPr="00DE0C81">
        <w:rPr>
          <w:b/>
          <w:bCs/>
          <w:lang w:val="fr-FR"/>
        </w:rPr>
        <w:t>durant la grossesse, l’accouchement et le post-partum)</w:t>
      </w:r>
    </w:p>
    <w:tbl>
      <w:tblPr>
        <w:tblW w:w="7371" w:type="dxa"/>
        <w:tblInd w:w="1134" w:type="dxa"/>
        <w:tblLayout w:type="fixed"/>
        <w:tblCellMar>
          <w:left w:w="0" w:type="dxa"/>
          <w:right w:w="0" w:type="dxa"/>
        </w:tblCellMar>
        <w:tblLook w:val="0400" w:firstRow="0" w:lastRow="0" w:firstColumn="0" w:lastColumn="0" w:noHBand="0" w:noVBand="1"/>
      </w:tblPr>
      <w:tblGrid>
        <w:gridCol w:w="1291"/>
        <w:gridCol w:w="966"/>
        <w:gridCol w:w="967"/>
        <w:gridCol w:w="967"/>
        <w:gridCol w:w="1060"/>
        <w:gridCol w:w="1060"/>
        <w:gridCol w:w="1060"/>
      </w:tblGrid>
      <w:tr w:rsidR="00C201F9" w:rsidRPr="00DE0C81" w14:paraId="54B543FF" w14:textId="77777777" w:rsidTr="00C201F9">
        <w:trPr>
          <w:tblHeader/>
        </w:trPr>
        <w:tc>
          <w:tcPr>
            <w:tcW w:w="1276" w:type="dxa"/>
            <w:tcBorders>
              <w:top w:val="single" w:sz="4" w:space="0" w:color="auto"/>
              <w:bottom w:val="single" w:sz="4" w:space="0" w:color="auto"/>
            </w:tcBorders>
            <w:shd w:val="clear" w:color="auto" w:fill="auto"/>
            <w:tcMar>
              <w:left w:w="28" w:type="dxa"/>
              <w:right w:w="28" w:type="dxa"/>
            </w:tcMar>
            <w:vAlign w:val="bottom"/>
          </w:tcPr>
          <w:p w14:paraId="0AFFEE18" w14:textId="77777777" w:rsidR="00C201F9" w:rsidRPr="00C201F9" w:rsidRDefault="00C201F9" w:rsidP="00E1792A">
            <w:pPr>
              <w:keepNext/>
              <w:suppressAutoHyphens w:val="0"/>
              <w:spacing w:before="80" w:after="80" w:line="200" w:lineRule="exact"/>
              <w:rPr>
                <w:i/>
                <w:sz w:val="16"/>
                <w:szCs w:val="16"/>
                <w:lang w:val="fr-FR"/>
              </w:rPr>
            </w:pPr>
          </w:p>
        </w:tc>
        <w:tc>
          <w:tcPr>
            <w:tcW w:w="2867" w:type="dxa"/>
            <w:gridSpan w:val="3"/>
            <w:tcBorders>
              <w:top w:val="single" w:sz="4" w:space="0" w:color="auto"/>
              <w:bottom w:val="single" w:sz="4" w:space="0" w:color="auto"/>
            </w:tcBorders>
            <w:shd w:val="clear" w:color="auto" w:fill="auto"/>
            <w:tcMar>
              <w:left w:w="28" w:type="dxa"/>
              <w:right w:w="28" w:type="dxa"/>
            </w:tcMar>
            <w:vAlign w:val="bottom"/>
          </w:tcPr>
          <w:p w14:paraId="175DD2FB" w14:textId="77777777" w:rsidR="00C201F9" w:rsidRPr="00C201F9" w:rsidRDefault="00C201F9" w:rsidP="00E1792A">
            <w:pPr>
              <w:keepNext/>
              <w:suppressAutoHyphens w:val="0"/>
              <w:spacing w:before="80" w:after="80" w:line="200" w:lineRule="exact"/>
              <w:jc w:val="center"/>
              <w:rPr>
                <w:i/>
                <w:sz w:val="16"/>
                <w:szCs w:val="16"/>
                <w:lang w:val="fr-FR"/>
              </w:rPr>
            </w:pPr>
            <w:r w:rsidRPr="00C201F9">
              <w:rPr>
                <w:i/>
                <w:sz w:val="16"/>
                <w:szCs w:val="16"/>
                <w:lang w:val="fr-FR"/>
              </w:rPr>
              <w:t>Nombre de décès</w:t>
            </w:r>
          </w:p>
        </w:tc>
        <w:tc>
          <w:tcPr>
            <w:tcW w:w="3141" w:type="dxa"/>
            <w:gridSpan w:val="3"/>
            <w:tcBorders>
              <w:top w:val="single" w:sz="4" w:space="0" w:color="auto"/>
              <w:left w:val="single" w:sz="24" w:space="0" w:color="FFFFFF" w:themeColor="background1"/>
              <w:bottom w:val="single" w:sz="4" w:space="0" w:color="auto"/>
            </w:tcBorders>
            <w:shd w:val="clear" w:color="auto" w:fill="auto"/>
            <w:tcMar>
              <w:left w:w="28" w:type="dxa"/>
              <w:right w:w="28" w:type="dxa"/>
            </w:tcMar>
            <w:vAlign w:val="bottom"/>
          </w:tcPr>
          <w:p w14:paraId="41BB97A4" w14:textId="77777777" w:rsidR="00C201F9" w:rsidRPr="00C201F9" w:rsidRDefault="00C201F9" w:rsidP="00E1792A">
            <w:pPr>
              <w:keepNext/>
              <w:suppressAutoHyphens w:val="0"/>
              <w:spacing w:before="80" w:after="80" w:line="200" w:lineRule="exact"/>
              <w:jc w:val="center"/>
              <w:rPr>
                <w:i/>
                <w:sz w:val="16"/>
                <w:szCs w:val="16"/>
                <w:lang w:val="fr-FR"/>
              </w:rPr>
            </w:pPr>
            <w:r w:rsidRPr="00C201F9">
              <w:rPr>
                <w:i/>
                <w:sz w:val="16"/>
                <w:szCs w:val="16"/>
                <w:lang w:val="fr-FR"/>
              </w:rPr>
              <w:t>Pour 100 000 naissances vivantes</w:t>
            </w:r>
          </w:p>
        </w:tc>
      </w:tr>
      <w:tr w:rsidR="00C201F9" w:rsidRPr="00C201F9" w14:paraId="2D1F6914" w14:textId="77777777" w:rsidTr="00C201F9">
        <w:tc>
          <w:tcPr>
            <w:tcW w:w="1276" w:type="dxa"/>
            <w:tcBorders>
              <w:top w:val="single" w:sz="4" w:space="0" w:color="auto"/>
              <w:bottom w:val="single" w:sz="12" w:space="0" w:color="auto"/>
            </w:tcBorders>
            <w:shd w:val="clear" w:color="auto" w:fill="auto"/>
            <w:tcMar>
              <w:left w:w="28" w:type="dxa"/>
              <w:right w:w="28" w:type="dxa"/>
            </w:tcMar>
          </w:tcPr>
          <w:p w14:paraId="48FE6A2C" w14:textId="77777777" w:rsidR="00C201F9" w:rsidRPr="00C201F9" w:rsidRDefault="00C201F9" w:rsidP="00E1792A">
            <w:pPr>
              <w:keepNext/>
              <w:suppressAutoHyphens w:val="0"/>
              <w:spacing w:before="80" w:after="80" w:line="200" w:lineRule="exact"/>
              <w:rPr>
                <w:i/>
                <w:iCs/>
                <w:sz w:val="16"/>
                <w:szCs w:val="16"/>
                <w:lang w:val="fr-FR"/>
              </w:rPr>
            </w:pPr>
            <w:r w:rsidRPr="00C201F9">
              <w:rPr>
                <w:i/>
                <w:iCs/>
                <w:sz w:val="16"/>
                <w:szCs w:val="16"/>
                <w:lang w:val="fr-FR"/>
              </w:rPr>
              <w:t>Année</w:t>
            </w:r>
          </w:p>
        </w:tc>
        <w:tc>
          <w:tcPr>
            <w:tcW w:w="955" w:type="dxa"/>
            <w:tcBorders>
              <w:top w:val="single" w:sz="4" w:space="0" w:color="auto"/>
              <w:bottom w:val="single" w:sz="12" w:space="0" w:color="auto"/>
            </w:tcBorders>
            <w:shd w:val="clear" w:color="auto" w:fill="auto"/>
            <w:tcMar>
              <w:left w:w="28" w:type="dxa"/>
              <w:right w:w="28" w:type="dxa"/>
            </w:tcMar>
            <w:vAlign w:val="bottom"/>
          </w:tcPr>
          <w:p w14:paraId="633C0056" w14:textId="77777777" w:rsidR="00C201F9" w:rsidRPr="00C201F9" w:rsidRDefault="00C201F9" w:rsidP="00E1792A">
            <w:pPr>
              <w:keepNext/>
              <w:suppressAutoHyphens w:val="0"/>
              <w:spacing w:before="80" w:after="80" w:line="200" w:lineRule="exact"/>
              <w:jc w:val="right"/>
              <w:rPr>
                <w:i/>
                <w:iCs/>
                <w:sz w:val="16"/>
                <w:szCs w:val="16"/>
                <w:lang w:val="fr-FR"/>
              </w:rPr>
            </w:pPr>
            <w:r w:rsidRPr="00C201F9">
              <w:rPr>
                <w:i/>
                <w:iCs/>
                <w:sz w:val="16"/>
                <w:szCs w:val="16"/>
                <w:lang w:val="fr-FR"/>
              </w:rPr>
              <w:t>Total</w:t>
            </w:r>
          </w:p>
        </w:tc>
        <w:tc>
          <w:tcPr>
            <w:tcW w:w="956" w:type="dxa"/>
            <w:tcBorders>
              <w:top w:val="single" w:sz="4" w:space="0" w:color="auto"/>
              <w:bottom w:val="single" w:sz="12" w:space="0" w:color="auto"/>
            </w:tcBorders>
            <w:shd w:val="clear" w:color="auto" w:fill="auto"/>
            <w:tcMar>
              <w:left w:w="28" w:type="dxa"/>
              <w:right w:w="28" w:type="dxa"/>
            </w:tcMar>
            <w:vAlign w:val="bottom"/>
          </w:tcPr>
          <w:p w14:paraId="0FE5C1BB" w14:textId="77777777" w:rsidR="00C201F9" w:rsidRPr="00C201F9" w:rsidRDefault="00C201F9" w:rsidP="00E1792A">
            <w:pPr>
              <w:keepNext/>
              <w:suppressAutoHyphens w:val="0"/>
              <w:spacing w:before="80" w:after="80" w:line="200" w:lineRule="exact"/>
              <w:jc w:val="right"/>
              <w:rPr>
                <w:i/>
                <w:iCs/>
                <w:sz w:val="16"/>
                <w:szCs w:val="16"/>
                <w:lang w:val="fr-FR"/>
              </w:rPr>
            </w:pPr>
            <w:r w:rsidRPr="00C201F9">
              <w:rPr>
                <w:i/>
                <w:iCs/>
                <w:sz w:val="16"/>
                <w:szCs w:val="16"/>
                <w:lang w:val="fr-FR"/>
              </w:rPr>
              <w:t>Ville</w:t>
            </w:r>
          </w:p>
        </w:tc>
        <w:tc>
          <w:tcPr>
            <w:tcW w:w="956" w:type="dxa"/>
            <w:tcBorders>
              <w:top w:val="single" w:sz="4" w:space="0" w:color="auto"/>
              <w:bottom w:val="single" w:sz="12" w:space="0" w:color="auto"/>
            </w:tcBorders>
            <w:shd w:val="clear" w:color="auto" w:fill="auto"/>
            <w:tcMar>
              <w:left w:w="28" w:type="dxa"/>
              <w:right w:w="28" w:type="dxa"/>
            </w:tcMar>
            <w:vAlign w:val="bottom"/>
          </w:tcPr>
          <w:p w14:paraId="7C45D847" w14:textId="77777777" w:rsidR="00C201F9" w:rsidRPr="00C201F9" w:rsidRDefault="00C201F9" w:rsidP="00E1792A">
            <w:pPr>
              <w:keepNext/>
              <w:suppressAutoHyphens w:val="0"/>
              <w:spacing w:before="80" w:after="80" w:line="200" w:lineRule="exact"/>
              <w:jc w:val="right"/>
              <w:rPr>
                <w:i/>
                <w:iCs/>
                <w:sz w:val="16"/>
                <w:szCs w:val="16"/>
                <w:lang w:val="fr-FR"/>
              </w:rPr>
            </w:pPr>
            <w:r w:rsidRPr="00C201F9">
              <w:rPr>
                <w:i/>
                <w:iCs/>
                <w:sz w:val="16"/>
                <w:szCs w:val="16"/>
                <w:lang w:val="fr-FR"/>
              </w:rPr>
              <w:t>Campagne</w:t>
            </w:r>
          </w:p>
        </w:tc>
        <w:tc>
          <w:tcPr>
            <w:tcW w:w="1047" w:type="dxa"/>
            <w:tcBorders>
              <w:top w:val="single" w:sz="4" w:space="0" w:color="auto"/>
              <w:left w:val="single" w:sz="24" w:space="0" w:color="FFFFFF" w:themeColor="background1"/>
              <w:bottom w:val="single" w:sz="12" w:space="0" w:color="auto"/>
            </w:tcBorders>
            <w:shd w:val="clear" w:color="auto" w:fill="auto"/>
            <w:tcMar>
              <w:left w:w="28" w:type="dxa"/>
              <w:right w:w="28" w:type="dxa"/>
            </w:tcMar>
            <w:vAlign w:val="bottom"/>
          </w:tcPr>
          <w:p w14:paraId="422CC1A8" w14:textId="77777777" w:rsidR="00C201F9" w:rsidRPr="00C201F9" w:rsidRDefault="00C201F9" w:rsidP="00E1792A">
            <w:pPr>
              <w:keepNext/>
              <w:suppressAutoHyphens w:val="0"/>
              <w:spacing w:before="80" w:after="80" w:line="200" w:lineRule="exact"/>
              <w:jc w:val="right"/>
              <w:rPr>
                <w:i/>
                <w:iCs/>
                <w:sz w:val="16"/>
                <w:szCs w:val="16"/>
                <w:lang w:val="fr-FR"/>
              </w:rPr>
            </w:pPr>
            <w:r w:rsidRPr="00C201F9">
              <w:rPr>
                <w:i/>
                <w:iCs/>
                <w:sz w:val="16"/>
                <w:szCs w:val="16"/>
                <w:lang w:val="fr-FR"/>
              </w:rPr>
              <w:t>Total</w:t>
            </w:r>
          </w:p>
        </w:tc>
        <w:tc>
          <w:tcPr>
            <w:tcW w:w="1047" w:type="dxa"/>
            <w:tcBorders>
              <w:top w:val="single" w:sz="4" w:space="0" w:color="auto"/>
              <w:bottom w:val="single" w:sz="12" w:space="0" w:color="auto"/>
            </w:tcBorders>
            <w:shd w:val="clear" w:color="auto" w:fill="auto"/>
            <w:tcMar>
              <w:left w:w="28" w:type="dxa"/>
              <w:right w:w="28" w:type="dxa"/>
            </w:tcMar>
            <w:vAlign w:val="bottom"/>
          </w:tcPr>
          <w:p w14:paraId="4A0E2897" w14:textId="77777777" w:rsidR="00C201F9" w:rsidRPr="00C201F9" w:rsidRDefault="00C201F9" w:rsidP="00E1792A">
            <w:pPr>
              <w:keepNext/>
              <w:suppressAutoHyphens w:val="0"/>
              <w:spacing w:before="80" w:after="80" w:line="200" w:lineRule="exact"/>
              <w:jc w:val="right"/>
              <w:rPr>
                <w:i/>
                <w:iCs/>
                <w:sz w:val="16"/>
                <w:szCs w:val="16"/>
                <w:lang w:val="fr-FR"/>
              </w:rPr>
            </w:pPr>
            <w:r w:rsidRPr="00C201F9">
              <w:rPr>
                <w:i/>
                <w:iCs/>
                <w:sz w:val="16"/>
                <w:szCs w:val="16"/>
                <w:lang w:val="fr-FR"/>
              </w:rPr>
              <w:t>Ville</w:t>
            </w:r>
          </w:p>
        </w:tc>
        <w:tc>
          <w:tcPr>
            <w:tcW w:w="1047" w:type="dxa"/>
            <w:tcBorders>
              <w:top w:val="single" w:sz="4" w:space="0" w:color="auto"/>
              <w:bottom w:val="single" w:sz="12" w:space="0" w:color="auto"/>
            </w:tcBorders>
            <w:shd w:val="clear" w:color="auto" w:fill="auto"/>
            <w:tcMar>
              <w:left w:w="28" w:type="dxa"/>
              <w:right w:w="28" w:type="dxa"/>
            </w:tcMar>
            <w:vAlign w:val="bottom"/>
          </w:tcPr>
          <w:p w14:paraId="1C380B8A" w14:textId="77777777" w:rsidR="00C201F9" w:rsidRPr="00C201F9" w:rsidRDefault="00C201F9" w:rsidP="00E1792A">
            <w:pPr>
              <w:keepNext/>
              <w:suppressAutoHyphens w:val="0"/>
              <w:spacing w:before="80" w:after="80" w:line="200" w:lineRule="exact"/>
              <w:jc w:val="right"/>
              <w:rPr>
                <w:i/>
                <w:iCs/>
                <w:sz w:val="16"/>
                <w:szCs w:val="16"/>
                <w:lang w:val="fr-FR"/>
              </w:rPr>
            </w:pPr>
            <w:r w:rsidRPr="00C201F9">
              <w:rPr>
                <w:i/>
                <w:iCs/>
                <w:sz w:val="16"/>
                <w:szCs w:val="16"/>
                <w:lang w:val="fr-FR"/>
              </w:rPr>
              <w:t>Campagne</w:t>
            </w:r>
          </w:p>
        </w:tc>
      </w:tr>
      <w:tr w:rsidR="00C201F9" w:rsidRPr="00DE0C81" w14:paraId="03866293" w14:textId="77777777" w:rsidTr="00C201F9">
        <w:tc>
          <w:tcPr>
            <w:tcW w:w="1276" w:type="dxa"/>
            <w:tcBorders>
              <w:top w:val="single" w:sz="12" w:space="0" w:color="auto"/>
            </w:tcBorders>
            <w:shd w:val="clear" w:color="auto" w:fill="auto"/>
            <w:tcMar>
              <w:left w:w="28" w:type="dxa"/>
              <w:right w:w="28" w:type="dxa"/>
            </w:tcMar>
          </w:tcPr>
          <w:p w14:paraId="290EE3BB" w14:textId="77777777" w:rsidR="00C201F9" w:rsidRPr="00DE0C81" w:rsidRDefault="00C201F9" w:rsidP="00E1792A">
            <w:pPr>
              <w:keepNext/>
              <w:suppressAutoHyphens w:val="0"/>
              <w:spacing w:before="40" w:after="40" w:line="220" w:lineRule="exact"/>
              <w:rPr>
                <w:sz w:val="18"/>
                <w:lang w:val="fr-FR"/>
              </w:rPr>
            </w:pPr>
            <w:r w:rsidRPr="00DE0C81">
              <w:rPr>
                <w:sz w:val="18"/>
                <w:lang w:val="fr-FR"/>
              </w:rPr>
              <w:t>2013</w:t>
            </w:r>
          </w:p>
        </w:tc>
        <w:tc>
          <w:tcPr>
            <w:tcW w:w="955" w:type="dxa"/>
            <w:tcBorders>
              <w:top w:val="single" w:sz="12" w:space="0" w:color="auto"/>
            </w:tcBorders>
            <w:shd w:val="clear" w:color="auto" w:fill="auto"/>
            <w:tcMar>
              <w:left w:w="28" w:type="dxa"/>
              <w:right w:w="28" w:type="dxa"/>
            </w:tcMar>
            <w:vAlign w:val="bottom"/>
          </w:tcPr>
          <w:p w14:paraId="3B435101"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56</w:t>
            </w:r>
          </w:p>
        </w:tc>
        <w:tc>
          <w:tcPr>
            <w:tcW w:w="956" w:type="dxa"/>
            <w:tcBorders>
              <w:top w:val="single" w:sz="12" w:space="0" w:color="auto"/>
            </w:tcBorders>
            <w:shd w:val="clear" w:color="auto" w:fill="auto"/>
            <w:tcMar>
              <w:left w:w="28" w:type="dxa"/>
              <w:right w:w="28" w:type="dxa"/>
            </w:tcMar>
            <w:vAlign w:val="bottom"/>
          </w:tcPr>
          <w:p w14:paraId="20876590"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18</w:t>
            </w:r>
          </w:p>
        </w:tc>
        <w:tc>
          <w:tcPr>
            <w:tcW w:w="956" w:type="dxa"/>
            <w:tcBorders>
              <w:top w:val="single" w:sz="12" w:space="0" w:color="auto"/>
            </w:tcBorders>
            <w:shd w:val="clear" w:color="auto" w:fill="auto"/>
            <w:tcMar>
              <w:left w:w="28" w:type="dxa"/>
              <w:right w:w="28" w:type="dxa"/>
            </w:tcMar>
            <w:vAlign w:val="bottom"/>
          </w:tcPr>
          <w:p w14:paraId="055002C2"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38</w:t>
            </w:r>
          </w:p>
        </w:tc>
        <w:tc>
          <w:tcPr>
            <w:tcW w:w="1047" w:type="dxa"/>
            <w:tcBorders>
              <w:top w:val="single" w:sz="12" w:space="0" w:color="auto"/>
            </w:tcBorders>
            <w:shd w:val="clear" w:color="auto" w:fill="auto"/>
            <w:tcMar>
              <w:left w:w="28" w:type="dxa"/>
              <w:right w:w="28" w:type="dxa"/>
            </w:tcMar>
            <w:vAlign w:val="bottom"/>
          </w:tcPr>
          <w:p w14:paraId="679708EE"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36,0</w:t>
            </w:r>
          </w:p>
        </w:tc>
        <w:tc>
          <w:tcPr>
            <w:tcW w:w="1047" w:type="dxa"/>
            <w:tcBorders>
              <w:top w:val="single" w:sz="12" w:space="0" w:color="auto"/>
            </w:tcBorders>
            <w:shd w:val="clear" w:color="auto" w:fill="auto"/>
            <w:tcMar>
              <w:left w:w="28" w:type="dxa"/>
              <w:right w:w="28" w:type="dxa"/>
            </w:tcMar>
            <w:vAlign w:val="bottom"/>
          </w:tcPr>
          <w:p w14:paraId="283E9284"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33,4</w:t>
            </w:r>
          </w:p>
        </w:tc>
        <w:tc>
          <w:tcPr>
            <w:tcW w:w="1047" w:type="dxa"/>
            <w:tcBorders>
              <w:top w:val="single" w:sz="12" w:space="0" w:color="auto"/>
            </w:tcBorders>
            <w:shd w:val="clear" w:color="auto" w:fill="auto"/>
            <w:tcMar>
              <w:left w:w="28" w:type="dxa"/>
              <w:right w:w="28" w:type="dxa"/>
            </w:tcMar>
            <w:vAlign w:val="bottom"/>
          </w:tcPr>
          <w:p w14:paraId="038795B1"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37,4</w:t>
            </w:r>
          </w:p>
        </w:tc>
      </w:tr>
      <w:tr w:rsidR="00C201F9" w:rsidRPr="00DE0C81" w14:paraId="77002B0B" w14:textId="77777777" w:rsidTr="00C201F9">
        <w:tc>
          <w:tcPr>
            <w:tcW w:w="1276" w:type="dxa"/>
            <w:shd w:val="clear" w:color="auto" w:fill="auto"/>
            <w:tcMar>
              <w:left w:w="28" w:type="dxa"/>
              <w:right w:w="28" w:type="dxa"/>
            </w:tcMar>
          </w:tcPr>
          <w:p w14:paraId="55804884" w14:textId="77777777" w:rsidR="00C201F9" w:rsidRPr="00DE0C81" w:rsidRDefault="00C201F9" w:rsidP="00E1792A">
            <w:pPr>
              <w:keepNext/>
              <w:suppressAutoHyphens w:val="0"/>
              <w:spacing w:before="40" w:after="40" w:line="220" w:lineRule="exact"/>
              <w:rPr>
                <w:sz w:val="18"/>
                <w:lang w:val="fr-FR"/>
              </w:rPr>
            </w:pPr>
            <w:r w:rsidRPr="00DE0C81">
              <w:rPr>
                <w:sz w:val="18"/>
                <w:lang w:val="fr-FR"/>
              </w:rPr>
              <w:t>2014</w:t>
            </w:r>
          </w:p>
        </w:tc>
        <w:tc>
          <w:tcPr>
            <w:tcW w:w="955" w:type="dxa"/>
            <w:shd w:val="clear" w:color="auto" w:fill="auto"/>
            <w:tcMar>
              <w:left w:w="28" w:type="dxa"/>
              <w:right w:w="28" w:type="dxa"/>
            </w:tcMar>
            <w:vAlign w:val="bottom"/>
          </w:tcPr>
          <w:p w14:paraId="356AC2C0"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81</w:t>
            </w:r>
          </w:p>
        </w:tc>
        <w:tc>
          <w:tcPr>
            <w:tcW w:w="956" w:type="dxa"/>
            <w:shd w:val="clear" w:color="auto" w:fill="auto"/>
            <w:tcMar>
              <w:left w:w="28" w:type="dxa"/>
              <w:right w:w="28" w:type="dxa"/>
            </w:tcMar>
            <w:vAlign w:val="bottom"/>
          </w:tcPr>
          <w:p w14:paraId="5BBE0E93"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21</w:t>
            </w:r>
          </w:p>
        </w:tc>
        <w:tc>
          <w:tcPr>
            <w:tcW w:w="956" w:type="dxa"/>
            <w:shd w:val="clear" w:color="auto" w:fill="auto"/>
            <w:tcMar>
              <w:left w:w="28" w:type="dxa"/>
              <w:right w:w="28" w:type="dxa"/>
            </w:tcMar>
            <w:vAlign w:val="bottom"/>
          </w:tcPr>
          <w:p w14:paraId="2541FA8A"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60</w:t>
            </w:r>
          </w:p>
        </w:tc>
        <w:tc>
          <w:tcPr>
            <w:tcW w:w="1047" w:type="dxa"/>
            <w:shd w:val="clear" w:color="auto" w:fill="auto"/>
            <w:tcMar>
              <w:left w:w="28" w:type="dxa"/>
              <w:right w:w="28" w:type="dxa"/>
            </w:tcMar>
            <w:vAlign w:val="bottom"/>
          </w:tcPr>
          <w:p w14:paraId="6B84A5BE"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50,1</w:t>
            </w:r>
          </w:p>
        </w:tc>
        <w:tc>
          <w:tcPr>
            <w:tcW w:w="1047" w:type="dxa"/>
            <w:shd w:val="clear" w:color="auto" w:fill="auto"/>
            <w:tcMar>
              <w:left w:w="28" w:type="dxa"/>
              <w:right w:w="28" w:type="dxa"/>
            </w:tcMar>
            <w:vAlign w:val="bottom"/>
          </w:tcPr>
          <w:p w14:paraId="5AD748CE"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37,9</w:t>
            </w:r>
          </w:p>
        </w:tc>
        <w:tc>
          <w:tcPr>
            <w:tcW w:w="1047" w:type="dxa"/>
            <w:shd w:val="clear" w:color="auto" w:fill="auto"/>
            <w:tcMar>
              <w:left w:w="28" w:type="dxa"/>
              <w:right w:w="28" w:type="dxa"/>
            </w:tcMar>
            <w:vAlign w:val="bottom"/>
          </w:tcPr>
          <w:p w14:paraId="1010FE80" w14:textId="77777777" w:rsidR="00C201F9" w:rsidRPr="00DE0C81" w:rsidRDefault="00C201F9" w:rsidP="00E1792A">
            <w:pPr>
              <w:keepNext/>
              <w:suppressAutoHyphens w:val="0"/>
              <w:spacing w:before="40" w:after="40" w:line="220" w:lineRule="exact"/>
              <w:jc w:val="right"/>
              <w:rPr>
                <w:sz w:val="18"/>
                <w:lang w:val="fr-FR"/>
              </w:rPr>
            </w:pPr>
            <w:r w:rsidRPr="00DE0C81">
              <w:rPr>
                <w:sz w:val="18"/>
                <w:lang w:val="fr-FR"/>
              </w:rPr>
              <w:t>56,4</w:t>
            </w:r>
          </w:p>
        </w:tc>
      </w:tr>
      <w:tr w:rsidR="00C201F9" w:rsidRPr="00DE0C81" w14:paraId="4E108DAE" w14:textId="77777777" w:rsidTr="00C201F9">
        <w:tc>
          <w:tcPr>
            <w:tcW w:w="1276" w:type="dxa"/>
            <w:shd w:val="clear" w:color="auto" w:fill="auto"/>
            <w:tcMar>
              <w:left w:w="28" w:type="dxa"/>
              <w:right w:w="28" w:type="dxa"/>
            </w:tcMar>
          </w:tcPr>
          <w:p w14:paraId="5C804E30" w14:textId="77777777" w:rsidR="00C201F9" w:rsidRPr="00DE0C81" w:rsidRDefault="00C201F9" w:rsidP="00DE0C81">
            <w:pPr>
              <w:suppressAutoHyphens w:val="0"/>
              <w:spacing w:before="40" w:after="40" w:line="220" w:lineRule="exact"/>
              <w:rPr>
                <w:sz w:val="18"/>
                <w:lang w:val="fr-FR"/>
              </w:rPr>
            </w:pPr>
            <w:r w:rsidRPr="00DE0C81">
              <w:rPr>
                <w:sz w:val="18"/>
                <w:lang w:val="fr-FR"/>
              </w:rPr>
              <w:t>2015</w:t>
            </w:r>
          </w:p>
        </w:tc>
        <w:tc>
          <w:tcPr>
            <w:tcW w:w="955" w:type="dxa"/>
            <w:shd w:val="clear" w:color="auto" w:fill="auto"/>
            <w:tcMar>
              <w:left w:w="28" w:type="dxa"/>
              <w:right w:w="28" w:type="dxa"/>
            </w:tcMar>
            <w:vAlign w:val="bottom"/>
          </w:tcPr>
          <w:p w14:paraId="414477C1"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63</w:t>
            </w:r>
          </w:p>
        </w:tc>
        <w:tc>
          <w:tcPr>
            <w:tcW w:w="956" w:type="dxa"/>
            <w:shd w:val="clear" w:color="auto" w:fill="auto"/>
            <w:tcMar>
              <w:left w:w="28" w:type="dxa"/>
              <w:right w:w="28" w:type="dxa"/>
            </w:tcMar>
            <w:vAlign w:val="bottom"/>
          </w:tcPr>
          <w:p w14:paraId="7AB30BAA"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19</w:t>
            </w:r>
          </w:p>
        </w:tc>
        <w:tc>
          <w:tcPr>
            <w:tcW w:w="956" w:type="dxa"/>
            <w:shd w:val="clear" w:color="auto" w:fill="auto"/>
            <w:tcMar>
              <w:left w:w="28" w:type="dxa"/>
              <w:right w:w="28" w:type="dxa"/>
            </w:tcMar>
            <w:vAlign w:val="bottom"/>
          </w:tcPr>
          <w:p w14:paraId="41D36FD2"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44</w:t>
            </w:r>
          </w:p>
        </w:tc>
        <w:tc>
          <w:tcPr>
            <w:tcW w:w="1047" w:type="dxa"/>
            <w:shd w:val="clear" w:color="auto" w:fill="auto"/>
            <w:tcMar>
              <w:left w:w="28" w:type="dxa"/>
              <w:right w:w="28" w:type="dxa"/>
            </w:tcMar>
            <w:vAlign w:val="bottom"/>
          </w:tcPr>
          <w:p w14:paraId="252A8D3C"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38,5</w:t>
            </w:r>
          </w:p>
        </w:tc>
        <w:tc>
          <w:tcPr>
            <w:tcW w:w="1047" w:type="dxa"/>
            <w:shd w:val="clear" w:color="auto" w:fill="auto"/>
            <w:tcMar>
              <w:left w:w="28" w:type="dxa"/>
              <w:right w:w="28" w:type="dxa"/>
            </w:tcMar>
            <w:vAlign w:val="bottom"/>
          </w:tcPr>
          <w:p w14:paraId="6C78F98E"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36,2</w:t>
            </w:r>
          </w:p>
        </w:tc>
        <w:tc>
          <w:tcPr>
            <w:tcW w:w="1047" w:type="dxa"/>
            <w:shd w:val="clear" w:color="auto" w:fill="auto"/>
            <w:tcMar>
              <w:left w:w="28" w:type="dxa"/>
              <w:right w:w="28" w:type="dxa"/>
            </w:tcMar>
            <w:vAlign w:val="bottom"/>
          </w:tcPr>
          <w:p w14:paraId="780AB6B7"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39,6</w:t>
            </w:r>
          </w:p>
        </w:tc>
      </w:tr>
      <w:tr w:rsidR="00C201F9" w:rsidRPr="00DE0C81" w14:paraId="7F939027" w14:textId="77777777" w:rsidTr="00C201F9">
        <w:tc>
          <w:tcPr>
            <w:tcW w:w="1276" w:type="dxa"/>
            <w:shd w:val="clear" w:color="auto" w:fill="auto"/>
            <w:tcMar>
              <w:left w:w="28" w:type="dxa"/>
              <w:right w:w="28" w:type="dxa"/>
            </w:tcMar>
          </w:tcPr>
          <w:p w14:paraId="6C182825" w14:textId="77777777" w:rsidR="00C201F9" w:rsidRPr="00DE0C81" w:rsidRDefault="00C201F9" w:rsidP="00DE0C81">
            <w:pPr>
              <w:suppressAutoHyphens w:val="0"/>
              <w:spacing w:before="40" w:after="40" w:line="220" w:lineRule="exact"/>
              <w:rPr>
                <w:sz w:val="18"/>
                <w:lang w:val="fr-FR"/>
              </w:rPr>
            </w:pPr>
            <w:r w:rsidRPr="00DE0C81">
              <w:rPr>
                <w:sz w:val="18"/>
                <w:lang w:val="fr-FR"/>
              </w:rPr>
              <w:t>2016</w:t>
            </w:r>
          </w:p>
        </w:tc>
        <w:tc>
          <w:tcPr>
            <w:tcW w:w="955" w:type="dxa"/>
            <w:shd w:val="clear" w:color="auto" w:fill="auto"/>
            <w:tcMar>
              <w:left w:w="28" w:type="dxa"/>
              <w:right w:w="28" w:type="dxa"/>
            </w:tcMar>
            <w:vAlign w:val="bottom"/>
          </w:tcPr>
          <w:p w14:paraId="75C90EC5"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48</w:t>
            </w:r>
          </w:p>
        </w:tc>
        <w:tc>
          <w:tcPr>
            <w:tcW w:w="956" w:type="dxa"/>
            <w:shd w:val="clear" w:color="auto" w:fill="auto"/>
            <w:tcMar>
              <w:left w:w="28" w:type="dxa"/>
              <w:right w:w="28" w:type="dxa"/>
            </w:tcMar>
            <w:vAlign w:val="bottom"/>
          </w:tcPr>
          <w:p w14:paraId="3D489B2B"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11</w:t>
            </w:r>
          </w:p>
        </w:tc>
        <w:tc>
          <w:tcPr>
            <w:tcW w:w="956" w:type="dxa"/>
            <w:shd w:val="clear" w:color="auto" w:fill="auto"/>
            <w:tcMar>
              <w:left w:w="28" w:type="dxa"/>
              <w:right w:w="28" w:type="dxa"/>
            </w:tcMar>
            <w:vAlign w:val="bottom"/>
          </w:tcPr>
          <w:p w14:paraId="2575A75A"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37</w:t>
            </w:r>
          </w:p>
        </w:tc>
        <w:tc>
          <w:tcPr>
            <w:tcW w:w="1047" w:type="dxa"/>
            <w:shd w:val="clear" w:color="auto" w:fill="auto"/>
            <w:tcMar>
              <w:left w:w="28" w:type="dxa"/>
              <w:right w:w="28" w:type="dxa"/>
            </w:tcMar>
            <w:vAlign w:val="bottom"/>
          </w:tcPr>
          <w:p w14:paraId="358D16B8"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30,3</w:t>
            </w:r>
          </w:p>
        </w:tc>
        <w:tc>
          <w:tcPr>
            <w:tcW w:w="1047" w:type="dxa"/>
            <w:shd w:val="clear" w:color="auto" w:fill="auto"/>
            <w:tcMar>
              <w:left w:w="28" w:type="dxa"/>
              <w:right w:w="28" w:type="dxa"/>
            </w:tcMar>
            <w:vAlign w:val="bottom"/>
          </w:tcPr>
          <w:p w14:paraId="00AD52C9"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21,3</w:t>
            </w:r>
          </w:p>
        </w:tc>
        <w:tc>
          <w:tcPr>
            <w:tcW w:w="1047" w:type="dxa"/>
            <w:shd w:val="clear" w:color="auto" w:fill="auto"/>
            <w:tcMar>
              <w:left w:w="28" w:type="dxa"/>
              <w:right w:w="28" w:type="dxa"/>
            </w:tcMar>
            <w:vAlign w:val="bottom"/>
          </w:tcPr>
          <w:p w14:paraId="144D9681"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34,7</w:t>
            </w:r>
          </w:p>
        </w:tc>
      </w:tr>
      <w:tr w:rsidR="00C201F9" w:rsidRPr="00DE0C81" w14:paraId="1E65C0F0" w14:textId="77777777" w:rsidTr="00C201F9">
        <w:tc>
          <w:tcPr>
            <w:tcW w:w="1276" w:type="dxa"/>
            <w:shd w:val="clear" w:color="auto" w:fill="auto"/>
            <w:tcMar>
              <w:left w:w="28" w:type="dxa"/>
              <w:right w:w="28" w:type="dxa"/>
            </w:tcMar>
          </w:tcPr>
          <w:p w14:paraId="5B0E23D6" w14:textId="77777777" w:rsidR="00C201F9" w:rsidRPr="00DE0C81" w:rsidRDefault="00C201F9" w:rsidP="00DE0C81">
            <w:pPr>
              <w:suppressAutoHyphens w:val="0"/>
              <w:spacing w:before="40" w:after="40" w:line="220" w:lineRule="exact"/>
              <w:rPr>
                <w:sz w:val="18"/>
                <w:lang w:val="fr-FR"/>
              </w:rPr>
            </w:pPr>
            <w:r w:rsidRPr="00DE0C81">
              <w:rPr>
                <w:sz w:val="18"/>
                <w:lang w:val="fr-FR"/>
              </w:rPr>
              <w:t>2017</w:t>
            </w:r>
          </w:p>
        </w:tc>
        <w:tc>
          <w:tcPr>
            <w:tcW w:w="955" w:type="dxa"/>
            <w:shd w:val="clear" w:color="auto" w:fill="auto"/>
            <w:tcMar>
              <w:left w:w="28" w:type="dxa"/>
              <w:right w:w="28" w:type="dxa"/>
            </w:tcMar>
            <w:vAlign w:val="bottom"/>
          </w:tcPr>
          <w:p w14:paraId="4881AE1F"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49</w:t>
            </w:r>
          </w:p>
        </w:tc>
        <w:tc>
          <w:tcPr>
            <w:tcW w:w="956" w:type="dxa"/>
            <w:shd w:val="clear" w:color="auto" w:fill="auto"/>
            <w:tcMar>
              <w:left w:w="28" w:type="dxa"/>
              <w:right w:w="28" w:type="dxa"/>
            </w:tcMar>
            <w:vAlign w:val="bottom"/>
          </w:tcPr>
          <w:p w14:paraId="3201ABE3"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12</w:t>
            </w:r>
          </w:p>
        </w:tc>
        <w:tc>
          <w:tcPr>
            <w:tcW w:w="956" w:type="dxa"/>
            <w:shd w:val="clear" w:color="auto" w:fill="auto"/>
            <w:tcMar>
              <w:left w:w="28" w:type="dxa"/>
              <w:right w:w="28" w:type="dxa"/>
            </w:tcMar>
            <w:vAlign w:val="bottom"/>
          </w:tcPr>
          <w:p w14:paraId="052BE807"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37</w:t>
            </w:r>
          </w:p>
        </w:tc>
        <w:tc>
          <w:tcPr>
            <w:tcW w:w="1047" w:type="dxa"/>
            <w:shd w:val="clear" w:color="auto" w:fill="auto"/>
            <w:tcMar>
              <w:left w:w="28" w:type="dxa"/>
              <w:right w:w="28" w:type="dxa"/>
            </w:tcMar>
            <w:vAlign w:val="bottom"/>
          </w:tcPr>
          <w:p w14:paraId="0C758C2C"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31,9</w:t>
            </w:r>
          </w:p>
        </w:tc>
        <w:tc>
          <w:tcPr>
            <w:tcW w:w="1047" w:type="dxa"/>
            <w:shd w:val="clear" w:color="auto" w:fill="auto"/>
            <w:tcMar>
              <w:left w:w="28" w:type="dxa"/>
              <w:right w:w="28" w:type="dxa"/>
            </w:tcMar>
            <w:vAlign w:val="bottom"/>
          </w:tcPr>
          <w:p w14:paraId="148F248B"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22,7</w:t>
            </w:r>
          </w:p>
        </w:tc>
        <w:tc>
          <w:tcPr>
            <w:tcW w:w="1047" w:type="dxa"/>
            <w:shd w:val="clear" w:color="auto" w:fill="auto"/>
            <w:tcMar>
              <w:left w:w="28" w:type="dxa"/>
              <w:right w:w="28" w:type="dxa"/>
            </w:tcMar>
            <w:vAlign w:val="bottom"/>
          </w:tcPr>
          <w:p w14:paraId="52799C15"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36,7</w:t>
            </w:r>
          </w:p>
        </w:tc>
      </w:tr>
      <w:tr w:rsidR="00C201F9" w:rsidRPr="00DE0C81" w14:paraId="6FA0D1FB" w14:textId="77777777" w:rsidTr="00C201F9">
        <w:tc>
          <w:tcPr>
            <w:tcW w:w="1276" w:type="dxa"/>
            <w:shd w:val="clear" w:color="auto" w:fill="auto"/>
            <w:tcMar>
              <w:left w:w="28" w:type="dxa"/>
              <w:right w:w="28" w:type="dxa"/>
            </w:tcMar>
          </w:tcPr>
          <w:p w14:paraId="40A7772D" w14:textId="77777777" w:rsidR="00C201F9" w:rsidRPr="00DE0C81" w:rsidRDefault="00C201F9" w:rsidP="00DE0C81">
            <w:pPr>
              <w:suppressAutoHyphens w:val="0"/>
              <w:spacing w:before="40" w:after="40" w:line="220" w:lineRule="exact"/>
              <w:rPr>
                <w:sz w:val="18"/>
                <w:lang w:val="fr-FR"/>
              </w:rPr>
            </w:pPr>
            <w:r w:rsidRPr="00DE0C81">
              <w:rPr>
                <w:sz w:val="18"/>
                <w:lang w:val="fr-FR"/>
              </w:rPr>
              <w:t>2018</w:t>
            </w:r>
          </w:p>
        </w:tc>
        <w:tc>
          <w:tcPr>
            <w:tcW w:w="955" w:type="dxa"/>
            <w:shd w:val="clear" w:color="auto" w:fill="auto"/>
            <w:tcMar>
              <w:left w:w="28" w:type="dxa"/>
              <w:right w:w="28" w:type="dxa"/>
            </w:tcMar>
            <w:vAlign w:val="bottom"/>
          </w:tcPr>
          <w:p w14:paraId="7393D7D4"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49</w:t>
            </w:r>
          </w:p>
        </w:tc>
        <w:tc>
          <w:tcPr>
            <w:tcW w:w="956" w:type="dxa"/>
            <w:shd w:val="clear" w:color="auto" w:fill="auto"/>
            <w:tcMar>
              <w:left w:w="28" w:type="dxa"/>
              <w:right w:w="28" w:type="dxa"/>
            </w:tcMar>
            <w:vAlign w:val="bottom"/>
          </w:tcPr>
          <w:p w14:paraId="09CBE218"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16</w:t>
            </w:r>
          </w:p>
        </w:tc>
        <w:tc>
          <w:tcPr>
            <w:tcW w:w="956" w:type="dxa"/>
            <w:shd w:val="clear" w:color="auto" w:fill="auto"/>
            <w:tcMar>
              <w:left w:w="28" w:type="dxa"/>
              <w:right w:w="28" w:type="dxa"/>
            </w:tcMar>
            <w:vAlign w:val="bottom"/>
          </w:tcPr>
          <w:p w14:paraId="6DAD72C8"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33</w:t>
            </w:r>
          </w:p>
        </w:tc>
        <w:tc>
          <w:tcPr>
            <w:tcW w:w="1047" w:type="dxa"/>
            <w:shd w:val="clear" w:color="auto" w:fill="auto"/>
            <w:tcMar>
              <w:left w:w="28" w:type="dxa"/>
              <w:right w:w="28" w:type="dxa"/>
            </w:tcMar>
            <w:vAlign w:val="bottom"/>
          </w:tcPr>
          <w:p w14:paraId="0EF031EB"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28,6</w:t>
            </w:r>
          </w:p>
        </w:tc>
        <w:tc>
          <w:tcPr>
            <w:tcW w:w="1047" w:type="dxa"/>
            <w:shd w:val="clear" w:color="auto" w:fill="auto"/>
            <w:tcMar>
              <w:left w:w="28" w:type="dxa"/>
              <w:right w:w="28" w:type="dxa"/>
            </w:tcMar>
            <w:vAlign w:val="bottom"/>
          </w:tcPr>
          <w:p w14:paraId="2FB7AC62"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25,8</w:t>
            </w:r>
          </w:p>
        </w:tc>
        <w:tc>
          <w:tcPr>
            <w:tcW w:w="1047" w:type="dxa"/>
            <w:shd w:val="clear" w:color="auto" w:fill="auto"/>
            <w:tcMar>
              <w:left w:w="28" w:type="dxa"/>
              <w:right w:w="28" w:type="dxa"/>
            </w:tcMar>
            <w:vAlign w:val="bottom"/>
          </w:tcPr>
          <w:p w14:paraId="345D054B"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30,2</w:t>
            </w:r>
          </w:p>
        </w:tc>
      </w:tr>
      <w:tr w:rsidR="00C201F9" w:rsidRPr="00DE0C81" w14:paraId="21B5C419" w14:textId="77777777" w:rsidTr="00C201F9">
        <w:tc>
          <w:tcPr>
            <w:tcW w:w="1276" w:type="dxa"/>
            <w:tcBorders>
              <w:bottom w:val="single" w:sz="12" w:space="0" w:color="auto"/>
            </w:tcBorders>
            <w:shd w:val="clear" w:color="auto" w:fill="auto"/>
            <w:tcMar>
              <w:left w:w="28" w:type="dxa"/>
              <w:right w:w="28" w:type="dxa"/>
            </w:tcMar>
          </w:tcPr>
          <w:p w14:paraId="07A46BD2" w14:textId="77777777" w:rsidR="00C201F9" w:rsidRPr="00DE0C81" w:rsidRDefault="00C201F9" w:rsidP="00DE0C81">
            <w:pPr>
              <w:suppressAutoHyphens w:val="0"/>
              <w:spacing w:before="40" w:after="40" w:line="220" w:lineRule="exact"/>
              <w:rPr>
                <w:sz w:val="18"/>
                <w:lang w:val="fr-FR"/>
              </w:rPr>
            </w:pPr>
            <w:r w:rsidRPr="00DE0C81">
              <w:rPr>
                <w:sz w:val="18"/>
                <w:lang w:val="fr-FR"/>
              </w:rPr>
              <w:t>2019</w:t>
            </w:r>
          </w:p>
        </w:tc>
        <w:tc>
          <w:tcPr>
            <w:tcW w:w="955" w:type="dxa"/>
            <w:tcBorders>
              <w:bottom w:val="single" w:sz="12" w:space="0" w:color="auto"/>
            </w:tcBorders>
            <w:shd w:val="clear" w:color="auto" w:fill="auto"/>
            <w:tcMar>
              <w:left w:w="28" w:type="dxa"/>
              <w:right w:w="28" w:type="dxa"/>
            </w:tcMar>
            <w:vAlign w:val="bottom"/>
          </w:tcPr>
          <w:p w14:paraId="49C8FE7A"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43</w:t>
            </w:r>
          </w:p>
        </w:tc>
        <w:tc>
          <w:tcPr>
            <w:tcW w:w="956" w:type="dxa"/>
            <w:tcBorders>
              <w:bottom w:val="single" w:sz="12" w:space="0" w:color="auto"/>
            </w:tcBorders>
            <w:shd w:val="clear" w:color="auto" w:fill="auto"/>
            <w:tcMar>
              <w:left w:w="28" w:type="dxa"/>
              <w:right w:w="28" w:type="dxa"/>
            </w:tcMar>
            <w:vAlign w:val="bottom"/>
          </w:tcPr>
          <w:p w14:paraId="3ED76816"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19</w:t>
            </w:r>
          </w:p>
        </w:tc>
        <w:tc>
          <w:tcPr>
            <w:tcW w:w="956" w:type="dxa"/>
            <w:tcBorders>
              <w:bottom w:val="single" w:sz="12" w:space="0" w:color="auto"/>
            </w:tcBorders>
            <w:shd w:val="clear" w:color="auto" w:fill="auto"/>
            <w:tcMar>
              <w:left w:w="28" w:type="dxa"/>
              <w:right w:w="28" w:type="dxa"/>
            </w:tcMar>
            <w:vAlign w:val="bottom"/>
          </w:tcPr>
          <w:p w14:paraId="68C0DEB2"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24</w:t>
            </w:r>
          </w:p>
        </w:tc>
        <w:tc>
          <w:tcPr>
            <w:tcW w:w="1047" w:type="dxa"/>
            <w:tcBorders>
              <w:bottom w:val="single" w:sz="12" w:space="0" w:color="auto"/>
            </w:tcBorders>
            <w:shd w:val="clear" w:color="auto" w:fill="auto"/>
            <w:tcMar>
              <w:left w:w="28" w:type="dxa"/>
              <w:right w:w="28" w:type="dxa"/>
            </w:tcMar>
            <w:vAlign w:val="bottom"/>
          </w:tcPr>
          <w:p w14:paraId="1C40FC33"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24,8</w:t>
            </w:r>
          </w:p>
        </w:tc>
        <w:tc>
          <w:tcPr>
            <w:tcW w:w="1047" w:type="dxa"/>
            <w:tcBorders>
              <w:bottom w:val="single" w:sz="12" w:space="0" w:color="auto"/>
            </w:tcBorders>
            <w:shd w:val="clear" w:color="auto" w:fill="auto"/>
            <w:tcMar>
              <w:left w:w="28" w:type="dxa"/>
              <w:right w:w="28" w:type="dxa"/>
            </w:tcMar>
            <w:vAlign w:val="bottom"/>
          </w:tcPr>
          <w:p w14:paraId="0417FFCE"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28,8</w:t>
            </w:r>
          </w:p>
        </w:tc>
        <w:tc>
          <w:tcPr>
            <w:tcW w:w="1047" w:type="dxa"/>
            <w:tcBorders>
              <w:bottom w:val="single" w:sz="12" w:space="0" w:color="auto"/>
            </w:tcBorders>
            <w:shd w:val="clear" w:color="auto" w:fill="auto"/>
            <w:tcMar>
              <w:left w:w="28" w:type="dxa"/>
              <w:right w:w="28" w:type="dxa"/>
            </w:tcMar>
            <w:vAlign w:val="bottom"/>
          </w:tcPr>
          <w:p w14:paraId="27BD3C0F" w14:textId="77777777" w:rsidR="00C201F9" w:rsidRPr="00DE0C81" w:rsidRDefault="00C201F9" w:rsidP="00DE0C81">
            <w:pPr>
              <w:suppressAutoHyphens w:val="0"/>
              <w:spacing w:before="40" w:after="40" w:line="220" w:lineRule="exact"/>
              <w:jc w:val="right"/>
              <w:rPr>
                <w:sz w:val="18"/>
                <w:lang w:val="fr-FR"/>
              </w:rPr>
            </w:pPr>
            <w:r w:rsidRPr="00DE0C81">
              <w:rPr>
                <w:sz w:val="18"/>
                <w:lang w:val="fr-FR"/>
              </w:rPr>
              <w:t>22,3</w:t>
            </w:r>
          </w:p>
        </w:tc>
      </w:tr>
    </w:tbl>
    <w:p w14:paraId="5530B2D8" w14:textId="3F5E1196" w:rsidR="009C6834" w:rsidRPr="006F350B" w:rsidRDefault="009C6834" w:rsidP="00C201F9">
      <w:pPr>
        <w:pStyle w:val="H1G"/>
        <w:rPr>
          <w:lang w:val="fr-FR"/>
        </w:rPr>
      </w:pPr>
      <w:r w:rsidRPr="006F350B">
        <w:rPr>
          <w:lang w:val="fr-FR"/>
        </w:rPr>
        <w:tab/>
      </w:r>
      <w:r w:rsidRPr="006F350B">
        <w:rPr>
          <w:lang w:val="fr-FR"/>
        </w:rPr>
        <w:tab/>
      </w:r>
      <w:r w:rsidR="00CB4ECD">
        <w:rPr>
          <w:lang w:val="fr-FR"/>
        </w:rPr>
        <w:t>Article </w:t>
      </w:r>
      <w:r w:rsidRPr="006F350B">
        <w:rPr>
          <w:lang w:val="fr-FR"/>
        </w:rPr>
        <w:t>25</w:t>
      </w:r>
      <w:r w:rsidRPr="006F350B">
        <w:rPr>
          <w:lang w:val="fr-FR"/>
        </w:rPr>
        <w:br/>
      </w:r>
      <w:r>
        <w:rPr>
          <w:lang w:val="fr-FR"/>
        </w:rPr>
        <w:t>Pollution et contamination des sols</w:t>
      </w:r>
    </w:p>
    <w:p w14:paraId="4849F869" w14:textId="04424CB2" w:rsidR="009C6834" w:rsidRPr="00466CE7" w:rsidRDefault="009C6834" w:rsidP="00C201F9">
      <w:pPr>
        <w:pStyle w:val="SingleTxtG"/>
        <w:keepNext/>
        <w:rPr>
          <w:rFonts w:eastAsia="Times New Roman"/>
          <w:lang w:val="fr-FR"/>
        </w:rPr>
      </w:pPr>
      <w:r w:rsidRPr="00466CE7">
        <w:rPr>
          <w:rFonts w:eastAsia="Times New Roman"/>
          <w:lang w:val="fr-FR"/>
        </w:rPr>
        <w:t>421.</w:t>
      </w:r>
      <w:r w:rsidRPr="00466CE7">
        <w:rPr>
          <w:rFonts w:eastAsia="Times New Roman"/>
          <w:lang w:val="fr-FR"/>
        </w:rPr>
        <w:tab/>
        <w:t xml:space="preserve">Afin </w:t>
      </w:r>
      <w:r>
        <w:rPr>
          <w:rFonts w:eastAsia="Times New Roman"/>
          <w:lang w:val="fr-FR"/>
        </w:rPr>
        <w:t xml:space="preserve">de mettre en </w:t>
      </w:r>
      <w:r w:rsidRPr="00466CE7">
        <w:rPr>
          <w:rFonts w:eastAsia="Times New Roman"/>
          <w:lang w:val="fr-FR"/>
        </w:rPr>
        <w:t xml:space="preserve">sécurité </w:t>
      </w:r>
      <w:r>
        <w:rPr>
          <w:rFonts w:eastAsia="Times New Roman"/>
          <w:lang w:val="fr-FR"/>
        </w:rPr>
        <w:t xml:space="preserve">les </w:t>
      </w:r>
      <w:r w:rsidRPr="00466CE7">
        <w:rPr>
          <w:rFonts w:eastAsia="Times New Roman"/>
          <w:lang w:val="fr-FR"/>
        </w:rPr>
        <w:t xml:space="preserve">anciens sites </w:t>
      </w:r>
      <w:r>
        <w:rPr>
          <w:rFonts w:eastAsia="Times New Roman"/>
          <w:lang w:val="fr-FR"/>
        </w:rPr>
        <w:t xml:space="preserve">de production </w:t>
      </w:r>
      <w:r w:rsidRPr="00466CE7">
        <w:rPr>
          <w:rFonts w:eastAsia="Times New Roman"/>
          <w:lang w:val="fr-FR"/>
        </w:rPr>
        <w:t>d</w:t>
      </w:r>
      <w:r>
        <w:rPr>
          <w:rFonts w:eastAsia="Times New Roman"/>
          <w:lang w:val="fr-FR"/>
        </w:rPr>
        <w:t>’</w:t>
      </w:r>
      <w:r w:rsidRPr="00466CE7">
        <w:rPr>
          <w:rFonts w:eastAsia="Times New Roman"/>
          <w:lang w:val="fr-FR"/>
        </w:rPr>
        <w:t>uranium (</w:t>
      </w:r>
      <w:r>
        <w:rPr>
          <w:rFonts w:eastAsia="Times New Roman"/>
          <w:lang w:val="fr-FR"/>
        </w:rPr>
        <w:t xml:space="preserve">dépôts de </w:t>
      </w:r>
      <w:r w:rsidRPr="00466CE7">
        <w:rPr>
          <w:rFonts w:eastAsia="Times New Roman"/>
          <w:lang w:val="fr-FR"/>
        </w:rPr>
        <w:t xml:space="preserve">résidus et </w:t>
      </w:r>
      <w:r>
        <w:rPr>
          <w:rFonts w:eastAsia="Times New Roman"/>
          <w:lang w:val="fr-FR"/>
        </w:rPr>
        <w:t>de déchets</w:t>
      </w:r>
      <w:r w:rsidRPr="00466CE7">
        <w:rPr>
          <w:rFonts w:eastAsia="Times New Roman"/>
          <w:lang w:val="fr-FR"/>
        </w:rPr>
        <w:t xml:space="preserve">) et de réduire le risque de catastrophes </w:t>
      </w:r>
      <w:r>
        <w:rPr>
          <w:rFonts w:eastAsia="Times New Roman"/>
          <w:lang w:val="fr-FR"/>
        </w:rPr>
        <w:t>environnementales présentant des dangers de radiation, le M</w:t>
      </w:r>
      <w:r w:rsidRPr="00466CE7">
        <w:rPr>
          <w:rFonts w:eastAsia="Times New Roman"/>
          <w:lang w:val="fr-FR"/>
        </w:rPr>
        <w:t>inistère des situations d</w:t>
      </w:r>
      <w:r>
        <w:rPr>
          <w:rFonts w:eastAsia="Times New Roman"/>
          <w:lang w:val="fr-FR"/>
        </w:rPr>
        <w:t>’</w:t>
      </w:r>
      <w:r w:rsidRPr="00466CE7">
        <w:rPr>
          <w:rFonts w:eastAsia="Times New Roman"/>
          <w:lang w:val="fr-FR"/>
        </w:rPr>
        <w:t>urgence met en œuvre un certain nombre de projets internationaux</w:t>
      </w:r>
      <w:r>
        <w:rPr>
          <w:rFonts w:eastAsia="Times New Roman"/>
          <w:lang w:val="fr-FR"/>
        </w:rPr>
        <w:t>, dont :</w:t>
      </w:r>
      <w:r w:rsidRPr="00466CE7">
        <w:rPr>
          <w:rFonts w:eastAsia="Times New Roman"/>
          <w:lang w:val="fr-FR"/>
        </w:rPr>
        <w:t xml:space="preserve"> </w:t>
      </w:r>
    </w:p>
    <w:p w14:paraId="58CBBC38" w14:textId="784D67D1" w:rsidR="009C6834" w:rsidRPr="00DF6565" w:rsidRDefault="00C201F9" w:rsidP="00C201F9">
      <w:pPr>
        <w:pStyle w:val="Bullet1G"/>
        <w:rPr>
          <w:lang w:val="fr-FR"/>
        </w:rPr>
      </w:pPr>
      <w:r w:rsidRPr="00DF6565">
        <w:rPr>
          <w:lang w:val="fr-FR"/>
        </w:rPr>
        <w:t xml:space="preserve">Un </w:t>
      </w:r>
      <w:r w:rsidR="009C6834" w:rsidRPr="00DF6565">
        <w:rPr>
          <w:lang w:val="fr-FR"/>
        </w:rPr>
        <w:t>projet de subvention de l</w:t>
      </w:r>
      <w:r w:rsidR="009C6834">
        <w:rPr>
          <w:lang w:val="fr-FR"/>
        </w:rPr>
        <w:t>’</w:t>
      </w:r>
      <w:r w:rsidR="009C6834" w:rsidRPr="00DF6565">
        <w:rPr>
          <w:lang w:val="fr-FR"/>
        </w:rPr>
        <w:t xml:space="preserve">Union européenne visant à réaliser une évaluation </w:t>
      </w:r>
      <w:r w:rsidR="009C6834">
        <w:rPr>
          <w:lang w:val="fr-FR"/>
        </w:rPr>
        <w:t xml:space="preserve">exhaustive de l’état de </w:t>
      </w:r>
      <w:r w:rsidR="009C6834" w:rsidRPr="00DF6565">
        <w:rPr>
          <w:lang w:val="fr-FR"/>
        </w:rPr>
        <w:t>l</w:t>
      </w:r>
      <w:r w:rsidR="009C6834">
        <w:rPr>
          <w:lang w:val="fr-FR"/>
        </w:rPr>
        <w:t>’</w:t>
      </w:r>
      <w:r w:rsidR="009C6834" w:rsidRPr="00DF6565">
        <w:rPr>
          <w:lang w:val="fr-FR"/>
        </w:rPr>
        <w:t xml:space="preserve">environnement et à </w:t>
      </w:r>
      <w:r w:rsidR="009C6834">
        <w:rPr>
          <w:lang w:val="fr-FR"/>
        </w:rPr>
        <w:t xml:space="preserve">mener </w:t>
      </w:r>
      <w:r w:rsidR="009C6834" w:rsidRPr="00DF6565">
        <w:rPr>
          <w:lang w:val="fr-FR"/>
        </w:rPr>
        <w:t xml:space="preserve">une étude de faisabilité pour le traitement et la </w:t>
      </w:r>
      <w:r w:rsidR="009C6834">
        <w:rPr>
          <w:lang w:val="fr-FR"/>
        </w:rPr>
        <w:t xml:space="preserve">remédiation dans des conditions de </w:t>
      </w:r>
      <w:r w:rsidR="009C6834" w:rsidRPr="00DF6565">
        <w:rPr>
          <w:lang w:val="fr-FR"/>
        </w:rPr>
        <w:t>sécurité de l</w:t>
      </w:r>
      <w:r w:rsidR="009C6834">
        <w:rPr>
          <w:lang w:val="fr-FR"/>
        </w:rPr>
        <w:t>’</w:t>
      </w:r>
      <w:r w:rsidR="009C6834" w:rsidRPr="00DF6565">
        <w:rPr>
          <w:lang w:val="fr-FR"/>
        </w:rPr>
        <w:t>ancien complexe d</w:t>
      </w:r>
      <w:r w:rsidR="009C6834">
        <w:rPr>
          <w:lang w:val="fr-FR"/>
        </w:rPr>
        <w:t>’</w:t>
      </w:r>
      <w:r w:rsidR="009C6834" w:rsidRPr="00DF6565">
        <w:rPr>
          <w:lang w:val="fr-FR"/>
        </w:rPr>
        <w:t xml:space="preserve">uranium </w:t>
      </w:r>
      <w:r w:rsidR="009C6834">
        <w:rPr>
          <w:lang w:val="fr-FR"/>
        </w:rPr>
        <w:t xml:space="preserve">de </w:t>
      </w:r>
      <w:proofErr w:type="spellStart"/>
      <w:r w:rsidR="009C6834">
        <w:rPr>
          <w:lang w:val="fr-FR"/>
        </w:rPr>
        <w:t>Maïluu</w:t>
      </w:r>
      <w:proofErr w:type="spellEnd"/>
      <w:r w:rsidR="009C6834">
        <w:rPr>
          <w:lang w:val="fr-FR"/>
        </w:rPr>
        <w:t>-Suu</w:t>
      </w:r>
      <w:r w:rsidR="009C6834" w:rsidRPr="0028288F">
        <w:rPr>
          <w:lang w:val="fr-FR"/>
        </w:rPr>
        <w:t xml:space="preserve"> </w:t>
      </w:r>
      <w:r w:rsidR="009C6834">
        <w:rPr>
          <w:lang w:val="fr-FR"/>
        </w:rPr>
        <w:t xml:space="preserve">(loi de ratification en </w:t>
      </w:r>
      <w:r w:rsidR="009C6834" w:rsidRPr="00DF6565">
        <w:rPr>
          <w:lang w:val="fr-FR"/>
        </w:rPr>
        <w:t>2016</w:t>
      </w:r>
      <w:r w:rsidR="009C6834">
        <w:rPr>
          <w:lang w:val="fr-FR"/>
        </w:rPr>
        <w:t>)</w:t>
      </w:r>
      <w:r w:rsidR="009C6834" w:rsidRPr="00DF6565">
        <w:rPr>
          <w:lang w:val="fr-FR"/>
        </w:rPr>
        <w:t>.</w:t>
      </w:r>
    </w:p>
    <w:p w14:paraId="1B0095A6" w14:textId="3DFCB06D" w:rsidR="009C6834" w:rsidRPr="00466CE7" w:rsidRDefault="009C6834" w:rsidP="009C6834">
      <w:pPr>
        <w:pStyle w:val="SingleTxtG"/>
        <w:rPr>
          <w:rFonts w:eastAsia="Times New Roman"/>
          <w:lang w:val="fr-FR"/>
        </w:rPr>
      </w:pPr>
      <w:r w:rsidRPr="00466CE7">
        <w:rPr>
          <w:rFonts w:eastAsia="Times New Roman"/>
          <w:lang w:val="fr-FR"/>
        </w:rPr>
        <w:t>422.</w:t>
      </w:r>
      <w:r w:rsidRPr="00466CE7">
        <w:rPr>
          <w:rFonts w:eastAsia="Times New Roman"/>
          <w:lang w:val="fr-FR"/>
        </w:rPr>
        <w:tab/>
        <w:t xml:space="preserve">Des </w:t>
      </w:r>
      <w:r>
        <w:rPr>
          <w:rFonts w:eastAsia="Times New Roman"/>
          <w:lang w:val="fr-FR"/>
        </w:rPr>
        <w:t xml:space="preserve">travaux </w:t>
      </w:r>
      <w:r w:rsidRPr="00466CE7">
        <w:rPr>
          <w:rFonts w:eastAsia="Times New Roman"/>
          <w:lang w:val="fr-FR"/>
        </w:rPr>
        <w:t xml:space="preserve">de recherche </w:t>
      </w:r>
      <w:r>
        <w:rPr>
          <w:rFonts w:eastAsia="Times New Roman"/>
          <w:lang w:val="fr-FR"/>
        </w:rPr>
        <w:t>sont en cours, ainsi qu’</w:t>
      </w:r>
      <w:r w:rsidRPr="00466CE7">
        <w:rPr>
          <w:rFonts w:eastAsia="Times New Roman"/>
          <w:lang w:val="fr-FR"/>
        </w:rPr>
        <w:t xml:space="preserve">une étude </w:t>
      </w:r>
      <w:r>
        <w:rPr>
          <w:rFonts w:eastAsia="Times New Roman"/>
          <w:lang w:val="fr-FR"/>
        </w:rPr>
        <w:t xml:space="preserve">exhaustive </w:t>
      </w:r>
      <w:r w:rsidRPr="00466CE7">
        <w:rPr>
          <w:rFonts w:eastAsia="Times New Roman"/>
          <w:lang w:val="fr-FR"/>
        </w:rPr>
        <w:t>et détaillée de l</w:t>
      </w:r>
      <w:r>
        <w:rPr>
          <w:rFonts w:eastAsia="Times New Roman"/>
          <w:lang w:val="fr-FR"/>
        </w:rPr>
        <w:t>’</w:t>
      </w:r>
      <w:r w:rsidRPr="00466CE7">
        <w:rPr>
          <w:rFonts w:eastAsia="Times New Roman"/>
          <w:lang w:val="fr-FR"/>
        </w:rPr>
        <w:t>état actu</w:t>
      </w:r>
      <w:r>
        <w:rPr>
          <w:rFonts w:eastAsia="Times New Roman"/>
          <w:lang w:val="fr-FR"/>
        </w:rPr>
        <w:t xml:space="preserve">el de l’environnement et une </w:t>
      </w:r>
      <w:r w:rsidRPr="00466CE7">
        <w:rPr>
          <w:rFonts w:eastAsia="Times New Roman"/>
          <w:lang w:val="fr-FR"/>
        </w:rPr>
        <w:t>évalua</w:t>
      </w:r>
      <w:r>
        <w:rPr>
          <w:rFonts w:eastAsia="Times New Roman"/>
          <w:lang w:val="fr-FR"/>
        </w:rPr>
        <w:t xml:space="preserve">tion des risques radiologiques et de </w:t>
      </w:r>
      <w:r w:rsidRPr="00466CE7">
        <w:rPr>
          <w:rFonts w:eastAsia="Times New Roman"/>
          <w:lang w:val="fr-FR"/>
        </w:rPr>
        <w:t xml:space="preserve">leur impact sur la santé publique et </w:t>
      </w:r>
      <w:r>
        <w:rPr>
          <w:rFonts w:eastAsia="Times New Roman"/>
          <w:lang w:val="fr-FR"/>
        </w:rPr>
        <w:t xml:space="preserve">sur </w:t>
      </w:r>
      <w:r w:rsidRPr="00466CE7">
        <w:rPr>
          <w:rFonts w:eastAsia="Times New Roman"/>
          <w:lang w:val="fr-FR"/>
        </w:rPr>
        <w:t xml:space="preserve">la situation </w:t>
      </w:r>
      <w:proofErr w:type="spellStart"/>
      <w:r w:rsidRPr="00466CE7">
        <w:rPr>
          <w:rFonts w:eastAsia="Times New Roman"/>
          <w:lang w:val="fr-FR"/>
        </w:rPr>
        <w:t>socioéconomique</w:t>
      </w:r>
      <w:proofErr w:type="spellEnd"/>
      <w:r>
        <w:rPr>
          <w:rFonts w:eastAsia="Times New Roman"/>
          <w:lang w:val="fr-FR"/>
        </w:rPr>
        <w:t>. Une fois c</w:t>
      </w:r>
      <w:r w:rsidRPr="00466CE7">
        <w:rPr>
          <w:rFonts w:eastAsia="Times New Roman"/>
          <w:lang w:val="fr-FR"/>
        </w:rPr>
        <w:t xml:space="preserve">e projet achevé, il est prévu de passer à la phase II </w:t>
      </w:r>
      <w:r w:rsidR="00C201F9">
        <w:rPr>
          <w:rFonts w:eastAsia="Times New Roman"/>
          <w:lang w:val="fr-FR"/>
        </w:rPr>
        <w:t>−</w:t>
      </w:r>
      <w:r w:rsidRPr="00466CE7">
        <w:rPr>
          <w:rFonts w:eastAsia="Times New Roman"/>
          <w:lang w:val="fr-FR"/>
        </w:rPr>
        <w:t xml:space="preserve"> </w:t>
      </w:r>
      <w:r>
        <w:rPr>
          <w:rFonts w:eastAsia="Times New Roman"/>
          <w:lang w:val="fr-FR"/>
        </w:rPr>
        <w:t xml:space="preserve">remédiation </w:t>
      </w:r>
      <w:r w:rsidRPr="00466CE7">
        <w:rPr>
          <w:rFonts w:eastAsia="Times New Roman"/>
          <w:lang w:val="fr-FR"/>
        </w:rPr>
        <w:t>des sites.</w:t>
      </w:r>
    </w:p>
    <w:p w14:paraId="0079CAF7" w14:textId="6928383C" w:rsidR="009C6834" w:rsidRPr="00466CE7" w:rsidRDefault="009C6834" w:rsidP="009C6834">
      <w:pPr>
        <w:pStyle w:val="SingleTxtG"/>
        <w:rPr>
          <w:rFonts w:eastAsia="Times New Roman"/>
          <w:lang w:val="fr-FR"/>
        </w:rPr>
      </w:pPr>
      <w:r w:rsidRPr="00466CE7">
        <w:rPr>
          <w:rFonts w:eastAsia="Times New Roman"/>
          <w:lang w:val="fr-FR"/>
        </w:rPr>
        <w:t>423.</w:t>
      </w:r>
      <w:r w:rsidRPr="00466CE7">
        <w:rPr>
          <w:rFonts w:eastAsia="Times New Roman"/>
          <w:lang w:val="fr-FR"/>
        </w:rPr>
        <w:tab/>
        <w:t xml:space="preserve">Dans le cadre du </w:t>
      </w:r>
      <w:r>
        <w:rPr>
          <w:rFonts w:eastAsia="Times New Roman"/>
          <w:lang w:val="fr-FR"/>
        </w:rPr>
        <w:t xml:space="preserve">Compte pour la remédiation environnementale en </w:t>
      </w:r>
      <w:r w:rsidRPr="00466CE7">
        <w:rPr>
          <w:rFonts w:eastAsia="Times New Roman"/>
          <w:lang w:val="fr-FR"/>
        </w:rPr>
        <w:t>Asie centrale</w:t>
      </w:r>
      <w:r>
        <w:rPr>
          <w:rFonts w:eastAsia="Times New Roman"/>
          <w:lang w:val="fr-FR"/>
        </w:rPr>
        <w:t>,</w:t>
      </w:r>
      <w:r w:rsidRPr="00466CE7">
        <w:rPr>
          <w:rFonts w:eastAsia="Times New Roman"/>
          <w:lang w:val="fr-FR"/>
        </w:rPr>
        <w:t xml:space="preserve"> un projet de l</w:t>
      </w:r>
      <w:r>
        <w:rPr>
          <w:rFonts w:eastAsia="Times New Roman"/>
          <w:lang w:val="fr-FR"/>
        </w:rPr>
        <w:t>’</w:t>
      </w:r>
      <w:r w:rsidRPr="00466CE7">
        <w:rPr>
          <w:rFonts w:eastAsia="Times New Roman"/>
          <w:lang w:val="fr-FR"/>
        </w:rPr>
        <w:t>Union européenne</w:t>
      </w:r>
      <w:r w:rsidRPr="00341884">
        <w:rPr>
          <w:rFonts w:eastAsia="Times New Roman"/>
          <w:lang w:val="fr-FR"/>
        </w:rPr>
        <w:t xml:space="preserve"> </w:t>
      </w:r>
      <w:r>
        <w:rPr>
          <w:rFonts w:eastAsia="Times New Roman"/>
          <w:lang w:val="fr-FR"/>
        </w:rPr>
        <w:t>(</w:t>
      </w:r>
      <w:r w:rsidRPr="00466CE7">
        <w:rPr>
          <w:rFonts w:eastAsia="Times New Roman"/>
          <w:lang w:val="fr-FR"/>
        </w:rPr>
        <w:t>approuvé par un</w:t>
      </w:r>
      <w:r>
        <w:rPr>
          <w:rFonts w:eastAsia="Times New Roman"/>
          <w:lang w:val="fr-FR"/>
        </w:rPr>
        <w:t xml:space="preserve">e décision du </w:t>
      </w:r>
      <w:r w:rsidR="004E1593">
        <w:rPr>
          <w:rFonts w:eastAsia="Times New Roman"/>
          <w:lang w:val="fr-FR"/>
        </w:rPr>
        <w:t xml:space="preserve">Gouvernement </w:t>
      </w:r>
      <w:r>
        <w:rPr>
          <w:rFonts w:eastAsia="Times New Roman"/>
          <w:lang w:val="fr-FR"/>
        </w:rPr>
        <w:t xml:space="preserve">en </w:t>
      </w:r>
      <w:r w:rsidRPr="00466CE7">
        <w:rPr>
          <w:rFonts w:eastAsia="Times New Roman"/>
          <w:lang w:val="fr-FR"/>
        </w:rPr>
        <w:t>2012</w:t>
      </w:r>
      <w:r>
        <w:rPr>
          <w:rFonts w:eastAsia="Times New Roman"/>
          <w:lang w:val="fr-FR"/>
        </w:rPr>
        <w:t xml:space="preserve">) consistant à procéder à </w:t>
      </w:r>
      <w:r w:rsidRPr="00466CE7">
        <w:rPr>
          <w:rFonts w:eastAsia="Times New Roman"/>
          <w:lang w:val="fr-FR"/>
        </w:rPr>
        <w:t xml:space="preserve">une évaluation </w:t>
      </w:r>
      <w:r>
        <w:rPr>
          <w:rFonts w:eastAsia="Times New Roman"/>
          <w:lang w:val="fr-FR"/>
        </w:rPr>
        <w:t xml:space="preserve">exhaustive de l’état de </w:t>
      </w:r>
      <w:r w:rsidRPr="00466CE7">
        <w:rPr>
          <w:rFonts w:eastAsia="Times New Roman"/>
          <w:lang w:val="fr-FR"/>
        </w:rPr>
        <w:t>l</w:t>
      </w:r>
      <w:r>
        <w:rPr>
          <w:rFonts w:eastAsia="Times New Roman"/>
          <w:lang w:val="fr-FR"/>
        </w:rPr>
        <w:t>’</w:t>
      </w:r>
      <w:r w:rsidRPr="00466CE7">
        <w:rPr>
          <w:rFonts w:eastAsia="Times New Roman"/>
          <w:lang w:val="fr-FR"/>
        </w:rPr>
        <w:t xml:space="preserve">environnement et </w:t>
      </w:r>
      <w:r>
        <w:rPr>
          <w:rFonts w:eastAsia="Times New Roman"/>
          <w:lang w:val="fr-FR"/>
        </w:rPr>
        <w:t xml:space="preserve">à effectuer </w:t>
      </w:r>
      <w:r w:rsidRPr="00466CE7">
        <w:rPr>
          <w:rFonts w:eastAsia="Times New Roman"/>
          <w:lang w:val="fr-FR"/>
        </w:rPr>
        <w:t xml:space="preserve">une étude de faisabilité pour </w:t>
      </w:r>
      <w:r>
        <w:rPr>
          <w:rFonts w:eastAsia="Times New Roman"/>
          <w:lang w:val="fr-FR"/>
        </w:rPr>
        <w:t xml:space="preserve">la remédiation </w:t>
      </w:r>
      <w:r w:rsidRPr="00466CE7">
        <w:rPr>
          <w:rFonts w:eastAsia="Times New Roman"/>
          <w:lang w:val="fr-FR"/>
        </w:rPr>
        <w:t xml:space="preserve">du complexe </w:t>
      </w:r>
      <w:r>
        <w:rPr>
          <w:rFonts w:eastAsia="Times New Roman"/>
          <w:lang w:val="fr-FR"/>
        </w:rPr>
        <w:t xml:space="preserve">des mines </w:t>
      </w:r>
      <w:r w:rsidRPr="00466CE7">
        <w:rPr>
          <w:rFonts w:eastAsia="Times New Roman"/>
          <w:lang w:val="fr-FR"/>
        </w:rPr>
        <w:t>d</w:t>
      </w:r>
      <w:r>
        <w:rPr>
          <w:rFonts w:eastAsia="Times New Roman"/>
          <w:lang w:val="fr-FR"/>
        </w:rPr>
        <w:t>’</w:t>
      </w:r>
      <w:r w:rsidRPr="00466CE7">
        <w:rPr>
          <w:rFonts w:eastAsia="Times New Roman"/>
          <w:lang w:val="fr-FR"/>
        </w:rPr>
        <w:t xml:space="preserve">uranium </w:t>
      </w:r>
      <w:r>
        <w:rPr>
          <w:rFonts w:eastAsia="Times New Roman"/>
          <w:lang w:val="fr-FR"/>
        </w:rPr>
        <w:t xml:space="preserve">de </w:t>
      </w:r>
      <w:proofErr w:type="spellStart"/>
      <w:r>
        <w:rPr>
          <w:rFonts w:eastAsia="Times New Roman"/>
          <w:lang w:val="fr-FR"/>
        </w:rPr>
        <w:t>C</w:t>
      </w:r>
      <w:r w:rsidRPr="00466CE7">
        <w:rPr>
          <w:rFonts w:eastAsia="Times New Roman"/>
          <w:lang w:val="fr-FR"/>
        </w:rPr>
        <w:t>hekaftar</w:t>
      </w:r>
      <w:proofErr w:type="spellEnd"/>
      <w:r w:rsidRPr="00466CE7">
        <w:rPr>
          <w:rFonts w:eastAsia="Times New Roman"/>
          <w:lang w:val="fr-FR"/>
        </w:rPr>
        <w:t xml:space="preserve"> et </w:t>
      </w:r>
      <w:r>
        <w:rPr>
          <w:rFonts w:eastAsia="Times New Roman"/>
          <w:lang w:val="fr-FR"/>
        </w:rPr>
        <w:t xml:space="preserve">de </w:t>
      </w:r>
      <w:r w:rsidRPr="00466CE7">
        <w:rPr>
          <w:rFonts w:eastAsia="Times New Roman"/>
          <w:lang w:val="fr-FR"/>
        </w:rPr>
        <w:t>Min-K</w:t>
      </w:r>
      <w:r>
        <w:rPr>
          <w:rFonts w:eastAsia="Times New Roman"/>
          <w:lang w:val="fr-FR"/>
        </w:rPr>
        <w:t>o</w:t>
      </w:r>
      <w:r w:rsidRPr="00466CE7">
        <w:rPr>
          <w:rFonts w:eastAsia="Times New Roman"/>
          <w:lang w:val="fr-FR"/>
        </w:rPr>
        <w:t>u</w:t>
      </w:r>
      <w:r>
        <w:rPr>
          <w:rFonts w:eastAsia="Times New Roman"/>
          <w:lang w:val="fr-FR"/>
        </w:rPr>
        <w:t>c</w:t>
      </w:r>
      <w:r w:rsidRPr="00466CE7">
        <w:rPr>
          <w:rFonts w:eastAsia="Times New Roman"/>
          <w:lang w:val="fr-FR"/>
        </w:rPr>
        <w:t xml:space="preserve">h a été mis en œuvre </w:t>
      </w:r>
      <w:r>
        <w:rPr>
          <w:rFonts w:eastAsia="Times New Roman"/>
          <w:lang w:val="fr-FR"/>
        </w:rPr>
        <w:t>en 2015-</w:t>
      </w:r>
      <w:r w:rsidRPr="00466CE7">
        <w:rPr>
          <w:rFonts w:eastAsia="Times New Roman"/>
          <w:lang w:val="fr-FR"/>
        </w:rPr>
        <w:t>2017.</w:t>
      </w:r>
    </w:p>
    <w:p w14:paraId="5B6C080C" w14:textId="77777777" w:rsidR="009C6834" w:rsidRPr="00466CE7" w:rsidRDefault="009C6834" w:rsidP="009C6834">
      <w:pPr>
        <w:pStyle w:val="SingleTxtG"/>
        <w:rPr>
          <w:rFonts w:eastAsia="Times New Roman"/>
          <w:lang w:val="fr-FR"/>
        </w:rPr>
      </w:pPr>
      <w:r>
        <w:rPr>
          <w:rFonts w:eastAsia="Times New Roman"/>
          <w:lang w:val="fr-FR"/>
        </w:rPr>
        <w:t>424.</w:t>
      </w:r>
      <w:r>
        <w:rPr>
          <w:rFonts w:eastAsia="Times New Roman"/>
          <w:lang w:val="fr-FR"/>
        </w:rPr>
        <w:tab/>
        <w:t xml:space="preserve">Il s’agit </w:t>
      </w:r>
      <w:r w:rsidRPr="00466CE7">
        <w:rPr>
          <w:rFonts w:eastAsia="Times New Roman"/>
          <w:lang w:val="fr-FR"/>
        </w:rPr>
        <w:t xml:space="preserve">à terme </w:t>
      </w:r>
      <w:r>
        <w:rPr>
          <w:rFonts w:eastAsia="Times New Roman"/>
          <w:lang w:val="fr-FR"/>
        </w:rPr>
        <w:t xml:space="preserve">de garantir une </w:t>
      </w:r>
      <w:r w:rsidRPr="00466CE7">
        <w:rPr>
          <w:rFonts w:eastAsia="Times New Roman"/>
          <w:lang w:val="fr-FR"/>
        </w:rPr>
        <w:t xml:space="preserve">gestion sûre des </w:t>
      </w:r>
      <w:r>
        <w:rPr>
          <w:rFonts w:eastAsia="Times New Roman"/>
          <w:lang w:val="fr-FR"/>
        </w:rPr>
        <w:t xml:space="preserve">anciens </w:t>
      </w:r>
      <w:r w:rsidRPr="00466CE7">
        <w:rPr>
          <w:rFonts w:eastAsia="Times New Roman"/>
          <w:lang w:val="fr-FR"/>
        </w:rPr>
        <w:t xml:space="preserve">sites </w:t>
      </w:r>
      <w:r>
        <w:rPr>
          <w:rFonts w:eastAsia="Times New Roman"/>
          <w:lang w:val="fr-FR"/>
        </w:rPr>
        <w:t xml:space="preserve">de production </w:t>
      </w:r>
      <w:r w:rsidRPr="00466CE7">
        <w:rPr>
          <w:rFonts w:eastAsia="Times New Roman"/>
          <w:lang w:val="fr-FR"/>
        </w:rPr>
        <w:t>d</w:t>
      </w:r>
      <w:r>
        <w:rPr>
          <w:rFonts w:eastAsia="Times New Roman"/>
          <w:lang w:val="fr-FR"/>
        </w:rPr>
        <w:t>’</w:t>
      </w:r>
      <w:r w:rsidRPr="00466CE7">
        <w:rPr>
          <w:rFonts w:eastAsia="Times New Roman"/>
          <w:lang w:val="fr-FR"/>
        </w:rPr>
        <w:t>uranium de Min-K</w:t>
      </w:r>
      <w:r>
        <w:rPr>
          <w:rFonts w:eastAsia="Times New Roman"/>
          <w:lang w:val="fr-FR"/>
        </w:rPr>
        <w:t>o</w:t>
      </w:r>
      <w:r w:rsidRPr="00466CE7">
        <w:rPr>
          <w:rFonts w:eastAsia="Times New Roman"/>
          <w:lang w:val="fr-FR"/>
        </w:rPr>
        <w:t>u</w:t>
      </w:r>
      <w:r>
        <w:rPr>
          <w:rFonts w:eastAsia="Times New Roman"/>
          <w:lang w:val="fr-FR"/>
        </w:rPr>
        <w:t>c</w:t>
      </w:r>
      <w:r w:rsidRPr="00466CE7">
        <w:rPr>
          <w:rFonts w:eastAsia="Times New Roman"/>
          <w:lang w:val="fr-FR"/>
        </w:rPr>
        <w:t xml:space="preserve">h et </w:t>
      </w:r>
      <w:proofErr w:type="spellStart"/>
      <w:r>
        <w:rPr>
          <w:rFonts w:eastAsia="Times New Roman"/>
          <w:lang w:val="fr-FR"/>
        </w:rPr>
        <w:t>C</w:t>
      </w:r>
      <w:r w:rsidRPr="00466CE7">
        <w:rPr>
          <w:rFonts w:eastAsia="Times New Roman"/>
          <w:lang w:val="fr-FR"/>
        </w:rPr>
        <w:t>hekaftar</w:t>
      </w:r>
      <w:proofErr w:type="spellEnd"/>
      <w:r>
        <w:rPr>
          <w:rFonts w:eastAsia="Times New Roman"/>
          <w:lang w:val="fr-FR"/>
        </w:rPr>
        <w:t xml:space="preserve"> et de procéder à leur remédiation</w:t>
      </w:r>
      <w:r w:rsidRPr="00466CE7">
        <w:rPr>
          <w:rFonts w:eastAsia="Times New Roman"/>
          <w:lang w:val="fr-FR"/>
        </w:rPr>
        <w:t xml:space="preserve">. Des </w:t>
      </w:r>
      <w:r>
        <w:rPr>
          <w:rFonts w:eastAsia="Times New Roman"/>
          <w:lang w:val="fr-FR"/>
        </w:rPr>
        <w:t xml:space="preserve">études et </w:t>
      </w:r>
      <w:r w:rsidRPr="00466CE7">
        <w:rPr>
          <w:rFonts w:eastAsia="Times New Roman"/>
          <w:lang w:val="fr-FR"/>
        </w:rPr>
        <w:t xml:space="preserve">plans </w:t>
      </w:r>
      <w:r>
        <w:rPr>
          <w:rFonts w:eastAsia="Times New Roman"/>
          <w:lang w:val="fr-FR"/>
        </w:rPr>
        <w:t xml:space="preserve">d’exécution détaillés </w:t>
      </w:r>
      <w:r w:rsidRPr="00466CE7">
        <w:rPr>
          <w:rFonts w:eastAsia="Times New Roman"/>
          <w:lang w:val="fr-FR"/>
        </w:rPr>
        <w:t xml:space="preserve">ont été </w:t>
      </w:r>
      <w:r>
        <w:rPr>
          <w:rFonts w:eastAsia="Times New Roman"/>
          <w:lang w:val="fr-FR"/>
        </w:rPr>
        <w:t>élaborés</w:t>
      </w:r>
      <w:r w:rsidRPr="00341884">
        <w:rPr>
          <w:rFonts w:eastAsia="Times New Roman"/>
          <w:lang w:val="fr-FR"/>
        </w:rPr>
        <w:t xml:space="preserve"> </w:t>
      </w:r>
      <w:r>
        <w:rPr>
          <w:rFonts w:eastAsia="Times New Roman"/>
          <w:lang w:val="fr-FR"/>
        </w:rPr>
        <w:t xml:space="preserve">pour la </w:t>
      </w:r>
      <w:r w:rsidRPr="00466CE7">
        <w:rPr>
          <w:rFonts w:eastAsia="Times New Roman"/>
          <w:lang w:val="fr-FR"/>
        </w:rPr>
        <w:t xml:space="preserve">gestion et </w:t>
      </w:r>
      <w:r>
        <w:rPr>
          <w:rFonts w:eastAsia="Times New Roman"/>
          <w:lang w:val="fr-FR"/>
        </w:rPr>
        <w:t>la remédiation</w:t>
      </w:r>
      <w:r w:rsidRPr="00466CE7">
        <w:rPr>
          <w:rFonts w:eastAsia="Times New Roman"/>
          <w:lang w:val="fr-FR"/>
        </w:rPr>
        <w:t xml:space="preserve">, </w:t>
      </w:r>
      <w:r>
        <w:rPr>
          <w:rFonts w:eastAsia="Times New Roman"/>
          <w:lang w:val="fr-FR"/>
        </w:rPr>
        <w:t xml:space="preserve">notamment des </w:t>
      </w:r>
      <w:r w:rsidRPr="00466CE7">
        <w:rPr>
          <w:rFonts w:eastAsia="Times New Roman"/>
          <w:lang w:val="fr-FR"/>
        </w:rPr>
        <w:t xml:space="preserve">critères et </w:t>
      </w:r>
      <w:r>
        <w:rPr>
          <w:rFonts w:eastAsia="Times New Roman"/>
          <w:lang w:val="fr-FR"/>
        </w:rPr>
        <w:t>d</w:t>
      </w:r>
      <w:r w:rsidRPr="00466CE7">
        <w:rPr>
          <w:rFonts w:eastAsia="Times New Roman"/>
          <w:lang w:val="fr-FR"/>
        </w:rPr>
        <w:t xml:space="preserve">es normes </w:t>
      </w:r>
      <w:r>
        <w:rPr>
          <w:rFonts w:eastAsia="Times New Roman"/>
          <w:lang w:val="fr-FR"/>
        </w:rPr>
        <w:t xml:space="preserve">concernant l’évaluation de l’état de l’environnement et </w:t>
      </w:r>
      <w:r w:rsidRPr="00466CE7">
        <w:rPr>
          <w:rFonts w:eastAsia="Times New Roman"/>
          <w:lang w:val="fr-FR"/>
        </w:rPr>
        <w:t xml:space="preserve">les travaux </w:t>
      </w:r>
      <w:r>
        <w:rPr>
          <w:rFonts w:eastAsia="Times New Roman"/>
          <w:lang w:val="fr-FR"/>
        </w:rPr>
        <w:t>de remédiation</w:t>
      </w:r>
      <w:r w:rsidRPr="00466CE7">
        <w:rPr>
          <w:rFonts w:eastAsia="Times New Roman"/>
          <w:lang w:val="fr-FR"/>
        </w:rPr>
        <w:t xml:space="preserve">, ainsi que </w:t>
      </w:r>
      <w:r>
        <w:rPr>
          <w:rFonts w:eastAsia="Times New Roman"/>
          <w:lang w:val="fr-FR"/>
        </w:rPr>
        <w:t>d</w:t>
      </w:r>
      <w:r w:rsidRPr="00466CE7">
        <w:rPr>
          <w:rFonts w:eastAsia="Times New Roman"/>
          <w:lang w:val="fr-FR"/>
        </w:rPr>
        <w:t>es mesures d</w:t>
      </w:r>
      <w:r>
        <w:rPr>
          <w:rFonts w:eastAsia="Times New Roman"/>
          <w:lang w:val="fr-FR"/>
        </w:rPr>
        <w:t>’</w:t>
      </w:r>
      <w:r w:rsidRPr="00466CE7">
        <w:rPr>
          <w:rFonts w:eastAsia="Times New Roman"/>
          <w:lang w:val="fr-FR"/>
        </w:rPr>
        <w:t xml:space="preserve">atténuation, </w:t>
      </w:r>
      <w:r>
        <w:rPr>
          <w:rFonts w:eastAsia="Times New Roman"/>
          <w:lang w:val="fr-FR"/>
        </w:rPr>
        <w:t xml:space="preserve">de </w:t>
      </w:r>
      <w:r w:rsidRPr="00466CE7">
        <w:rPr>
          <w:rFonts w:eastAsia="Times New Roman"/>
          <w:lang w:val="fr-FR"/>
        </w:rPr>
        <w:t>sécurité et de protection</w:t>
      </w:r>
      <w:r>
        <w:rPr>
          <w:rFonts w:eastAsia="Times New Roman"/>
          <w:lang w:val="fr-FR"/>
        </w:rPr>
        <w:t xml:space="preserve"> contre les radiations</w:t>
      </w:r>
      <w:r w:rsidRPr="00466CE7">
        <w:rPr>
          <w:rFonts w:eastAsia="Times New Roman"/>
          <w:lang w:val="fr-FR"/>
        </w:rPr>
        <w:t>.</w:t>
      </w:r>
    </w:p>
    <w:p w14:paraId="5A7D958B" w14:textId="1EDEAAA1" w:rsidR="009C6834" w:rsidRPr="00466CE7" w:rsidRDefault="009C6834" w:rsidP="009C6834">
      <w:pPr>
        <w:pStyle w:val="SingleTxtG"/>
        <w:rPr>
          <w:rFonts w:eastAsia="Times New Roman"/>
          <w:lang w:val="fr-FR"/>
        </w:rPr>
      </w:pPr>
      <w:r w:rsidRPr="00466CE7">
        <w:rPr>
          <w:rFonts w:eastAsia="Times New Roman"/>
          <w:lang w:val="fr-FR"/>
        </w:rPr>
        <w:t>425.</w:t>
      </w:r>
      <w:r w:rsidRPr="00466CE7">
        <w:rPr>
          <w:rFonts w:eastAsia="Times New Roman"/>
          <w:lang w:val="fr-FR"/>
        </w:rPr>
        <w:tab/>
        <w:t>L</w:t>
      </w:r>
      <w:r>
        <w:rPr>
          <w:rFonts w:eastAsia="Times New Roman"/>
          <w:lang w:val="fr-FR"/>
        </w:rPr>
        <w:t xml:space="preserve">es opérations de remédiation </w:t>
      </w:r>
      <w:r w:rsidRPr="00466CE7">
        <w:rPr>
          <w:rFonts w:eastAsia="Times New Roman"/>
          <w:lang w:val="fr-FR"/>
        </w:rPr>
        <w:t xml:space="preserve">des sites </w:t>
      </w:r>
      <w:r>
        <w:rPr>
          <w:rFonts w:eastAsia="Times New Roman"/>
          <w:lang w:val="fr-FR"/>
        </w:rPr>
        <w:t>s’effectueront au cours de la période 2017</w:t>
      </w:r>
      <w:r w:rsidR="00C201F9">
        <w:rPr>
          <w:rFonts w:eastAsia="Times New Roman"/>
          <w:lang w:val="fr-FR"/>
        </w:rPr>
        <w:noBreakHyphen/>
      </w:r>
      <w:r w:rsidRPr="00466CE7">
        <w:rPr>
          <w:rFonts w:eastAsia="Times New Roman"/>
          <w:lang w:val="fr-FR"/>
        </w:rPr>
        <w:t>2029</w:t>
      </w:r>
      <w:r>
        <w:rPr>
          <w:rFonts w:eastAsia="Times New Roman"/>
          <w:lang w:val="fr-FR"/>
        </w:rPr>
        <w:t xml:space="preserve"> </w:t>
      </w:r>
      <w:r w:rsidRPr="00466CE7">
        <w:rPr>
          <w:rFonts w:eastAsia="Times New Roman"/>
          <w:lang w:val="fr-FR"/>
        </w:rPr>
        <w:t xml:space="preserve">dans le cadre du </w:t>
      </w:r>
      <w:r>
        <w:rPr>
          <w:rFonts w:eastAsia="Times New Roman"/>
          <w:lang w:val="fr-FR"/>
        </w:rPr>
        <w:t xml:space="preserve">Compte pour la remédiation environnementale en </w:t>
      </w:r>
      <w:r w:rsidRPr="00466CE7">
        <w:rPr>
          <w:rFonts w:eastAsia="Times New Roman"/>
          <w:lang w:val="fr-FR"/>
        </w:rPr>
        <w:t xml:space="preserve">Asie centrale </w:t>
      </w:r>
      <w:r>
        <w:rPr>
          <w:rFonts w:eastAsia="Times New Roman"/>
          <w:lang w:val="fr-FR"/>
        </w:rPr>
        <w:t xml:space="preserve">établi sous l’égide de </w:t>
      </w:r>
      <w:r w:rsidRPr="00466CE7">
        <w:rPr>
          <w:rFonts w:eastAsia="Times New Roman"/>
          <w:lang w:val="fr-FR"/>
        </w:rPr>
        <w:t>la Banque européenne pour la reconstruc</w:t>
      </w:r>
      <w:r>
        <w:rPr>
          <w:rFonts w:eastAsia="Times New Roman"/>
          <w:lang w:val="fr-FR"/>
        </w:rPr>
        <w:t xml:space="preserve">tion et le développement (BERD) conformément à un </w:t>
      </w:r>
      <w:r w:rsidRPr="00466CE7">
        <w:rPr>
          <w:rFonts w:eastAsia="Times New Roman"/>
          <w:lang w:val="fr-FR"/>
        </w:rPr>
        <w:t xml:space="preserve">accord-cadre </w:t>
      </w:r>
      <w:r>
        <w:rPr>
          <w:rFonts w:eastAsia="Times New Roman"/>
          <w:lang w:val="fr-FR"/>
        </w:rPr>
        <w:t xml:space="preserve">conclu avec </w:t>
      </w:r>
      <w:r w:rsidRPr="00466CE7">
        <w:rPr>
          <w:rFonts w:eastAsia="Times New Roman"/>
          <w:lang w:val="fr-FR"/>
        </w:rPr>
        <w:t xml:space="preserve">le </w:t>
      </w:r>
      <w:r>
        <w:rPr>
          <w:rFonts w:eastAsia="Times New Roman"/>
          <w:lang w:val="fr-FR"/>
        </w:rPr>
        <w:t>G</w:t>
      </w:r>
      <w:r w:rsidRPr="00466CE7">
        <w:rPr>
          <w:rFonts w:eastAsia="Times New Roman"/>
          <w:lang w:val="fr-FR"/>
        </w:rPr>
        <w:t xml:space="preserve">ouvernement </w:t>
      </w:r>
      <w:r>
        <w:rPr>
          <w:rFonts w:eastAsia="Times New Roman"/>
          <w:lang w:val="fr-FR"/>
        </w:rPr>
        <w:t xml:space="preserve">kirghize et </w:t>
      </w:r>
      <w:r w:rsidRPr="00466CE7">
        <w:rPr>
          <w:rFonts w:eastAsia="Times New Roman"/>
          <w:lang w:val="fr-FR"/>
        </w:rPr>
        <w:t xml:space="preserve">ratifié </w:t>
      </w:r>
      <w:r>
        <w:rPr>
          <w:rFonts w:eastAsia="Times New Roman"/>
          <w:lang w:val="fr-FR"/>
        </w:rPr>
        <w:t xml:space="preserve">en </w:t>
      </w:r>
      <w:r w:rsidRPr="00466CE7">
        <w:rPr>
          <w:rFonts w:eastAsia="Times New Roman"/>
          <w:lang w:val="fr-FR"/>
        </w:rPr>
        <w:t>2017.</w:t>
      </w:r>
    </w:p>
    <w:p w14:paraId="1EDECAFE" w14:textId="6833B421" w:rsidR="009C6834" w:rsidRPr="00466CE7" w:rsidRDefault="009C6834" w:rsidP="009C6834">
      <w:pPr>
        <w:pStyle w:val="SingleTxtG"/>
        <w:rPr>
          <w:rFonts w:eastAsia="Times New Roman"/>
          <w:lang w:val="fr-FR"/>
        </w:rPr>
      </w:pPr>
      <w:r w:rsidRPr="00466CE7">
        <w:rPr>
          <w:rFonts w:eastAsia="Times New Roman"/>
          <w:lang w:val="fr-FR"/>
        </w:rPr>
        <w:t>426.</w:t>
      </w:r>
      <w:r w:rsidRPr="00466CE7">
        <w:rPr>
          <w:rFonts w:eastAsia="Times New Roman"/>
          <w:lang w:val="fr-FR"/>
        </w:rPr>
        <w:tab/>
        <w:t xml:space="preserve">La priorité des projets de </w:t>
      </w:r>
      <w:r>
        <w:rPr>
          <w:rFonts w:eastAsia="Times New Roman"/>
          <w:lang w:val="fr-FR"/>
        </w:rPr>
        <w:t xml:space="preserve">remise en état </w:t>
      </w:r>
      <w:r w:rsidRPr="00466CE7">
        <w:rPr>
          <w:rFonts w:eastAsia="Times New Roman"/>
          <w:lang w:val="fr-FR"/>
        </w:rPr>
        <w:t>sera déterminée par l</w:t>
      </w:r>
      <w:r>
        <w:rPr>
          <w:rFonts w:eastAsia="Times New Roman"/>
          <w:lang w:val="fr-FR"/>
        </w:rPr>
        <w:t>’</w:t>
      </w:r>
      <w:r w:rsidRPr="00466CE7">
        <w:rPr>
          <w:rFonts w:eastAsia="Times New Roman"/>
          <w:lang w:val="fr-FR"/>
        </w:rPr>
        <w:t>Assemblée des donateurs en fonction de la disponibilité des fonds. Les projets de l</w:t>
      </w:r>
      <w:r>
        <w:rPr>
          <w:rFonts w:eastAsia="Times New Roman"/>
          <w:lang w:val="fr-FR"/>
        </w:rPr>
        <w:t>’</w:t>
      </w:r>
      <w:r w:rsidRPr="00466CE7">
        <w:rPr>
          <w:rFonts w:eastAsia="Times New Roman"/>
          <w:lang w:val="fr-FR"/>
        </w:rPr>
        <w:t xml:space="preserve">Union européenne </w:t>
      </w:r>
      <w:r>
        <w:rPr>
          <w:rFonts w:eastAsia="Times New Roman"/>
          <w:lang w:val="fr-FR"/>
        </w:rPr>
        <w:t>en cours constitueront la base des activités menées au titre du C</w:t>
      </w:r>
      <w:r w:rsidRPr="00466CE7">
        <w:rPr>
          <w:rFonts w:eastAsia="Times New Roman"/>
          <w:lang w:val="fr-FR"/>
        </w:rPr>
        <w:t>ompte</w:t>
      </w:r>
      <w:r w:rsidRPr="000A60CE">
        <w:rPr>
          <w:rFonts w:eastAsia="Times New Roman"/>
          <w:lang w:val="fr-FR"/>
        </w:rPr>
        <w:t xml:space="preserve"> </w:t>
      </w:r>
      <w:r>
        <w:rPr>
          <w:rFonts w:eastAsia="Times New Roman"/>
          <w:lang w:val="fr-FR"/>
        </w:rPr>
        <w:t xml:space="preserve">pour la remédiation </w:t>
      </w:r>
      <w:r w:rsidRPr="00466CE7">
        <w:rPr>
          <w:rFonts w:eastAsia="Times New Roman"/>
          <w:lang w:val="fr-FR"/>
        </w:rPr>
        <w:t>environnement</w:t>
      </w:r>
      <w:r>
        <w:rPr>
          <w:rFonts w:eastAsia="Times New Roman"/>
          <w:lang w:val="fr-FR"/>
        </w:rPr>
        <w:t xml:space="preserve">ale en </w:t>
      </w:r>
      <w:r w:rsidRPr="00466CE7">
        <w:rPr>
          <w:rFonts w:eastAsia="Times New Roman"/>
          <w:lang w:val="fr-FR"/>
        </w:rPr>
        <w:t>Asie centrale. À l</w:t>
      </w:r>
      <w:r>
        <w:rPr>
          <w:rFonts w:eastAsia="Times New Roman"/>
          <w:lang w:val="fr-FR"/>
        </w:rPr>
        <w:t xml:space="preserve">’issue </w:t>
      </w:r>
      <w:r w:rsidRPr="00466CE7">
        <w:rPr>
          <w:rFonts w:eastAsia="Times New Roman"/>
          <w:lang w:val="fr-FR"/>
        </w:rPr>
        <w:t xml:space="preserve">de la conférence des donateurs </w:t>
      </w:r>
      <w:r>
        <w:rPr>
          <w:rFonts w:eastAsia="Times New Roman"/>
          <w:lang w:val="fr-FR"/>
        </w:rPr>
        <w:t xml:space="preserve">tenue en </w:t>
      </w:r>
      <w:r w:rsidRPr="00466CE7">
        <w:rPr>
          <w:rFonts w:eastAsia="Times New Roman"/>
          <w:lang w:val="fr-FR"/>
        </w:rPr>
        <w:t xml:space="preserve">novembre 2019, </w:t>
      </w:r>
      <w:r>
        <w:rPr>
          <w:rFonts w:eastAsia="Times New Roman"/>
          <w:lang w:val="fr-FR"/>
        </w:rPr>
        <w:t>l’Union européenne et les États</w:t>
      </w:r>
      <w:r w:rsidRPr="00466CE7">
        <w:rPr>
          <w:rFonts w:eastAsia="Times New Roman"/>
          <w:lang w:val="fr-FR"/>
        </w:rPr>
        <w:t xml:space="preserve">-Unis, la Belgique, la Suisse, la Norvège et la Lituanie ont exprimé leur intention </w:t>
      </w:r>
      <w:r>
        <w:rPr>
          <w:rFonts w:eastAsia="Times New Roman"/>
          <w:lang w:val="fr-FR"/>
        </w:rPr>
        <w:t>de contribuer au C</w:t>
      </w:r>
      <w:r w:rsidRPr="00466CE7">
        <w:rPr>
          <w:rFonts w:eastAsia="Times New Roman"/>
          <w:lang w:val="fr-FR"/>
        </w:rPr>
        <w:t>ompte (</w:t>
      </w:r>
      <w:r>
        <w:rPr>
          <w:rFonts w:eastAsia="Times New Roman"/>
          <w:lang w:val="fr-FR"/>
        </w:rPr>
        <w:t xml:space="preserve">pour près de </w:t>
      </w:r>
      <w:r w:rsidRPr="00466CE7">
        <w:rPr>
          <w:rFonts w:eastAsia="Times New Roman"/>
          <w:lang w:val="fr-FR"/>
        </w:rPr>
        <w:t>17</w:t>
      </w:r>
      <w:r w:rsidR="00C201F9">
        <w:rPr>
          <w:rFonts w:eastAsia="Times New Roman"/>
          <w:lang w:val="fr-FR"/>
        </w:rPr>
        <w:t> </w:t>
      </w:r>
      <w:r w:rsidRPr="00466CE7">
        <w:rPr>
          <w:rFonts w:eastAsia="Times New Roman"/>
          <w:lang w:val="fr-FR"/>
        </w:rPr>
        <w:t>millions d</w:t>
      </w:r>
      <w:r>
        <w:rPr>
          <w:rFonts w:eastAsia="Times New Roman"/>
          <w:lang w:val="fr-FR"/>
        </w:rPr>
        <w:t>’</w:t>
      </w:r>
      <w:r w:rsidRPr="00466CE7">
        <w:rPr>
          <w:rFonts w:eastAsia="Times New Roman"/>
          <w:lang w:val="fr-FR"/>
        </w:rPr>
        <w:t>euros</w:t>
      </w:r>
      <w:r w:rsidRPr="000A60CE">
        <w:rPr>
          <w:rFonts w:eastAsia="Times New Roman"/>
          <w:lang w:val="fr-FR"/>
        </w:rPr>
        <w:t xml:space="preserve"> </w:t>
      </w:r>
      <w:r>
        <w:rPr>
          <w:rFonts w:eastAsia="Times New Roman"/>
          <w:lang w:val="fr-FR"/>
        </w:rPr>
        <w:t>selon d</w:t>
      </w:r>
      <w:r w:rsidRPr="00466CE7">
        <w:rPr>
          <w:rFonts w:eastAsia="Times New Roman"/>
          <w:lang w:val="fr-FR"/>
        </w:rPr>
        <w:t>es estimations préliminaires).</w:t>
      </w:r>
    </w:p>
    <w:p w14:paraId="641E2F6A" w14:textId="04B970E2" w:rsidR="009C6834" w:rsidRPr="00466CE7" w:rsidRDefault="009C6834" w:rsidP="009C6834">
      <w:pPr>
        <w:pStyle w:val="SingleTxtG"/>
        <w:rPr>
          <w:rFonts w:eastAsia="Times New Roman"/>
          <w:lang w:val="fr-FR"/>
        </w:rPr>
      </w:pPr>
      <w:r w:rsidRPr="00466CE7">
        <w:rPr>
          <w:rFonts w:eastAsia="Times New Roman"/>
          <w:lang w:val="fr-FR"/>
        </w:rPr>
        <w:lastRenderedPageBreak/>
        <w:t>427.</w:t>
      </w:r>
      <w:r w:rsidRPr="00466CE7">
        <w:rPr>
          <w:rFonts w:eastAsia="Times New Roman"/>
          <w:lang w:val="fr-FR"/>
        </w:rPr>
        <w:tab/>
      </w:r>
      <w:r>
        <w:rPr>
          <w:rFonts w:eastAsia="Times New Roman"/>
          <w:lang w:val="fr-FR"/>
        </w:rPr>
        <w:t xml:space="preserve">Avec la contribution de </w:t>
      </w:r>
      <w:r w:rsidRPr="00466CE7">
        <w:rPr>
          <w:rFonts w:eastAsia="Times New Roman"/>
          <w:lang w:val="fr-FR"/>
        </w:rPr>
        <w:t>16,5</w:t>
      </w:r>
      <w:r w:rsidR="00C201F9">
        <w:rPr>
          <w:rFonts w:eastAsia="Times New Roman"/>
          <w:lang w:val="fr-FR"/>
        </w:rPr>
        <w:t> </w:t>
      </w:r>
      <w:r w:rsidRPr="00466CE7">
        <w:rPr>
          <w:rFonts w:eastAsia="Times New Roman"/>
          <w:lang w:val="fr-FR"/>
        </w:rPr>
        <w:t>millions d</w:t>
      </w:r>
      <w:r>
        <w:rPr>
          <w:rFonts w:eastAsia="Times New Roman"/>
          <w:lang w:val="fr-FR"/>
        </w:rPr>
        <w:t>’</w:t>
      </w:r>
      <w:r w:rsidRPr="00466CE7">
        <w:rPr>
          <w:rFonts w:eastAsia="Times New Roman"/>
          <w:lang w:val="fr-FR"/>
        </w:rPr>
        <w:t xml:space="preserve">euros </w:t>
      </w:r>
      <w:r>
        <w:rPr>
          <w:rFonts w:eastAsia="Times New Roman"/>
          <w:lang w:val="fr-FR"/>
        </w:rPr>
        <w:t xml:space="preserve">versée </w:t>
      </w:r>
      <w:r w:rsidRPr="00466CE7">
        <w:rPr>
          <w:rFonts w:eastAsia="Times New Roman"/>
          <w:lang w:val="fr-FR"/>
        </w:rPr>
        <w:t>fin 2016</w:t>
      </w:r>
      <w:r w:rsidRPr="008B420E">
        <w:rPr>
          <w:rFonts w:eastAsia="Times New Roman"/>
          <w:lang w:val="fr-FR"/>
        </w:rPr>
        <w:t xml:space="preserve"> </w:t>
      </w:r>
      <w:r>
        <w:rPr>
          <w:rFonts w:eastAsia="Times New Roman"/>
          <w:lang w:val="fr-FR"/>
        </w:rPr>
        <w:t xml:space="preserve">par </w:t>
      </w:r>
      <w:r w:rsidRPr="00466CE7">
        <w:rPr>
          <w:rFonts w:eastAsia="Times New Roman"/>
          <w:lang w:val="fr-FR"/>
        </w:rPr>
        <w:t xml:space="preserve">la Commission européenne, le </w:t>
      </w:r>
      <w:r>
        <w:rPr>
          <w:rFonts w:eastAsia="Times New Roman"/>
          <w:lang w:val="fr-FR"/>
        </w:rPr>
        <w:t>Compte</w:t>
      </w:r>
      <w:r w:rsidRPr="00466CE7">
        <w:rPr>
          <w:rFonts w:eastAsia="Times New Roman"/>
          <w:lang w:val="fr-FR"/>
        </w:rPr>
        <w:t xml:space="preserve"> </w:t>
      </w:r>
      <w:r>
        <w:rPr>
          <w:rFonts w:eastAsia="Times New Roman"/>
          <w:lang w:val="fr-FR"/>
        </w:rPr>
        <w:t xml:space="preserve">dispose actuellement de </w:t>
      </w:r>
      <w:r w:rsidRPr="00466CE7">
        <w:rPr>
          <w:rFonts w:eastAsia="Times New Roman"/>
          <w:lang w:val="fr-FR"/>
        </w:rPr>
        <w:t>45</w:t>
      </w:r>
      <w:r w:rsidR="00C201F9">
        <w:rPr>
          <w:rFonts w:eastAsia="Times New Roman"/>
          <w:lang w:val="fr-FR"/>
        </w:rPr>
        <w:t> </w:t>
      </w:r>
      <w:r w:rsidRPr="00466CE7">
        <w:rPr>
          <w:rFonts w:eastAsia="Times New Roman"/>
          <w:lang w:val="fr-FR"/>
        </w:rPr>
        <w:t>millions d</w:t>
      </w:r>
      <w:r>
        <w:rPr>
          <w:rFonts w:eastAsia="Times New Roman"/>
          <w:lang w:val="fr-FR"/>
        </w:rPr>
        <w:t>’</w:t>
      </w:r>
      <w:r w:rsidRPr="00466CE7">
        <w:rPr>
          <w:rFonts w:eastAsia="Times New Roman"/>
          <w:lang w:val="fr-FR"/>
        </w:rPr>
        <w:t>euros pour le Kirghizistan, l</w:t>
      </w:r>
      <w:r>
        <w:rPr>
          <w:rFonts w:eastAsia="Times New Roman"/>
          <w:lang w:val="fr-FR"/>
        </w:rPr>
        <w:t>’</w:t>
      </w:r>
      <w:r w:rsidRPr="00466CE7">
        <w:rPr>
          <w:rFonts w:eastAsia="Times New Roman"/>
          <w:lang w:val="fr-FR"/>
        </w:rPr>
        <w:t>Ouzbékistan et le Tadjikistan.</w:t>
      </w:r>
    </w:p>
    <w:p w14:paraId="750DD7BC" w14:textId="3E232143" w:rsidR="009C6834" w:rsidRPr="00466CE7" w:rsidRDefault="009C6834" w:rsidP="009C6834">
      <w:pPr>
        <w:pStyle w:val="SingleTxtG"/>
        <w:rPr>
          <w:rFonts w:eastAsia="Times New Roman"/>
          <w:lang w:val="fr-FR"/>
        </w:rPr>
      </w:pPr>
      <w:r w:rsidRPr="00466CE7">
        <w:rPr>
          <w:rFonts w:eastAsia="Times New Roman"/>
          <w:lang w:val="fr-FR"/>
        </w:rPr>
        <w:t>428.</w:t>
      </w:r>
      <w:r w:rsidRPr="00466CE7">
        <w:rPr>
          <w:rFonts w:eastAsia="Times New Roman"/>
          <w:lang w:val="fr-FR"/>
        </w:rPr>
        <w:tab/>
      </w:r>
      <w:r>
        <w:rPr>
          <w:rFonts w:eastAsia="Times New Roman"/>
          <w:lang w:val="fr-FR"/>
        </w:rPr>
        <w:t xml:space="preserve">De même, dans le cadre </w:t>
      </w:r>
      <w:r w:rsidRPr="00466CE7">
        <w:rPr>
          <w:rFonts w:eastAsia="Times New Roman"/>
          <w:lang w:val="fr-FR"/>
        </w:rPr>
        <w:t>de la CEI (</w:t>
      </w:r>
      <w:r>
        <w:rPr>
          <w:rFonts w:eastAsia="Times New Roman"/>
          <w:lang w:val="fr-FR"/>
        </w:rPr>
        <w:t>auparavant, de l’Union économique eurasiatique</w:t>
      </w:r>
      <w:r w:rsidRPr="00466CE7">
        <w:rPr>
          <w:rFonts w:eastAsia="Times New Roman"/>
          <w:lang w:val="fr-FR"/>
        </w:rPr>
        <w:t xml:space="preserve">), </w:t>
      </w:r>
      <w:r>
        <w:rPr>
          <w:rFonts w:eastAsia="Times New Roman"/>
          <w:lang w:val="fr-FR"/>
        </w:rPr>
        <w:t xml:space="preserve">un </w:t>
      </w:r>
      <w:r w:rsidRPr="00466CE7">
        <w:rPr>
          <w:rFonts w:eastAsia="Times New Roman"/>
          <w:lang w:val="fr-FR"/>
        </w:rPr>
        <w:t xml:space="preserve">programme cible interétatique </w:t>
      </w:r>
      <w:r>
        <w:rPr>
          <w:rFonts w:eastAsia="Times New Roman"/>
          <w:lang w:val="fr-FR"/>
        </w:rPr>
        <w:t xml:space="preserve">de remédiation des </w:t>
      </w:r>
      <w:r w:rsidRPr="00466CE7">
        <w:rPr>
          <w:rFonts w:eastAsia="Times New Roman"/>
          <w:lang w:val="fr-FR"/>
        </w:rPr>
        <w:t xml:space="preserve">territoires des États </w:t>
      </w:r>
      <w:r>
        <w:rPr>
          <w:rFonts w:eastAsia="Times New Roman"/>
          <w:lang w:val="fr-FR"/>
        </w:rPr>
        <w:t xml:space="preserve">affectés </w:t>
      </w:r>
      <w:r w:rsidRPr="00466CE7">
        <w:rPr>
          <w:rFonts w:eastAsia="Times New Roman"/>
          <w:lang w:val="fr-FR"/>
        </w:rPr>
        <w:t>par l</w:t>
      </w:r>
      <w:r>
        <w:rPr>
          <w:rFonts w:eastAsia="Times New Roman"/>
          <w:lang w:val="fr-FR"/>
        </w:rPr>
        <w:t>’</w:t>
      </w:r>
      <w:r w:rsidRPr="00466CE7">
        <w:rPr>
          <w:rFonts w:eastAsia="Times New Roman"/>
          <w:lang w:val="fr-FR"/>
        </w:rPr>
        <w:t>extraction d</w:t>
      </w:r>
      <w:r>
        <w:rPr>
          <w:rFonts w:eastAsia="Times New Roman"/>
          <w:lang w:val="fr-FR"/>
        </w:rPr>
        <w:t>’</w:t>
      </w:r>
      <w:r w:rsidRPr="00466CE7">
        <w:rPr>
          <w:rFonts w:eastAsia="Times New Roman"/>
          <w:lang w:val="fr-FR"/>
        </w:rPr>
        <w:t xml:space="preserve">uranium a été </w:t>
      </w:r>
      <w:r>
        <w:rPr>
          <w:rFonts w:eastAsia="Times New Roman"/>
          <w:lang w:val="fr-FR"/>
        </w:rPr>
        <w:t xml:space="preserve">entrepris </w:t>
      </w:r>
      <w:r w:rsidRPr="00466CE7">
        <w:rPr>
          <w:rFonts w:eastAsia="Times New Roman"/>
          <w:lang w:val="fr-FR"/>
        </w:rPr>
        <w:t xml:space="preserve">en 2013. La période </w:t>
      </w:r>
      <w:r>
        <w:rPr>
          <w:rFonts w:eastAsia="Times New Roman"/>
          <w:lang w:val="fr-FR"/>
        </w:rPr>
        <w:t xml:space="preserve">d’exécution de ce programme, fixée par une </w:t>
      </w:r>
      <w:r w:rsidRPr="00466CE7">
        <w:rPr>
          <w:rFonts w:eastAsia="Times New Roman"/>
          <w:lang w:val="fr-FR"/>
        </w:rPr>
        <w:t xml:space="preserve">décision du </w:t>
      </w:r>
      <w:r>
        <w:rPr>
          <w:rFonts w:eastAsia="Times New Roman"/>
          <w:lang w:val="fr-FR"/>
        </w:rPr>
        <w:t xml:space="preserve">Conseil des chefs de </w:t>
      </w:r>
      <w:r w:rsidR="004E1593">
        <w:rPr>
          <w:rFonts w:eastAsia="Times New Roman"/>
          <w:lang w:val="fr-FR"/>
        </w:rPr>
        <w:t xml:space="preserve">Gouvernement </w:t>
      </w:r>
      <w:r w:rsidRPr="00466CE7">
        <w:rPr>
          <w:rFonts w:eastAsia="Times New Roman"/>
          <w:lang w:val="fr-FR"/>
        </w:rPr>
        <w:t xml:space="preserve">de la CEI </w:t>
      </w:r>
      <w:r>
        <w:rPr>
          <w:rFonts w:eastAsia="Times New Roman"/>
          <w:lang w:val="fr-FR"/>
        </w:rPr>
        <w:t xml:space="preserve">adoptée le </w:t>
      </w:r>
      <w:r w:rsidRPr="00466CE7">
        <w:rPr>
          <w:rFonts w:eastAsia="Times New Roman"/>
          <w:lang w:val="fr-FR"/>
        </w:rPr>
        <w:t>28</w:t>
      </w:r>
      <w:r w:rsidR="00C201F9">
        <w:rPr>
          <w:rFonts w:eastAsia="Times New Roman"/>
          <w:lang w:val="fr-FR"/>
        </w:rPr>
        <w:t> </w:t>
      </w:r>
      <w:r w:rsidRPr="00466CE7">
        <w:rPr>
          <w:rFonts w:eastAsia="Times New Roman"/>
          <w:lang w:val="fr-FR"/>
        </w:rPr>
        <w:t>octobre 2016</w:t>
      </w:r>
      <w:r>
        <w:rPr>
          <w:rFonts w:eastAsia="Times New Roman"/>
          <w:lang w:val="fr-FR"/>
        </w:rPr>
        <w:t xml:space="preserve"> à </w:t>
      </w:r>
      <w:r w:rsidRPr="00466CE7">
        <w:rPr>
          <w:rFonts w:eastAsia="Times New Roman"/>
          <w:lang w:val="fr-FR"/>
        </w:rPr>
        <w:t>Minsk</w:t>
      </w:r>
      <w:r>
        <w:rPr>
          <w:rFonts w:eastAsia="Times New Roman"/>
          <w:lang w:val="fr-FR"/>
        </w:rPr>
        <w:t xml:space="preserve">, </w:t>
      </w:r>
      <w:r w:rsidRPr="00466CE7">
        <w:rPr>
          <w:rFonts w:eastAsia="Times New Roman"/>
          <w:lang w:val="fr-FR"/>
        </w:rPr>
        <w:t>est 2013-2023.</w:t>
      </w:r>
    </w:p>
    <w:p w14:paraId="2F1A4C85" w14:textId="77777777" w:rsidR="009C6834" w:rsidRPr="00466CE7" w:rsidRDefault="009C6834" w:rsidP="009C6834">
      <w:pPr>
        <w:pStyle w:val="SingleTxtG"/>
        <w:rPr>
          <w:rFonts w:eastAsia="Times New Roman"/>
          <w:lang w:val="fr-FR"/>
        </w:rPr>
      </w:pPr>
      <w:r w:rsidRPr="00466CE7">
        <w:rPr>
          <w:rFonts w:eastAsia="Times New Roman"/>
          <w:lang w:val="fr-FR"/>
        </w:rPr>
        <w:t>429.</w:t>
      </w:r>
      <w:r w:rsidRPr="00466CE7">
        <w:rPr>
          <w:rFonts w:eastAsia="Times New Roman"/>
          <w:lang w:val="fr-FR"/>
        </w:rPr>
        <w:tab/>
      </w:r>
      <w:r>
        <w:rPr>
          <w:rFonts w:eastAsia="Times New Roman"/>
          <w:lang w:val="fr-FR"/>
        </w:rPr>
        <w:t>L</w:t>
      </w:r>
      <w:r w:rsidRPr="00466CE7">
        <w:rPr>
          <w:rFonts w:eastAsia="Times New Roman"/>
          <w:lang w:val="fr-FR"/>
        </w:rPr>
        <w:t>es principaux travaux de re</w:t>
      </w:r>
      <w:r>
        <w:rPr>
          <w:rFonts w:eastAsia="Times New Roman"/>
          <w:lang w:val="fr-FR"/>
        </w:rPr>
        <w:t>médiation</w:t>
      </w:r>
      <w:r w:rsidRPr="00466CE7">
        <w:rPr>
          <w:rFonts w:eastAsia="Times New Roman"/>
          <w:lang w:val="fr-FR"/>
        </w:rPr>
        <w:t xml:space="preserve"> </w:t>
      </w:r>
      <w:r>
        <w:rPr>
          <w:rFonts w:eastAsia="Times New Roman"/>
          <w:lang w:val="fr-FR"/>
        </w:rPr>
        <w:t xml:space="preserve">du dépôt </w:t>
      </w:r>
      <w:r w:rsidRPr="00466CE7">
        <w:rPr>
          <w:rFonts w:eastAsia="Times New Roman"/>
          <w:lang w:val="fr-FR"/>
        </w:rPr>
        <w:t xml:space="preserve">de résidus de </w:t>
      </w:r>
      <w:proofErr w:type="spellStart"/>
      <w:r w:rsidRPr="00466CE7">
        <w:rPr>
          <w:rFonts w:eastAsia="Times New Roman"/>
          <w:lang w:val="fr-FR"/>
        </w:rPr>
        <w:t>Kadzhi</w:t>
      </w:r>
      <w:proofErr w:type="spellEnd"/>
      <w:r w:rsidRPr="00466CE7">
        <w:rPr>
          <w:rFonts w:eastAsia="Times New Roman"/>
          <w:lang w:val="fr-FR"/>
        </w:rPr>
        <w:t>-Sa</w:t>
      </w:r>
      <w:r>
        <w:rPr>
          <w:rFonts w:eastAsia="Times New Roman"/>
          <w:lang w:val="fr-FR"/>
        </w:rPr>
        <w:t>ï</w:t>
      </w:r>
      <w:r w:rsidRPr="00466CE7">
        <w:rPr>
          <w:rFonts w:eastAsia="Times New Roman"/>
          <w:lang w:val="fr-FR"/>
        </w:rPr>
        <w:t xml:space="preserve"> ont été achevés </w:t>
      </w:r>
      <w:r>
        <w:rPr>
          <w:rFonts w:eastAsia="Times New Roman"/>
          <w:lang w:val="fr-FR"/>
        </w:rPr>
        <w:t>e</w:t>
      </w:r>
      <w:r w:rsidRPr="00466CE7">
        <w:rPr>
          <w:rFonts w:eastAsia="Times New Roman"/>
          <w:lang w:val="fr-FR"/>
        </w:rPr>
        <w:t xml:space="preserve">n novembre 2019 et la réception </w:t>
      </w:r>
      <w:r>
        <w:rPr>
          <w:rFonts w:eastAsia="Times New Roman"/>
          <w:lang w:val="fr-FR"/>
        </w:rPr>
        <w:t xml:space="preserve">des travaux </w:t>
      </w:r>
      <w:r w:rsidRPr="00466CE7">
        <w:rPr>
          <w:rFonts w:eastAsia="Times New Roman"/>
          <w:lang w:val="fr-FR"/>
        </w:rPr>
        <w:t>par l</w:t>
      </w:r>
      <w:r>
        <w:rPr>
          <w:rFonts w:eastAsia="Times New Roman"/>
          <w:lang w:val="fr-FR"/>
        </w:rPr>
        <w:t>’</w:t>
      </w:r>
      <w:r w:rsidRPr="00466CE7">
        <w:rPr>
          <w:rFonts w:eastAsia="Times New Roman"/>
          <w:lang w:val="fr-FR"/>
        </w:rPr>
        <w:t xml:space="preserve">État </w:t>
      </w:r>
      <w:r>
        <w:rPr>
          <w:rFonts w:eastAsia="Times New Roman"/>
          <w:lang w:val="fr-FR"/>
        </w:rPr>
        <w:t xml:space="preserve">s’est effectuée </w:t>
      </w:r>
      <w:r w:rsidRPr="00466CE7">
        <w:rPr>
          <w:rFonts w:eastAsia="Times New Roman"/>
          <w:lang w:val="fr-FR"/>
        </w:rPr>
        <w:t>conformément à la législation kirghize.</w:t>
      </w:r>
    </w:p>
    <w:p w14:paraId="1EF662A9" w14:textId="7409E043" w:rsidR="009C6834" w:rsidRDefault="009C6834" w:rsidP="009C6834">
      <w:pPr>
        <w:pStyle w:val="SingleTxtG"/>
        <w:rPr>
          <w:rFonts w:eastAsia="Times New Roman"/>
          <w:lang w:val="fr-FR"/>
        </w:rPr>
      </w:pPr>
      <w:r>
        <w:rPr>
          <w:rFonts w:eastAsia="Times New Roman"/>
          <w:lang w:val="fr-FR"/>
        </w:rPr>
        <w:t>430.</w:t>
      </w:r>
      <w:r>
        <w:rPr>
          <w:rFonts w:eastAsia="Times New Roman"/>
          <w:lang w:val="fr-FR"/>
        </w:rPr>
        <w:tab/>
        <w:t>D</w:t>
      </w:r>
      <w:r w:rsidRPr="00466CE7">
        <w:rPr>
          <w:rFonts w:eastAsia="Times New Roman"/>
          <w:lang w:val="fr-FR"/>
        </w:rPr>
        <w:t>es travaux préparatoires</w:t>
      </w:r>
      <w:r w:rsidRPr="000A60CE">
        <w:rPr>
          <w:rFonts w:eastAsia="Times New Roman"/>
          <w:lang w:val="fr-FR"/>
        </w:rPr>
        <w:t xml:space="preserve"> </w:t>
      </w:r>
      <w:r>
        <w:rPr>
          <w:rFonts w:eastAsia="Times New Roman"/>
          <w:lang w:val="fr-FR"/>
        </w:rPr>
        <w:t>à une opération de remédiation</w:t>
      </w:r>
      <w:r w:rsidRPr="00466CE7">
        <w:rPr>
          <w:rFonts w:eastAsia="Times New Roman"/>
          <w:lang w:val="fr-FR"/>
        </w:rPr>
        <w:t xml:space="preserve"> (construction de bâtiments et de structures temporaires</w:t>
      </w:r>
      <w:r>
        <w:rPr>
          <w:rFonts w:eastAsia="Times New Roman"/>
          <w:lang w:val="fr-FR"/>
        </w:rPr>
        <w:t xml:space="preserve"> et</w:t>
      </w:r>
      <w:r w:rsidRPr="00466CE7">
        <w:rPr>
          <w:rFonts w:eastAsia="Times New Roman"/>
          <w:lang w:val="fr-FR"/>
        </w:rPr>
        <w:t xml:space="preserve"> </w:t>
      </w:r>
      <w:r>
        <w:rPr>
          <w:rFonts w:eastAsia="Times New Roman"/>
          <w:lang w:val="fr-FR"/>
        </w:rPr>
        <w:t xml:space="preserve">d’une </w:t>
      </w:r>
      <w:r w:rsidRPr="00466CE7">
        <w:rPr>
          <w:rFonts w:eastAsia="Times New Roman"/>
          <w:lang w:val="fr-FR"/>
        </w:rPr>
        <w:t xml:space="preserve">route </w:t>
      </w:r>
      <w:r>
        <w:rPr>
          <w:rFonts w:eastAsia="Times New Roman"/>
          <w:lang w:val="fr-FR"/>
        </w:rPr>
        <w:t>de chantier</w:t>
      </w:r>
      <w:r w:rsidRPr="00466CE7">
        <w:rPr>
          <w:rFonts w:eastAsia="Times New Roman"/>
          <w:lang w:val="fr-FR"/>
        </w:rPr>
        <w:t xml:space="preserve">) sont en cours dans </w:t>
      </w:r>
      <w:r>
        <w:rPr>
          <w:rFonts w:eastAsia="Times New Roman"/>
          <w:lang w:val="fr-FR"/>
        </w:rPr>
        <w:t xml:space="preserve">le village </w:t>
      </w:r>
      <w:r w:rsidRPr="00466CE7">
        <w:rPr>
          <w:rFonts w:eastAsia="Times New Roman"/>
          <w:lang w:val="fr-FR"/>
        </w:rPr>
        <w:t>de Min</w:t>
      </w:r>
      <w:r w:rsidR="00C201F9">
        <w:rPr>
          <w:rFonts w:eastAsia="Times New Roman"/>
          <w:lang w:val="fr-FR"/>
        </w:rPr>
        <w:noBreakHyphen/>
      </w:r>
      <w:r w:rsidRPr="00466CE7">
        <w:rPr>
          <w:rFonts w:eastAsia="Times New Roman"/>
          <w:lang w:val="fr-FR"/>
        </w:rPr>
        <w:t>K</w:t>
      </w:r>
      <w:r>
        <w:rPr>
          <w:rFonts w:eastAsia="Times New Roman"/>
          <w:lang w:val="fr-FR"/>
        </w:rPr>
        <w:t>o</w:t>
      </w:r>
      <w:r w:rsidRPr="00466CE7">
        <w:rPr>
          <w:rFonts w:eastAsia="Times New Roman"/>
          <w:lang w:val="fr-FR"/>
        </w:rPr>
        <w:t>u</w:t>
      </w:r>
      <w:r>
        <w:rPr>
          <w:rFonts w:eastAsia="Times New Roman"/>
          <w:lang w:val="fr-FR"/>
        </w:rPr>
        <w:t>c</w:t>
      </w:r>
      <w:r w:rsidRPr="00466CE7">
        <w:rPr>
          <w:rFonts w:eastAsia="Times New Roman"/>
          <w:lang w:val="fr-FR"/>
        </w:rPr>
        <w:t>h.</w:t>
      </w:r>
    </w:p>
    <w:p w14:paraId="6D33A6CA" w14:textId="1DDE718F" w:rsidR="009C6834" w:rsidRPr="00466CE7" w:rsidRDefault="009C6834" w:rsidP="009C6834">
      <w:pPr>
        <w:pStyle w:val="SingleTxtG"/>
        <w:rPr>
          <w:rFonts w:eastAsia="Times New Roman"/>
          <w:lang w:val="fr-FR"/>
        </w:rPr>
      </w:pPr>
      <w:r>
        <w:rPr>
          <w:rFonts w:eastAsia="Times New Roman"/>
          <w:lang w:val="fr-FR"/>
        </w:rPr>
        <w:t>4</w:t>
      </w:r>
      <w:r w:rsidRPr="00466CE7">
        <w:rPr>
          <w:rFonts w:eastAsia="Times New Roman"/>
          <w:lang w:val="fr-FR"/>
        </w:rPr>
        <w:t>31.</w:t>
      </w:r>
      <w:r w:rsidRPr="00466CE7">
        <w:rPr>
          <w:rFonts w:eastAsia="Times New Roman"/>
          <w:lang w:val="fr-FR"/>
        </w:rPr>
        <w:tab/>
      </w:r>
      <w:r>
        <w:rPr>
          <w:rFonts w:eastAsia="Times New Roman"/>
          <w:lang w:val="fr-FR"/>
        </w:rPr>
        <w:t>On procède d</w:t>
      </w:r>
      <w:r w:rsidRPr="00466CE7">
        <w:rPr>
          <w:rFonts w:eastAsia="Times New Roman"/>
          <w:lang w:val="fr-FR"/>
        </w:rPr>
        <w:t>epuis 2008, dans le cadre de différents projets internationaux</w:t>
      </w:r>
      <w:r>
        <w:rPr>
          <w:rFonts w:eastAsia="Times New Roman"/>
          <w:lang w:val="fr-FR"/>
        </w:rPr>
        <w:t>,</w:t>
      </w:r>
      <w:r w:rsidRPr="00A82A24">
        <w:rPr>
          <w:rFonts w:eastAsia="Times New Roman"/>
          <w:lang w:val="fr-FR"/>
        </w:rPr>
        <w:t xml:space="preserve"> </w:t>
      </w:r>
      <w:r>
        <w:rPr>
          <w:rFonts w:eastAsia="Times New Roman"/>
          <w:lang w:val="fr-FR"/>
        </w:rPr>
        <w:t>à l’</w:t>
      </w:r>
      <w:r w:rsidRPr="00466CE7">
        <w:rPr>
          <w:rFonts w:eastAsia="Times New Roman"/>
          <w:lang w:val="fr-FR"/>
        </w:rPr>
        <w:t xml:space="preserve">inventaire des pesticides obsolètes. </w:t>
      </w:r>
      <w:r w:rsidR="004E1593">
        <w:rPr>
          <w:rFonts w:eastAsia="Times New Roman"/>
          <w:lang w:val="fr-FR"/>
        </w:rPr>
        <w:t>Quarante</w:t>
      </w:r>
      <w:r w:rsidR="004E1593">
        <w:rPr>
          <w:rFonts w:eastAsia="Times New Roman"/>
          <w:lang w:val="fr-FR"/>
        </w:rPr>
        <w:noBreakHyphen/>
        <w:t xml:space="preserve">deux </w:t>
      </w:r>
      <w:r>
        <w:rPr>
          <w:rFonts w:eastAsia="Times New Roman"/>
          <w:lang w:val="fr-FR"/>
        </w:rPr>
        <w:t xml:space="preserve">dépôts </w:t>
      </w:r>
      <w:r w:rsidRPr="00466CE7">
        <w:rPr>
          <w:rFonts w:eastAsia="Times New Roman"/>
          <w:lang w:val="fr-FR"/>
        </w:rPr>
        <w:t>de stockage et 3</w:t>
      </w:r>
      <w:r w:rsidR="00C201F9">
        <w:rPr>
          <w:rFonts w:eastAsia="Times New Roman"/>
          <w:lang w:val="fr-FR"/>
        </w:rPr>
        <w:t> </w:t>
      </w:r>
      <w:r w:rsidRPr="00466CE7">
        <w:rPr>
          <w:rFonts w:eastAsia="Times New Roman"/>
          <w:lang w:val="fr-FR"/>
        </w:rPr>
        <w:t>sites d</w:t>
      </w:r>
      <w:r>
        <w:rPr>
          <w:rFonts w:eastAsia="Times New Roman"/>
          <w:lang w:val="fr-FR"/>
        </w:rPr>
        <w:t>’</w:t>
      </w:r>
      <w:r w:rsidRPr="00466CE7">
        <w:rPr>
          <w:rFonts w:eastAsia="Times New Roman"/>
          <w:lang w:val="fr-FR"/>
        </w:rPr>
        <w:t xml:space="preserve">enfouissement de pesticides obsolètes </w:t>
      </w:r>
      <w:r>
        <w:rPr>
          <w:rFonts w:eastAsia="Times New Roman"/>
          <w:lang w:val="fr-FR"/>
        </w:rPr>
        <w:t>ont été recensés</w:t>
      </w:r>
      <w:r w:rsidRPr="00466CE7">
        <w:rPr>
          <w:rFonts w:eastAsia="Times New Roman"/>
          <w:lang w:val="fr-FR"/>
        </w:rPr>
        <w:t xml:space="preserve">, </w:t>
      </w:r>
      <w:r>
        <w:rPr>
          <w:rFonts w:eastAsia="Times New Roman"/>
          <w:lang w:val="fr-FR"/>
        </w:rPr>
        <w:t xml:space="preserve">qui renferment au total </w:t>
      </w:r>
      <w:r w:rsidRPr="00466CE7">
        <w:rPr>
          <w:rFonts w:eastAsia="Times New Roman"/>
          <w:lang w:val="fr-FR"/>
        </w:rPr>
        <w:t>plus de 5</w:t>
      </w:r>
      <w:r w:rsidR="00C201F9">
        <w:rPr>
          <w:rFonts w:eastAsia="Times New Roman"/>
          <w:lang w:val="fr-FR"/>
        </w:rPr>
        <w:t> </w:t>
      </w:r>
      <w:r w:rsidRPr="00466CE7">
        <w:rPr>
          <w:rFonts w:eastAsia="Times New Roman"/>
          <w:lang w:val="fr-FR"/>
        </w:rPr>
        <w:t>000</w:t>
      </w:r>
      <w:r w:rsidR="00C201F9">
        <w:rPr>
          <w:rFonts w:eastAsia="Times New Roman"/>
          <w:lang w:val="fr-FR"/>
        </w:rPr>
        <w:t> </w:t>
      </w:r>
      <w:r w:rsidRPr="00466CE7">
        <w:rPr>
          <w:rFonts w:eastAsia="Times New Roman"/>
          <w:lang w:val="fr-FR"/>
        </w:rPr>
        <w:t>tonnes</w:t>
      </w:r>
      <w:r>
        <w:rPr>
          <w:rFonts w:eastAsia="Times New Roman"/>
          <w:lang w:val="fr-FR"/>
        </w:rPr>
        <w:t xml:space="preserve"> de pesticides</w:t>
      </w:r>
      <w:r w:rsidRPr="00466CE7">
        <w:rPr>
          <w:rFonts w:eastAsia="Times New Roman"/>
          <w:lang w:val="fr-FR"/>
        </w:rPr>
        <w:t>. Un document a été élaboré en vue de l</w:t>
      </w:r>
      <w:r>
        <w:rPr>
          <w:rFonts w:eastAsia="Times New Roman"/>
          <w:lang w:val="fr-FR"/>
        </w:rPr>
        <w:t>’</w:t>
      </w:r>
      <w:r w:rsidRPr="00466CE7">
        <w:rPr>
          <w:rFonts w:eastAsia="Times New Roman"/>
          <w:lang w:val="fr-FR"/>
        </w:rPr>
        <w:t xml:space="preserve">approbation par le FEM </w:t>
      </w:r>
      <w:r>
        <w:rPr>
          <w:rFonts w:eastAsia="Times New Roman"/>
          <w:lang w:val="fr-FR"/>
        </w:rPr>
        <w:t xml:space="preserve">du </w:t>
      </w:r>
      <w:r w:rsidRPr="00466CE7">
        <w:rPr>
          <w:rFonts w:eastAsia="Times New Roman"/>
          <w:lang w:val="fr-FR"/>
        </w:rPr>
        <w:t xml:space="preserve">projet </w:t>
      </w:r>
      <w:r>
        <w:rPr>
          <w:rFonts w:eastAsia="Times New Roman"/>
          <w:lang w:val="fr-FR"/>
        </w:rPr>
        <w:t xml:space="preserve">témoin pour le traitement </w:t>
      </w:r>
      <w:r w:rsidRPr="00466CE7">
        <w:rPr>
          <w:rFonts w:eastAsia="Times New Roman"/>
          <w:lang w:val="fr-FR"/>
        </w:rPr>
        <w:t xml:space="preserve">des déchets contenant du DDT </w:t>
      </w:r>
      <w:r>
        <w:rPr>
          <w:rFonts w:eastAsia="Times New Roman"/>
          <w:lang w:val="fr-FR"/>
        </w:rPr>
        <w:t xml:space="preserve">à l’aide de procédés non thermiques </w:t>
      </w:r>
      <w:r w:rsidRPr="00466CE7">
        <w:rPr>
          <w:rFonts w:eastAsia="Times New Roman"/>
          <w:lang w:val="fr-FR"/>
        </w:rPr>
        <w:t>dans les pays d</w:t>
      </w:r>
      <w:r>
        <w:rPr>
          <w:rFonts w:eastAsia="Times New Roman"/>
          <w:lang w:val="fr-FR"/>
        </w:rPr>
        <w:t>’</w:t>
      </w:r>
      <w:r w:rsidRPr="00466CE7">
        <w:rPr>
          <w:rFonts w:eastAsia="Times New Roman"/>
          <w:lang w:val="fr-FR"/>
        </w:rPr>
        <w:t xml:space="preserve">Asie centrale (Tadjikistan et </w:t>
      </w:r>
      <w:r w:rsidR="000479B3">
        <w:rPr>
          <w:rFonts w:eastAsia="Times New Roman"/>
          <w:lang w:val="fr-FR"/>
        </w:rPr>
        <w:t>Kirghizistan</w:t>
      </w:r>
      <w:r w:rsidRPr="00466CE7">
        <w:rPr>
          <w:rFonts w:eastAsia="Times New Roman"/>
          <w:lang w:val="fr-FR"/>
        </w:rPr>
        <w:t>)</w:t>
      </w:r>
      <w:r>
        <w:rPr>
          <w:rFonts w:eastAsia="Times New Roman"/>
          <w:lang w:val="fr-FR"/>
        </w:rPr>
        <w:t>. Dans le cadre de ce projet,</w:t>
      </w:r>
      <w:r w:rsidRPr="000A60CE">
        <w:rPr>
          <w:rFonts w:eastAsia="Times New Roman"/>
          <w:lang w:val="fr-FR"/>
        </w:rPr>
        <w:t xml:space="preserve"> </w:t>
      </w:r>
      <w:r>
        <w:rPr>
          <w:rFonts w:eastAsia="Times New Roman"/>
          <w:lang w:val="fr-FR"/>
        </w:rPr>
        <w:t xml:space="preserve">il </w:t>
      </w:r>
      <w:r w:rsidRPr="00466CE7">
        <w:rPr>
          <w:rFonts w:eastAsia="Times New Roman"/>
          <w:lang w:val="fr-FR"/>
        </w:rPr>
        <w:t>est prévu</w:t>
      </w:r>
      <w:r>
        <w:rPr>
          <w:rFonts w:eastAsia="Times New Roman"/>
          <w:lang w:val="fr-FR"/>
        </w:rPr>
        <w:t xml:space="preserve"> d’éliminer </w:t>
      </w:r>
      <w:r w:rsidRPr="00466CE7">
        <w:rPr>
          <w:rFonts w:eastAsia="Times New Roman"/>
          <w:lang w:val="fr-FR"/>
        </w:rPr>
        <w:t xml:space="preserve">les pesticides obsolètes </w:t>
      </w:r>
      <w:r>
        <w:rPr>
          <w:rFonts w:eastAsia="Times New Roman"/>
          <w:lang w:val="fr-FR"/>
        </w:rPr>
        <w:t xml:space="preserve">qui se trouvent </w:t>
      </w:r>
      <w:r w:rsidRPr="00466CE7">
        <w:rPr>
          <w:rFonts w:eastAsia="Times New Roman"/>
          <w:lang w:val="fr-FR"/>
        </w:rPr>
        <w:t xml:space="preserve">dans le site </w:t>
      </w:r>
      <w:r>
        <w:rPr>
          <w:rFonts w:eastAsia="Times New Roman"/>
          <w:lang w:val="fr-FR"/>
        </w:rPr>
        <w:t>d’enfouissement «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 xml:space="preserve"> A</w:t>
      </w:r>
      <w:r>
        <w:rPr>
          <w:rFonts w:eastAsia="Times New Roman"/>
          <w:lang w:val="fr-FR"/>
        </w:rPr>
        <w:t> »</w:t>
      </w:r>
      <w:r w:rsidRPr="00466CE7">
        <w:rPr>
          <w:rFonts w:eastAsia="Times New Roman"/>
          <w:lang w:val="fr-FR"/>
        </w:rPr>
        <w:t>.</w:t>
      </w:r>
    </w:p>
    <w:p w14:paraId="71927277" w14:textId="77777777" w:rsidR="009C6834" w:rsidRDefault="009C6834" w:rsidP="009C6834">
      <w:pPr>
        <w:pStyle w:val="SingleTxtG"/>
        <w:rPr>
          <w:rFonts w:eastAsia="Times New Roman"/>
          <w:lang w:val="fr-FR"/>
        </w:rPr>
      </w:pPr>
      <w:r w:rsidRPr="00466CE7">
        <w:rPr>
          <w:rFonts w:eastAsia="Times New Roman"/>
          <w:lang w:val="fr-FR"/>
        </w:rPr>
        <w:t>432.</w:t>
      </w:r>
      <w:r w:rsidRPr="00466CE7">
        <w:rPr>
          <w:rFonts w:eastAsia="Times New Roman"/>
          <w:lang w:val="fr-FR"/>
        </w:rPr>
        <w:tab/>
      </w:r>
      <w:r>
        <w:rPr>
          <w:rFonts w:eastAsia="Times New Roman"/>
          <w:lang w:val="fr-FR"/>
        </w:rPr>
        <w:t xml:space="preserve">Des opérations de </w:t>
      </w:r>
      <w:r w:rsidRPr="00466CE7">
        <w:rPr>
          <w:rFonts w:eastAsia="Times New Roman"/>
          <w:lang w:val="fr-FR"/>
        </w:rPr>
        <w:t xml:space="preserve">reconditionnement </w:t>
      </w:r>
      <w:r>
        <w:rPr>
          <w:rFonts w:eastAsia="Times New Roman"/>
          <w:lang w:val="fr-FR"/>
        </w:rPr>
        <w:t xml:space="preserve">et de stockage des </w:t>
      </w:r>
      <w:r w:rsidRPr="00466CE7">
        <w:rPr>
          <w:rFonts w:eastAsia="Times New Roman"/>
          <w:lang w:val="fr-FR"/>
        </w:rPr>
        <w:t xml:space="preserve">pesticides </w:t>
      </w:r>
      <w:r>
        <w:rPr>
          <w:rFonts w:eastAsia="Times New Roman"/>
          <w:lang w:val="fr-FR"/>
        </w:rPr>
        <w:t>obsolètes ont été effectuées</w:t>
      </w:r>
      <w:r w:rsidRPr="00466CE7">
        <w:rPr>
          <w:rFonts w:eastAsia="Times New Roman"/>
          <w:lang w:val="fr-FR"/>
        </w:rPr>
        <w:t xml:space="preserve"> dans la région d</w:t>
      </w:r>
      <w:r>
        <w:rPr>
          <w:rFonts w:eastAsia="Times New Roman"/>
          <w:lang w:val="fr-FR"/>
        </w:rPr>
        <w:t>’Och</w:t>
      </w:r>
      <w:r w:rsidRPr="00466CE7">
        <w:rPr>
          <w:rFonts w:eastAsia="Times New Roman"/>
          <w:lang w:val="fr-FR"/>
        </w:rPr>
        <w:t xml:space="preserve">, ainsi que dans les </w:t>
      </w:r>
      <w:r>
        <w:rPr>
          <w:rFonts w:eastAsia="Times New Roman"/>
          <w:lang w:val="fr-FR"/>
        </w:rPr>
        <w:t>dépôts d’At-Bac</w:t>
      </w:r>
      <w:r w:rsidRPr="00466CE7">
        <w:rPr>
          <w:rFonts w:eastAsia="Times New Roman"/>
          <w:lang w:val="fr-FR"/>
        </w:rPr>
        <w:t xml:space="preserve">hi et de </w:t>
      </w:r>
      <w:proofErr w:type="spellStart"/>
      <w:r w:rsidRPr="00466CE7">
        <w:rPr>
          <w:rFonts w:eastAsia="Times New Roman"/>
          <w:lang w:val="fr-FR"/>
        </w:rPr>
        <w:t>Balyk</w:t>
      </w:r>
      <w:r>
        <w:rPr>
          <w:rFonts w:eastAsia="Times New Roman"/>
          <w:lang w:val="fr-FR"/>
        </w:rPr>
        <w:t>t</w:t>
      </w:r>
      <w:r w:rsidRPr="00466CE7">
        <w:rPr>
          <w:rFonts w:eastAsia="Times New Roman"/>
          <w:lang w:val="fr-FR"/>
        </w:rPr>
        <w:t>ch</w:t>
      </w:r>
      <w:r>
        <w:rPr>
          <w:rFonts w:eastAsia="Times New Roman"/>
          <w:lang w:val="fr-FR"/>
        </w:rPr>
        <w:t>i</w:t>
      </w:r>
      <w:proofErr w:type="spellEnd"/>
      <w:r w:rsidRPr="00466CE7">
        <w:rPr>
          <w:rFonts w:eastAsia="Times New Roman"/>
          <w:lang w:val="fr-FR"/>
        </w:rPr>
        <w:t>.</w:t>
      </w:r>
    </w:p>
    <w:p w14:paraId="1A3E2C67" w14:textId="03DDF581" w:rsidR="009C6834" w:rsidRPr="00466CE7" w:rsidRDefault="009C6834" w:rsidP="00C201F9">
      <w:pPr>
        <w:pStyle w:val="SingleTxtG"/>
        <w:keepNext/>
        <w:ind w:firstLine="567"/>
        <w:rPr>
          <w:rFonts w:eastAsia="Times New Roman"/>
          <w:lang w:val="fr-FR"/>
        </w:rPr>
      </w:pPr>
      <w:r w:rsidRPr="00466CE7">
        <w:rPr>
          <w:rFonts w:eastAsia="Times New Roman"/>
          <w:lang w:val="fr-FR"/>
        </w:rPr>
        <w:t>b)</w:t>
      </w:r>
      <w:r w:rsidR="00C201F9">
        <w:rPr>
          <w:rFonts w:eastAsia="Times New Roman"/>
          <w:lang w:val="fr-FR"/>
        </w:rPr>
        <w:tab/>
      </w:r>
      <w:r w:rsidRPr="00466CE7">
        <w:rPr>
          <w:rFonts w:eastAsia="Times New Roman"/>
          <w:lang w:val="fr-FR"/>
        </w:rPr>
        <w:t xml:space="preserve">Le </w:t>
      </w:r>
      <w:r>
        <w:rPr>
          <w:rFonts w:eastAsia="Times New Roman"/>
          <w:lang w:val="fr-FR"/>
        </w:rPr>
        <w:t>c</w:t>
      </w:r>
      <w:r w:rsidRPr="00466CE7">
        <w:rPr>
          <w:rFonts w:eastAsia="Times New Roman"/>
          <w:lang w:val="fr-FR"/>
        </w:rPr>
        <w:t xml:space="preserve">ombinat de mercure de </w:t>
      </w:r>
      <w:proofErr w:type="spellStart"/>
      <w:r w:rsidRPr="00466CE7">
        <w:rPr>
          <w:rFonts w:eastAsia="Times New Roman"/>
          <w:lang w:val="fr-FR"/>
        </w:rPr>
        <w:t>Kha</w:t>
      </w:r>
      <w:r>
        <w:rPr>
          <w:rFonts w:eastAsia="Times New Roman"/>
          <w:lang w:val="fr-FR"/>
        </w:rPr>
        <w:t>ï</w:t>
      </w:r>
      <w:r w:rsidRPr="00466CE7">
        <w:rPr>
          <w:rFonts w:eastAsia="Times New Roman"/>
          <w:lang w:val="fr-FR"/>
        </w:rPr>
        <w:t>darkan</w:t>
      </w:r>
      <w:proofErr w:type="spellEnd"/>
      <w:r w:rsidRPr="00466CE7">
        <w:rPr>
          <w:rFonts w:eastAsia="Times New Roman"/>
          <w:lang w:val="fr-FR"/>
        </w:rPr>
        <w:t xml:space="preserve"> ne peu</w:t>
      </w:r>
      <w:r>
        <w:rPr>
          <w:rFonts w:eastAsia="Times New Roman"/>
          <w:lang w:val="fr-FR"/>
        </w:rPr>
        <w:t>t pas être fermé pour le moment ;</w:t>
      </w:r>
      <w:r w:rsidRPr="00466CE7">
        <w:rPr>
          <w:rFonts w:eastAsia="Times New Roman"/>
          <w:lang w:val="fr-FR"/>
        </w:rPr>
        <w:t xml:space="preserve"> </w:t>
      </w:r>
      <w:r>
        <w:rPr>
          <w:rFonts w:eastAsia="Times New Roman"/>
          <w:lang w:val="fr-FR"/>
        </w:rPr>
        <w:t>des travaux de reprofilage sont nécessaires pour protéger</w:t>
      </w:r>
      <w:r w:rsidRPr="00466CE7">
        <w:rPr>
          <w:rFonts w:eastAsia="Times New Roman"/>
          <w:lang w:val="fr-FR"/>
        </w:rPr>
        <w:t xml:space="preserve"> </w:t>
      </w:r>
      <w:r>
        <w:rPr>
          <w:rFonts w:eastAsia="Times New Roman"/>
          <w:lang w:val="fr-FR"/>
        </w:rPr>
        <w:t xml:space="preserve">les conditions de vie </w:t>
      </w:r>
      <w:r w:rsidRPr="00466CE7">
        <w:rPr>
          <w:rFonts w:eastAsia="Times New Roman"/>
          <w:lang w:val="fr-FR"/>
        </w:rPr>
        <w:t>matériel</w:t>
      </w:r>
      <w:r>
        <w:rPr>
          <w:rFonts w:eastAsia="Times New Roman"/>
          <w:lang w:val="fr-FR"/>
        </w:rPr>
        <w:t>les</w:t>
      </w:r>
      <w:r w:rsidRPr="00466CE7">
        <w:rPr>
          <w:rFonts w:eastAsia="Times New Roman"/>
          <w:lang w:val="fr-FR"/>
        </w:rPr>
        <w:t xml:space="preserve"> et social</w:t>
      </w:r>
      <w:r>
        <w:rPr>
          <w:rFonts w:eastAsia="Times New Roman"/>
          <w:lang w:val="fr-FR"/>
        </w:rPr>
        <w:t>es</w:t>
      </w:r>
      <w:r w:rsidRPr="00466CE7">
        <w:rPr>
          <w:rFonts w:eastAsia="Times New Roman"/>
          <w:lang w:val="fr-FR"/>
        </w:rPr>
        <w:t xml:space="preserve"> des résidents </w:t>
      </w:r>
      <w:r>
        <w:rPr>
          <w:rFonts w:eastAsia="Times New Roman"/>
          <w:lang w:val="fr-FR"/>
        </w:rPr>
        <w:t xml:space="preserve">du village de </w:t>
      </w:r>
      <w:proofErr w:type="spellStart"/>
      <w:r>
        <w:rPr>
          <w:rFonts w:eastAsia="Times New Roman"/>
          <w:lang w:val="fr-FR"/>
        </w:rPr>
        <w:t>Khaï</w:t>
      </w:r>
      <w:r w:rsidRPr="00466CE7">
        <w:rPr>
          <w:rFonts w:eastAsia="Times New Roman"/>
          <w:lang w:val="fr-FR"/>
        </w:rPr>
        <w:t>darkan</w:t>
      </w:r>
      <w:proofErr w:type="spellEnd"/>
      <w:r w:rsidRPr="00466CE7">
        <w:rPr>
          <w:rFonts w:eastAsia="Times New Roman"/>
          <w:lang w:val="fr-FR"/>
        </w:rPr>
        <w:t>. Les actions suivantes sont en cours</w:t>
      </w:r>
      <w:r>
        <w:rPr>
          <w:rFonts w:eastAsia="Times New Roman"/>
          <w:lang w:val="fr-FR"/>
        </w:rPr>
        <w:t> :</w:t>
      </w:r>
    </w:p>
    <w:p w14:paraId="5E3A37EB" w14:textId="67DCAE3E" w:rsidR="009C6834" w:rsidRPr="00DF6565" w:rsidRDefault="00C201F9" w:rsidP="00C201F9">
      <w:pPr>
        <w:pStyle w:val="Bullet1G"/>
        <w:rPr>
          <w:lang w:val="fr-FR"/>
        </w:rPr>
      </w:pPr>
      <w:r>
        <w:rPr>
          <w:lang w:val="fr-FR"/>
        </w:rPr>
        <w:t xml:space="preserve">Une </w:t>
      </w:r>
      <w:r w:rsidR="009C6834" w:rsidRPr="00DF6565">
        <w:rPr>
          <w:lang w:val="fr-FR"/>
        </w:rPr>
        <w:t>technologie avancée pour le traitement de</w:t>
      </w:r>
      <w:r w:rsidR="009C6834">
        <w:rPr>
          <w:lang w:val="fr-FR"/>
        </w:rPr>
        <w:t>s</w:t>
      </w:r>
      <w:r w:rsidR="009C6834" w:rsidRPr="00DF6565">
        <w:rPr>
          <w:lang w:val="fr-FR"/>
        </w:rPr>
        <w:t xml:space="preserve"> minerais complexes </w:t>
      </w:r>
      <w:r w:rsidR="009C6834">
        <w:rPr>
          <w:lang w:val="fr-FR"/>
        </w:rPr>
        <w:t xml:space="preserve">est en train d’être mise en place dans le combinat, </w:t>
      </w:r>
      <w:r w:rsidR="009C6834" w:rsidRPr="00DF6565">
        <w:rPr>
          <w:lang w:val="fr-FR"/>
        </w:rPr>
        <w:t>qui</w:t>
      </w:r>
      <w:r w:rsidR="009C6834">
        <w:rPr>
          <w:lang w:val="fr-FR"/>
        </w:rPr>
        <w:t>,</w:t>
      </w:r>
      <w:r w:rsidR="009C6834" w:rsidRPr="005B54B1">
        <w:rPr>
          <w:lang w:val="fr-FR"/>
        </w:rPr>
        <w:t xml:space="preserve"> </w:t>
      </w:r>
      <w:r w:rsidR="009C6834" w:rsidRPr="00DF6565">
        <w:rPr>
          <w:lang w:val="fr-FR"/>
        </w:rPr>
        <w:t xml:space="preserve">par rapport à la technologie </w:t>
      </w:r>
      <w:r w:rsidR="009C6834">
        <w:rPr>
          <w:lang w:val="fr-FR"/>
        </w:rPr>
        <w:t xml:space="preserve">actuelle, donne des </w:t>
      </w:r>
      <w:r w:rsidR="009C6834" w:rsidRPr="00DF6565">
        <w:rPr>
          <w:lang w:val="fr-FR"/>
        </w:rPr>
        <w:t>taux d</w:t>
      </w:r>
      <w:r w:rsidR="009C6834">
        <w:rPr>
          <w:lang w:val="fr-FR"/>
        </w:rPr>
        <w:t>’</w:t>
      </w:r>
      <w:r w:rsidR="009C6834" w:rsidRPr="00DF6565">
        <w:rPr>
          <w:lang w:val="fr-FR"/>
        </w:rPr>
        <w:t xml:space="preserve">extraction </w:t>
      </w:r>
      <w:r w:rsidR="009C6834">
        <w:rPr>
          <w:lang w:val="fr-FR"/>
        </w:rPr>
        <w:t>plus de deux fois supérieurs pour l’</w:t>
      </w:r>
      <w:r w:rsidR="009C6834" w:rsidRPr="00DF6565">
        <w:rPr>
          <w:lang w:val="fr-FR"/>
        </w:rPr>
        <w:t xml:space="preserve">antimoine, </w:t>
      </w:r>
      <w:r w:rsidR="009C6834">
        <w:rPr>
          <w:lang w:val="fr-FR"/>
        </w:rPr>
        <w:t xml:space="preserve">le </w:t>
      </w:r>
      <w:r w:rsidR="009C6834" w:rsidRPr="00DF6565">
        <w:rPr>
          <w:lang w:val="fr-FR"/>
        </w:rPr>
        <w:t xml:space="preserve">mercure et </w:t>
      </w:r>
      <w:r w:rsidR="009C6834">
        <w:rPr>
          <w:lang w:val="fr-FR"/>
        </w:rPr>
        <w:t xml:space="preserve">la </w:t>
      </w:r>
      <w:r w:rsidR="009C6834" w:rsidRPr="00DF6565">
        <w:rPr>
          <w:lang w:val="fr-FR"/>
        </w:rPr>
        <w:t>fluorine</w:t>
      </w:r>
      <w:r w:rsidR="009C6834">
        <w:rPr>
          <w:lang w:val="fr-FR"/>
        </w:rPr>
        <w:t> </w:t>
      </w:r>
      <w:r w:rsidR="009C6834" w:rsidRPr="00DF6565">
        <w:rPr>
          <w:lang w:val="fr-FR"/>
        </w:rPr>
        <w:t>;</w:t>
      </w:r>
    </w:p>
    <w:p w14:paraId="7A801DAA" w14:textId="7533100D" w:rsidR="009C6834" w:rsidRPr="00DF6565" w:rsidRDefault="00C201F9" w:rsidP="00C201F9">
      <w:pPr>
        <w:pStyle w:val="Bullet1G"/>
        <w:rPr>
          <w:lang w:val="fr-FR"/>
        </w:rPr>
      </w:pPr>
      <w:r w:rsidRPr="00DF6565">
        <w:rPr>
          <w:lang w:val="fr-FR"/>
        </w:rPr>
        <w:t xml:space="preserve">Environ </w:t>
      </w:r>
      <w:r w:rsidR="009C6834" w:rsidRPr="00DF6565">
        <w:rPr>
          <w:lang w:val="fr-FR"/>
        </w:rPr>
        <w:t>400</w:t>
      </w:r>
      <w:r>
        <w:rPr>
          <w:lang w:val="fr-FR"/>
        </w:rPr>
        <w:t> </w:t>
      </w:r>
      <w:r w:rsidR="009C6834" w:rsidRPr="00DF6565">
        <w:rPr>
          <w:lang w:val="fr-FR"/>
        </w:rPr>
        <w:t>personnes</w:t>
      </w:r>
      <w:r w:rsidR="009C6834">
        <w:rPr>
          <w:lang w:val="fr-FR"/>
        </w:rPr>
        <w:t xml:space="preserve"> travaillent actuellement dans le combinat </w:t>
      </w:r>
      <w:r w:rsidR="009C6834" w:rsidRPr="00DF6565">
        <w:rPr>
          <w:lang w:val="fr-FR"/>
        </w:rPr>
        <w:t>et</w:t>
      </w:r>
      <w:r w:rsidR="009C6834">
        <w:rPr>
          <w:lang w:val="fr-FR"/>
        </w:rPr>
        <w:t>,</w:t>
      </w:r>
      <w:r w:rsidR="009C6834" w:rsidRPr="005B54B1">
        <w:rPr>
          <w:lang w:val="fr-FR"/>
        </w:rPr>
        <w:t xml:space="preserve"> </w:t>
      </w:r>
      <w:r w:rsidR="009C6834" w:rsidRPr="00DF6565">
        <w:rPr>
          <w:lang w:val="fr-FR"/>
        </w:rPr>
        <w:t xml:space="preserve">une fois </w:t>
      </w:r>
      <w:r w:rsidR="009C6834">
        <w:rPr>
          <w:lang w:val="fr-FR"/>
        </w:rPr>
        <w:t>celui</w:t>
      </w:r>
      <w:r>
        <w:rPr>
          <w:lang w:val="fr-FR"/>
        </w:rPr>
        <w:noBreakHyphen/>
      </w:r>
      <w:r w:rsidR="009C6834">
        <w:rPr>
          <w:lang w:val="fr-FR"/>
        </w:rPr>
        <w:t>ci pleinement opérationnel,</w:t>
      </w:r>
      <w:r w:rsidR="009C6834" w:rsidRPr="00DF6565">
        <w:rPr>
          <w:lang w:val="fr-FR"/>
        </w:rPr>
        <w:t xml:space="preserve"> il est prévu de porter </w:t>
      </w:r>
      <w:r w:rsidR="009C6834">
        <w:rPr>
          <w:lang w:val="fr-FR"/>
        </w:rPr>
        <w:t xml:space="preserve">les effectifs à </w:t>
      </w:r>
      <w:r w:rsidR="009C6834" w:rsidRPr="00DF6565">
        <w:rPr>
          <w:lang w:val="fr-FR"/>
        </w:rPr>
        <w:t>600</w:t>
      </w:r>
      <w:r>
        <w:rPr>
          <w:lang w:val="fr-FR"/>
        </w:rPr>
        <w:t> </w:t>
      </w:r>
      <w:r w:rsidR="009C6834">
        <w:rPr>
          <w:lang w:val="fr-FR"/>
        </w:rPr>
        <w:t>personnes </w:t>
      </w:r>
      <w:r w:rsidR="009C6834" w:rsidRPr="00DF6565">
        <w:rPr>
          <w:lang w:val="fr-FR"/>
        </w:rPr>
        <w:t>;</w:t>
      </w:r>
    </w:p>
    <w:p w14:paraId="1FFF0729" w14:textId="59225CA9" w:rsidR="009C6834" w:rsidRPr="00DF6565" w:rsidRDefault="00C201F9" w:rsidP="00C201F9">
      <w:pPr>
        <w:pStyle w:val="Bullet1G"/>
        <w:rPr>
          <w:lang w:val="fr-FR"/>
        </w:rPr>
      </w:pPr>
      <w:r>
        <w:rPr>
          <w:lang w:val="fr-FR"/>
        </w:rPr>
        <w:t>D</w:t>
      </w:r>
      <w:r w:rsidRPr="00DF6565">
        <w:rPr>
          <w:lang w:val="fr-FR"/>
        </w:rPr>
        <w:t xml:space="preserve">es </w:t>
      </w:r>
      <w:r w:rsidR="009C6834">
        <w:rPr>
          <w:lang w:val="fr-FR"/>
        </w:rPr>
        <w:t xml:space="preserve">activités sont menées conjointement avec la société </w:t>
      </w:r>
      <w:proofErr w:type="spellStart"/>
      <w:r w:rsidR="009C6834">
        <w:rPr>
          <w:lang w:val="fr-FR"/>
        </w:rPr>
        <w:t>Sourma-Tach</w:t>
      </w:r>
      <w:proofErr w:type="spellEnd"/>
      <w:r w:rsidR="009C6834" w:rsidRPr="00DF6565">
        <w:rPr>
          <w:lang w:val="fr-FR"/>
        </w:rPr>
        <w:t xml:space="preserve">, qui a déjà construit et mis en service une mini-usine </w:t>
      </w:r>
      <w:r w:rsidR="009C6834">
        <w:rPr>
          <w:lang w:val="fr-FR"/>
        </w:rPr>
        <w:t xml:space="preserve">de </w:t>
      </w:r>
      <w:r w:rsidR="009C6834" w:rsidRPr="00DF6565">
        <w:rPr>
          <w:lang w:val="fr-FR"/>
        </w:rPr>
        <w:t>production d</w:t>
      </w:r>
      <w:r w:rsidR="009C6834">
        <w:rPr>
          <w:lang w:val="fr-FR"/>
        </w:rPr>
        <w:t>’</w:t>
      </w:r>
      <w:r w:rsidR="009C6834" w:rsidRPr="00DF6565">
        <w:rPr>
          <w:lang w:val="fr-FR"/>
        </w:rPr>
        <w:t>antimoine métal</w:t>
      </w:r>
      <w:r w:rsidR="009C6834">
        <w:rPr>
          <w:lang w:val="fr-FR"/>
        </w:rPr>
        <w:t>lique</w:t>
      </w:r>
      <w:r w:rsidR="009C6834" w:rsidRPr="00DF6565">
        <w:rPr>
          <w:lang w:val="fr-FR"/>
        </w:rPr>
        <w:t>.</w:t>
      </w:r>
    </w:p>
    <w:p w14:paraId="15C261E0" w14:textId="076AF002" w:rsidR="009C6834" w:rsidRPr="00466CE7" w:rsidRDefault="009C6834" w:rsidP="00C201F9">
      <w:pPr>
        <w:pStyle w:val="SingleTxtG"/>
        <w:keepNext/>
        <w:ind w:firstLine="567"/>
        <w:rPr>
          <w:rFonts w:eastAsia="Times New Roman"/>
          <w:lang w:val="fr-FR"/>
        </w:rPr>
      </w:pPr>
      <w:r w:rsidRPr="00466CE7">
        <w:rPr>
          <w:rFonts w:eastAsia="Times New Roman"/>
          <w:lang w:val="fr-FR"/>
        </w:rPr>
        <w:t>c)</w:t>
      </w:r>
      <w:r w:rsidR="00C201F9">
        <w:rPr>
          <w:rFonts w:eastAsia="Times New Roman"/>
          <w:lang w:val="fr-FR"/>
        </w:rPr>
        <w:tab/>
      </w:r>
      <w:r w:rsidRPr="00466CE7">
        <w:rPr>
          <w:rFonts w:eastAsia="Times New Roman"/>
          <w:lang w:val="fr-FR"/>
        </w:rPr>
        <w:t xml:space="preserve">Conformément à la réglementation sanitaire approuvée par </w:t>
      </w:r>
      <w:r>
        <w:rPr>
          <w:rFonts w:eastAsia="Times New Roman"/>
          <w:lang w:val="fr-FR"/>
        </w:rPr>
        <w:t xml:space="preserve">une décision du </w:t>
      </w:r>
      <w:r w:rsidR="004E1593">
        <w:rPr>
          <w:rFonts w:eastAsia="Times New Roman"/>
          <w:lang w:val="fr-FR"/>
        </w:rPr>
        <w:t xml:space="preserve">Gouvernement </w:t>
      </w:r>
      <w:r>
        <w:rPr>
          <w:rFonts w:eastAsia="Times New Roman"/>
          <w:lang w:val="fr-FR"/>
        </w:rPr>
        <w:t xml:space="preserve">en </w:t>
      </w:r>
      <w:r w:rsidRPr="00466CE7">
        <w:rPr>
          <w:rFonts w:eastAsia="Times New Roman"/>
          <w:lang w:val="fr-FR"/>
        </w:rPr>
        <w:t xml:space="preserve">2016, </w:t>
      </w:r>
      <w:r>
        <w:rPr>
          <w:rFonts w:eastAsia="Times New Roman"/>
          <w:lang w:val="fr-FR"/>
        </w:rPr>
        <w:t xml:space="preserve">les plans </w:t>
      </w:r>
      <w:r w:rsidRPr="00466CE7">
        <w:rPr>
          <w:rFonts w:eastAsia="Times New Roman"/>
          <w:lang w:val="fr-FR"/>
        </w:rPr>
        <w:t>de construction doi</w:t>
      </w:r>
      <w:r>
        <w:rPr>
          <w:rFonts w:eastAsia="Times New Roman"/>
          <w:lang w:val="fr-FR"/>
        </w:rPr>
        <w:t>vent</w:t>
      </w:r>
      <w:r w:rsidRPr="00466CE7">
        <w:rPr>
          <w:rFonts w:eastAsia="Times New Roman"/>
          <w:lang w:val="fr-FR"/>
        </w:rPr>
        <w:t xml:space="preserve"> respecter la réglementation </w:t>
      </w:r>
      <w:r>
        <w:rPr>
          <w:rFonts w:eastAsia="Times New Roman"/>
          <w:lang w:val="fr-FR"/>
        </w:rPr>
        <w:t xml:space="preserve">relative aux </w:t>
      </w:r>
      <w:r w:rsidRPr="00466CE7">
        <w:rPr>
          <w:rFonts w:eastAsia="Times New Roman"/>
          <w:lang w:val="fr-FR"/>
        </w:rPr>
        <w:t>zones de protection sanitaire et la classification sanitaire des entreprises, structures et autres installations.</w:t>
      </w:r>
    </w:p>
    <w:p w14:paraId="5D3187C5" w14:textId="036367D6" w:rsidR="009C6834" w:rsidRPr="00466CE7" w:rsidRDefault="009C6834" w:rsidP="009C6834">
      <w:pPr>
        <w:pStyle w:val="SingleTxtG"/>
        <w:rPr>
          <w:rFonts w:eastAsia="Times New Roman"/>
          <w:lang w:val="fr-FR"/>
        </w:rPr>
      </w:pPr>
      <w:r w:rsidRPr="00466CE7">
        <w:rPr>
          <w:rFonts w:eastAsia="Times New Roman"/>
          <w:lang w:val="fr-FR"/>
        </w:rPr>
        <w:t>433.</w:t>
      </w:r>
      <w:r w:rsidRPr="00466CE7">
        <w:rPr>
          <w:rFonts w:eastAsia="Times New Roman"/>
          <w:lang w:val="fr-FR"/>
        </w:rPr>
        <w:tab/>
      </w:r>
      <w:r>
        <w:rPr>
          <w:rFonts w:eastAsia="Times New Roman"/>
          <w:lang w:val="fr-FR"/>
        </w:rPr>
        <w:t xml:space="preserve">Il existe un </w:t>
      </w:r>
      <w:r w:rsidRPr="00466CE7">
        <w:rPr>
          <w:rFonts w:eastAsia="Times New Roman"/>
          <w:lang w:val="fr-FR"/>
        </w:rPr>
        <w:t>foyer d</w:t>
      </w:r>
      <w:r>
        <w:rPr>
          <w:rFonts w:eastAsia="Times New Roman"/>
          <w:lang w:val="fr-FR"/>
        </w:rPr>
        <w:t xml:space="preserve">e maladie du charbon </w:t>
      </w:r>
      <w:r w:rsidRPr="00466CE7">
        <w:rPr>
          <w:rFonts w:eastAsia="Times New Roman"/>
          <w:lang w:val="fr-FR"/>
        </w:rPr>
        <w:t xml:space="preserve">dans </w:t>
      </w:r>
      <w:r>
        <w:rPr>
          <w:rFonts w:eastAsia="Times New Roman"/>
          <w:lang w:val="fr-FR"/>
        </w:rPr>
        <w:t xml:space="preserve">la zone résidentielle </w:t>
      </w:r>
      <w:r w:rsidRPr="00466CE7">
        <w:rPr>
          <w:rFonts w:eastAsia="Times New Roman"/>
          <w:lang w:val="fr-FR"/>
        </w:rPr>
        <w:t>d</w:t>
      </w:r>
      <w:r>
        <w:rPr>
          <w:rFonts w:eastAsia="Times New Roman"/>
          <w:lang w:val="fr-FR"/>
        </w:rPr>
        <w:t>’</w:t>
      </w:r>
      <w:r w:rsidRPr="00466CE7">
        <w:rPr>
          <w:rFonts w:eastAsia="Times New Roman"/>
          <w:lang w:val="fr-FR"/>
        </w:rPr>
        <w:t>Ala-</w:t>
      </w:r>
      <w:proofErr w:type="spellStart"/>
      <w:r w:rsidRPr="00466CE7">
        <w:rPr>
          <w:rFonts w:eastAsia="Times New Roman"/>
          <w:lang w:val="fr-FR"/>
        </w:rPr>
        <w:t>Too</w:t>
      </w:r>
      <w:proofErr w:type="spellEnd"/>
      <w:r w:rsidRPr="00466CE7">
        <w:rPr>
          <w:rFonts w:eastAsia="Times New Roman"/>
          <w:lang w:val="fr-FR"/>
        </w:rPr>
        <w:t xml:space="preserve">, </w:t>
      </w:r>
      <w:r>
        <w:rPr>
          <w:rFonts w:eastAsia="Times New Roman"/>
          <w:lang w:val="fr-FR"/>
        </w:rPr>
        <w:t xml:space="preserve">dans le district </w:t>
      </w:r>
      <w:proofErr w:type="spellStart"/>
      <w:r>
        <w:rPr>
          <w:rFonts w:eastAsia="Times New Roman"/>
          <w:lang w:val="fr-FR"/>
        </w:rPr>
        <w:t>Leninsky</w:t>
      </w:r>
      <w:proofErr w:type="spellEnd"/>
      <w:r>
        <w:rPr>
          <w:rFonts w:eastAsia="Times New Roman"/>
          <w:lang w:val="fr-FR"/>
        </w:rPr>
        <w:t xml:space="preserve"> à Bichkek</w:t>
      </w:r>
      <w:r w:rsidRPr="00466CE7">
        <w:rPr>
          <w:rFonts w:eastAsia="Times New Roman"/>
          <w:lang w:val="fr-FR"/>
        </w:rPr>
        <w:t xml:space="preserve">, </w:t>
      </w:r>
      <w:r>
        <w:rPr>
          <w:rFonts w:eastAsia="Times New Roman"/>
          <w:lang w:val="fr-FR"/>
        </w:rPr>
        <w:t xml:space="preserve">enregistré </w:t>
      </w:r>
      <w:r w:rsidRPr="00466CE7">
        <w:rPr>
          <w:rFonts w:eastAsia="Times New Roman"/>
          <w:lang w:val="fr-FR"/>
        </w:rPr>
        <w:t>le 6</w:t>
      </w:r>
      <w:r w:rsidR="00C201F9">
        <w:rPr>
          <w:rFonts w:eastAsia="Times New Roman"/>
          <w:lang w:val="fr-FR"/>
        </w:rPr>
        <w:t> </w:t>
      </w:r>
      <w:r w:rsidRPr="00466CE7">
        <w:rPr>
          <w:rFonts w:eastAsia="Times New Roman"/>
          <w:lang w:val="fr-FR"/>
        </w:rPr>
        <w:t>novembre 1940</w:t>
      </w:r>
      <w:r>
        <w:rPr>
          <w:rFonts w:eastAsia="Times New Roman"/>
          <w:lang w:val="fr-FR"/>
        </w:rPr>
        <w:t xml:space="preserve"> sur le territoire de l’ancien kolkhoze </w:t>
      </w:r>
      <w:proofErr w:type="spellStart"/>
      <w:r w:rsidRPr="00466CE7">
        <w:rPr>
          <w:rFonts w:eastAsia="Times New Roman"/>
          <w:lang w:val="fr-FR"/>
        </w:rPr>
        <w:t>Krasna</w:t>
      </w:r>
      <w:r>
        <w:rPr>
          <w:rFonts w:eastAsia="Times New Roman"/>
          <w:lang w:val="fr-FR"/>
        </w:rPr>
        <w:t>ya</w:t>
      </w:r>
      <w:proofErr w:type="spellEnd"/>
      <w:r w:rsidRPr="00466CE7">
        <w:rPr>
          <w:rFonts w:eastAsia="Times New Roman"/>
          <w:lang w:val="fr-FR"/>
        </w:rPr>
        <w:t xml:space="preserve"> </w:t>
      </w:r>
      <w:proofErr w:type="spellStart"/>
      <w:r w:rsidRPr="00466CE7">
        <w:rPr>
          <w:rFonts w:eastAsia="Times New Roman"/>
          <w:lang w:val="fr-FR"/>
        </w:rPr>
        <w:t>Zar</w:t>
      </w:r>
      <w:r>
        <w:rPr>
          <w:rFonts w:eastAsia="Times New Roman"/>
          <w:lang w:val="fr-FR"/>
        </w:rPr>
        <w:t>ya</w:t>
      </w:r>
      <w:proofErr w:type="spellEnd"/>
      <w:r w:rsidRPr="00466CE7">
        <w:rPr>
          <w:rFonts w:eastAsia="Times New Roman"/>
          <w:lang w:val="fr-FR"/>
        </w:rPr>
        <w:t xml:space="preserve"> </w:t>
      </w:r>
      <w:r>
        <w:rPr>
          <w:rFonts w:eastAsia="Times New Roman"/>
          <w:lang w:val="fr-FR"/>
        </w:rPr>
        <w:t>(</w:t>
      </w:r>
      <w:r w:rsidRPr="00466CE7">
        <w:rPr>
          <w:rFonts w:eastAsia="Times New Roman"/>
          <w:lang w:val="fr-FR"/>
        </w:rPr>
        <w:t xml:space="preserve">district </w:t>
      </w:r>
      <w:proofErr w:type="spellStart"/>
      <w:r w:rsidRPr="00466CE7">
        <w:rPr>
          <w:rFonts w:eastAsia="Times New Roman"/>
          <w:lang w:val="fr-FR"/>
        </w:rPr>
        <w:t>Sok</w:t>
      </w:r>
      <w:r>
        <w:rPr>
          <w:rFonts w:eastAsia="Times New Roman"/>
          <w:lang w:val="fr-FR"/>
        </w:rPr>
        <w:t>o</w:t>
      </w:r>
      <w:r w:rsidRPr="00466CE7">
        <w:rPr>
          <w:rFonts w:eastAsia="Times New Roman"/>
          <w:lang w:val="fr-FR"/>
        </w:rPr>
        <w:t>ul</w:t>
      </w:r>
      <w:r>
        <w:rPr>
          <w:rFonts w:eastAsia="Times New Roman"/>
          <w:lang w:val="fr-FR"/>
        </w:rPr>
        <w:t>o</w:t>
      </w:r>
      <w:r w:rsidRPr="00466CE7">
        <w:rPr>
          <w:rFonts w:eastAsia="Times New Roman"/>
          <w:lang w:val="fr-FR"/>
        </w:rPr>
        <w:t>uk</w:t>
      </w:r>
      <w:r>
        <w:rPr>
          <w:rFonts w:eastAsia="Times New Roman"/>
          <w:lang w:val="fr-FR"/>
        </w:rPr>
        <w:t>ski</w:t>
      </w:r>
      <w:proofErr w:type="spellEnd"/>
      <w:r>
        <w:rPr>
          <w:rFonts w:eastAsia="Times New Roman"/>
          <w:lang w:val="fr-FR"/>
        </w:rPr>
        <w:t>)</w:t>
      </w:r>
      <w:r w:rsidRPr="00466CE7">
        <w:rPr>
          <w:rFonts w:eastAsia="Times New Roman"/>
          <w:lang w:val="fr-FR"/>
        </w:rPr>
        <w:t xml:space="preserve">. </w:t>
      </w:r>
      <w:r>
        <w:rPr>
          <w:rFonts w:eastAsia="Times New Roman"/>
          <w:lang w:val="fr-FR"/>
        </w:rPr>
        <w:t xml:space="preserve">Il a été documenté </w:t>
      </w:r>
      <w:r w:rsidRPr="00466CE7">
        <w:rPr>
          <w:rFonts w:eastAsia="Times New Roman"/>
          <w:lang w:val="fr-FR"/>
        </w:rPr>
        <w:t>le 20</w:t>
      </w:r>
      <w:r w:rsidR="00C201F9">
        <w:rPr>
          <w:rFonts w:eastAsia="Times New Roman"/>
          <w:lang w:val="fr-FR"/>
        </w:rPr>
        <w:t> </w:t>
      </w:r>
      <w:r w:rsidRPr="00466CE7">
        <w:rPr>
          <w:rFonts w:eastAsia="Times New Roman"/>
          <w:lang w:val="fr-FR"/>
        </w:rPr>
        <w:t>octobre 1965</w:t>
      </w:r>
      <w:r>
        <w:rPr>
          <w:rFonts w:eastAsia="Times New Roman"/>
          <w:lang w:val="fr-FR"/>
        </w:rPr>
        <w:t xml:space="preserve"> : </w:t>
      </w:r>
      <w:r w:rsidRPr="00466CE7">
        <w:rPr>
          <w:rFonts w:eastAsia="Times New Roman"/>
          <w:lang w:val="fr-FR"/>
        </w:rPr>
        <w:t>on a</w:t>
      </w:r>
      <w:r>
        <w:rPr>
          <w:rFonts w:eastAsia="Times New Roman"/>
          <w:lang w:val="fr-FR"/>
        </w:rPr>
        <w:t>vait</w:t>
      </w:r>
      <w:r w:rsidRPr="00466CE7">
        <w:rPr>
          <w:rFonts w:eastAsia="Times New Roman"/>
          <w:lang w:val="fr-FR"/>
        </w:rPr>
        <w:t xml:space="preserve"> enterré </w:t>
      </w:r>
      <w:r>
        <w:rPr>
          <w:rFonts w:eastAsia="Times New Roman"/>
          <w:lang w:val="fr-FR"/>
        </w:rPr>
        <w:t xml:space="preserve">dans cette zone entre </w:t>
      </w:r>
      <w:r w:rsidRPr="00466CE7">
        <w:rPr>
          <w:rFonts w:eastAsia="Times New Roman"/>
          <w:lang w:val="fr-FR"/>
        </w:rPr>
        <w:t xml:space="preserve">1940 </w:t>
      </w:r>
      <w:r>
        <w:rPr>
          <w:rFonts w:eastAsia="Times New Roman"/>
          <w:lang w:val="fr-FR"/>
        </w:rPr>
        <w:t xml:space="preserve">et 1946 </w:t>
      </w:r>
      <w:r w:rsidRPr="00466CE7">
        <w:rPr>
          <w:rFonts w:eastAsia="Times New Roman"/>
          <w:lang w:val="fr-FR"/>
        </w:rPr>
        <w:t>des carcasses d</w:t>
      </w:r>
      <w:r>
        <w:rPr>
          <w:rFonts w:eastAsia="Times New Roman"/>
          <w:lang w:val="fr-FR"/>
        </w:rPr>
        <w:t>’</w:t>
      </w:r>
      <w:r w:rsidRPr="00466CE7">
        <w:rPr>
          <w:rFonts w:eastAsia="Times New Roman"/>
          <w:lang w:val="fr-FR"/>
        </w:rPr>
        <w:t>animaux morts de la maladie du charbon</w:t>
      </w:r>
      <w:r>
        <w:rPr>
          <w:rFonts w:eastAsia="Times New Roman"/>
          <w:lang w:val="fr-FR"/>
        </w:rPr>
        <w:t xml:space="preserve"> </w:t>
      </w:r>
      <w:r w:rsidRPr="00466CE7">
        <w:rPr>
          <w:rFonts w:eastAsia="Times New Roman"/>
          <w:lang w:val="fr-FR"/>
        </w:rPr>
        <w:t>(</w:t>
      </w:r>
      <w:r>
        <w:rPr>
          <w:rFonts w:eastAsia="Times New Roman"/>
          <w:lang w:val="fr-FR"/>
        </w:rPr>
        <w:t>3</w:t>
      </w:r>
      <w:r w:rsidR="00C201F9">
        <w:rPr>
          <w:rFonts w:eastAsia="Times New Roman"/>
          <w:lang w:val="fr-FR"/>
        </w:rPr>
        <w:t> </w:t>
      </w:r>
      <w:r w:rsidRPr="00466CE7">
        <w:rPr>
          <w:rFonts w:eastAsia="Times New Roman"/>
          <w:lang w:val="fr-FR"/>
        </w:rPr>
        <w:t>chevaux</w:t>
      </w:r>
      <w:r>
        <w:rPr>
          <w:rFonts w:eastAsia="Times New Roman"/>
          <w:lang w:val="fr-FR"/>
        </w:rPr>
        <w:t xml:space="preserve">, </w:t>
      </w:r>
      <w:r w:rsidRPr="00466CE7">
        <w:rPr>
          <w:rFonts w:eastAsia="Times New Roman"/>
          <w:lang w:val="fr-FR"/>
        </w:rPr>
        <w:t>3</w:t>
      </w:r>
      <w:r w:rsidR="00C201F9">
        <w:rPr>
          <w:rFonts w:eastAsia="Times New Roman"/>
          <w:lang w:val="fr-FR"/>
        </w:rPr>
        <w:t> </w:t>
      </w:r>
      <w:r w:rsidRPr="00466CE7">
        <w:rPr>
          <w:rFonts w:eastAsia="Times New Roman"/>
          <w:lang w:val="fr-FR"/>
        </w:rPr>
        <w:t>bovins et 3</w:t>
      </w:r>
      <w:r w:rsidR="00C201F9">
        <w:rPr>
          <w:rFonts w:eastAsia="Times New Roman"/>
          <w:lang w:val="fr-FR"/>
        </w:rPr>
        <w:t> </w:t>
      </w:r>
      <w:r w:rsidRPr="00466CE7">
        <w:rPr>
          <w:rFonts w:eastAsia="Times New Roman"/>
          <w:lang w:val="fr-FR"/>
        </w:rPr>
        <w:t>petits ruminants).</w:t>
      </w:r>
    </w:p>
    <w:p w14:paraId="50326FA6" w14:textId="3532F2B3" w:rsidR="009C6834" w:rsidRPr="00466CE7" w:rsidRDefault="009C6834" w:rsidP="009C6834">
      <w:pPr>
        <w:pStyle w:val="SingleTxtG"/>
        <w:rPr>
          <w:rFonts w:eastAsia="Times New Roman"/>
          <w:lang w:val="fr-FR"/>
        </w:rPr>
      </w:pPr>
      <w:bookmarkStart w:id="6" w:name="_Hlk89266431"/>
      <w:r w:rsidRPr="00466CE7">
        <w:rPr>
          <w:rFonts w:eastAsia="Times New Roman"/>
          <w:lang w:val="fr-FR"/>
        </w:rPr>
        <w:t>434.</w:t>
      </w:r>
      <w:r w:rsidRPr="00466CE7">
        <w:rPr>
          <w:rFonts w:eastAsia="Times New Roman"/>
          <w:lang w:val="fr-FR"/>
        </w:rPr>
        <w:tab/>
      </w:r>
      <w:r>
        <w:rPr>
          <w:rFonts w:eastAsia="Times New Roman"/>
          <w:lang w:val="fr-FR"/>
        </w:rPr>
        <w:t>L</w:t>
      </w:r>
      <w:r w:rsidRPr="00466CE7">
        <w:rPr>
          <w:rFonts w:eastAsia="Times New Roman"/>
          <w:lang w:val="fr-FR"/>
        </w:rPr>
        <w:t xml:space="preserve">e conseil municipal de Bichkek a adopté </w:t>
      </w:r>
      <w:r>
        <w:rPr>
          <w:rFonts w:eastAsia="Times New Roman"/>
          <w:lang w:val="fr-FR"/>
        </w:rPr>
        <w:t xml:space="preserve">en </w:t>
      </w:r>
      <w:r w:rsidRPr="00466CE7">
        <w:rPr>
          <w:rFonts w:eastAsia="Times New Roman"/>
          <w:lang w:val="fr-FR"/>
        </w:rPr>
        <w:t xml:space="preserve">2005 une </w:t>
      </w:r>
      <w:r>
        <w:rPr>
          <w:rFonts w:eastAsia="Times New Roman"/>
          <w:lang w:val="fr-FR"/>
        </w:rPr>
        <w:t xml:space="preserve">décision prévoyant : l’interdiction de construire </w:t>
      </w:r>
      <w:r w:rsidRPr="00466CE7">
        <w:rPr>
          <w:rFonts w:eastAsia="Times New Roman"/>
          <w:lang w:val="fr-FR"/>
        </w:rPr>
        <w:t>dans la zone de protection sanitaire, la réinstallation de</w:t>
      </w:r>
      <w:r>
        <w:rPr>
          <w:rFonts w:eastAsia="Times New Roman"/>
          <w:lang w:val="fr-FR"/>
        </w:rPr>
        <w:t>s</w:t>
      </w:r>
      <w:r w:rsidRPr="00466CE7">
        <w:rPr>
          <w:rFonts w:eastAsia="Times New Roman"/>
          <w:lang w:val="fr-FR"/>
        </w:rPr>
        <w:t xml:space="preserve"> </w:t>
      </w:r>
      <w:r>
        <w:rPr>
          <w:rFonts w:eastAsia="Times New Roman"/>
          <w:lang w:val="fr-FR"/>
        </w:rPr>
        <w:t xml:space="preserve">résidents sur </w:t>
      </w:r>
      <w:r w:rsidRPr="00466CE7">
        <w:rPr>
          <w:rFonts w:eastAsia="Times New Roman"/>
          <w:lang w:val="fr-FR"/>
        </w:rPr>
        <w:t>d</w:t>
      </w:r>
      <w:r>
        <w:rPr>
          <w:rFonts w:eastAsia="Times New Roman"/>
          <w:lang w:val="fr-FR"/>
        </w:rPr>
        <w:t>’</w:t>
      </w:r>
      <w:r w:rsidRPr="00466CE7">
        <w:rPr>
          <w:rFonts w:eastAsia="Times New Roman"/>
          <w:lang w:val="fr-FR"/>
        </w:rPr>
        <w:t xml:space="preserve">autres </w:t>
      </w:r>
      <w:r>
        <w:rPr>
          <w:rFonts w:eastAsia="Times New Roman"/>
          <w:lang w:val="fr-FR"/>
        </w:rPr>
        <w:t>territoires</w:t>
      </w:r>
      <w:r w:rsidRPr="00466CE7">
        <w:rPr>
          <w:rFonts w:eastAsia="Times New Roman"/>
          <w:lang w:val="fr-FR"/>
        </w:rPr>
        <w:t>, l</w:t>
      </w:r>
      <w:r>
        <w:rPr>
          <w:rFonts w:eastAsia="Times New Roman"/>
          <w:lang w:val="fr-FR"/>
        </w:rPr>
        <w:t>’</w:t>
      </w:r>
      <w:r w:rsidRPr="00466CE7">
        <w:rPr>
          <w:rFonts w:eastAsia="Times New Roman"/>
          <w:lang w:val="fr-FR"/>
        </w:rPr>
        <w:t xml:space="preserve">achèvement des travaux de construction </w:t>
      </w:r>
      <w:r>
        <w:rPr>
          <w:rFonts w:eastAsia="Times New Roman"/>
          <w:lang w:val="fr-FR"/>
        </w:rPr>
        <w:t xml:space="preserve">destinés </w:t>
      </w:r>
      <w:r w:rsidRPr="00466CE7">
        <w:rPr>
          <w:rFonts w:eastAsia="Times New Roman"/>
          <w:lang w:val="fr-FR"/>
        </w:rPr>
        <w:t xml:space="preserve">à clôturer le </w:t>
      </w:r>
      <w:r>
        <w:rPr>
          <w:rFonts w:eastAsia="Times New Roman"/>
          <w:lang w:val="fr-FR"/>
        </w:rPr>
        <w:t xml:space="preserve">site, </w:t>
      </w:r>
      <w:r w:rsidRPr="00466CE7">
        <w:rPr>
          <w:rFonts w:eastAsia="Times New Roman"/>
          <w:lang w:val="fr-FR"/>
        </w:rPr>
        <w:t>et la réalisation d</w:t>
      </w:r>
      <w:r>
        <w:rPr>
          <w:rFonts w:eastAsia="Times New Roman"/>
          <w:lang w:val="fr-FR"/>
        </w:rPr>
        <w:t>’</w:t>
      </w:r>
      <w:r w:rsidRPr="00466CE7">
        <w:rPr>
          <w:rFonts w:eastAsia="Times New Roman"/>
          <w:lang w:val="fr-FR"/>
        </w:rPr>
        <w:t>analyses de laboratoire de l</w:t>
      </w:r>
      <w:r>
        <w:rPr>
          <w:rFonts w:eastAsia="Times New Roman"/>
          <w:lang w:val="fr-FR"/>
        </w:rPr>
        <w:t>’</w:t>
      </w:r>
      <w:r w:rsidRPr="00466CE7">
        <w:rPr>
          <w:rFonts w:eastAsia="Times New Roman"/>
          <w:lang w:val="fr-FR"/>
        </w:rPr>
        <w:t>eau et du sol dans la zone résidentielle d</w:t>
      </w:r>
      <w:r>
        <w:rPr>
          <w:rFonts w:eastAsia="Times New Roman"/>
          <w:lang w:val="fr-FR"/>
        </w:rPr>
        <w:t>’</w:t>
      </w:r>
      <w:r w:rsidRPr="00466CE7">
        <w:rPr>
          <w:rFonts w:eastAsia="Times New Roman"/>
          <w:lang w:val="fr-FR"/>
        </w:rPr>
        <w:t>Ala</w:t>
      </w:r>
      <w:r w:rsidR="004E1593">
        <w:rPr>
          <w:rFonts w:eastAsia="Times New Roman"/>
          <w:lang w:val="fr-FR"/>
        </w:rPr>
        <w:noBreakHyphen/>
      </w:r>
      <w:proofErr w:type="spellStart"/>
      <w:r w:rsidRPr="00466CE7">
        <w:rPr>
          <w:rFonts w:eastAsia="Times New Roman"/>
          <w:lang w:val="fr-FR"/>
        </w:rPr>
        <w:t>Too</w:t>
      </w:r>
      <w:proofErr w:type="spellEnd"/>
      <w:r w:rsidRPr="00466CE7">
        <w:rPr>
          <w:rFonts w:eastAsia="Times New Roman"/>
          <w:lang w:val="fr-FR"/>
        </w:rPr>
        <w:t xml:space="preserve"> et près du </w:t>
      </w:r>
      <w:r>
        <w:rPr>
          <w:rFonts w:eastAsia="Times New Roman"/>
          <w:lang w:val="fr-FR"/>
        </w:rPr>
        <w:t xml:space="preserve">site d’enfouissement du </w:t>
      </w:r>
      <w:r w:rsidRPr="00466CE7">
        <w:rPr>
          <w:rFonts w:eastAsia="Times New Roman"/>
          <w:lang w:val="fr-FR"/>
        </w:rPr>
        <w:t>bétail.</w:t>
      </w:r>
    </w:p>
    <w:bookmarkEnd w:id="6"/>
    <w:p w14:paraId="39F22067" w14:textId="77777777" w:rsidR="009C6834" w:rsidRPr="00466CE7" w:rsidRDefault="009C6834" w:rsidP="004E1593">
      <w:pPr>
        <w:pStyle w:val="SingleTxtG"/>
        <w:keepNext/>
        <w:keepLines/>
        <w:rPr>
          <w:rFonts w:eastAsia="Times New Roman"/>
          <w:lang w:val="fr-FR"/>
        </w:rPr>
      </w:pPr>
      <w:r w:rsidRPr="00466CE7">
        <w:rPr>
          <w:rFonts w:eastAsia="Times New Roman"/>
          <w:lang w:val="fr-FR"/>
        </w:rPr>
        <w:lastRenderedPageBreak/>
        <w:t>435.</w:t>
      </w:r>
      <w:r w:rsidRPr="00466CE7">
        <w:rPr>
          <w:rFonts w:eastAsia="Times New Roman"/>
          <w:lang w:val="fr-FR"/>
        </w:rPr>
        <w:tab/>
        <w:t xml:space="preserve">Deux </w:t>
      </w:r>
      <w:r>
        <w:rPr>
          <w:rFonts w:eastAsia="Times New Roman"/>
          <w:lang w:val="fr-FR"/>
        </w:rPr>
        <w:t xml:space="preserve">opérations d’assainissement </w:t>
      </w:r>
      <w:r w:rsidRPr="00466CE7">
        <w:rPr>
          <w:rFonts w:eastAsia="Times New Roman"/>
          <w:lang w:val="fr-FR"/>
        </w:rPr>
        <w:t>sont effectué</w:t>
      </w:r>
      <w:r>
        <w:rPr>
          <w:rFonts w:eastAsia="Times New Roman"/>
          <w:lang w:val="fr-FR"/>
        </w:rPr>
        <w:t>e</w:t>
      </w:r>
      <w:r w:rsidRPr="00466CE7">
        <w:rPr>
          <w:rFonts w:eastAsia="Times New Roman"/>
          <w:lang w:val="fr-FR"/>
        </w:rPr>
        <w:t xml:space="preserve">s </w:t>
      </w:r>
      <w:r>
        <w:rPr>
          <w:rFonts w:eastAsia="Times New Roman"/>
          <w:lang w:val="fr-FR"/>
        </w:rPr>
        <w:t xml:space="preserve">sur ce site chaque année </w:t>
      </w:r>
      <w:r w:rsidRPr="00466CE7">
        <w:rPr>
          <w:rFonts w:eastAsia="Times New Roman"/>
          <w:lang w:val="fr-FR"/>
        </w:rPr>
        <w:t>(</w:t>
      </w:r>
      <w:r>
        <w:rPr>
          <w:rFonts w:eastAsia="Times New Roman"/>
          <w:lang w:val="fr-FR"/>
        </w:rPr>
        <w:t xml:space="preserve">au </w:t>
      </w:r>
      <w:r w:rsidRPr="00466CE7">
        <w:rPr>
          <w:rFonts w:eastAsia="Times New Roman"/>
          <w:lang w:val="fr-FR"/>
        </w:rPr>
        <w:t xml:space="preserve">printemps et </w:t>
      </w:r>
      <w:r>
        <w:rPr>
          <w:rFonts w:eastAsia="Times New Roman"/>
          <w:lang w:val="fr-FR"/>
        </w:rPr>
        <w:t>à l’</w:t>
      </w:r>
      <w:r w:rsidRPr="00466CE7">
        <w:rPr>
          <w:rFonts w:eastAsia="Times New Roman"/>
          <w:lang w:val="fr-FR"/>
        </w:rPr>
        <w:t>automne)</w:t>
      </w:r>
      <w:r>
        <w:rPr>
          <w:rFonts w:eastAsia="Times New Roman"/>
          <w:lang w:val="fr-FR"/>
        </w:rPr>
        <w:t xml:space="preserve"> et des échantillons d</w:t>
      </w:r>
      <w:r w:rsidRPr="00466CE7">
        <w:rPr>
          <w:rFonts w:eastAsia="Times New Roman"/>
          <w:lang w:val="fr-FR"/>
        </w:rPr>
        <w:t xml:space="preserve">e sol </w:t>
      </w:r>
      <w:r>
        <w:rPr>
          <w:rFonts w:eastAsia="Times New Roman"/>
          <w:lang w:val="fr-FR"/>
        </w:rPr>
        <w:t xml:space="preserve">sont prélevés pour être analysés en </w:t>
      </w:r>
      <w:r w:rsidRPr="00466CE7">
        <w:rPr>
          <w:rFonts w:eastAsia="Times New Roman"/>
          <w:lang w:val="fr-FR"/>
        </w:rPr>
        <w:t>laboratoire.</w:t>
      </w:r>
    </w:p>
    <w:p w14:paraId="18D1D4E1" w14:textId="77777777" w:rsidR="009C6834" w:rsidRPr="00466CE7" w:rsidRDefault="009C6834" w:rsidP="009C6834">
      <w:pPr>
        <w:pStyle w:val="SingleTxtG"/>
        <w:rPr>
          <w:rFonts w:eastAsia="Times New Roman"/>
          <w:lang w:val="fr-FR"/>
        </w:rPr>
      </w:pPr>
      <w:r w:rsidRPr="00466CE7">
        <w:rPr>
          <w:rFonts w:eastAsia="Times New Roman"/>
          <w:lang w:val="fr-FR"/>
        </w:rPr>
        <w:t>436.</w:t>
      </w:r>
      <w:r w:rsidRPr="00466CE7">
        <w:rPr>
          <w:rFonts w:eastAsia="Times New Roman"/>
          <w:lang w:val="fr-FR"/>
        </w:rPr>
        <w:tab/>
      </w:r>
      <w:r>
        <w:rPr>
          <w:rFonts w:eastAsia="Times New Roman"/>
          <w:lang w:val="fr-FR"/>
        </w:rPr>
        <w:t>L’</w:t>
      </w:r>
      <w:r w:rsidRPr="00466CE7">
        <w:rPr>
          <w:rFonts w:eastAsia="Times New Roman"/>
          <w:lang w:val="fr-FR"/>
        </w:rPr>
        <w:t xml:space="preserve">analyse du sol </w:t>
      </w:r>
      <w:r>
        <w:rPr>
          <w:rFonts w:eastAsia="Times New Roman"/>
          <w:lang w:val="fr-FR"/>
        </w:rPr>
        <w:t xml:space="preserve">n’a pas permis de </w:t>
      </w:r>
      <w:r w:rsidRPr="00466CE7">
        <w:rPr>
          <w:rFonts w:eastAsia="Times New Roman"/>
          <w:lang w:val="fr-FR"/>
        </w:rPr>
        <w:t>détect</w:t>
      </w:r>
      <w:r>
        <w:rPr>
          <w:rFonts w:eastAsia="Times New Roman"/>
          <w:lang w:val="fr-FR"/>
        </w:rPr>
        <w:t>er la présence d’agents pathogènes de la maladie du charbon et</w:t>
      </w:r>
      <w:r w:rsidRPr="00466CE7">
        <w:rPr>
          <w:rFonts w:eastAsia="Times New Roman"/>
          <w:lang w:val="fr-FR"/>
        </w:rPr>
        <w:t xml:space="preserve"> la qualité de la désinfection est satisfaisante.</w:t>
      </w:r>
    </w:p>
    <w:p w14:paraId="44E07DD3" w14:textId="5A5C9BE1" w:rsidR="009C6834" w:rsidRPr="00466CE7" w:rsidRDefault="009C6834" w:rsidP="00C201F9">
      <w:pPr>
        <w:pStyle w:val="SingleTxtG"/>
        <w:keepNext/>
        <w:rPr>
          <w:rFonts w:eastAsia="Times New Roman"/>
          <w:lang w:val="fr-FR"/>
        </w:rPr>
      </w:pPr>
      <w:r w:rsidRPr="00466CE7">
        <w:rPr>
          <w:rFonts w:eastAsia="Times New Roman"/>
          <w:lang w:val="fr-FR"/>
        </w:rPr>
        <w:t>437.</w:t>
      </w:r>
      <w:r w:rsidRPr="00466CE7">
        <w:rPr>
          <w:rFonts w:eastAsia="Times New Roman"/>
          <w:lang w:val="fr-FR"/>
        </w:rPr>
        <w:tab/>
        <w:t xml:space="preserve">Afin de réduire les risques </w:t>
      </w:r>
      <w:r>
        <w:rPr>
          <w:rFonts w:eastAsia="Times New Roman"/>
          <w:lang w:val="fr-FR"/>
        </w:rPr>
        <w:t xml:space="preserve">que présente le </w:t>
      </w:r>
      <w:r w:rsidRPr="00466CE7">
        <w:rPr>
          <w:rFonts w:eastAsia="Times New Roman"/>
          <w:lang w:val="fr-FR"/>
        </w:rPr>
        <w:t xml:space="preserve">mercure </w:t>
      </w:r>
      <w:r>
        <w:rPr>
          <w:rFonts w:eastAsia="Times New Roman"/>
          <w:lang w:val="fr-FR"/>
        </w:rPr>
        <w:t>pour la santé publique :</w:t>
      </w:r>
    </w:p>
    <w:p w14:paraId="7347E96E" w14:textId="072EA92E" w:rsidR="009C6834" w:rsidRPr="00DF6565" w:rsidRDefault="009C6834" w:rsidP="00C201F9">
      <w:pPr>
        <w:pStyle w:val="Bullet1G"/>
        <w:rPr>
          <w:lang w:val="fr-FR"/>
        </w:rPr>
      </w:pPr>
      <w:r>
        <w:rPr>
          <w:lang w:val="fr-FR"/>
        </w:rPr>
        <w:t>Des modifications,</w:t>
      </w:r>
      <w:r w:rsidRPr="00ED2876">
        <w:rPr>
          <w:lang w:val="fr-FR"/>
        </w:rPr>
        <w:t xml:space="preserve"> </w:t>
      </w:r>
      <w:r>
        <w:rPr>
          <w:lang w:val="fr-FR"/>
        </w:rPr>
        <w:t xml:space="preserve">adoptées </w:t>
      </w:r>
      <w:r w:rsidRPr="00DF6565">
        <w:rPr>
          <w:lang w:val="fr-FR"/>
        </w:rPr>
        <w:t>par le Parlement le 7</w:t>
      </w:r>
      <w:r w:rsidR="00C201F9">
        <w:rPr>
          <w:lang w:val="fr-FR"/>
        </w:rPr>
        <w:t> </w:t>
      </w:r>
      <w:r w:rsidRPr="00DF6565">
        <w:rPr>
          <w:lang w:val="fr-FR"/>
        </w:rPr>
        <w:t>mars 2019</w:t>
      </w:r>
      <w:r>
        <w:rPr>
          <w:lang w:val="fr-FR"/>
        </w:rPr>
        <w:t xml:space="preserve">, ont été apportées à la </w:t>
      </w:r>
      <w:r w:rsidRPr="00DF6565">
        <w:rPr>
          <w:lang w:val="fr-FR"/>
        </w:rPr>
        <w:t xml:space="preserve">loi </w:t>
      </w:r>
      <w:r>
        <w:rPr>
          <w:lang w:val="fr-FR"/>
        </w:rPr>
        <w:t xml:space="preserve">relative aux </w:t>
      </w:r>
      <w:r w:rsidRPr="00DF6565">
        <w:rPr>
          <w:lang w:val="fr-FR"/>
        </w:rPr>
        <w:t>déchets de production et de consommation</w:t>
      </w:r>
      <w:r>
        <w:rPr>
          <w:lang w:val="fr-FR"/>
        </w:rPr>
        <w:t> </w:t>
      </w:r>
      <w:r w:rsidRPr="00DF6565">
        <w:rPr>
          <w:lang w:val="fr-FR"/>
        </w:rPr>
        <w:t>;</w:t>
      </w:r>
    </w:p>
    <w:p w14:paraId="28D322BD" w14:textId="62D13303" w:rsidR="009C6834" w:rsidRPr="00DF6565" w:rsidRDefault="009C6834" w:rsidP="00C201F9">
      <w:pPr>
        <w:pStyle w:val="Bullet1G"/>
        <w:rPr>
          <w:lang w:val="fr-FR"/>
        </w:rPr>
      </w:pPr>
      <w:r>
        <w:rPr>
          <w:lang w:val="fr-FR"/>
        </w:rPr>
        <w:t xml:space="preserve">Le </w:t>
      </w:r>
      <w:r w:rsidR="0068119F">
        <w:rPr>
          <w:lang w:val="fr-FR"/>
        </w:rPr>
        <w:t xml:space="preserve">Gouvernement </w:t>
      </w:r>
      <w:r>
        <w:rPr>
          <w:lang w:val="fr-FR"/>
        </w:rPr>
        <w:t>a adopté une décision s</w:t>
      </w:r>
      <w:r w:rsidRPr="00DF6565">
        <w:rPr>
          <w:lang w:val="fr-FR"/>
        </w:rPr>
        <w:t xml:space="preserve">ur les questions </w:t>
      </w:r>
      <w:r>
        <w:rPr>
          <w:lang w:val="fr-FR"/>
        </w:rPr>
        <w:t xml:space="preserve">relatives </w:t>
      </w:r>
      <w:r w:rsidRPr="00DF6565">
        <w:rPr>
          <w:lang w:val="fr-FR"/>
        </w:rPr>
        <w:t xml:space="preserve">à la gestion des déchets médicaux et à la manipulation des produits contenant du mercure dans les </w:t>
      </w:r>
      <w:r>
        <w:rPr>
          <w:lang w:val="fr-FR"/>
        </w:rPr>
        <w:t xml:space="preserve">établissements </w:t>
      </w:r>
      <w:r w:rsidRPr="00DF6565">
        <w:rPr>
          <w:lang w:val="fr-FR"/>
        </w:rPr>
        <w:t>de santé (2019).</w:t>
      </w:r>
    </w:p>
    <w:p w14:paraId="46E87737" w14:textId="5DA97D8D" w:rsidR="009C6834" w:rsidRPr="00466CE7" w:rsidRDefault="009C6834" w:rsidP="00C201F9">
      <w:pPr>
        <w:pStyle w:val="SingleTxtG"/>
        <w:keepNext/>
        <w:rPr>
          <w:rFonts w:eastAsia="Times New Roman"/>
          <w:lang w:val="fr-FR"/>
        </w:rPr>
      </w:pPr>
      <w:r w:rsidRPr="00466CE7">
        <w:rPr>
          <w:rFonts w:eastAsia="Times New Roman"/>
          <w:lang w:val="fr-FR"/>
        </w:rPr>
        <w:t>438.</w:t>
      </w:r>
      <w:r w:rsidRPr="00466CE7">
        <w:rPr>
          <w:rFonts w:eastAsia="Times New Roman"/>
          <w:lang w:val="fr-FR"/>
        </w:rPr>
        <w:tab/>
      </w:r>
      <w:r>
        <w:rPr>
          <w:rFonts w:eastAsia="Times New Roman"/>
          <w:lang w:val="fr-FR"/>
        </w:rPr>
        <w:t xml:space="preserve">Plusieurs actes </w:t>
      </w:r>
      <w:r w:rsidRPr="00466CE7">
        <w:rPr>
          <w:rFonts w:eastAsia="Times New Roman"/>
          <w:lang w:val="fr-FR"/>
        </w:rPr>
        <w:t xml:space="preserve">juridiques normatifs ont été </w:t>
      </w:r>
      <w:r>
        <w:rPr>
          <w:rFonts w:eastAsia="Times New Roman"/>
          <w:lang w:val="fr-FR"/>
        </w:rPr>
        <w:t xml:space="preserve">élaborés et </w:t>
      </w:r>
      <w:r w:rsidRPr="00466CE7">
        <w:rPr>
          <w:rFonts w:eastAsia="Times New Roman"/>
          <w:lang w:val="fr-FR"/>
        </w:rPr>
        <w:t>adoptés</w:t>
      </w:r>
      <w:r>
        <w:rPr>
          <w:rFonts w:eastAsia="Times New Roman"/>
          <w:lang w:val="fr-FR"/>
        </w:rPr>
        <w:t> :</w:t>
      </w:r>
    </w:p>
    <w:p w14:paraId="5F32488E" w14:textId="51601414" w:rsidR="009C6834" w:rsidRPr="00DF6565" w:rsidRDefault="00C201F9" w:rsidP="00C201F9">
      <w:pPr>
        <w:pStyle w:val="Bullet1G"/>
        <w:rPr>
          <w:lang w:val="fr-FR"/>
        </w:rPr>
      </w:pPr>
      <w:r>
        <w:rPr>
          <w:lang w:val="fr-FR"/>
        </w:rPr>
        <w:t>U</w:t>
      </w:r>
      <w:r w:rsidRPr="00DF6565">
        <w:rPr>
          <w:lang w:val="fr-FR"/>
        </w:rPr>
        <w:t xml:space="preserve">n </w:t>
      </w:r>
      <w:r w:rsidR="009C6834" w:rsidRPr="00DF6565">
        <w:rPr>
          <w:lang w:val="fr-FR"/>
        </w:rPr>
        <w:t xml:space="preserve">projet de loi </w:t>
      </w:r>
      <w:r w:rsidR="009C6834">
        <w:rPr>
          <w:lang w:val="fr-FR"/>
        </w:rPr>
        <w:t xml:space="preserve">portant modification </w:t>
      </w:r>
      <w:r w:rsidR="009C6834" w:rsidRPr="00DF6565">
        <w:rPr>
          <w:lang w:val="fr-FR"/>
        </w:rPr>
        <w:t xml:space="preserve">de certains actes législatifs </w:t>
      </w:r>
      <w:r w:rsidR="009C6834">
        <w:rPr>
          <w:lang w:val="fr-FR"/>
        </w:rPr>
        <w:t>(</w:t>
      </w:r>
      <w:r w:rsidR="009C6834" w:rsidRPr="00DF6565">
        <w:rPr>
          <w:lang w:val="fr-FR"/>
        </w:rPr>
        <w:t>loi sur le système d</w:t>
      </w:r>
      <w:r w:rsidR="009C6834">
        <w:rPr>
          <w:lang w:val="fr-FR"/>
        </w:rPr>
        <w:t>’</w:t>
      </w:r>
      <w:r w:rsidR="009C6834" w:rsidRPr="00DF6565">
        <w:rPr>
          <w:lang w:val="fr-FR"/>
        </w:rPr>
        <w:t>autorisation, loi sur la sécurité radiologique de la population)</w:t>
      </w:r>
      <w:r w:rsidR="009C6834">
        <w:rPr>
          <w:lang w:val="fr-FR"/>
        </w:rPr>
        <w:t xml:space="preserve"> a été</w:t>
      </w:r>
      <w:r w:rsidR="009C6834" w:rsidRPr="00DF6565">
        <w:rPr>
          <w:lang w:val="fr-FR"/>
        </w:rPr>
        <w:t xml:space="preserve"> soumis</w:t>
      </w:r>
      <w:r w:rsidR="009C6834">
        <w:rPr>
          <w:lang w:val="fr-FR"/>
        </w:rPr>
        <w:t xml:space="preserve"> au </w:t>
      </w:r>
      <w:r w:rsidR="009C6834" w:rsidRPr="00DF6565">
        <w:rPr>
          <w:lang w:val="fr-FR"/>
        </w:rPr>
        <w:t>Parlement</w:t>
      </w:r>
      <w:r>
        <w:rPr>
          <w:lang w:val="fr-FR"/>
        </w:rPr>
        <w:t xml:space="preserve"> </w:t>
      </w:r>
      <w:r w:rsidR="009C6834">
        <w:rPr>
          <w:lang w:val="fr-FR"/>
        </w:rPr>
        <w:t>pour examen</w:t>
      </w:r>
      <w:r>
        <w:rPr>
          <w:lang w:val="fr-FR"/>
        </w:rPr>
        <w:t> </w:t>
      </w:r>
      <w:r w:rsidR="009C6834" w:rsidRPr="00DF6565">
        <w:rPr>
          <w:lang w:val="fr-FR"/>
        </w:rPr>
        <w:t>;</w:t>
      </w:r>
    </w:p>
    <w:p w14:paraId="271645AE" w14:textId="006889CA" w:rsidR="009C6834" w:rsidRPr="00DF6565" w:rsidRDefault="00C201F9" w:rsidP="00C201F9">
      <w:pPr>
        <w:pStyle w:val="Bullet1G"/>
        <w:rPr>
          <w:lang w:val="fr-FR"/>
        </w:rPr>
      </w:pPr>
      <w:r>
        <w:rPr>
          <w:lang w:val="fr-FR"/>
        </w:rPr>
        <w:t>U</w:t>
      </w:r>
      <w:r w:rsidRPr="00DF6565">
        <w:rPr>
          <w:lang w:val="fr-FR"/>
        </w:rPr>
        <w:t xml:space="preserve">n </w:t>
      </w:r>
      <w:r w:rsidR="009C6834" w:rsidRPr="00DF6565">
        <w:rPr>
          <w:lang w:val="fr-FR"/>
        </w:rPr>
        <w:t xml:space="preserve">plan global </w:t>
      </w:r>
      <w:r w:rsidR="009C6834">
        <w:rPr>
          <w:lang w:val="fr-FR"/>
        </w:rPr>
        <w:t xml:space="preserve">pour le renforcement de </w:t>
      </w:r>
      <w:r w:rsidR="009C6834" w:rsidRPr="00DF6565">
        <w:rPr>
          <w:lang w:val="fr-FR"/>
        </w:rPr>
        <w:t xml:space="preserve">la sûreté nucléaire et radiologique pour la période 2021-2024 </w:t>
      </w:r>
      <w:r w:rsidR="009C6834">
        <w:rPr>
          <w:lang w:val="fr-FR"/>
        </w:rPr>
        <w:t xml:space="preserve">a été approuvé par une ordonnance du </w:t>
      </w:r>
      <w:r w:rsidR="0068119F">
        <w:rPr>
          <w:lang w:val="fr-FR"/>
        </w:rPr>
        <w:t xml:space="preserve">Gouvernement </w:t>
      </w:r>
      <w:r w:rsidR="009C6834">
        <w:rPr>
          <w:lang w:val="fr-FR"/>
        </w:rPr>
        <w:t>en 2021</w:t>
      </w:r>
      <w:r>
        <w:rPr>
          <w:lang w:val="fr-FR"/>
        </w:rPr>
        <w:t> </w:t>
      </w:r>
      <w:r w:rsidR="009C6834" w:rsidRPr="00DF6565">
        <w:rPr>
          <w:lang w:val="fr-FR"/>
        </w:rPr>
        <w:t xml:space="preserve">; </w:t>
      </w:r>
    </w:p>
    <w:p w14:paraId="1C7BF2BD" w14:textId="0DF00D27" w:rsidR="009C6834" w:rsidRPr="00DF6565" w:rsidRDefault="00C201F9" w:rsidP="00C201F9">
      <w:pPr>
        <w:pStyle w:val="Bullet1G"/>
        <w:rPr>
          <w:lang w:val="fr-FR"/>
        </w:rPr>
      </w:pPr>
      <w:r>
        <w:rPr>
          <w:lang w:val="fr-FR"/>
        </w:rPr>
        <w:t>L</w:t>
      </w:r>
      <w:r w:rsidRPr="00DF6565">
        <w:rPr>
          <w:lang w:val="fr-FR"/>
        </w:rPr>
        <w:t xml:space="preserve">a </w:t>
      </w:r>
      <w:r w:rsidR="009C6834" w:rsidRPr="00DF6565">
        <w:rPr>
          <w:lang w:val="fr-FR"/>
        </w:rPr>
        <w:t xml:space="preserve">dernière (nouvelle) version du logiciel de </w:t>
      </w:r>
      <w:r w:rsidR="009C6834">
        <w:rPr>
          <w:lang w:val="fr-FR"/>
        </w:rPr>
        <w:t xml:space="preserve">recensement </w:t>
      </w:r>
      <w:r w:rsidR="009C6834" w:rsidRPr="00DF6565">
        <w:rPr>
          <w:lang w:val="fr-FR"/>
        </w:rPr>
        <w:t>des s</w:t>
      </w:r>
      <w:r w:rsidR="009C6834">
        <w:rPr>
          <w:lang w:val="fr-FR"/>
        </w:rPr>
        <w:t>ources de rayonnements ionisants</w:t>
      </w:r>
      <w:r w:rsidR="009C6834" w:rsidRPr="00DF6565">
        <w:rPr>
          <w:lang w:val="fr-FR"/>
        </w:rPr>
        <w:t xml:space="preserve"> (R</w:t>
      </w:r>
      <w:r w:rsidR="009C6834">
        <w:rPr>
          <w:lang w:val="fr-FR"/>
        </w:rPr>
        <w:t>A</w:t>
      </w:r>
      <w:r w:rsidR="009C6834" w:rsidRPr="00DF6565">
        <w:rPr>
          <w:lang w:val="fr-FR"/>
        </w:rPr>
        <w:t xml:space="preserve">IS 2.5) a été installée pour </w:t>
      </w:r>
      <w:r w:rsidR="009C6834">
        <w:rPr>
          <w:lang w:val="fr-FR"/>
        </w:rPr>
        <w:t xml:space="preserve">recenser et contrôler efficacement les </w:t>
      </w:r>
      <w:r w:rsidR="009C6834" w:rsidRPr="00DF6565">
        <w:rPr>
          <w:lang w:val="fr-FR"/>
        </w:rPr>
        <w:t>sou</w:t>
      </w:r>
      <w:r w:rsidR="009C6834">
        <w:rPr>
          <w:lang w:val="fr-FR"/>
        </w:rPr>
        <w:t xml:space="preserve">rces radioactives. </w:t>
      </w:r>
      <w:r w:rsidR="009C6834" w:rsidRPr="00DF6565">
        <w:rPr>
          <w:lang w:val="fr-FR"/>
        </w:rPr>
        <w:t xml:space="preserve">Un règlement </w:t>
      </w:r>
      <w:r w:rsidR="009C6834">
        <w:rPr>
          <w:lang w:val="fr-FR"/>
        </w:rPr>
        <w:t xml:space="preserve">relatif au </w:t>
      </w:r>
      <w:r w:rsidR="009C6834" w:rsidRPr="00DF6565">
        <w:rPr>
          <w:lang w:val="fr-FR"/>
        </w:rPr>
        <w:t>registre nati</w:t>
      </w:r>
      <w:r w:rsidR="009C6834">
        <w:rPr>
          <w:lang w:val="fr-FR"/>
        </w:rPr>
        <w:t>onal des sources de rayonnements ionisants</w:t>
      </w:r>
      <w:r w:rsidR="009C6834" w:rsidRPr="00DF6565">
        <w:rPr>
          <w:lang w:val="fr-FR"/>
        </w:rPr>
        <w:t xml:space="preserve"> a été élaboré</w:t>
      </w:r>
      <w:r>
        <w:rPr>
          <w:lang w:val="fr-FR"/>
        </w:rPr>
        <w:t> </w:t>
      </w:r>
      <w:r w:rsidR="009C6834" w:rsidRPr="00DF6565">
        <w:rPr>
          <w:lang w:val="fr-FR"/>
        </w:rPr>
        <w:t>;</w:t>
      </w:r>
    </w:p>
    <w:p w14:paraId="5A1BFDEC" w14:textId="7440112B" w:rsidR="009C6834" w:rsidRPr="00DF6565" w:rsidRDefault="00C201F9" w:rsidP="00C201F9">
      <w:pPr>
        <w:pStyle w:val="Bullet1G"/>
        <w:rPr>
          <w:lang w:val="fr-FR"/>
        </w:rPr>
      </w:pPr>
      <w:r>
        <w:rPr>
          <w:lang w:val="fr-FR"/>
        </w:rPr>
        <w:t>L</w:t>
      </w:r>
      <w:r w:rsidR="009C6834">
        <w:rPr>
          <w:lang w:val="fr-FR"/>
        </w:rPr>
        <w:t>’</w:t>
      </w:r>
      <w:r w:rsidR="009C6834" w:rsidRPr="00DF6565">
        <w:rPr>
          <w:lang w:val="fr-FR"/>
        </w:rPr>
        <w:t xml:space="preserve">accord de coopération </w:t>
      </w:r>
      <w:r w:rsidR="009C6834">
        <w:rPr>
          <w:lang w:val="fr-FR"/>
        </w:rPr>
        <w:t xml:space="preserve">entre les </w:t>
      </w:r>
      <w:r w:rsidR="009C6834" w:rsidRPr="00DF6565">
        <w:rPr>
          <w:lang w:val="fr-FR"/>
        </w:rPr>
        <w:t>États membres de la CEI</w:t>
      </w:r>
      <w:r w:rsidR="0068119F">
        <w:rPr>
          <w:lang w:val="fr-FR"/>
        </w:rPr>
        <w:t xml:space="preserve"> </w:t>
      </w:r>
      <w:r w:rsidR="009C6834" w:rsidRPr="00DF6565">
        <w:rPr>
          <w:lang w:val="fr-FR"/>
        </w:rPr>
        <w:t>dans le domaine de la gestion des déchets d</w:t>
      </w:r>
      <w:r w:rsidR="009C6834">
        <w:rPr>
          <w:lang w:val="fr-FR"/>
        </w:rPr>
        <w:t>’</w:t>
      </w:r>
      <w:r w:rsidR="009C6834" w:rsidRPr="00DF6565">
        <w:rPr>
          <w:lang w:val="fr-FR"/>
        </w:rPr>
        <w:t xml:space="preserve">équipements </w:t>
      </w:r>
      <w:r w:rsidR="009C6834">
        <w:rPr>
          <w:lang w:val="fr-FR"/>
        </w:rPr>
        <w:t xml:space="preserve">électriques et </w:t>
      </w:r>
      <w:r w:rsidR="009C6834" w:rsidRPr="00DF6565">
        <w:rPr>
          <w:lang w:val="fr-FR"/>
        </w:rPr>
        <w:t>électroniques</w:t>
      </w:r>
      <w:r w:rsidR="009C6834">
        <w:rPr>
          <w:lang w:val="fr-FR"/>
        </w:rPr>
        <w:t>,</w:t>
      </w:r>
      <w:r w:rsidR="009C6834" w:rsidRPr="00DF6565">
        <w:rPr>
          <w:lang w:val="fr-FR"/>
        </w:rPr>
        <w:t xml:space="preserve"> signé le 1</w:t>
      </w:r>
      <w:r w:rsidR="009C6834" w:rsidRPr="00C201F9">
        <w:rPr>
          <w:vertAlign w:val="superscript"/>
          <w:lang w:val="fr-FR"/>
        </w:rPr>
        <w:t>er</w:t>
      </w:r>
      <w:r>
        <w:rPr>
          <w:lang w:val="fr-FR"/>
        </w:rPr>
        <w:t> </w:t>
      </w:r>
      <w:r w:rsidR="009C6834" w:rsidRPr="00DF6565">
        <w:rPr>
          <w:lang w:val="fr-FR"/>
        </w:rPr>
        <w:t>juin 2018 à Douchanbé</w:t>
      </w:r>
      <w:r w:rsidR="009C6834">
        <w:rPr>
          <w:lang w:val="fr-FR"/>
        </w:rPr>
        <w:t>,</w:t>
      </w:r>
      <w:r w:rsidR="009C6834" w:rsidRPr="00DF6565">
        <w:rPr>
          <w:lang w:val="fr-FR"/>
        </w:rPr>
        <w:t xml:space="preserve"> </w:t>
      </w:r>
      <w:r w:rsidR="009C6834">
        <w:rPr>
          <w:lang w:val="fr-FR"/>
        </w:rPr>
        <w:t xml:space="preserve">a été approuvé par une décision du </w:t>
      </w:r>
      <w:r w:rsidR="0068119F">
        <w:rPr>
          <w:lang w:val="fr-FR"/>
        </w:rPr>
        <w:t>Gouvernement </w:t>
      </w:r>
      <w:r w:rsidR="009C6834" w:rsidRPr="00DF6565">
        <w:rPr>
          <w:lang w:val="fr-FR"/>
        </w:rPr>
        <w:t>;</w:t>
      </w:r>
    </w:p>
    <w:p w14:paraId="7EE92896" w14:textId="169A8DDE" w:rsidR="009C6834" w:rsidRPr="00DF6565" w:rsidRDefault="00C201F9" w:rsidP="00C201F9">
      <w:pPr>
        <w:pStyle w:val="Bullet1G"/>
        <w:rPr>
          <w:lang w:val="fr-FR"/>
        </w:rPr>
      </w:pPr>
      <w:r>
        <w:rPr>
          <w:lang w:val="fr-FR"/>
        </w:rPr>
        <w:t xml:space="preserve">Le </w:t>
      </w:r>
      <w:r w:rsidR="009C6834">
        <w:rPr>
          <w:lang w:val="fr-FR"/>
        </w:rPr>
        <w:t>p</w:t>
      </w:r>
      <w:r w:rsidR="009C6834" w:rsidRPr="00DF6565">
        <w:rPr>
          <w:lang w:val="fr-FR"/>
        </w:rPr>
        <w:t xml:space="preserve">rogramme-cadre </w:t>
      </w:r>
      <w:r w:rsidR="009C6834">
        <w:rPr>
          <w:lang w:val="fr-FR"/>
        </w:rPr>
        <w:t xml:space="preserve">national </w:t>
      </w:r>
      <w:r w:rsidR="009C6834" w:rsidRPr="00DF6565">
        <w:rPr>
          <w:lang w:val="fr-FR"/>
        </w:rPr>
        <w:t>de coopération de la République kirghize avec l</w:t>
      </w:r>
      <w:r w:rsidR="009C6834">
        <w:rPr>
          <w:lang w:val="fr-FR"/>
        </w:rPr>
        <w:t>’</w:t>
      </w:r>
      <w:r w:rsidR="009C6834" w:rsidRPr="00DF6565">
        <w:rPr>
          <w:lang w:val="fr-FR"/>
        </w:rPr>
        <w:t xml:space="preserve">AIEA pour la période </w:t>
      </w:r>
      <w:r w:rsidR="009C6834">
        <w:rPr>
          <w:lang w:val="fr-FR"/>
        </w:rPr>
        <w:t xml:space="preserve">2018-2023, </w:t>
      </w:r>
      <w:r w:rsidR="009C6834" w:rsidRPr="00DF6565">
        <w:rPr>
          <w:lang w:val="fr-FR"/>
        </w:rPr>
        <w:t>signé le 17</w:t>
      </w:r>
      <w:r>
        <w:rPr>
          <w:lang w:val="fr-FR"/>
        </w:rPr>
        <w:t> </w:t>
      </w:r>
      <w:r w:rsidR="009C6834" w:rsidRPr="00DF6565">
        <w:rPr>
          <w:lang w:val="fr-FR"/>
        </w:rPr>
        <w:t xml:space="preserve">septembre 2018 </w:t>
      </w:r>
      <w:r w:rsidR="009C6834">
        <w:rPr>
          <w:lang w:val="fr-FR"/>
        </w:rPr>
        <w:t xml:space="preserve">à </w:t>
      </w:r>
      <w:r w:rsidR="009C6834" w:rsidRPr="00DF6565">
        <w:rPr>
          <w:lang w:val="fr-FR"/>
        </w:rPr>
        <w:t>la soixante-deuxième conférence générale de l</w:t>
      </w:r>
      <w:r w:rsidR="009C6834">
        <w:rPr>
          <w:lang w:val="fr-FR"/>
        </w:rPr>
        <w:t>’</w:t>
      </w:r>
      <w:r w:rsidR="009C6834" w:rsidRPr="00DF6565">
        <w:rPr>
          <w:lang w:val="fr-FR"/>
        </w:rPr>
        <w:t>AIEA</w:t>
      </w:r>
      <w:r w:rsidR="009C6834">
        <w:rPr>
          <w:lang w:val="fr-FR"/>
        </w:rPr>
        <w:t xml:space="preserve">, a été approuvé par une ordonnance du </w:t>
      </w:r>
      <w:r w:rsidR="0068119F">
        <w:rPr>
          <w:lang w:val="fr-FR"/>
        </w:rPr>
        <w:t xml:space="preserve">Gouvernement </w:t>
      </w:r>
      <w:r w:rsidR="009C6834">
        <w:rPr>
          <w:lang w:val="fr-FR"/>
        </w:rPr>
        <w:t xml:space="preserve">en </w:t>
      </w:r>
      <w:r w:rsidR="009C6834" w:rsidRPr="00DF6565">
        <w:rPr>
          <w:lang w:val="fr-FR"/>
        </w:rPr>
        <w:t>2018</w:t>
      </w:r>
      <w:r>
        <w:rPr>
          <w:lang w:val="fr-FR"/>
        </w:rPr>
        <w:t> </w:t>
      </w:r>
      <w:r w:rsidR="009C6834" w:rsidRPr="00DF6565">
        <w:rPr>
          <w:lang w:val="fr-FR"/>
        </w:rPr>
        <w:t>;</w:t>
      </w:r>
    </w:p>
    <w:p w14:paraId="51C70B3C" w14:textId="5A7C44FE" w:rsidR="009C6834" w:rsidRPr="00DF6565" w:rsidRDefault="00C201F9" w:rsidP="00C201F9">
      <w:pPr>
        <w:pStyle w:val="Bullet1G"/>
        <w:rPr>
          <w:lang w:val="fr-FR"/>
        </w:rPr>
      </w:pPr>
      <w:r>
        <w:rPr>
          <w:lang w:val="fr-FR"/>
        </w:rPr>
        <w:t>L</w:t>
      </w:r>
      <w:r w:rsidRPr="00DF6565">
        <w:rPr>
          <w:lang w:val="fr-FR"/>
        </w:rPr>
        <w:t xml:space="preserve">e </w:t>
      </w:r>
      <w:r w:rsidR="009C6834" w:rsidRPr="00DF6565">
        <w:rPr>
          <w:lang w:val="fr-FR"/>
        </w:rPr>
        <w:t>plan d</w:t>
      </w:r>
      <w:r w:rsidR="009C6834">
        <w:rPr>
          <w:lang w:val="fr-FR"/>
        </w:rPr>
        <w:t>’</w:t>
      </w:r>
      <w:r w:rsidR="009C6834" w:rsidRPr="00DF6565">
        <w:rPr>
          <w:lang w:val="fr-FR"/>
        </w:rPr>
        <w:t xml:space="preserve">action pour la mise en œuvre de la Convention de Stockholm sur les polluants organiques persistants </w:t>
      </w:r>
      <w:r w:rsidR="009C6834">
        <w:rPr>
          <w:lang w:val="fr-FR"/>
        </w:rPr>
        <w:t xml:space="preserve">a été approuvé par une ordonnance du </w:t>
      </w:r>
      <w:r w:rsidR="0068119F">
        <w:rPr>
          <w:lang w:val="fr-FR"/>
        </w:rPr>
        <w:t xml:space="preserve">Gouvernement </w:t>
      </w:r>
      <w:r w:rsidR="009C6834">
        <w:rPr>
          <w:lang w:val="fr-FR"/>
        </w:rPr>
        <w:t xml:space="preserve">en </w:t>
      </w:r>
      <w:r w:rsidR="009C6834" w:rsidRPr="00DF6565">
        <w:rPr>
          <w:lang w:val="fr-FR"/>
        </w:rPr>
        <w:t>2019</w:t>
      </w:r>
      <w:r w:rsidR="009C6834">
        <w:rPr>
          <w:lang w:val="fr-FR"/>
        </w:rPr>
        <w:t> </w:t>
      </w:r>
      <w:r w:rsidR="009C6834" w:rsidRPr="00DF6565">
        <w:rPr>
          <w:lang w:val="fr-FR"/>
        </w:rPr>
        <w:t>;</w:t>
      </w:r>
    </w:p>
    <w:p w14:paraId="5C06E9AB" w14:textId="146D098B" w:rsidR="009C6834" w:rsidRPr="00DF6565" w:rsidRDefault="00C201F9" w:rsidP="00C201F9">
      <w:pPr>
        <w:pStyle w:val="Bullet1G"/>
        <w:rPr>
          <w:lang w:val="fr-FR"/>
        </w:rPr>
      </w:pPr>
      <w:r>
        <w:rPr>
          <w:lang w:val="fr-FR"/>
        </w:rPr>
        <w:t xml:space="preserve">Le </w:t>
      </w:r>
      <w:r w:rsidR="0068119F">
        <w:rPr>
          <w:lang w:val="fr-FR"/>
        </w:rPr>
        <w:t xml:space="preserve">Gouvernement </w:t>
      </w:r>
      <w:r w:rsidR="009C6834">
        <w:rPr>
          <w:lang w:val="fr-FR"/>
        </w:rPr>
        <w:t xml:space="preserve">a pris une décision en </w:t>
      </w:r>
      <w:r w:rsidR="009C6834" w:rsidRPr="00DF6565">
        <w:rPr>
          <w:lang w:val="fr-FR"/>
        </w:rPr>
        <w:t>2001</w:t>
      </w:r>
      <w:r w:rsidR="009C6834">
        <w:rPr>
          <w:lang w:val="fr-FR"/>
        </w:rPr>
        <w:t xml:space="preserve"> </w:t>
      </w:r>
      <w:r w:rsidR="009C6834" w:rsidRPr="00DF6565">
        <w:rPr>
          <w:lang w:val="fr-FR"/>
        </w:rPr>
        <w:t>interdisant l</w:t>
      </w:r>
      <w:r w:rsidR="009C6834">
        <w:rPr>
          <w:lang w:val="fr-FR"/>
        </w:rPr>
        <w:t>’</w:t>
      </w:r>
      <w:r w:rsidR="009C6834" w:rsidRPr="00DF6565">
        <w:rPr>
          <w:lang w:val="fr-FR"/>
        </w:rPr>
        <w:t>importation et l</w:t>
      </w:r>
      <w:r w:rsidR="009C6834">
        <w:rPr>
          <w:lang w:val="fr-FR"/>
        </w:rPr>
        <w:t>’</w:t>
      </w:r>
      <w:r w:rsidR="009C6834" w:rsidRPr="00DF6565">
        <w:rPr>
          <w:lang w:val="fr-FR"/>
        </w:rPr>
        <w:t xml:space="preserve">utilisation dans le pays de pesticides contenant des </w:t>
      </w:r>
      <w:r w:rsidR="009C6834">
        <w:rPr>
          <w:lang w:val="fr-FR"/>
        </w:rPr>
        <w:t>polluants organiques persistants </w:t>
      </w:r>
      <w:r w:rsidR="009C6834" w:rsidRPr="00DF6565">
        <w:rPr>
          <w:lang w:val="fr-FR"/>
        </w:rPr>
        <w:t>;</w:t>
      </w:r>
    </w:p>
    <w:p w14:paraId="103F1C0B" w14:textId="6E4FD512" w:rsidR="009C6834" w:rsidRPr="00DF6565" w:rsidRDefault="00C201F9" w:rsidP="00C201F9">
      <w:pPr>
        <w:pStyle w:val="Bullet1G"/>
        <w:rPr>
          <w:lang w:val="fr-FR"/>
        </w:rPr>
      </w:pPr>
      <w:r>
        <w:rPr>
          <w:lang w:val="fr-FR"/>
        </w:rPr>
        <w:t xml:space="preserve">Le </w:t>
      </w:r>
      <w:r w:rsidR="009C6834" w:rsidRPr="00DF6565">
        <w:rPr>
          <w:lang w:val="fr-FR"/>
        </w:rPr>
        <w:t>conseil de la Commission économique eurasi</w:t>
      </w:r>
      <w:r w:rsidR="009C6834">
        <w:rPr>
          <w:lang w:val="fr-FR"/>
        </w:rPr>
        <w:t>atique</w:t>
      </w:r>
      <w:r w:rsidR="009C6834" w:rsidRPr="00DF6565">
        <w:rPr>
          <w:lang w:val="fr-FR"/>
        </w:rPr>
        <w:t xml:space="preserve"> sur les mesures de régulation non tarifaires</w:t>
      </w:r>
      <w:r w:rsidR="009C6834">
        <w:rPr>
          <w:lang w:val="fr-FR"/>
        </w:rPr>
        <w:t xml:space="preserve"> a adopté en 2015 une décision</w:t>
      </w:r>
      <w:r w:rsidR="009C6834" w:rsidRPr="00DF6565">
        <w:rPr>
          <w:lang w:val="fr-FR"/>
        </w:rPr>
        <w:t xml:space="preserve"> interdi</w:t>
      </w:r>
      <w:r w:rsidR="009C6834">
        <w:rPr>
          <w:lang w:val="fr-FR"/>
        </w:rPr>
        <w:t>san</w:t>
      </w:r>
      <w:r w:rsidR="009C6834" w:rsidRPr="00DF6565">
        <w:rPr>
          <w:lang w:val="fr-FR"/>
        </w:rPr>
        <w:t>t l</w:t>
      </w:r>
      <w:r w:rsidR="009C6834">
        <w:rPr>
          <w:lang w:val="fr-FR"/>
        </w:rPr>
        <w:t>’</w:t>
      </w:r>
      <w:r w:rsidR="009C6834" w:rsidRPr="00DF6565">
        <w:rPr>
          <w:lang w:val="fr-FR"/>
        </w:rPr>
        <w:t>importation sur le territoire de l</w:t>
      </w:r>
      <w:r w:rsidR="009C6834">
        <w:rPr>
          <w:lang w:val="fr-FR"/>
        </w:rPr>
        <w:t>’</w:t>
      </w:r>
      <w:r w:rsidR="009C6834" w:rsidRPr="00DF6565">
        <w:rPr>
          <w:lang w:val="fr-FR"/>
        </w:rPr>
        <w:t>U</w:t>
      </w:r>
      <w:r w:rsidR="009C6834">
        <w:rPr>
          <w:lang w:val="fr-FR"/>
        </w:rPr>
        <w:t>nion économique eurasiatique</w:t>
      </w:r>
      <w:r w:rsidR="009C6834" w:rsidRPr="00DF6565">
        <w:rPr>
          <w:lang w:val="fr-FR"/>
        </w:rPr>
        <w:t xml:space="preserve"> de pesticides contenant des </w:t>
      </w:r>
      <w:r w:rsidR="009C6834">
        <w:rPr>
          <w:lang w:val="fr-FR"/>
        </w:rPr>
        <w:t>polluants organiques persistants</w:t>
      </w:r>
      <w:r w:rsidR="009C6834" w:rsidRPr="00DF6565">
        <w:rPr>
          <w:lang w:val="fr-FR"/>
        </w:rPr>
        <w:t>.</w:t>
      </w:r>
    </w:p>
    <w:p w14:paraId="60237A15" w14:textId="20411715" w:rsidR="009C6834" w:rsidRPr="00466CE7" w:rsidRDefault="009C6834" w:rsidP="00C201F9">
      <w:pPr>
        <w:pStyle w:val="SingleTxtG"/>
        <w:ind w:firstLine="567"/>
        <w:rPr>
          <w:rFonts w:eastAsia="Times New Roman"/>
          <w:lang w:val="fr-FR"/>
        </w:rPr>
      </w:pPr>
      <w:r w:rsidRPr="00466CE7">
        <w:rPr>
          <w:rFonts w:eastAsia="Times New Roman"/>
          <w:lang w:val="fr-FR"/>
        </w:rPr>
        <w:t>f)</w:t>
      </w:r>
      <w:r w:rsidR="00C201F9">
        <w:rPr>
          <w:rFonts w:eastAsia="Times New Roman"/>
          <w:lang w:val="fr-FR"/>
        </w:rPr>
        <w:tab/>
      </w:r>
      <w:r w:rsidRPr="00466CE7">
        <w:rPr>
          <w:rFonts w:eastAsia="Times New Roman"/>
          <w:lang w:val="fr-FR"/>
        </w:rPr>
        <w:t xml:space="preserve">Des informations sur la sécurité chimique et radiologique sont systématiquement publiées sur les sites </w:t>
      </w:r>
      <w:r w:rsidR="0068119F" w:rsidRPr="00466CE7">
        <w:rPr>
          <w:rFonts w:eastAsia="Times New Roman"/>
          <w:lang w:val="fr-FR"/>
        </w:rPr>
        <w:t xml:space="preserve">Web </w:t>
      </w:r>
      <w:r>
        <w:rPr>
          <w:rFonts w:eastAsia="Times New Roman"/>
          <w:lang w:val="fr-FR"/>
        </w:rPr>
        <w:t xml:space="preserve">de l’Agence publique pour la protection de l’environnement et de la sylviculture dépendant du </w:t>
      </w:r>
      <w:r w:rsidR="0068119F">
        <w:rPr>
          <w:rFonts w:eastAsia="Times New Roman"/>
          <w:lang w:val="fr-FR"/>
        </w:rPr>
        <w:t>Gouvernement</w:t>
      </w:r>
      <w:r w:rsidRPr="00466CE7">
        <w:rPr>
          <w:rFonts w:eastAsia="Times New Roman"/>
          <w:lang w:val="fr-FR"/>
        </w:rPr>
        <w:t>, ainsi que dans la presse, à la radio, à la télévision et sur Internet.</w:t>
      </w:r>
    </w:p>
    <w:p w14:paraId="4C0F5849" w14:textId="4D1E3ABF" w:rsidR="009C6834" w:rsidRPr="00466CE7" w:rsidRDefault="009C6834" w:rsidP="009C6834">
      <w:pPr>
        <w:pStyle w:val="SingleTxtG"/>
        <w:rPr>
          <w:rFonts w:eastAsia="Times New Roman"/>
          <w:lang w:val="fr-FR"/>
        </w:rPr>
      </w:pPr>
      <w:r w:rsidRPr="00466CE7">
        <w:rPr>
          <w:rFonts w:eastAsia="Times New Roman"/>
          <w:lang w:val="fr-FR"/>
        </w:rPr>
        <w:t>439.</w:t>
      </w:r>
      <w:r w:rsidRPr="00466CE7">
        <w:rPr>
          <w:rFonts w:eastAsia="Times New Roman"/>
          <w:lang w:val="fr-FR"/>
        </w:rPr>
        <w:tab/>
        <w:t>Dans le cadre du projet</w:t>
      </w:r>
      <w:r>
        <w:rPr>
          <w:rFonts w:eastAsia="Times New Roman"/>
          <w:lang w:val="fr-FR"/>
        </w:rPr>
        <w:t xml:space="preserve"> de d</w:t>
      </w:r>
      <w:r w:rsidRPr="00466CE7">
        <w:rPr>
          <w:rFonts w:eastAsia="Times New Roman"/>
          <w:lang w:val="fr-FR"/>
        </w:rPr>
        <w:t xml:space="preserve">éveloppement </w:t>
      </w:r>
      <w:proofErr w:type="spellStart"/>
      <w:r w:rsidRPr="00466CE7">
        <w:rPr>
          <w:rFonts w:eastAsia="Times New Roman"/>
          <w:lang w:val="fr-FR"/>
        </w:rPr>
        <w:t>socioéconomique</w:t>
      </w:r>
      <w:proofErr w:type="spellEnd"/>
      <w:r w:rsidRPr="00466CE7">
        <w:rPr>
          <w:rFonts w:eastAsia="Times New Roman"/>
          <w:lang w:val="fr-FR"/>
        </w:rPr>
        <w:t xml:space="preserve"> des localités situées à proximité de</w:t>
      </w:r>
      <w:r>
        <w:rPr>
          <w:rFonts w:eastAsia="Times New Roman"/>
          <w:lang w:val="fr-FR"/>
        </w:rPr>
        <w:t xml:space="preserve"> dépôts de</w:t>
      </w:r>
      <w:r w:rsidRPr="00466CE7">
        <w:rPr>
          <w:rFonts w:eastAsia="Times New Roman"/>
          <w:lang w:val="fr-FR"/>
        </w:rPr>
        <w:t xml:space="preserve"> résidus radioactifs au </w:t>
      </w:r>
      <w:r w:rsidR="000479B3">
        <w:rPr>
          <w:rFonts w:eastAsia="Times New Roman"/>
          <w:lang w:val="fr-FR"/>
        </w:rPr>
        <w:t>Kirghizistan</w:t>
      </w:r>
      <w:r w:rsidRPr="00466CE7">
        <w:rPr>
          <w:rFonts w:eastAsia="Times New Roman"/>
          <w:lang w:val="fr-FR"/>
        </w:rPr>
        <w:t xml:space="preserve">, des activités de sensibilisation ont été menées auprès de la population locale </w:t>
      </w:r>
      <w:r>
        <w:rPr>
          <w:rFonts w:eastAsia="Times New Roman"/>
          <w:lang w:val="fr-FR"/>
        </w:rPr>
        <w:t xml:space="preserve">et des mesures ont été prises pour assurer </w:t>
      </w:r>
      <w:r w:rsidRPr="00466CE7">
        <w:rPr>
          <w:rFonts w:eastAsia="Times New Roman"/>
          <w:lang w:val="fr-FR"/>
        </w:rPr>
        <w:t>une surveillance régulière de l</w:t>
      </w:r>
      <w:r>
        <w:rPr>
          <w:rFonts w:eastAsia="Times New Roman"/>
          <w:lang w:val="fr-FR"/>
        </w:rPr>
        <w:t>’</w:t>
      </w:r>
      <w:r w:rsidRPr="00466CE7">
        <w:rPr>
          <w:rFonts w:eastAsia="Times New Roman"/>
          <w:lang w:val="fr-FR"/>
        </w:rPr>
        <w:t xml:space="preserve">environnement et </w:t>
      </w:r>
      <w:r>
        <w:rPr>
          <w:rFonts w:eastAsia="Times New Roman"/>
          <w:lang w:val="fr-FR"/>
        </w:rPr>
        <w:t xml:space="preserve">renforcer les </w:t>
      </w:r>
      <w:r w:rsidRPr="00466CE7">
        <w:rPr>
          <w:rFonts w:eastAsia="Times New Roman"/>
          <w:lang w:val="fr-FR"/>
        </w:rPr>
        <w:t xml:space="preserve">capacités des autorités </w:t>
      </w:r>
      <w:r>
        <w:rPr>
          <w:rFonts w:eastAsia="Times New Roman"/>
          <w:lang w:val="fr-FR"/>
        </w:rPr>
        <w:t xml:space="preserve">et communautés </w:t>
      </w:r>
      <w:r w:rsidRPr="00466CE7">
        <w:rPr>
          <w:rFonts w:eastAsia="Times New Roman"/>
          <w:lang w:val="fr-FR"/>
        </w:rPr>
        <w:t>locales.</w:t>
      </w:r>
    </w:p>
    <w:p w14:paraId="03BACE80" w14:textId="77777777" w:rsidR="009C6834" w:rsidRPr="00466CE7" w:rsidRDefault="009C6834" w:rsidP="009C6834">
      <w:pPr>
        <w:pStyle w:val="SingleTxtG"/>
        <w:rPr>
          <w:rFonts w:eastAsia="Times New Roman"/>
          <w:lang w:val="fr-FR"/>
        </w:rPr>
      </w:pPr>
      <w:r w:rsidRPr="00466CE7">
        <w:rPr>
          <w:rFonts w:eastAsia="Times New Roman"/>
          <w:lang w:val="fr-FR"/>
        </w:rPr>
        <w:t>440.</w:t>
      </w:r>
      <w:r w:rsidRPr="00466CE7">
        <w:rPr>
          <w:rFonts w:eastAsia="Times New Roman"/>
          <w:lang w:val="fr-FR"/>
        </w:rPr>
        <w:tab/>
        <w:t>Un travail d</w:t>
      </w:r>
      <w:r>
        <w:rPr>
          <w:rFonts w:eastAsia="Times New Roman"/>
          <w:lang w:val="fr-FR"/>
        </w:rPr>
        <w:t>’</w:t>
      </w:r>
      <w:r w:rsidRPr="00466CE7">
        <w:rPr>
          <w:rFonts w:eastAsia="Times New Roman"/>
          <w:lang w:val="fr-FR"/>
        </w:rPr>
        <w:t>explication approprié est effectué en permanence auprès de la p</w:t>
      </w:r>
      <w:r>
        <w:rPr>
          <w:rFonts w:eastAsia="Times New Roman"/>
          <w:lang w:val="fr-FR"/>
        </w:rPr>
        <w:t>opulation vivant à proximité de</w:t>
      </w:r>
      <w:r w:rsidRPr="00466CE7">
        <w:rPr>
          <w:rFonts w:eastAsia="Times New Roman"/>
          <w:lang w:val="fr-FR"/>
        </w:rPr>
        <w:t xml:space="preserve"> dépôts de résidus et de déchets.</w:t>
      </w:r>
    </w:p>
    <w:p w14:paraId="3090C025" w14:textId="77777777" w:rsidR="009C6834" w:rsidRPr="00466CE7" w:rsidRDefault="009C6834" w:rsidP="0068119F">
      <w:pPr>
        <w:pStyle w:val="SingleTxtG"/>
        <w:keepLines/>
        <w:rPr>
          <w:rFonts w:eastAsia="Times New Roman"/>
          <w:lang w:val="fr-FR"/>
        </w:rPr>
      </w:pPr>
      <w:r>
        <w:rPr>
          <w:rFonts w:eastAsia="Times New Roman"/>
          <w:lang w:val="fr-FR"/>
        </w:rPr>
        <w:lastRenderedPageBreak/>
        <w:t>441.</w:t>
      </w:r>
      <w:r>
        <w:rPr>
          <w:rFonts w:eastAsia="Times New Roman"/>
          <w:lang w:val="fr-FR"/>
        </w:rPr>
        <w:tab/>
        <w:t>On s’est efforcé de régler la question de</w:t>
      </w:r>
      <w:r w:rsidRPr="00466CE7">
        <w:rPr>
          <w:rFonts w:eastAsia="Times New Roman"/>
          <w:lang w:val="fr-FR"/>
        </w:rPr>
        <w:t xml:space="preserve"> l</w:t>
      </w:r>
      <w:r>
        <w:rPr>
          <w:rFonts w:eastAsia="Times New Roman"/>
          <w:lang w:val="fr-FR"/>
        </w:rPr>
        <w:t>’</w:t>
      </w:r>
      <w:r w:rsidRPr="00466CE7">
        <w:rPr>
          <w:rFonts w:eastAsia="Times New Roman"/>
          <w:lang w:val="fr-FR"/>
        </w:rPr>
        <w:t xml:space="preserve">élimination des pesticides interdits et obsolètes et des </w:t>
      </w:r>
      <w:r>
        <w:rPr>
          <w:rFonts w:eastAsia="Times New Roman"/>
          <w:lang w:val="fr-FR"/>
        </w:rPr>
        <w:t>pesticides contenant des polluants organiques persistants</w:t>
      </w:r>
      <w:r w:rsidRPr="00466CE7">
        <w:rPr>
          <w:rFonts w:eastAsia="Times New Roman"/>
          <w:lang w:val="fr-FR"/>
        </w:rPr>
        <w:t xml:space="preserve"> (les pesticides sont des polluants organiques persistants) </w:t>
      </w:r>
      <w:r>
        <w:rPr>
          <w:rFonts w:eastAsia="Times New Roman"/>
          <w:lang w:val="fr-FR"/>
        </w:rPr>
        <w:t xml:space="preserve">en enterrant ces pesticides dans des </w:t>
      </w:r>
      <w:r w:rsidRPr="00466CE7">
        <w:rPr>
          <w:rFonts w:eastAsia="Times New Roman"/>
          <w:lang w:val="fr-FR"/>
        </w:rPr>
        <w:t>sites d</w:t>
      </w:r>
      <w:r>
        <w:rPr>
          <w:rFonts w:eastAsia="Times New Roman"/>
          <w:lang w:val="fr-FR"/>
        </w:rPr>
        <w:t>’</w:t>
      </w:r>
      <w:r w:rsidRPr="00466CE7">
        <w:rPr>
          <w:rFonts w:eastAsia="Times New Roman"/>
          <w:lang w:val="fr-FR"/>
        </w:rPr>
        <w:t xml:space="preserve">enfouissement. </w:t>
      </w:r>
    </w:p>
    <w:p w14:paraId="3C281565" w14:textId="072C322A" w:rsidR="009C6834" w:rsidRPr="00466CE7" w:rsidRDefault="009C6834" w:rsidP="0068119F">
      <w:pPr>
        <w:pStyle w:val="SingleTxtG"/>
        <w:rPr>
          <w:rFonts w:eastAsia="Times New Roman"/>
          <w:lang w:val="fr-FR"/>
        </w:rPr>
      </w:pPr>
      <w:r w:rsidRPr="00466CE7">
        <w:rPr>
          <w:rFonts w:eastAsia="Times New Roman"/>
          <w:lang w:val="fr-FR"/>
        </w:rPr>
        <w:t>442.</w:t>
      </w:r>
      <w:r w:rsidRPr="00466CE7">
        <w:rPr>
          <w:rFonts w:eastAsia="Times New Roman"/>
          <w:lang w:val="fr-FR"/>
        </w:rPr>
        <w:tab/>
        <w:t xml:space="preserve">En 1973 et 1980, dans le district de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 xml:space="preserve"> </w:t>
      </w:r>
      <w:r>
        <w:rPr>
          <w:rFonts w:eastAsia="Times New Roman"/>
          <w:lang w:val="fr-FR"/>
        </w:rPr>
        <w:t>(région</w:t>
      </w:r>
      <w:r w:rsidRPr="00466CE7">
        <w:rPr>
          <w:rFonts w:eastAsia="Times New Roman"/>
          <w:lang w:val="fr-FR"/>
        </w:rPr>
        <w:t xml:space="preserve"> de </w:t>
      </w:r>
      <w:proofErr w:type="spellStart"/>
      <w:r>
        <w:rPr>
          <w:rFonts w:eastAsia="Times New Roman"/>
          <w:lang w:val="fr-FR"/>
        </w:rPr>
        <w:t>Dj</w:t>
      </w:r>
      <w:r w:rsidRPr="00466CE7">
        <w:rPr>
          <w:rFonts w:eastAsia="Times New Roman"/>
          <w:lang w:val="fr-FR"/>
        </w:rPr>
        <w:t>al</w:t>
      </w:r>
      <w:r>
        <w:rPr>
          <w:rFonts w:eastAsia="Times New Roman"/>
          <w:lang w:val="fr-FR"/>
        </w:rPr>
        <w:t>al-A</w:t>
      </w:r>
      <w:r w:rsidRPr="00466CE7">
        <w:rPr>
          <w:rFonts w:eastAsia="Times New Roman"/>
          <w:lang w:val="fr-FR"/>
        </w:rPr>
        <w:t>bad</w:t>
      </w:r>
      <w:proofErr w:type="spellEnd"/>
      <w:r>
        <w:rPr>
          <w:rFonts w:eastAsia="Times New Roman"/>
          <w:lang w:val="fr-FR"/>
        </w:rPr>
        <w:t>)</w:t>
      </w:r>
      <w:r w:rsidRPr="00466CE7">
        <w:rPr>
          <w:rFonts w:eastAsia="Times New Roman"/>
          <w:lang w:val="fr-FR"/>
        </w:rPr>
        <w:t xml:space="preserve"> environ 3</w:t>
      </w:r>
      <w:r w:rsidR="00C201F9">
        <w:rPr>
          <w:rFonts w:eastAsia="Times New Roman"/>
          <w:lang w:val="fr-FR"/>
        </w:rPr>
        <w:t> </w:t>
      </w:r>
      <w:r w:rsidRPr="00466CE7">
        <w:rPr>
          <w:rFonts w:eastAsia="Times New Roman"/>
          <w:lang w:val="fr-FR"/>
        </w:rPr>
        <w:t>000</w:t>
      </w:r>
      <w:r w:rsidR="00C201F9">
        <w:rPr>
          <w:rFonts w:eastAsia="Times New Roman"/>
          <w:lang w:val="fr-FR"/>
        </w:rPr>
        <w:t> </w:t>
      </w:r>
      <w:r w:rsidRPr="00466CE7">
        <w:rPr>
          <w:rFonts w:eastAsia="Times New Roman"/>
          <w:lang w:val="fr-FR"/>
        </w:rPr>
        <w:t>tonnes de pesticides ont été enterré</w:t>
      </w:r>
      <w:r>
        <w:rPr>
          <w:rFonts w:eastAsia="Times New Roman"/>
          <w:lang w:val="fr-FR"/>
        </w:rPr>
        <w:t>e</w:t>
      </w:r>
      <w:r w:rsidRPr="00466CE7">
        <w:rPr>
          <w:rFonts w:eastAsia="Times New Roman"/>
          <w:lang w:val="fr-FR"/>
        </w:rPr>
        <w:t>s dans le site d</w:t>
      </w:r>
      <w:r>
        <w:rPr>
          <w:rFonts w:eastAsia="Times New Roman"/>
          <w:lang w:val="fr-FR"/>
        </w:rPr>
        <w:t>’</w:t>
      </w:r>
      <w:r w:rsidRPr="00466CE7">
        <w:rPr>
          <w:rFonts w:eastAsia="Times New Roman"/>
          <w:lang w:val="fr-FR"/>
        </w:rPr>
        <w:t xml:space="preserve">enfouissement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-A</w:t>
      </w:r>
      <w:r>
        <w:rPr>
          <w:rFonts w:eastAsia="Times New Roman"/>
          <w:lang w:val="fr-FR"/>
        </w:rPr>
        <w:t xml:space="preserve"> et </w:t>
      </w:r>
      <w:r w:rsidRPr="00466CE7">
        <w:rPr>
          <w:rFonts w:eastAsia="Times New Roman"/>
          <w:lang w:val="fr-FR"/>
        </w:rPr>
        <w:t>plus de 1</w:t>
      </w:r>
      <w:r w:rsidR="00C201F9">
        <w:rPr>
          <w:rFonts w:eastAsia="Times New Roman"/>
          <w:lang w:val="fr-FR"/>
        </w:rPr>
        <w:t> </w:t>
      </w:r>
      <w:r w:rsidRPr="00466CE7">
        <w:rPr>
          <w:rFonts w:eastAsia="Times New Roman"/>
          <w:lang w:val="fr-FR"/>
        </w:rPr>
        <w:t>000</w:t>
      </w:r>
      <w:r w:rsidR="00C201F9">
        <w:rPr>
          <w:rFonts w:eastAsia="Times New Roman"/>
          <w:lang w:val="fr-FR"/>
        </w:rPr>
        <w:t> </w:t>
      </w:r>
      <w:r w:rsidRPr="00466CE7">
        <w:rPr>
          <w:rFonts w:eastAsia="Times New Roman"/>
          <w:lang w:val="fr-FR"/>
        </w:rPr>
        <w:t>tonnes de pesticides obsolètes dans le site d</w:t>
      </w:r>
      <w:r>
        <w:rPr>
          <w:rFonts w:eastAsia="Times New Roman"/>
          <w:lang w:val="fr-FR"/>
        </w:rPr>
        <w:t>’</w:t>
      </w:r>
      <w:r w:rsidRPr="00466CE7">
        <w:rPr>
          <w:rFonts w:eastAsia="Times New Roman"/>
          <w:lang w:val="fr-FR"/>
        </w:rPr>
        <w:t xml:space="preserve">enfouissement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 xml:space="preserve">-B. </w:t>
      </w:r>
      <w:r>
        <w:rPr>
          <w:rFonts w:eastAsia="Times New Roman"/>
          <w:lang w:val="fr-FR"/>
        </w:rPr>
        <w:t>Et 850</w:t>
      </w:r>
      <w:r w:rsidR="00C201F9">
        <w:rPr>
          <w:rFonts w:eastAsia="Times New Roman"/>
          <w:lang w:val="fr-FR"/>
        </w:rPr>
        <w:t> </w:t>
      </w:r>
      <w:r w:rsidRPr="00466CE7">
        <w:rPr>
          <w:rFonts w:eastAsia="Times New Roman"/>
          <w:lang w:val="fr-FR"/>
        </w:rPr>
        <w:t xml:space="preserve">tonnes de pesticides obsolètes ont été </w:t>
      </w:r>
      <w:r>
        <w:rPr>
          <w:rFonts w:eastAsia="Times New Roman"/>
          <w:lang w:val="fr-FR"/>
        </w:rPr>
        <w:t>enfouies d</w:t>
      </w:r>
      <w:r w:rsidRPr="00466CE7">
        <w:rPr>
          <w:rFonts w:eastAsia="Times New Roman"/>
          <w:lang w:val="fr-FR"/>
        </w:rPr>
        <w:t xml:space="preserve">ans le site de </w:t>
      </w:r>
      <w:proofErr w:type="spellStart"/>
      <w:r w:rsidRPr="00466CE7">
        <w:rPr>
          <w:rFonts w:eastAsia="Times New Roman"/>
          <w:lang w:val="fr-FR"/>
        </w:rPr>
        <w:t>K</w:t>
      </w:r>
      <w:r>
        <w:rPr>
          <w:rFonts w:eastAsia="Times New Roman"/>
          <w:lang w:val="fr-FR"/>
        </w:rPr>
        <w:t>o</w:t>
      </w:r>
      <w:r w:rsidRPr="00466CE7">
        <w:rPr>
          <w:rFonts w:eastAsia="Times New Roman"/>
          <w:lang w:val="fr-FR"/>
        </w:rPr>
        <w:t>urgak-</w:t>
      </w:r>
      <w:r>
        <w:rPr>
          <w:rFonts w:eastAsia="Times New Roman"/>
          <w:lang w:val="fr-FR"/>
        </w:rPr>
        <w:t>Ou</w:t>
      </w:r>
      <w:r w:rsidRPr="00466CE7">
        <w:rPr>
          <w:rFonts w:eastAsia="Times New Roman"/>
          <w:lang w:val="fr-FR"/>
        </w:rPr>
        <w:t>kok</w:t>
      </w:r>
      <w:proofErr w:type="spellEnd"/>
      <w:r>
        <w:rPr>
          <w:rFonts w:eastAsia="Times New Roman"/>
          <w:lang w:val="fr-FR"/>
        </w:rPr>
        <w:t xml:space="preserve">, </w:t>
      </w:r>
      <w:r w:rsidRPr="00466CE7">
        <w:rPr>
          <w:rFonts w:eastAsia="Times New Roman"/>
          <w:lang w:val="fr-FR"/>
        </w:rPr>
        <w:t xml:space="preserve">dans le village de </w:t>
      </w:r>
      <w:proofErr w:type="spellStart"/>
      <w:r w:rsidRPr="00466CE7">
        <w:rPr>
          <w:rFonts w:eastAsia="Times New Roman"/>
          <w:lang w:val="fr-FR"/>
        </w:rPr>
        <w:t>Kochkor</w:t>
      </w:r>
      <w:proofErr w:type="spellEnd"/>
      <w:r w:rsidRPr="00466CE7">
        <w:rPr>
          <w:rFonts w:eastAsia="Times New Roman"/>
          <w:lang w:val="fr-FR"/>
        </w:rPr>
        <w:t xml:space="preserve"> </w:t>
      </w:r>
      <w:r>
        <w:rPr>
          <w:rFonts w:eastAsia="Times New Roman"/>
          <w:lang w:val="fr-FR"/>
        </w:rPr>
        <w:t xml:space="preserve">(région </w:t>
      </w:r>
      <w:r w:rsidRPr="00466CE7">
        <w:rPr>
          <w:rFonts w:eastAsia="Times New Roman"/>
          <w:lang w:val="fr-FR"/>
        </w:rPr>
        <w:t>de Naryn</w:t>
      </w:r>
      <w:r>
        <w:rPr>
          <w:rFonts w:eastAsia="Times New Roman"/>
          <w:lang w:val="fr-FR"/>
        </w:rPr>
        <w:t>)</w:t>
      </w:r>
      <w:r w:rsidRPr="00466CE7">
        <w:rPr>
          <w:rFonts w:eastAsia="Times New Roman"/>
          <w:lang w:val="fr-FR"/>
        </w:rPr>
        <w:t xml:space="preserve">. </w:t>
      </w:r>
    </w:p>
    <w:p w14:paraId="68C9A83E" w14:textId="647A15FC" w:rsidR="009C6834" w:rsidRPr="00466CE7" w:rsidRDefault="009C6834" w:rsidP="009C6834">
      <w:pPr>
        <w:pStyle w:val="SingleTxtG"/>
        <w:rPr>
          <w:rFonts w:eastAsia="Times New Roman"/>
          <w:lang w:val="fr-FR"/>
        </w:rPr>
      </w:pPr>
      <w:r w:rsidRPr="00466CE7">
        <w:rPr>
          <w:rFonts w:eastAsia="Times New Roman"/>
          <w:lang w:val="fr-FR"/>
        </w:rPr>
        <w:t>443.</w:t>
      </w:r>
      <w:r w:rsidRPr="00466CE7">
        <w:rPr>
          <w:rFonts w:eastAsia="Times New Roman"/>
          <w:lang w:val="fr-FR"/>
        </w:rPr>
        <w:tab/>
      </w:r>
      <w:r>
        <w:rPr>
          <w:rFonts w:eastAsia="Times New Roman"/>
          <w:lang w:val="fr-FR"/>
        </w:rPr>
        <w:t xml:space="preserve">Dans les deux </w:t>
      </w:r>
      <w:r w:rsidRPr="00466CE7">
        <w:rPr>
          <w:rFonts w:eastAsia="Times New Roman"/>
          <w:lang w:val="fr-FR"/>
        </w:rPr>
        <w:t xml:space="preserve">sites </w:t>
      </w:r>
      <w:r>
        <w:rPr>
          <w:rFonts w:eastAsia="Times New Roman"/>
          <w:lang w:val="fr-FR"/>
        </w:rPr>
        <w:t xml:space="preserve">d’enfouissement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 xml:space="preserve">-A et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-B</w:t>
      </w:r>
      <w:r>
        <w:rPr>
          <w:rFonts w:eastAsia="Times New Roman"/>
          <w:lang w:val="fr-FR"/>
        </w:rPr>
        <w:t xml:space="preserve">, des travaux ont été menés pour recouvrir les dépôts de </w:t>
      </w:r>
      <w:r w:rsidRPr="00466CE7">
        <w:rPr>
          <w:rFonts w:eastAsia="Times New Roman"/>
          <w:lang w:val="fr-FR"/>
        </w:rPr>
        <w:t>films spéciaux (</w:t>
      </w:r>
      <w:r>
        <w:rPr>
          <w:rFonts w:eastAsia="Times New Roman"/>
          <w:lang w:val="fr-FR"/>
        </w:rPr>
        <w:t xml:space="preserve">selon les </w:t>
      </w:r>
      <w:r w:rsidRPr="00466CE7">
        <w:rPr>
          <w:rFonts w:eastAsia="Times New Roman"/>
          <w:lang w:val="fr-FR"/>
        </w:rPr>
        <w:t>norme</w:t>
      </w:r>
      <w:r>
        <w:rPr>
          <w:rFonts w:eastAsia="Times New Roman"/>
          <w:lang w:val="fr-FR"/>
        </w:rPr>
        <w:t>s</w:t>
      </w:r>
      <w:r w:rsidRPr="00466CE7">
        <w:rPr>
          <w:rFonts w:eastAsia="Times New Roman"/>
          <w:lang w:val="fr-FR"/>
        </w:rPr>
        <w:t xml:space="preserve"> internationale</w:t>
      </w:r>
      <w:r>
        <w:rPr>
          <w:rFonts w:eastAsia="Times New Roman"/>
          <w:lang w:val="fr-FR"/>
        </w:rPr>
        <w:t>s</w:t>
      </w:r>
      <w:r w:rsidRPr="00466CE7">
        <w:rPr>
          <w:rFonts w:eastAsia="Times New Roman"/>
          <w:lang w:val="fr-FR"/>
        </w:rPr>
        <w:t>)</w:t>
      </w:r>
      <w:r>
        <w:rPr>
          <w:rFonts w:eastAsia="Times New Roman"/>
          <w:lang w:val="fr-FR"/>
        </w:rPr>
        <w:t>, et</w:t>
      </w:r>
      <w:r w:rsidRPr="00466CE7">
        <w:rPr>
          <w:rFonts w:eastAsia="Times New Roman"/>
          <w:lang w:val="fr-FR"/>
        </w:rPr>
        <w:t xml:space="preserve"> des clôtures, </w:t>
      </w:r>
      <w:r>
        <w:rPr>
          <w:rFonts w:eastAsia="Times New Roman"/>
          <w:lang w:val="fr-FR"/>
        </w:rPr>
        <w:t xml:space="preserve">postes de garde </w:t>
      </w:r>
      <w:r w:rsidRPr="00466CE7">
        <w:rPr>
          <w:rFonts w:eastAsia="Times New Roman"/>
          <w:lang w:val="fr-FR"/>
        </w:rPr>
        <w:t>et panneaux d</w:t>
      </w:r>
      <w:r>
        <w:rPr>
          <w:rFonts w:eastAsia="Times New Roman"/>
          <w:lang w:val="fr-FR"/>
        </w:rPr>
        <w:t>’</w:t>
      </w:r>
      <w:r w:rsidRPr="00466CE7">
        <w:rPr>
          <w:rFonts w:eastAsia="Times New Roman"/>
          <w:lang w:val="fr-FR"/>
        </w:rPr>
        <w:t xml:space="preserve">avertissement ont été installés. Les risques </w:t>
      </w:r>
      <w:r>
        <w:rPr>
          <w:rFonts w:eastAsia="Times New Roman"/>
          <w:lang w:val="fr-FR"/>
        </w:rPr>
        <w:t xml:space="preserve">présentés par </w:t>
      </w:r>
      <w:r w:rsidRPr="00466CE7">
        <w:rPr>
          <w:rFonts w:eastAsia="Times New Roman"/>
          <w:lang w:val="fr-FR"/>
        </w:rPr>
        <w:t>ces sites d</w:t>
      </w:r>
      <w:r>
        <w:rPr>
          <w:rFonts w:eastAsia="Times New Roman"/>
          <w:lang w:val="fr-FR"/>
        </w:rPr>
        <w:t>’</w:t>
      </w:r>
      <w:r w:rsidRPr="00466CE7">
        <w:rPr>
          <w:rFonts w:eastAsia="Times New Roman"/>
          <w:lang w:val="fr-FR"/>
        </w:rPr>
        <w:t>enfouissement pour l</w:t>
      </w:r>
      <w:r>
        <w:rPr>
          <w:rFonts w:eastAsia="Times New Roman"/>
          <w:lang w:val="fr-FR"/>
        </w:rPr>
        <w:t>’</w:t>
      </w:r>
      <w:r w:rsidRPr="00466CE7">
        <w:rPr>
          <w:rFonts w:eastAsia="Times New Roman"/>
          <w:lang w:val="fr-FR"/>
        </w:rPr>
        <w:t xml:space="preserve">environnement et la santé publique ont été réduits au minimum. </w:t>
      </w:r>
    </w:p>
    <w:p w14:paraId="1B484996" w14:textId="77777777" w:rsidR="009C6834" w:rsidRDefault="009C6834" w:rsidP="009C6834">
      <w:pPr>
        <w:pStyle w:val="SingleTxtG"/>
        <w:rPr>
          <w:rFonts w:eastAsia="Times New Roman"/>
          <w:lang w:val="fr-FR"/>
        </w:rPr>
      </w:pPr>
      <w:r w:rsidRPr="00466CE7">
        <w:rPr>
          <w:rFonts w:eastAsia="Times New Roman"/>
          <w:lang w:val="fr-FR"/>
        </w:rPr>
        <w:t>444.</w:t>
      </w:r>
      <w:r w:rsidRPr="00466CE7">
        <w:rPr>
          <w:rFonts w:eastAsia="Times New Roman"/>
          <w:lang w:val="fr-FR"/>
        </w:rPr>
        <w:tab/>
        <w:t>Le</w:t>
      </w:r>
      <w:r>
        <w:rPr>
          <w:rFonts w:eastAsia="Times New Roman"/>
          <w:lang w:val="fr-FR"/>
        </w:rPr>
        <w:t xml:space="preserve"> site</w:t>
      </w:r>
      <w:r w:rsidRPr="00466CE7">
        <w:rPr>
          <w:rFonts w:eastAsia="Times New Roman"/>
          <w:lang w:val="fr-FR"/>
        </w:rPr>
        <w:t xml:space="preserve"> de </w:t>
      </w:r>
      <w:proofErr w:type="spellStart"/>
      <w:r w:rsidRPr="00466CE7">
        <w:rPr>
          <w:rFonts w:eastAsia="Times New Roman"/>
          <w:lang w:val="fr-FR"/>
        </w:rPr>
        <w:t>Kochkor</w:t>
      </w:r>
      <w:proofErr w:type="spellEnd"/>
      <w:r w:rsidRPr="00466CE7">
        <w:rPr>
          <w:rFonts w:eastAsia="Times New Roman"/>
          <w:lang w:val="fr-FR"/>
        </w:rPr>
        <w:t xml:space="preserve"> fait également l</w:t>
      </w:r>
      <w:r>
        <w:rPr>
          <w:rFonts w:eastAsia="Times New Roman"/>
          <w:lang w:val="fr-FR"/>
        </w:rPr>
        <w:t>’</w:t>
      </w:r>
      <w:r w:rsidRPr="00466CE7">
        <w:rPr>
          <w:rFonts w:eastAsia="Times New Roman"/>
          <w:lang w:val="fr-FR"/>
        </w:rPr>
        <w:t>objet de travaux visant à minimiser les risques environnementaux.</w:t>
      </w:r>
    </w:p>
    <w:p w14:paraId="3F3BCB05" w14:textId="5537F0C2" w:rsidR="009C6834" w:rsidRPr="00290D55" w:rsidRDefault="00C201F9" w:rsidP="00C201F9">
      <w:pPr>
        <w:pStyle w:val="H23G"/>
        <w:rPr>
          <w:lang w:val="fr-FR"/>
        </w:rPr>
      </w:pPr>
      <w:r>
        <w:rPr>
          <w:lang w:val="fr-FR"/>
        </w:rPr>
        <w:tab/>
      </w:r>
      <w:r>
        <w:rPr>
          <w:lang w:val="fr-FR"/>
        </w:rPr>
        <w:tab/>
      </w:r>
      <w:r w:rsidR="009C6834" w:rsidRPr="00290D55">
        <w:rPr>
          <w:lang w:val="fr-FR"/>
        </w:rPr>
        <w:t xml:space="preserve">Sites de </w:t>
      </w:r>
      <w:proofErr w:type="spellStart"/>
      <w:r w:rsidR="009C6834" w:rsidRPr="00290D55">
        <w:rPr>
          <w:lang w:val="fr-FR"/>
        </w:rPr>
        <w:t>Souzak</w:t>
      </w:r>
      <w:proofErr w:type="spellEnd"/>
    </w:p>
    <w:p w14:paraId="73E85C40" w14:textId="327B32DE" w:rsidR="009C6834" w:rsidRDefault="009C6834" w:rsidP="009C6834">
      <w:pPr>
        <w:pStyle w:val="SingleTxtG"/>
        <w:rPr>
          <w:rFonts w:eastAsia="Times New Roman"/>
          <w:lang w:val="fr-FR"/>
        </w:rPr>
      </w:pPr>
      <w:r w:rsidRPr="00466CE7">
        <w:rPr>
          <w:rFonts w:eastAsia="Times New Roman"/>
          <w:lang w:val="fr-FR"/>
        </w:rPr>
        <w:t>445.</w:t>
      </w:r>
      <w:r w:rsidRPr="00466CE7">
        <w:rPr>
          <w:rFonts w:eastAsia="Times New Roman"/>
          <w:lang w:val="fr-FR"/>
        </w:rPr>
        <w:tab/>
      </w:r>
      <w:r>
        <w:rPr>
          <w:rFonts w:eastAsia="Times New Roman"/>
          <w:lang w:val="fr-FR"/>
        </w:rPr>
        <w:t xml:space="preserve">En </w:t>
      </w:r>
      <w:r w:rsidRPr="00466CE7">
        <w:rPr>
          <w:rFonts w:eastAsia="Times New Roman"/>
          <w:lang w:val="fr-FR"/>
        </w:rPr>
        <w:t xml:space="preserve">2018, </w:t>
      </w:r>
      <w:r>
        <w:rPr>
          <w:rFonts w:eastAsia="Times New Roman"/>
          <w:lang w:val="fr-FR"/>
        </w:rPr>
        <w:t xml:space="preserve">l’Agence publique chargée auprès du </w:t>
      </w:r>
      <w:r w:rsidR="0068119F">
        <w:rPr>
          <w:rFonts w:eastAsia="Times New Roman"/>
          <w:lang w:val="fr-FR"/>
        </w:rPr>
        <w:t xml:space="preserve">Gouvernement </w:t>
      </w:r>
      <w:r>
        <w:rPr>
          <w:rFonts w:eastAsia="Times New Roman"/>
          <w:lang w:val="fr-FR"/>
        </w:rPr>
        <w:t xml:space="preserve">de la protection de l’environnement et de la sylviculture a entrepris avec </w:t>
      </w:r>
      <w:r w:rsidRPr="00466CE7">
        <w:rPr>
          <w:rFonts w:eastAsia="Times New Roman"/>
          <w:lang w:val="fr-FR"/>
        </w:rPr>
        <w:t>les</w:t>
      </w:r>
      <w:r>
        <w:rPr>
          <w:rFonts w:eastAsia="Times New Roman"/>
          <w:lang w:val="fr-FR"/>
        </w:rPr>
        <w:t xml:space="preserve"> administrations et</w:t>
      </w:r>
      <w:r w:rsidRPr="00466CE7">
        <w:rPr>
          <w:rFonts w:eastAsia="Times New Roman"/>
          <w:lang w:val="fr-FR"/>
        </w:rPr>
        <w:t xml:space="preserve"> ministères </w:t>
      </w:r>
      <w:r>
        <w:rPr>
          <w:rFonts w:eastAsia="Times New Roman"/>
          <w:lang w:val="fr-FR"/>
        </w:rPr>
        <w:t>compétents</w:t>
      </w:r>
      <w:r w:rsidRPr="00466CE7">
        <w:rPr>
          <w:rFonts w:eastAsia="Times New Roman"/>
          <w:lang w:val="fr-FR"/>
        </w:rPr>
        <w:t xml:space="preserve"> </w:t>
      </w:r>
      <w:r>
        <w:rPr>
          <w:rFonts w:eastAsia="Times New Roman"/>
          <w:lang w:val="fr-FR"/>
        </w:rPr>
        <w:t>d’</w:t>
      </w:r>
      <w:r w:rsidRPr="00466CE7">
        <w:rPr>
          <w:rFonts w:eastAsia="Times New Roman"/>
          <w:lang w:val="fr-FR"/>
        </w:rPr>
        <w:t xml:space="preserve">élaborer </w:t>
      </w:r>
      <w:r>
        <w:rPr>
          <w:rFonts w:eastAsia="Times New Roman"/>
          <w:lang w:val="fr-FR"/>
        </w:rPr>
        <w:t xml:space="preserve">les documents préparatoires </w:t>
      </w:r>
      <w:r w:rsidRPr="00466CE7">
        <w:rPr>
          <w:rFonts w:eastAsia="Times New Roman"/>
          <w:lang w:val="fr-FR"/>
        </w:rPr>
        <w:t xml:space="preserve">du projet </w:t>
      </w:r>
      <w:r>
        <w:rPr>
          <w:rFonts w:eastAsia="Times New Roman"/>
          <w:lang w:val="fr-FR"/>
        </w:rPr>
        <w:t xml:space="preserve">témoin du FEM pour le </w:t>
      </w:r>
      <w:r w:rsidRPr="00466CE7">
        <w:rPr>
          <w:rFonts w:eastAsia="Times New Roman"/>
          <w:lang w:val="fr-FR"/>
        </w:rPr>
        <w:t>traitement non thermique des déchets contenant du DDT dans les pays d</w:t>
      </w:r>
      <w:r>
        <w:rPr>
          <w:rFonts w:eastAsia="Times New Roman"/>
          <w:lang w:val="fr-FR"/>
        </w:rPr>
        <w:t>’</w:t>
      </w:r>
      <w:r w:rsidRPr="00466CE7">
        <w:rPr>
          <w:rFonts w:eastAsia="Times New Roman"/>
          <w:lang w:val="fr-FR"/>
        </w:rPr>
        <w:t xml:space="preserve">Asie centrale (République kirghize et Tadjikistan) (GEFID 9421). </w:t>
      </w:r>
      <w:r>
        <w:rPr>
          <w:rFonts w:eastAsia="Times New Roman"/>
          <w:lang w:val="fr-FR"/>
        </w:rPr>
        <w:t>T</w:t>
      </w:r>
      <w:r w:rsidRPr="00466CE7">
        <w:rPr>
          <w:rFonts w:eastAsia="Times New Roman"/>
          <w:lang w:val="fr-FR"/>
        </w:rPr>
        <w:t>ou</w:t>
      </w:r>
      <w:r>
        <w:rPr>
          <w:rFonts w:eastAsia="Times New Roman"/>
          <w:lang w:val="fr-FR"/>
        </w:rPr>
        <w:t xml:space="preserve">s les procédés </w:t>
      </w:r>
      <w:r w:rsidRPr="00466CE7">
        <w:rPr>
          <w:rFonts w:eastAsia="Times New Roman"/>
          <w:lang w:val="fr-FR"/>
        </w:rPr>
        <w:t xml:space="preserve">de traitement non thermique des </w:t>
      </w:r>
      <w:r>
        <w:rPr>
          <w:rFonts w:eastAsia="Times New Roman"/>
          <w:lang w:val="fr-FR"/>
        </w:rPr>
        <w:t xml:space="preserve">polluants organiques persistants </w:t>
      </w:r>
      <w:r w:rsidRPr="00466CE7">
        <w:rPr>
          <w:rFonts w:eastAsia="Times New Roman"/>
          <w:lang w:val="fr-FR"/>
        </w:rPr>
        <w:t>se</w:t>
      </w:r>
      <w:r>
        <w:rPr>
          <w:rFonts w:eastAsia="Times New Roman"/>
          <w:lang w:val="fr-FR"/>
        </w:rPr>
        <w:t>ront à cet égard étudié</w:t>
      </w:r>
      <w:r w:rsidRPr="00466CE7">
        <w:rPr>
          <w:rFonts w:eastAsia="Times New Roman"/>
          <w:lang w:val="fr-FR"/>
        </w:rPr>
        <w:t xml:space="preserve">s et </w:t>
      </w:r>
      <w:r>
        <w:rPr>
          <w:rFonts w:eastAsia="Times New Roman"/>
          <w:lang w:val="fr-FR"/>
        </w:rPr>
        <w:t xml:space="preserve">un procédé sera choisi </w:t>
      </w:r>
      <w:r w:rsidRPr="00466CE7">
        <w:rPr>
          <w:rFonts w:eastAsia="Times New Roman"/>
          <w:lang w:val="fr-FR"/>
        </w:rPr>
        <w:t xml:space="preserve">pour le Kirghizistan et le Tadjikistan. </w:t>
      </w:r>
      <w:r>
        <w:rPr>
          <w:rFonts w:eastAsia="Times New Roman"/>
          <w:lang w:val="fr-FR"/>
        </w:rPr>
        <w:t>C</w:t>
      </w:r>
      <w:r w:rsidRPr="00466CE7">
        <w:rPr>
          <w:rFonts w:eastAsia="Times New Roman"/>
          <w:lang w:val="fr-FR"/>
        </w:rPr>
        <w:t>e projet</w:t>
      </w:r>
      <w:r>
        <w:rPr>
          <w:rFonts w:eastAsia="Times New Roman"/>
          <w:lang w:val="fr-FR"/>
        </w:rPr>
        <w:t xml:space="preserve"> devrait permettre d’éliminer </w:t>
      </w:r>
      <w:r w:rsidRPr="00466CE7">
        <w:rPr>
          <w:rFonts w:eastAsia="Times New Roman"/>
          <w:lang w:val="fr-FR"/>
        </w:rPr>
        <w:t xml:space="preserve">les pesticides obsolètes et les </w:t>
      </w:r>
      <w:r>
        <w:rPr>
          <w:rFonts w:eastAsia="Times New Roman"/>
          <w:lang w:val="fr-FR"/>
        </w:rPr>
        <w:t xml:space="preserve">pesticides contenant des polluants organiques persistants </w:t>
      </w:r>
      <w:r w:rsidRPr="00466CE7">
        <w:rPr>
          <w:rFonts w:eastAsia="Times New Roman"/>
          <w:lang w:val="fr-FR"/>
        </w:rPr>
        <w:t xml:space="preserve">dans les </w:t>
      </w:r>
      <w:r>
        <w:rPr>
          <w:rFonts w:eastAsia="Times New Roman"/>
          <w:lang w:val="fr-FR"/>
        </w:rPr>
        <w:t xml:space="preserve">sites </w:t>
      </w:r>
      <w:r w:rsidRPr="00466CE7">
        <w:rPr>
          <w:rFonts w:eastAsia="Times New Roman"/>
          <w:lang w:val="fr-FR"/>
        </w:rPr>
        <w:t xml:space="preserve">de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 xml:space="preserve">-A et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 xml:space="preserve">-B </w:t>
      </w:r>
      <w:r>
        <w:rPr>
          <w:rFonts w:eastAsia="Times New Roman"/>
          <w:lang w:val="fr-FR"/>
        </w:rPr>
        <w:t xml:space="preserve">à l’aide de procédés de traitement </w:t>
      </w:r>
      <w:r w:rsidRPr="00466CE7">
        <w:rPr>
          <w:rFonts w:eastAsia="Times New Roman"/>
          <w:lang w:val="fr-FR"/>
        </w:rPr>
        <w:t>non thermique</w:t>
      </w:r>
      <w:r>
        <w:rPr>
          <w:rFonts w:eastAsia="Times New Roman"/>
          <w:lang w:val="fr-FR"/>
        </w:rPr>
        <w:t>s</w:t>
      </w:r>
      <w:r w:rsidRPr="00466CE7">
        <w:rPr>
          <w:rFonts w:eastAsia="Times New Roman"/>
          <w:lang w:val="fr-FR"/>
        </w:rPr>
        <w:t xml:space="preserve"> et écologique</w:t>
      </w:r>
      <w:r>
        <w:rPr>
          <w:rFonts w:eastAsia="Times New Roman"/>
          <w:lang w:val="fr-FR"/>
        </w:rPr>
        <w:t>s</w:t>
      </w:r>
      <w:r w:rsidRPr="00466CE7">
        <w:rPr>
          <w:rFonts w:eastAsia="Times New Roman"/>
          <w:lang w:val="fr-FR"/>
        </w:rPr>
        <w:t xml:space="preserve"> (sans incinération). Le projet est financé par le FEM. </w:t>
      </w:r>
    </w:p>
    <w:p w14:paraId="3427F07F" w14:textId="77777777" w:rsidR="009C6834" w:rsidRPr="00466CE7" w:rsidRDefault="009C6834" w:rsidP="009C6834">
      <w:pPr>
        <w:pStyle w:val="SingleTxtG"/>
        <w:rPr>
          <w:rFonts w:eastAsia="Times New Roman"/>
          <w:lang w:val="fr-FR"/>
        </w:rPr>
      </w:pPr>
      <w:r w:rsidRPr="00466CE7">
        <w:rPr>
          <w:rFonts w:eastAsia="Times New Roman"/>
          <w:lang w:val="fr-FR"/>
        </w:rPr>
        <w:t>446.</w:t>
      </w:r>
      <w:r w:rsidRPr="00466CE7">
        <w:rPr>
          <w:rFonts w:eastAsia="Times New Roman"/>
          <w:lang w:val="fr-FR"/>
        </w:rPr>
        <w:tab/>
        <w:t xml:space="preserve">Dans le cadre de ce projet, des échantillons ont été </w:t>
      </w:r>
      <w:r>
        <w:rPr>
          <w:rFonts w:eastAsia="Times New Roman"/>
          <w:lang w:val="fr-FR"/>
        </w:rPr>
        <w:t xml:space="preserve">prélevés </w:t>
      </w:r>
      <w:r w:rsidRPr="00466CE7">
        <w:rPr>
          <w:rFonts w:eastAsia="Times New Roman"/>
          <w:lang w:val="fr-FR"/>
        </w:rPr>
        <w:t xml:space="preserve">en 2018 </w:t>
      </w:r>
      <w:r>
        <w:rPr>
          <w:rFonts w:eastAsia="Times New Roman"/>
          <w:lang w:val="fr-FR"/>
        </w:rPr>
        <w:t xml:space="preserve">sur les </w:t>
      </w:r>
      <w:r w:rsidRPr="00466CE7">
        <w:rPr>
          <w:rFonts w:eastAsia="Times New Roman"/>
          <w:lang w:val="fr-FR"/>
        </w:rPr>
        <w:t xml:space="preserve">deux sites </w:t>
      </w:r>
      <w:r>
        <w:rPr>
          <w:rFonts w:eastAsia="Times New Roman"/>
          <w:lang w:val="fr-FR"/>
        </w:rPr>
        <w:t xml:space="preserve">d’enfouissement </w:t>
      </w:r>
      <w:r w:rsidRPr="00466CE7">
        <w:rPr>
          <w:rFonts w:eastAsia="Times New Roman"/>
          <w:lang w:val="fr-FR"/>
        </w:rPr>
        <w:t xml:space="preserve">et des tests de laboratoire (analyses) ont été réalisés aux Pays-Bas. </w:t>
      </w:r>
    </w:p>
    <w:p w14:paraId="7B420BAE" w14:textId="77777777" w:rsidR="009C6834" w:rsidRPr="00466CE7" w:rsidRDefault="009C6834" w:rsidP="009C6834">
      <w:pPr>
        <w:pStyle w:val="SingleTxtG"/>
        <w:rPr>
          <w:rFonts w:eastAsia="Times New Roman"/>
          <w:lang w:val="fr-FR"/>
        </w:rPr>
      </w:pPr>
      <w:r w:rsidRPr="00466CE7">
        <w:rPr>
          <w:rFonts w:eastAsia="Times New Roman"/>
          <w:lang w:val="fr-FR"/>
        </w:rPr>
        <w:t>447.</w:t>
      </w:r>
      <w:r w:rsidRPr="00466CE7">
        <w:rPr>
          <w:rFonts w:eastAsia="Times New Roman"/>
          <w:lang w:val="fr-FR"/>
        </w:rPr>
        <w:tab/>
        <w:t xml:space="preserve">Le projet </w:t>
      </w:r>
      <w:r>
        <w:rPr>
          <w:rFonts w:eastAsia="Times New Roman"/>
          <w:lang w:val="fr-FR"/>
        </w:rPr>
        <w:t xml:space="preserve">prévoit </w:t>
      </w:r>
      <w:r w:rsidRPr="00466CE7">
        <w:rPr>
          <w:rFonts w:eastAsia="Times New Roman"/>
          <w:lang w:val="fr-FR"/>
        </w:rPr>
        <w:t>également des activités de sensibilisation auprès des communautés</w:t>
      </w:r>
      <w:r>
        <w:rPr>
          <w:rFonts w:eastAsia="Times New Roman"/>
          <w:lang w:val="fr-FR"/>
        </w:rPr>
        <w:t xml:space="preserve"> vivant à proximité </w:t>
      </w:r>
      <w:r w:rsidRPr="00466CE7">
        <w:rPr>
          <w:rFonts w:eastAsia="Times New Roman"/>
          <w:lang w:val="fr-FR"/>
        </w:rPr>
        <w:t>des sites à risque.</w:t>
      </w:r>
    </w:p>
    <w:p w14:paraId="2FC7005B" w14:textId="79994886" w:rsidR="009C6834" w:rsidRPr="00D86333" w:rsidRDefault="00C201F9" w:rsidP="00C201F9">
      <w:pPr>
        <w:pStyle w:val="H23G"/>
        <w:rPr>
          <w:lang w:val="fr-FR"/>
        </w:rPr>
      </w:pPr>
      <w:r>
        <w:rPr>
          <w:lang w:val="fr-FR"/>
        </w:rPr>
        <w:tab/>
      </w:r>
      <w:r>
        <w:rPr>
          <w:lang w:val="fr-FR"/>
        </w:rPr>
        <w:tab/>
      </w:r>
      <w:r w:rsidR="009C6834">
        <w:rPr>
          <w:lang w:val="fr-FR"/>
        </w:rPr>
        <w:t xml:space="preserve">Site </w:t>
      </w:r>
      <w:r w:rsidR="009C6834" w:rsidRPr="00D86333">
        <w:rPr>
          <w:lang w:val="fr-FR"/>
        </w:rPr>
        <w:t xml:space="preserve">de </w:t>
      </w:r>
      <w:proofErr w:type="spellStart"/>
      <w:r w:rsidR="009C6834" w:rsidRPr="00D86333">
        <w:rPr>
          <w:lang w:val="fr-FR"/>
        </w:rPr>
        <w:t>Kochkor</w:t>
      </w:r>
      <w:proofErr w:type="spellEnd"/>
    </w:p>
    <w:p w14:paraId="00657D80" w14:textId="77777777" w:rsidR="009C6834" w:rsidRDefault="009C6834" w:rsidP="009C6834">
      <w:pPr>
        <w:pStyle w:val="SingleTxtG"/>
        <w:rPr>
          <w:rFonts w:eastAsia="Times New Roman"/>
          <w:lang w:val="fr-FR"/>
        </w:rPr>
      </w:pPr>
      <w:r w:rsidRPr="00466CE7">
        <w:rPr>
          <w:rFonts w:eastAsia="Times New Roman"/>
          <w:lang w:val="fr-FR"/>
        </w:rPr>
        <w:t>448.</w:t>
      </w:r>
      <w:r w:rsidRPr="00466CE7">
        <w:rPr>
          <w:rFonts w:eastAsia="Times New Roman"/>
          <w:lang w:val="fr-FR"/>
        </w:rPr>
        <w:tab/>
      </w:r>
      <w:r>
        <w:rPr>
          <w:rFonts w:eastAsia="Times New Roman"/>
          <w:lang w:val="fr-FR"/>
        </w:rPr>
        <w:t>L</w:t>
      </w:r>
      <w:r w:rsidRPr="00466CE7">
        <w:rPr>
          <w:rFonts w:eastAsia="Times New Roman"/>
          <w:lang w:val="fr-FR"/>
        </w:rPr>
        <w:t xml:space="preserve">e projet de la FAO et du FEM </w:t>
      </w:r>
      <w:r>
        <w:rPr>
          <w:rFonts w:eastAsia="Times New Roman"/>
          <w:lang w:val="fr-FR"/>
        </w:rPr>
        <w:t>« </w:t>
      </w:r>
      <w:r w:rsidRPr="00466CE7">
        <w:rPr>
          <w:rFonts w:eastAsia="Times New Roman"/>
          <w:lang w:val="fr-FR"/>
        </w:rPr>
        <w:t xml:space="preserve">Gestion du cycle de vie des pesticides et élimination des pesticides </w:t>
      </w:r>
      <w:r>
        <w:rPr>
          <w:rFonts w:eastAsia="Times New Roman"/>
          <w:lang w:val="fr-FR"/>
        </w:rPr>
        <w:t>contenant des polluants organiques persistants</w:t>
      </w:r>
      <w:r w:rsidRPr="00466CE7">
        <w:rPr>
          <w:rFonts w:eastAsia="Times New Roman"/>
          <w:lang w:val="fr-FR"/>
        </w:rPr>
        <w:t xml:space="preserve"> en Asie centrale et en Turquie</w:t>
      </w:r>
      <w:r>
        <w:rPr>
          <w:rFonts w:eastAsia="Times New Roman"/>
          <w:lang w:val="fr-FR"/>
        </w:rPr>
        <w:t> »</w:t>
      </w:r>
      <w:r w:rsidRPr="00466CE7">
        <w:rPr>
          <w:rFonts w:eastAsia="Times New Roman"/>
          <w:lang w:val="fr-FR"/>
        </w:rPr>
        <w:t xml:space="preserve"> </w:t>
      </w:r>
      <w:r>
        <w:rPr>
          <w:rFonts w:eastAsia="Times New Roman"/>
          <w:lang w:val="fr-FR"/>
        </w:rPr>
        <w:t>(</w:t>
      </w:r>
      <w:r w:rsidRPr="00466CE7">
        <w:rPr>
          <w:rFonts w:eastAsia="Times New Roman"/>
          <w:lang w:val="fr-FR"/>
        </w:rPr>
        <w:t>GCP/SEC/011/GFF</w:t>
      </w:r>
      <w:r>
        <w:rPr>
          <w:rFonts w:eastAsia="Times New Roman"/>
          <w:lang w:val="fr-FR"/>
        </w:rPr>
        <w:t>)</w:t>
      </w:r>
      <w:r w:rsidRPr="00466CE7">
        <w:rPr>
          <w:rFonts w:eastAsia="Times New Roman"/>
          <w:lang w:val="fr-FR"/>
        </w:rPr>
        <w:t xml:space="preserve"> </w:t>
      </w:r>
      <w:r>
        <w:rPr>
          <w:rFonts w:eastAsia="Times New Roman"/>
          <w:lang w:val="fr-FR"/>
        </w:rPr>
        <w:t xml:space="preserve">a été </w:t>
      </w:r>
      <w:r w:rsidRPr="00466CE7">
        <w:rPr>
          <w:rFonts w:eastAsia="Times New Roman"/>
          <w:lang w:val="fr-FR"/>
        </w:rPr>
        <w:t>signé</w:t>
      </w:r>
      <w:r>
        <w:rPr>
          <w:rFonts w:eastAsia="Times New Roman"/>
          <w:lang w:val="fr-FR"/>
        </w:rPr>
        <w:t xml:space="preserve"> en 2019</w:t>
      </w:r>
      <w:r w:rsidRPr="00466CE7">
        <w:rPr>
          <w:rFonts w:eastAsia="Times New Roman"/>
          <w:lang w:val="fr-FR"/>
        </w:rPr>
        <w:t xml:space="preserve"> </w:t>
      </w:r>
      <w:r>
        <w:rPr>
          <w:rFonts w:eastAsia="Times New Roman"/>
          <w:lang w:val="fr-FR"/>
        </w:rPr>
        <w:t xml:space="preserve">par la FAO et le Ministère de l’agriculture, de l’industrie alimentaire </w:t>
      </w:r>
      <w:r w:rsidRPr="00466CE7">
        <w:rPr>
          <w:rFonts w:eastAsia="Times New Roman"/>
          <w:lang w:val="fr-FR"/>
        </w:rPr>
        <w:t xml:space="preserve">et </w:t>
      </w:r>
      <w:r>
        <w:rPr>
          <w:rFonts w:eastAsia="Times New Roman"/>
          <w:lang w:val="fr-FR"/>
        </w:rPr>
        <w:t>de l’amendement des sols</w:t>
      </w:r>
      <w:r w:rsidRPr="00466CE7">
        <w:rPr>
          <w:rFonts w:eastAsia="Times New Roman"/>
          <w:lang w:val="fr-FR"/>
        </w:rPr>
        <w:t xml:space="preserve">. </w:t>
      </w:r>
    </w:p>
    <w:p w14:paraId="508C5431" w14:textId="77777777" w:rsidR="009C6834" w:rsidRPr="00466CE7" w:rsidRDefault="009C6834" w:rsidP="009C6834">
      <w:pPr>
        <w:pStyle w:val="SingleTxtG"/>
        <w:rPr>
          <w:rFonts w:eastAsia="Times New Roman"/>
          <w:lang w:val="fr-FR"/>
        </w:rPr>
      </w:pPr>
      <w:r w:rsidRPr="00466CE7">
        <w:rPr>
          <w:rFonts w:eastAsia="Times New Roman"/>
          <w:lang w:val="fr-FR"/>
        </w:rPr>
        <w:t>449.</w:t>
      </w:r>
      <w:r w:rsidRPr="00466CE7">
        <w:rPr>
          <w:rFonts w:eastAsia="Times New Roman"/>
          <w:lang w:val="fr-FR"/>
        </w:rPr>
        <w:tab/>
        <w:t>L</w:t>
      </w:r>
      <w:r>
        <w:rPr>
          <w:rFonts w:eastAsia="Times New Roman"/>
          <w:lang w:val="fr-FR"/>
        </w:rPr>
        <w:t>’</w:t>
      </w:r>
      <w:r w:rsidRPr="00466CE7">
        <w:rPr>
          <w:rFonts w:eastAsia="Times New Roman"/>
          <w:lang w:val="fr-FR"/>
        </w:rPr>
        <w:t xml:space="preserve">objectif </w:t>
      </w:r>
      <w:r>
        <w:rPr>
          <w:rFonts w:eastAsia="Times New Roman"/>
          <w:lang w:val="fr-FR"/>
        </w:rPr>
        <w:t xml:space="preserve">de ce </w:t>
      </w:r>
      <w:r w:rsidRPr="00466CE7">
        <w:rPr>
          <w:rFonts w:eastAsia="Times New Roman"/>
          <w:lang w:val="fr-FR"/>
        </w:rPr>
        <w:t xml:space="preserve">projet est de réduire les </w:t>
      </w:r>
      <w:r>
        <w:rPr>
          <w:rFonts w:eastAsia="Times New Roman"/>
          <w:lang w:val="fr-FR"/>
        </w:rPr>
        <w:t xml:space="preserve">déchets contenant des polluants organiques persistants </w:t>
      </w:r>
      <w:r w:rsidRPr="00466CE7">
        <w:rPr>
          <w:rFonts w:eastAsia="Times New Roman"/>
          <w:lang w:val="fr-FR"/>
        </w:rPr>
        <w:t xml:space="preserve">et les </w:t>
      </w:r>
      <w:r>
        <w:rPr>
          <w:rFonts w:eastAsia="Times New Roman"/>
          <w:lang w:val="fr-FR"/>
        </w:rPr>
        <w:t xml:space="preserve">parcelles </w:t>
      </w:r>
      <w:r w:rsidRPr="00466CE7">
        <w:rPr>
          <w:rFonts w:eastAsia="Times New Roman"/>
          <w:lang w:val="fr-FR"/>
        </w:rPr>
        <w:t>contaminé</w:t>
      </w:r>
      <w:r>
        <w:rPr>
          <w:rFonts w:eastAsia="Times New Roman"/>
          <w:lang w:val="fr-FR"/>
        </w:rPr>
        <w:t>e</w:t>
      </w:r>
      <w:r w:rsidRPr="00466CE7">
        <w:rPr>
          <w:rFonts w:eastAsia="Times New Roman"/>
          <w:lang w:val="fr-FR"/>
        </w:rPr>
        <w:t>s</w:t>
      </w:r>
      <w:r>
        <w:rPr>
          <w:rFonts w:eastAsia="Times New Roman"/>
          <w:lang w:val="fr-FR"/>
        </w:rPr>
        <w:t>,</w:t>
      </w:r>
      <w:r w:rsidRPr="00466CE7">
        <w:rPr>
          <w:rFonts w:eastAsia="Times New Roman"/>
          <w:lang w:val="fr-FR"/>
        </w:rPr>
        <w:t xml:space="preserve"> et de renforcer les capacités </w:t>
      </w:r>
      <w:r>
        <w:rPr>
          <w:rFonts w:eastAsia="Times New Roman"/>
          <w:lang w:val="fr-FR"/>
        </w:rPr>
        <w:t xml:space="preserve">en matière </w:t>
      </w:r>
      <w:r w:rsidRPr="00466CE7">
        <w:rPr>
          <w:rFonts w:eastAsia="Times New Roman"/>
          <w:lang w:val="fr-FR"/>
        </w:rPr>
        <w:t xml:space="preserve">de gestion écologiquement rationnelle des pesticides. </w:t>
      </w:r>
      <w:r>
        <w:rPr>
          <w:rFonts w:eastAsia="Times New Roman"/>
          <w:lang w:val="fr-FR"/>
        </w:rPr>
        <w:t xml:space="preserve">Des travaux sont prévus dans ce cadre pour </w:t>
      </w:r>
      <w:r w:rsidRPr="00466CE7">
        <w:rPr>
          <w:rFonts w:eastAsia="Times New Roman"/>
          <w:lang w:val="fr-FR"/>
        </w:rPr>
        <w:t xml:space="preserve">réduire les risques environnementaux </w:t>
      </w:r>
      <w:r>
        <w:rPr>
          <w:rFonts w:eastAsia="Times New Roman"/>
          <w:lang w:val="fr-FR"/>
        </w:rPr>
        <w:t xml:space="preserve">présentés par le site de </w:t>
      </w:r>
      <w:proofErr w:type="spellStart"/>
      <w:r>
        <w:rPr>
          <w:rFonts w:eastAsia="Times New Roman"/>
          <w:lang w:val="fr-FR"/>
        </w:rPr>
        <w:t>Kochkor</w:t>
      </w:r>
      <w:proofErr w:type="spellEnd"/>
      <w:r>
        <w:rPr>
          <w:rFonts w:eastAsia="Times New Roman"/>
          <w:lang w:val="fr-FR"/>
        </w:rPr>
        <w:t>.</w:t>
      </w:r>
      <w:r w:rsidRPr="00466CE7">
        <w:rPr>
          <w:rFonts w:eastAsia="Times New Roman"/>
          <w:lang w:val="fr-FR"/>
        </w:rPr>
        <w:t xml:space="preserve"> </w:t>
      </w:r>
    </w:p>
    <w:p w14:paraId="3286BA96" w14:textId="37485E10" w:rsidR="009C6834" w:rsidRPr="00466CE7" w:rsidRDefault="009C6834" w:rsidP="009C6834">
      <w:pPr>
        <w:pStyle w:val="SingleTxtG"/>
        <w:rPr>
          <w:rFonts w:eastAsia="Times New Roman"/>
          <w:lang w:val="fr-FR"/>
        </w:rPr>
      </w:pPr>
      <w:r w:rsidRPr="00466CE7">
        <w:rPr>
          <w:rFonts w:eastAsia="Times New Roman"/>
          <w:lang w:val="fr-FR"/>
        </w:rPr>
        <w:t>450.</w:t>
      </w:r>
      <w:r w:rsidRPr="00466CE7">
        <w:rPr>
          <w:rFonts w:eastAsia="Times New Roman"/>
          <w:lang w:val="fr-FR"/>
        </w:rPr>
        <w:tab/>
        <w:t>Inventaire des pesticides obsolètes et</w:t>
      </w:r>
      <w:r>
        <w:rPr>
          <w:rFonts w:eastAsia="Times New Roman"/>
          <w:lang w:val="fr-FR"/>
        </w:rPr>
        <w:t xml:space="preserve"> des pesticides contenant</w:t>
      </w:r>
      <w:r w:rsidRPr="00164A26">
        <w:rPr>
          <w:rFonts w:eastAsia="Times New Roman"/>
          <w:lang w:val="fr-FR"/>
        </w:rPr>
        <w:t xml:space="preserve"> </w:t>
      </w:r>
      <w:r>
        <w:rPr>
          <w:rFonts w:eastAsia="Times New Roman"/>
          <w:lang w:val="fr-FR"/>
        </w:rPr>
        <w:t>des polluants organiques persistants</w:t>
      </w:r>
      <w:r w:rsidRPr="00466CE7">
        <w:rPr>
          <w:rFonts w:eastAsia="Times New Roman"/>
          <w:lang w:val="fr-FR"/>
        </w:rPr>
        <w:t xml:space="preserve">. </w:t>
      </w:r>
      <w:r>
        <w:rPr>
          <w:rFonts w:eastAsia="Times New Roman"/>
          <w:lang w:val="fr-FR"/>
        </w:rPr>
        <w:t>La</w:t>
      </w:r>
      <w:r w:rsidRPr="00466CE7">
        <w:rPr>
          <w:rFonts w:eastAsia="Times New Roman"/>
          <w:lang w:val="fr-FR"/>
        </w:rPr>
        <w:t xml:space="preserve"> République kirghize </w:t>
      </w:r>
      <w:r>
        <w:rPr>
          <w:rFonts w:eastAsia="Times New Roman"/>
          <w:lang w:val="fr-FR"/>
        </w:rPr>
        <w:t xml:space="preserve">s’est employée ces dernières années à </w:t>
      </w:r>
      <w:r w:rsidRPr="00466CE7">
        <w:rPr>
          <w:rFonts w:eastAsia="Times New Roman"/>
          <w:lang w:val="fr-FR"/>
        </w:rPr>
        <w:t xml:space="preserve">réduire la quantité totale </w:t>
      </w:r>
      <w:r>
        <w:rPr>
          <w:rFonts w:eastAsia="Times New Roman"/>
          <w:lang w:val="fr-FR"/>
        </w:rPr>
        <w:t>des polluants organiques persistants</w:t>
      </w:r>
      <w:r w:rsidRPr="00466CE7">
        <w:rPr>
          <w:rFonts w:eastAsia="Times New Roman"/>
          <w:lang w:val="fr-FR"/>
        </w:rPr>
        <w:t xml:space="preserve"> dans l</w:t>
      </w:r>
      <w:r>
        <w:rPr>
          <w:rFonts w:eastAsia="Times New Roman"/>
          <w:lang w:val="fr-FR"/>
        </w:rPr>
        <w:t>’</w:t>
      </w:r>
      <w:r w:rsidRPr="00466CE7">
        <w:rPr>
          <w:rFonts w:eastAsia="Times New Roman"/>
          <w:lang w:val="fr-FR"/>
        </w:rPr>
        <w:t xml:space="preserve">environnement </w:t>
      </w:r>
      <w:r>
        <w:rPr>
          <w:rFonts w:eastAsia="Times New Roman"/>
          <w:lang w:val="fr-FR"/>
        </w:rPr>
        <w:t>en procédant à l’</w:t>
      </w:r>
      <w:r w:rsidRPr="00466CE7">
        <w:rPr>
          <w:rFonts w:eastAsia="Times New Roman"/>
          <w:lang w:val="fr-FR"/>
        </w:rPr>
        <w:t>inventaire</w:t>
      </w:r>
      <w:r>
        <w:rPr>
          <w:rFonts w:eastAsia="Times New Roman"/>
          <w:lang w:val="fr-FR"/>
        </w:rPr>
        <w:t xml:space="preserve"> et au reconditionnement des </w:t>
      </w:r>
      <w:r w:rsidRPr="00466CE7">
        <w:rPr>
          <w:rFonts w:eastAsia="Times New Roman"/>
          <w:lang w:val="fr-FR"/>
        </w:rPr>
        <w:t>pesticides obsolètes et interdits stockés dans les anciennes installations de sto</w:t>
      </w:r>
      <w:r>
        <w:rPr>
          <w:rFonts w:eastAsia="Times New Roman"/>
          <w:lang w:val="fr-FR"/>
        </w:rPr>
        <w:t xml:space="preserve">ckage du système </w:t>
      </w:r>
      <w:proofErr w:type="spellStart"/>
      <w:r w:rsidRPr="00466CE7">
        <w:rPr>
          <w:rFonts w:eastAsia="Times New Roman"/>
          <w:lang w:val="fr-FR"/>
        </w:rPr>
        <w:t>Soy</w:t>
      </w:r>
      <w:r>
        <w:rPr>
          <w:rFonts w:eastAsia="Times New Roman"/>
          <w:lang w:val="fr-FR"/>
        </w:rPr>
        <w:t>ouzcelkhozhimiya</w:t>
      </w:r>
      <w:proofErr w:type="spellEnd"/>
      <w:r w:rsidRPr="00466CE7">
        <w:rPr>
          <w:rFonts w:eastAsia="Times New Roman"/>
          <w:lang w:val="fr-FR"/>
        </w:rPr>
        <w:t xml:space="preserve">. </w:t>
      </w:r>
    </w:p>
    <w:p w14:paraId="75B0EC19" w14:textId="469B4B5E" w:rsidR="009C6834" w:rsidRDefault="009C6834" w:rsidP="009C6834">
      <w:pPr>
        <w:pStyle w:val="SingleTxtG"/>
        <w:rPr>
          <w:rFonts w:eastAsia="Times New Roman"/>
          <w:lang w:val="fr-FR"/>
        </w:rPr>
      </w:pPr>
      <w:r w:rsidRPr="00466CE7">
        <w:rPr>
          <w:rFonts w:eastAsia="Times New Roman"/>
          <w:lang w:val="fr-FR"/>
        </w:rPr>
        <w:t>451.</w:t>
      </w:r>
      <w:r w:rsidRPr="00466CE7">
        <w:rPr>
          <w:rFonts w:eastAsia="Times New Roman"/>
          <w:lang w:val="fr-FR"/>
        </w:rPr>
        <w:tab/>
      </w:r>
      <w:r>
        <w:rPr>
          <w:rFonts w:eastAsia="Times New Roman"/>
          <w:lang w:val="fr-FR"/>
        </w:rPr>
        <w:t>D</w:t>
      </w:r>
      <w:r w:rsidRPr="00466CE7">
        <w:rPr>
          <w:rFonts w:eastAsia="Times New Roman"/>
          <w:lang w:val="fr-FR"/>
        </w:rPr>
        <w:t xml:space="preserve">ans le cadre du projet </w:t>
      </w:r>
      <w:r>
        <w:rPr>
          <w:rFonts w:eastAsia="Times New Roman"/>
          <w:lang w:val="fr-FR"/>
        </w:rPr>
        <w:t xml:space="preserve">de la </w:t>
      </w:r>
      <w:r w:rsidRPr="00466CE7">
        <w:rPr>
          <w:rFonts w:eastAsia="Times New Roman"/>
          <w:lang w:val="fr-FR"/>
        </w:rPr>
        <w:t xml:space="preserve">FAO </w:t>
      </w:r>
      <w:r>
        <w:rPr>
          <w:rFonts w:eastAsia="Times New Roman"/>
          <w:lang w:val="fr-FR"/>
        </w:rPr>
        <w:t>« </w:t>
      </w:r>
      <w:r w:rsidRPr="00466CE7">
        <w:rPr>
          <w:rFonts w:eastAsia="Times New Roman"/>
          <w:lang w:val="fr-FR"/>
        </w:rPr>
        <w:t xml:space="preserve">Inventaire des pesticides obsolètes et des déchets </w:t>
      </w:r>
      <w:r>
        <w:rPr>
          <w:rFonts w:eastAsia="Times New Roman"/>
          <w:lang w:val="fr-FR"/>
        </w:rPr>
        <w:t xml:space="preserve">connexes </w:t>
      </w:r>
      <w:r w:rsidRPr="00466CE7">
        <w:rPr>
          <w:rFonts w:eastAsia="Times New Roman"/>
          <w:lang w:val="fr-FR"/>
        </w:rPr>
        <w:t>en Asie centrale, dans le Caucase et en Turquie</w:t>
      </w:r>
      <w:r>
        <w:rPr>
          <w:rFonts w:eastAsia="Times New Roman"/>
          <w:lang w:val="fr-FR"/>
        </w:rPr>
        <w:t> »</w:t>
      </w:r>
      <w:r w:rsidRPr="00466CE7">
        <w:rPr>
          <w:rFonts w:eastAsia="Times New Roman"/>
          <w:lang w:val="fr-FR"/>
        </w:rPr>
        <w:t xml:space="preserve"> </w:t>
      </w:r>
      <w:r>
        <w:rPr>
          <w:rFonts w:eastAsia="Times New Roman"/>
          <w:lang w:val="fr-FR"/>
        </w:rPr>
        <w:t>(</w:t>
      </w:r>
      <w:r w:rsidRPr="00466CE7">
        <w:rPr>
          <w:rFonts w:eastAsia="Times New Roman"/>
          <w:lang w:val="fr-FR"/>
        </w:rPr>
        <w:t>GCP/RER/035/TUR</w:t>
      </w:r>
      <w:r>
        <w:rPr>
          <w:rFonts w:eastAsia="Times New Roman"/>
          <w:lang w:val="fr-FR"/>
        </w:rPr>
        <w:t>)</w:t>
      </w:r>
      <w:r w:rsidRPr="00466CE7">
        <w:rPr>
          <w:rFonts w:eastAsia="Times New Roman"/>
          <w:lang w:val="fr-FR"/>
        </w:rPr>
        <w:t xml:space="preserve">, un inventaire a été réalisé </w:t>
      </w:r>
      <w:r>
        <w:rPr>
          <w:rFonts w:eastAsia="Times New Roman"/>
          <w:lang w:val="fr-FR"/>
        </w:rPr>
        <w:t xml:space="preserve">en 2012 </w:t>
      </w:r>
      <w:r w:rsidRPr="00466CE7">
        <w:rPr>
          <w:rFonts w:eastAsia="Times New Roman"/>
          <w:lang w:val="fr-FR"/>
        </w:rPr>
        <w:t xml:space="preserve">conformément aux normes internationales </w:t>
      </w:r>
      <w:r>
        <w:rPr>
          <w:rFonts w:eastAsia="Times New Roman"/>
          <w:lang w:val="fr-FR"/>
        </w:rPr>
        <w:t xml:space="preserve">définies </w:t>
      </w:r>
      <w:r w:rsidRPr="00466CE7">
        <w:rPr>
          <w:rFonts w:eastAsia="Times New Roman"/>
          <w:lang w:val="fr-FR"/>
        </w:rPr>
        <w:t xml:space="preserve">par la FAO. Toutes les données ont été saisies dans le système </w:t>
      </w:r>
      <w:r>
        <w:rPr>
          <w:rFonts w:eastAsia="Times New Roman"/>
          <w:lang w:val="fr-FR"/>
        </w:rPr>
        <w:t>de gestion en ligne des stocks de pesticides obsolètes (</w:t>
      </w:r>
      <w:r w:rsidRPr="00466CE7">
        <w:rPr>
          <w:rFonts w:eastAsia="Times New Roman"/>
          <w:lang w:val="fr-FR"/>
        </w:rPr>
        <w:t>PSMS</w:t>
      </w:r>
      <w:r>
        <w:rPr>
          <w:rFonts w:eastAsia="Times New Roman"/>
          <w:lang w:val="fr-FR"/>
        </w:rPr>
        <w:t xml:space="preserve">, </w:t>
      </w:r>
      <w:r w:rsidRPr="00466CE7">
        <w:rPr>
          <w:rFonts w:eastAsia="Times New Roman"/>
          <w:lang w:val="fr-FR"/>
        </w:rPr>
        <w:t xml:space="preserve">outil </w:t>
      </w:r>
      <w:r>
        <w:rPr>
          <w:rFonts w:eastAsia="Times New Roman"/>
          <w:lang w:val="fr-FR"/>
        </w:rPr>
        <w:t xml:space="preserve">d’évaluation des risques mis au point </w:t>
      </w:r>
      <w:r w:rsidRPr="00466CE7">
        <w:rPr>
          <w:rFonts w:eastAsia="Times New Roman"/>
          <w:lang w:val="fr-FR"/>
        </w:rPr>
        <w:t>par la FAO). L</w:t>
      </w:r>
      <w:r>
        <w:rPr>
          <w:rFonts w:eastAsia="Times New Roman"/>
          <w:lang w:val="fr-FR"/>
        </w:rPr>
        <w:t>’</w:t>
      </w:r>
      <w:r w:rsidRPr="00466CE7">
        <w:rPr>
          <w:rFonts w:eastAsia="Times New Roman"/>
          <w:lang w:val="fr-FR"/>
        </w:rPr>
        <w:t xml:space="preserve">administrateur national du système PSMS au </w:t>
      </w:r>
      <w:r w:rsidR="000479B3">
        <w:rPr>
          <w:rFonts w:eastAsia="Times New Roman"/>
          <w:lang w:val="fr-FR"/>
        </w:rPr>
        <w:t>Kirghizistan</w:t>
      </w:r>
      <w:r w:rsidRPr="00466CE7">
        <w:rPr>
          <w:rFonts w:eastAsia="Times New Roman"/>
          <w:lang w:val="fr-FR"/>
        </w:rPr>
        <w:t xml:space="preserve"> est </w:t>
      </w:r>
      <w:r>
        <w:rPr>
          <w:rFonts w:eastAsia="Times New Roman"/>
          <w:lang w:val="fr-FR"/>
        </w:rPr>
        <w:t xml:space="preserve">le Département de la </w:t>
      </w:r>
      <w:proofErr w:type="spellStart"/>
      <w:r>
        <w:rPr>
          <w:rFonts w:eastAsia="Times New Roman"/>
          <w:lang w:val="fr-FR"/>
        </w:rPr>
        <w:t>chimisation</w:t>
      </w:r>
      <w:proofErr w:type="spellEnd"/>
      <w:r>
        <w:rPr>
          <w:rFonts w:eastAsia="Times New Roman"/>
          <w:lang w:val="fr-FR"/>
        </w:rPr>
        <w:t xml:space="preserve"> et de la préservation des végétaux</w:t>
      </w:r>
      <w:r w:rsidRPr="00466CE7">
        <w:rPr>
          <w:rFonts w:eastAsia="Times New Roman"/>
          <w:lang w:val="fr-FR"/>
        </w:rPr>
        <w:t xml:space="preserve">. </w:t>
      </w:r>
    </w:p>
    <w:p w14:paraId="1F5E7298" w14:textId="0F07DAAE" w:rsidR="009C6834" w:rsidRPr="00466CE7" w:rsidRDefault="009C6834" w:rsidP="00C201F9">
      <w:pPr>
        <w:pStyle w:val="SingleTxtG"/>
        <w:keepLines/>
        <w:rPr>
          <w:rFonts w:eastAsia="Times New Roman"/>
          <w:lang w:val="fr-FR"/>
        </w:rPr>
      </w:pPr>
      <w:r w:rsidRPr="00466CE7">
        <w:rPr>
          <w:rFonts w:eastAsia="Times New Roman"/>
          <w:lang w:val="fr-FR"/>
        </w:rPr>
        <w:lastRenderedPageBreak/>
        <w:t>452.</w:t>
      </w:r>
      <w:r w:rsidRPr="00466CE7">
        <w:rPr>
          <w:rFonts w:eastAsia="Times New Roman"/>
          <w:lang w:val="fr-FR"/>
        </w:rPr>
        <w:tab/>
        <w:t>Selon les données</w:t>
      </w:r>
      <w:r>
        <w:rPr>
          <w:rFonts w:eastAsia="Times New Roman"/>
          <w:lang w:val="fr-FR"/>
        </w:rPr>
        <w:t xml:space="preserve"> les plus récentes</w:t>
      </w:r>
      <w:r w:rsidRPr="00466CE7">
        <w:rPr>
          <w:rFonts w:eastAsia="Times New Roman"/>
          <w:lang w:val="fr-FR"/>
        </w:rPr>
        <w:t>, les sites d</w:t>
      </w:r>
      <w:r>
        <w:rPr>
          <w:rFonts w:eastAsia="Times New Roman"/>
          <w:lang w:val="fr-FR"/>
        </w:rPr>
        <w:t>’</w:t>
      </w:r>
      <w:r w:rsidRPr="00466CE7">
        <w:rPr>
          <w:rFonts w:eastAsia="Times New Roman"/>
          <w:lang w:val="fr-FR"/>
        </w:rPr>
        <w:t>enfouissement et les installations de stockage</w:t>
      </w:r>
      <w:r>
        <w:rPr>
          <w:rFonts w:eastAsia="Times New Roman"/>
          <w:lang w:val="fr-FR"/>
        </w:rPr>
        <w:t xml:space="preserve"> renferment </w:t>
      </w:r>
      <w:r w:rsidRPr="00466CE7">
        <w:rPr>
          <w:rFonts w:eastAsia="Times New Roman"/>
          <w:lang w:val="fr-FR"/>
        </w:rPr>
        <w:t>2</w:t>
      </w:r>
      <w:r>
        <w:rPr>
          <w:rFonts w:eastAsia="Times New Roman"/>
          <w:lang w:val="fr-FR"/>
        </w:rPr>
        <w:t> </w:t>
      </w:r>
      <w:r w:rsidRPr="00466CE7">
        <w:rPr>
          <w:rFonts w:eastAsia="Times New Roman"/>
          <w:lang w:val="fr-FR"/>
        </w:rPr>
        <w:t>073,7</w:t>
      </w:r>
      <w:r w:rsidR="00C201F9">
        <w:rPr>
          <w:rFonts w:eastAsia="Times New Roman"/>
          <w:lang w:val="fr-FR"/>
        </w:rPr>
        <w:t> </w:t>
      </w:r>
      <w:r w:rsidRPr="00466CE7">
        <w:rPr>
          <w:rFonts w:eastAsia="Times New Roman"/>
          <w:lang w:val="fr-FR"/>
        </w:rPr>
        <w:t>tonnes</w:t>
      </w:r>
      <w:r w:rsidRPr="00530789">
        <w:rPr>
          <w:rFonts w:eastAsia="Times New Roman"/>
          <w:lang w:val="fr-FR"/>
        </w:rPr>
        <w:t xml:space="preserve"> </w:t>
      </w:r>
      <w:r>
        <w:rPr>
          <w:rFonts w:eastAsia="Times New Roman"/>
          <w:lang w:val="fr-FR"/>
        </w:rPr>
        <w:t xml:space="preserve">de </w:t>
      </w:r>
      <w:r w:rsidRPr="00466CE7">
        <w:rPr>
          <w:rFonts w:eastAsia="Times New Roman"/>
          <w:lang w:val="fr-FR"/>
        </w:rPr>
        <w:t xml:space="preserve">pesticides </w:t>
      </w:r>
      <w:r>
        <w:rPr>
          <w:rFonts w:eastAsia="Times New Roman"/>
          <w:lang w:val="fr-FR"/>
        </w:rPr>
        <w:t xml:space="preserve">contenant des polluants organiques persistants : </w:t>
      </w:r>
      <w:r w:rsidRPr="00466CE7">
        <w:rPr>
          <w:rFonts w:eastAsia="Times New Roman"/>
          <w:lang w:val="fr-FR"/>
        </w:rPr>
        <w:t>2</w:t>
      </w:r>
      <w:r>
        <w:rPr>
          <w:rFonts w:eastAsia="Times New Roman"/>
          <w:lang w:val="fr-FR"/>
        </w:rPr>
        <w:t> </w:t>
      </w:r>
      <w:r w:rsidRPr="00466CE7">
        <w:rPr>
          <w:rFonts w:eastAsia="Times New Roman"/>
          <w:lang w:val="fr-FR"/>
        </w:rPr>
        <w:t>052,5</w:t>
      </w:r>
      <w:r w:rsidR="00C201F9">
        <w:rPr>
          <w:rFonts w:eastAsia="Times New Roman"/>
          <w:lang w:val="fr-FR"/>
        </w:rPr>
        <w:t> </w:t>
      </w:r>
      <w:r w:rsidRPr="00466CE7">
        <w:rPr>
          <w:rFonts w:eastAsia="Times New Roman"/>
          <w:lang w:val="fr-FR"/>
        </w:rPr>
        <w:t>tonnes dans les sites d</w:t>
      </w:r>
      <w:r>
        <w:rPr>
          <w:rFonts w:eastAsia="Times New Roman"/>
          <w:lang w:val="fr-FR"/>
        </w:rPr>
        <w:t>’</w:t>
      </w:r>
      <w:r w:rsidRPr="00466CE7">
        <w:rPr>
          <w:rFonts w:eastAsia="Times New Roman"/>
          <w:lang w:val="fr-FR"/>
        </w:rPr>
        <w:t>enfouissement (1</w:t>
      </w:r>
      <w:r w:rsidR="00041B7C">
        <w:rPr>
          <w:rFonts w:eastAsia="Times New Roman"/>
          <w:lang w:val="fr-FR"/>
        </w:rPr>
        <w:t> </w:t>
      </w:r>
      <w:r w:rsidRPr="00466CE7">
        <w:rPr>
          <w:rFonts w:eastAsia="Times New Roman"/>
          <w:lang w:val="fr-FR"/>
        </w:rPr>
        <w:t>033,4</w:t>
      </w:r>
      <w:r w:rsidR="00C201F9">
        <w:rPr>
          <w:rFonts w:eastAsia="Times New Roman"/>
          <w:lang w:val="fr-FR"/>
        </w:rPr>
        <w:t> </w:t>
      </w:r>
      <w:r w:rsidRPr="00466CE7">
        <w:rPr>
          <w:rFonts w:eastAsia="Times New Roman"/>
          <w:lang w:val="fr-FR"/>
        </w:rPr>
        <w:t xml:space="preserve">tonnes à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-A, 724,7</w:t>
      </w:r>
      <w:r w:rsidR="00C201F9">
        <w:rPr>
          <w:rFonts w:eastAsia="Times New Roman"/>
          <w:lang w:val="fr-FR"/>
        </w:rPr>
        <w:t> </w:t>
      </w:r>
      <w:r w:rsidRPr="00466CE7">
        <w:rPr>
          <w:rFonts w:eastAsia="Times New Roman"/>
          <w:lang w:val="fr-FR"/>
        </w:rPr>
        <w:t>tonnes</w:t>
      </w:r>
      <w:r w:rsidRPr="00213BF9">
        <w:rPr>
          <w:rFonts w:eastAsia="Times New Roman"/>
          <w:lang w:val="fr-FR"/>
        </w:rPr>
        <w:t xml:space="preserve"> </w:t>
      </w:r>
      <w:r w:rsidRPr="00466CE7">
        <w:rPr>
          <w:rFonts w:eastAsia="Times New Roman"/>
          <w:lang w:val="fr-FR"/>
        </w:rPr>
        <w:t xml:space="preserve">à </w:t>
      </w:r>
      <w:proofErr w:type="spellStart"/>
      <w:r w:rsidRPr="00466CE7">
        <w:rPr>
          <w:rFonts w:eastAsia="Times New Roman"/>
          <w:lang w:val="fr-FR"/>
        </w:rPr>
        <w:t>S</w:t>
      </w:r>
      <w:r>
        <w:rPr>
          <w:rFonts w:eastAsia="Times New Roman"/>
          <w:lang w:val="fr-FR"/>
        </w:rPr>
        <w:t>o</w:t>
      </w:r>
      <w:r w:rsidRPr="00466CE7">
        <w:rPr>
          <w:rFonts w:eastAsia="Times New Roman"/>
          <w:lang w:val="fr-FR"/>
        </w:rPr>
        <w:t>uzak</w:t>
      </w:r>
      <w:proofErr w:type="spellEnd"/>
      <w:r w:rsidRPr="00466CE7">
        <w:rPr>
          <w:rFonts w:eastAsia="Times New Roman"/>
          <w:lang w:val="fr-FR"/>
        </w:rPr>
        <w:t>-B</w:t>
      </w:r>
      <w:r>
        <w:rPr>
          <w:rFonts w:eastAsia="Times New Roman"/>
          <w:lang w:val="fr-FR"/>
        </w:rPr>
        <w:t xml:space="preserve"> et</w:t>
      </w:r>
      <w:r w:rsidRPr="00466CE7">
        <w:rPr>
          <w:rFonts w:eastAsia="Times New Roman"/>
          <w:lang w:val="fr-FR"/>
        </w:rPr>
        <w:t xml:space="preserve"> 294,4 tonnes</w:t>
      </w:r>
      <w:r>
        <w:rPr>
          <w:rFonts w:eastAsia="Times New Roman"/>
          <w:lang w:val="fr-FR"/>
        </w:rPr>
        <w:t xml:space="preserve"> à </w:t>
      </w:r>
      <w:proofErr w:type="spellStart"/>
      <w:r w:rsidRPr="00466CE7">
        <w:rPr>
          <w:rFonts w:eastAsia="Times New Roman"/>
          <w:lang w:val="fr-FR"/>
        </w:rPr>
        <w:t>Kochkor</w:t>
      </w:r>
      <w:proofErr w:type="spellEnd"/>
      <w:r>
        <w:rPr>
          <w:rFonts w:eastAsia="Times New Roman"/>
          <w:lang w:val="fr-FR"/>
        </w:rPr>
        <w:t xml:space="preserve">) et </w:t>
      </w:r>
      <w:r w:rsidRPr="00466CE7">
        <w:rPr>
          <w:rFonts w:eastAsia="Times New Roman"/>
          <w:lang w:val="fr-FR"/>
        </w:rPr>
        <w:t>21,2</w:t>
      </w:r>
      <w:r w:rsidR="00C201F9">
        <w:rPr>
          <w:rFonts w:eastAsia="Times New Roman"/>
          <w:lang w:val="fr-FR"/>
        </w:rPr>
        <w:t> </w:t>
      </w:r>
      <w:r w:rsidRPr="00466CE7">
        <w:rPr>
          <w:rFonts w:eastAsia="Times New Roman"/>
          <w:lang w:val="fr-FR"/>
        </w:rPr>
        <w:t xml:space="preserve">tonnes dans les </w:t>
      </w:r>
      <w:r>
        <w:rPr>
          <w:rFonts w:eastAsia="Times New Roman"/>
          <w:lang w:val="fr-FR"/>
        </w:rPr>
        <w:t>dé</w:t>
      </w:r>
      <w:r w:rsidRPr="00466CE7">
        <w:rPr>
          <w:rFonts w:eastAsia="Times New Roman"/>
          <w:lang w:val="fr-FR"/>
        </w:rPr>
        <w:t>pôts</w:t>
      </w:r>
      <w:r>
        <w:rPr>
          <w:rFonts w:eastAsia="Times New Roman"/>
          <w:lang w:val="fr-FR"/>
        </w:rPr>
        <w:t xml:space="preserve"> de stockage</w:t>
      </w:r>
      <w:r w:rsidRPr="00466CE7">
        <w:rPr>
          <w:rFonts w:eastAsia="Times New Roman"/>
          <w:lang w:val="fr-FR"/>
        </w:rPr>
        <w:t xml:space="preserve"> (</w:t>
      </w:r>
      <w:r>
        <w:rPr>
          <w:rFonts w:eastAsia="Times New Roman"/>
          <w:lang w:val="fr-FR"/>
        </w:rPr>
        <w:t xml:space="preserve">centre de désinfection contre la peste </w:t>
      </w:r>
      <w:r w:rsidRPr="00466CE7">
        <w:rPr>
          <w:rFonts w:eastAsia="Times New Roman"/>
          <w:lang w:val="fr-FR"/>
        </w:rPr>
        <w:t>d</w:t>
      </w:r>
      <w:r>
        <w:rPr>
          <w:rFonts w:eastAsia="Times New Roman"/>
          <w:lang w:val="fr-FR"/>
        </w:rPr>
        <w:t>’</w:t>
      </w:r>
      <w:r w:rsidRPr="00466CE7">
        <w:rPr>
          <w:rFonts w:eastAsia="Times New Roman"/>
          <w:lang w:val="fr-FR"/>
        </w:rPr>
        <w:t>At</w:t>
      </w:r>
      <w:r>
        <w:rPr>
          <w:rFonts w:eastAsia="Times New Roman"/>
          <w:lang w:val="fr-FR"/>
        </w:rPr>
        <w:t>-B</w:t>
      </w:r>
      <w:r w:rsidRPr="00466CE7">
        <w:rPr>
          <w:rFonts w:eastAsia="Times New Roman"/>
          <w:lang w:val="fr-FR"/>
        </w:rPr>
        <w:t>a</w:t>
      </w:r>
      <w:r>
        <w:rPr>
          <w:rFonts w:eastAsia="Times New Roman"/>
          <w:lang w:val="fr-FR"/>
        </w:rPr>
        <w:t>chi</w:t>
      </w:r>
      <w:r w:rsidRPr="00466CE7">
        <w:rPr>
          <w:rFonts w:eastAsia="Times New Roman"/>
          <w:lang w:val="fr-FR"/>
        </w:rPr>
        <w:t xml:space="preserve">). </w:t>
      </w:r>
    </w:p>
    <w:p w14:paraId="055F0046" w14:textId="6D7C31C2" w:rsidR="009C6834" w:rsidRDefault="009C6834" w:rsidP="009C6834">
      <w:pPr>
        <w:pStyle w:val="SingleTxtG"/>
        <w:rPr>
          <w:rFonts w:eastAsia="Times New Roman"/>
          <w:lang w:val="fr-FR"/>
        </w:rPr>
      </w:pPr>
      <w:r w:rsidRPr="00E12DDF">
        <w:rPr>
          <w:rFonts w:eastAsia="Times New Roman"/>
          <w:lang w:val="fr-FR"/>
        </w:rPr>
        <w:t>453.</w:t>
      </w:r>
      <w:r w:rsidRPr="00E12DDF">
        <w:rPr>
          <w:rFonts w:eastAsia="Times New Roman"/>
          <w:lang w:val="fr-FR"/>
        </w:rPr>
        <w:tab/>
        <w:t xml:space="preserve">Le Département de la </w:t>
      </w:r>
      <w:proofErr w:type="spellStart"/>
      <w:r w:rsidRPr="00E12DDF">
        <w:rPr>
          <w:rFonts w:eastAsia="Times New Roman"/>
          <w:lang w:val="fr-FR"/>
        </w:rPr>
        <w:t>chimisation</w:t>
      </w:r>
      <w:proofErr w:type="spellEnd"/>
      <w:r w:rsidRPr="00E12DDF">
        <w:rPr>
          <w:rFonts w:eastAsia="Times New Roman"/>
          <w:lang w:val="fr-FR"/>
        </w:rPr>
        <w:t xml:space="preserve"> et de la préservation des végétaux du Ministère de l’agriculture, de l’industrie alimentaire et de l’amendement des sols, a mené en 2015-2016, en collaboration avec le Ministère de la santé, dans le cadre du projet de l’UE et de la FAO GCP/RER/040/EC et du projet du FEM-PNUE « Démonstration et développement de solutions de substitution durables au DDT pour lutter contre les maladies transmissibles », des activités de</w:t>
      </w:r>
      <w:r>
        <w:rPr>
          <w:rFonts w:eastAsia="Times New Roman"/>
          <w:lang w:val="fr-FR"/>
        </w:rPr>
        <w:t xml:space="preserve"> </w:t>
      </w:r>
      <w:r w:rsidRPr="00466CE7">
        <w:rPr>
          <w:rFonts w:eastAsia="Times New Roman"/>
          <w:lang w:val="fr-FR"/>
        </w:rPr>
        <w:t xml:space="preserve">reconditionnement des pesticides obsolètes et </w:t>
      </w:r>
      <w:r>
        <w:rPr>
          <w:rFonts w:eastAsia="Times New Roman"/>
          <w:lang w:val="fr-FR"/>
        </w:rPr>
        <w:t xml:space="preserve">des </w:t>
      </w:r>
      <w:r w:rsidRPr="00466CE7">
        <w:rPr>
          <w:rFonts w:eastAsia="Times New Roman"/>
          <w:lang w:val="fr-FR"/>
        </w:rPr>
        <w:t xml:space="preserve">pesticides </w:t>
      </w:r>
      <w:r>
        <w:rPr>
          <w:rFonts w:eastAsia="Times New Roman"/>
          <w:lang w:val="fr-FR"/>
        </w:rPr>
        <w:t xml:space="preserve">contenant des polluants organiques persistants dans </w:t>
      </w:r>
      <w:r w:rsidRPr="00466CE7">
        <w:rPr>
          <w:rFonts w:eastAsia="Times New Roman"/>
          <w:lang w:val="fr-FR"/>
        </w:rPr>
        <w:t xml:space="preserve">deux sites prioritaires et </w:t>
      </w:r>
      <w:r>
        <w:rPr>
          <w:rFonts w:eastAsia="Times New Roman"/>
          <w:lang w:val="fr-FR"/>
        </w:rPr>
        <w:t xml:space="preserve">écologiquement </w:t>
      </w:r>
      <w:r w:rsidRPr="00466CE7">
        <w:rPr>
          <w:rFonts w:eastAsia="Times New Roman"/>
          <w:lang w:val="fr-FR"/>
        </w:rPr>
        <w:t>sensibles (51,94</w:t>
      </w:r>
      <w:r w:rsidR="00C201F9">
        <w:rPr>
          <w:rFonts w:eastAsia="Times New Roman"/>
          <w:lang w:val="fr-FR"/>
        </w:rPr>
        <w:t> </w:t>
      </w:r>
      <w:r w:rsidRPr="00466CE7">
        <w:rPr>
          <w:rFonts w:eastAsia="Times New Roman"/>
          <w:lang w:val="fr-FR"/>
        </w:rPr>
        <w:t xml:space="preserve">tonnes </w:t>
      </w:r>
      <w:r>
        <w:rPr>
          <w:rFonts w:eastAsia="Times New Roman"/>
          <w:lang w:val="fr-FR"/>
        </w:rPr>
        <w:t>dans le dé</w:t>
      </w:r>
      <w:r w:rsidRPr="00466CE7">
        <w:rPr>
          <w:rFonts w:eastAsia="Times New Roman"/>
          <w:lang w:val="fr-FR"/>
        </w:rPr>
        <w:t xml:space="preserve">pôt de </w:t>
      </w:r>
      <w:r>
        <w:rPr>
          <w:rFonts w:eastAsia="Times New Roman"/>
          <w:lang w:val="fr-FR"/>
        </w:rPr>
        <w:t xml:space="preserve">stockage de </w:t>
      </w:r>
      <w:r w:rsidRPr="00466CE7">
        <w:rPr>
          <w:rFonts w:eastAsia="Times New Roman"/>
          <w:lang w:val="fr-FR"/>
        </w:rPr>
        <w:t>l</w:t>
      </w:r>
      <w:r>
        <w:rPr>
          <w:rFonts w:eastAsia="Times New Roman"/>
          <w:lang w:val="fr-FR"/>
        </w:rPr>
        <w:t>’</w:t>
      </w:r>
      <w:r w:rsidRPr="00466CE7">
        <w:rPr>
          <w:rFonts w:eastAsia="Times New Roman"/>
          <w:lang w:val="fr-FR"/>
        </w:rPr>
        <w:t xml:space="preserve">ancien </w:t>
      </w:r>
      <w:r>
        <w:rPr>
          <w:rFonts w:eastAsia="Times New Roman"/>
          <w:lang w:val="fr-FR"/>
        </w:rPr>
        <w:t xml:space="preserve">complexe </w:t>
      </w:r>
      <w:proofErr w:type="spellStart"/>
      <w:r w:rsidRPr="00466CE7">
        <w:rPr>
          <w:rFonts w:eastAsia="Times New Roman"/>
          <w:lang w:val="fr-FR"/>
        </w:rPr>
        <w:t>K</w:t>
      </w:r>
      <w:r>
        <w:rPr>
          <w:rFonts w:eastAsia="Times New Roman"/>
          <w:lang w:val="fr-FR"/>
        </w:rPr>
        <w:t>ir</w:t>
      </w:r>
      <w:r w:rsidRPr="00466CE7">
        <w:rPr>
          <w:rFonts w:eastAsia="Times New Roman"/>
          <w:lang w:val="fr-FR"/>
        </w:rPr>
        <w:t>g</w:t>
      </w:r>
      <w:r>
        <w:rPr>
          <w:rFonts w:eastAsia="Times New Roman"/>
          <w:lang w:val="fr-FR"/>
        </w:rPr>
        <w:t>hizc</w:t>
      </w:r>
      <w:r w:rsidRPr="00466CE7">
        <w:rPr>
          <w:rFonts w:eastAsia="Times New Roman"/>
          <w:lang w:val="fr-FR"/>
        </w:rPr>
        <w:t>elkhozhimiya</w:t>
      </w:r>
      <w:proofErr w:type="spellEnd"/>
      <w:r w:rsidRPr="00466CE7">
        <w:rPr>
          <w:rFonts w:eastAsia="Times New Roman"/>
          <w:lang w:val="fr-FR"/>
        </w:rPr>
        <w:t xml:space="preserve"> </w:t>
      </w:r>
      <w:r>
        <w:rPr>
          <w:rFonts w:eastAsia="Times New Roman"/>
          <w:lang w:val="fr-FR"/>
        </w:rPr>
        <w:t xml:space="preserve">à </w:t>
      </w:r>
      <w:proofErr w:type="spellStart"/>
      <w:r w:rsidRPr="00466CE7">
        <w:rPr>
          <w:rFonts w:eastAsia="Times New Roman"/>
          <w:lang w:val="fr-FR"/>
        </w:rPr>
        <w:t>Balyk</w:t>
      </w:r>
      <w:r>
        <w:rPr>
          <w:rFonts w:eastAsia="Times New Roman"/>
          <w:lang w:val="fr-FR"/>
        </w:rPr>
        <w:t>tchi</w:t>
      </w:r>
      <w:proofErr w:type="spellEnd"/>
      <w:r>
        <w:rPr>
          <w:rFonts w:eastAsia="Times New Roman"/>
          <w:lang w:val="fr-FR"/>
        </w:rPr>
        <w:t xml:space="preserve"> </w:t>
      </w:r>
      <w:r w:rsidRPr="00466CE7">
        <w:rPr>
          <w:rFonts w:eastAsia="Times New Roman"/>
          <w:lang w:val="fr-FR"/>
        </w:rPr>
        <w:t>et 17,15</w:t>
      </w:r>
      <w:r w:rsidR="00C201F9">
        <w:rPr>
          <w:rFonts w:eastAsia="Times New Roman"/>
          <w:lang w:val="fr-FR"/>
        </w:rPr>
        <w:t> </w:t>
      </w:r>
      <w:r w:rsidRPr="00466CE7">
        <w:rPr>
          <w:rFonts w:eastAsia="Times New Roman"/>
          <w:lang w:val="fr-FR"/>
        </w:rPr>
        <w:t xml:space="preserve">tonnes </w:t>
      </w:r>
      <w:r>
        <w:rPr>
          <w:rFonts w:eastAsia="Times New Roman"/>
          <w:lang w:val="fr-FR"/>
        </w:rPr>
        <w:t>dans le dé</w:t>
      </w:r>
      <w:r w:rsidRPr="00466CE7">
        <w:rPr>
          <w:rFonts w:eastAsia="Times New Roman"/>
          <w:lang w:val="fr-FR"/>
        </w:rPr>
        <w:t>pôt d</w:t>
      </w:r>
      <w:r>
        <w:rPr>
          <w:rFonts w:eastAsia="Times New Roman"/>
          <w:lang w:val="fr-FR"/>
        </w:rPr>
        <w:t>u centre de désinfection contre la peste d’</w:t>
      </w:r>
      <w:r w:rsidRPr="00466CE7">
        <w:rPr>
          <w:rFonts w:eastAsia="Times New Roman"/>
          <w:lang w:val="fr-FR"/>
        </w:rPr>
        <w:t>At-Ba</w:t>
      </w:r>
      <w:r>
        <w:rPr>
          <w:rFonts w:eastAsia="Times New Roman"/>
          <w:lang w:val="fr-FR"/>
        </w:rPr>
        <w:t>chi</w:t>
      </w:r>
      <w:r w:rsidRPr="00466CE7">
        <w:rPr>
          <w:rFonts w:eastAsia="Times New Roman"/>
          <w:lang w:val="fr-FR"/>
        </w:rPr>
        <w:t>).</w:t>
      </w:r>
    </w:p>
    <w:p w14:paraId="289A22BF" w14:textId="6D356EAE" w:rsidR="009C6834" w:rsidRPr="00D86333" w:rsidRDefault="00C201F9" w:rsidP="00C201F9">
      <w:pPr>
        <w:pStyle w:val="H23G"/>
        <w:rPr>
          <w:lang w:val="fr-FR"/>
        </w:rPr>
      </w:pPr>
      <w:r>
        <w:rPr>
          <w:lang w:val="fr-FR"/>
        </w:rPr>
        <w:tab/>
      </w:r>
      <w:r>
        <w:rPr>
          <w:lang w:val="fr-FR"/>
        </w:rPr>
        <w:tab/>
      </w:r>
      <w:r w:rsidR="009C6834">
        <w:rPr>
          <w:lang w:val="fr-FR"/>
        </w:rPr>
        <w:t xml:space="preserve">Sites de </w:t>
      </w:r>
      <w:proofErr w:type="spellStart"/>
      <w:r w:rsidR="009C6834" w:rsidRPr="00D86333">
        <w:rPr>
          <w:lang w:val="fr-FR"/>
        </w:rPr>
        <w:t>S</w:t>
      </w:r>
      <w:r w:rsidR="009C6834">
        <w:rPr>
          <w:lang w:val="fr-FR"/>
        </w:rPr>
        <w:t>o</w:t>
      </w:r>
      <w:r w:rsidR="009C6834" w:rsidRPr="00D86333">
        <w:rPr>
          <w:lang w:val="fr-FR"/>
        </w:rPr>
        <w:t>uzak</w:t>
      </w:r>
      <w:proofErr w:type="spellEnd"/>
    </w:p>
    <w:p w14:paraId="3C33BE65" w14:textId="368BA582" w:rsidR="009C6834" w:rsidRPr="00466CE7" w:rsidRDefault="009C6834" w:rsidP="009C6834">
      <w:pPr>
        <w:pStyle w:val="SingleTxtG"/>
        <w:rPr>
          <w:rFonts w:eastAsia="Times New Roman"/>
          <w:lang w:val="fr-FR"/>
        </w:rPr>
      </w:pPr>
      <w:r w:rsidRPr="00466CE7">
        <w:rPr>
          <w:rFonts w:eastAsia="Times New Roman"/>
          <w:lang w:val="fr-FR"/>
        </w:rPr>
        <w:t>454.</w:t>
      </w:r>
      <w:r w:rsidRPr="00466CE7">
        <w:rPr>
          <w:rFonts w:eastAsia="Times New Roman"/>
          <w:lang w:val="fr-FR"/>
        </w:rPr>
        <w:tab/>
      </w:r>
      <w:r>
        <w:rPr>
          <w:rFonts w:eastAsia="Times New Roman"/>
          <w:lang w:val="fr-FR"/>
        </w:rPr>
        <w:t>D</w:t>
      </w:r>
      <w:r w:rsidRPr="00466CE7">
        <w:rPr>
          <w:rFonts w:eastAsia="Times New Roman"/>
          <w:lang w:val="fr-FR"/>
        </w:rPr>
        <w:t>es travaux d</w:t>
      </w:r>
      <w:r>
        <w:rPr>
          <w:rFonts w:eastAsia="Times New Roman"/>
          <w:lang w:val="fr-FR"/>
        </w:rPr>
        <w:t>’</w:t>
      </w:r>
      <w:r w:rsidRPr="00466CE7">
        <w:rPr>
          <w:rFonts w:eastAsia="Times New Roman"/>
          <w:lang w:val="fr-FR"/>
        </w:rPr>
        <w:t xml:space="preserve">atténuation des risques environnementaux ont été réalisés </w:t>
      </w:r>
      <w:r>
        <w:rPr>
          <w:rFonts w:eastAsia="Times New Roman"/>
          <w:lang w:val="fr-FR"/>
        </w:rPr>
        <w:t xml:space="preserve">sur les sites en </w:t>
      </w:r>
      <w:r w:rsidRPr="00466CE7">
        <w:rPr>
          <w:rFonts w:eastAsia="Times New Roman"/>
          <w:lang w:val="fr-FR"/>
        </w:rPr>
        <w:t xml:space="preserve">2015, </w:t>
      </w:r>
      <w:r>
        <w:rPr>
          <w:rFonts w:eastAsia="Times New Roman"/>
          <w:lang w:val="fr-FR"/>
        </w:rPr>
        <w:t xml:space="preserve">en </w:t>
      </w:r>
      <w:r w:rsidRPr="00466CE7">
        <w:rPr>
          <w:rFonts w:eastAsia="Times New Roman"/>
          <w:lang w:val="fr-FR"/>
        </w:rPr>
        <w:t xml:space="preserve">coordination </w:t>
      </w:r>
      <w:r>
        <w:rPr>
          <w:rFonts w:eastAsia="Times New Roman"/>
          <w:lang w:val="fr-FR"/>
        </w:rPr>
        <w:t xml:space="preserve">avec l’Agence publique chargée auprès du </w:t>
      </w:r>
      <w:r w:rsidR="0068119F">
        <w:rPr>
          <w:rFonts w:eastAsia="Times New Roman"/>
          <w:lang w:val="fr-FR"/>
        </w:rPr>
        <w:t xml:space="preserve">Gouvernement </w:t>
      </w:r>
      <w:r>
        <w:rPr>
          <w:rFonts w:eastAsia="Times New Roman"/>
          <w:lang w:val="fr-FR"/>
        </w:rPr>
        <w:t>de la protection de l’environnement et de la sylviculture :</w:t>
      </w:r>
      <w:r w:rsidRPr="00466CE7">
        <w:rPr>
          <w:rFonts w:eastAsia="Times New Roman"/>
          <w:lang w:val="fr-FR"/>
        </w:rPr>
        <w:t xml:space="preserve"> remise en état de la clôture, installation de portails, construction de fossés de drainage, recouvrement des sarcophages par un film étanche et remblayage, installation d</w:t>
      </w:r>
      <w:r>
        <w:rPr>
          <w:rFonts w:eastAsia="Times New Roman"/>
          <w:lang w:val="fr-FR"/>
        </w:rPr>
        <w:t>’</w:t>
      </w:r>
      <w:r w:rsidRPr="00466CE7">
        <w:rPr>
          <w:rFonts w:eastAsia="Times New Roman"/>
          <w:lang w:val="fr-FR"/>
        </w:rPr>
        <w:t xml:space="preserve">un poste de garde, </w:t>
      </w:r>
      <w:r>
        <w:rPr>
          <w:rFonts w:eastAsia="Times New Roman"/>
          <w:lang w:val="fr-FR"/>
        </w:rPr>
        <w:t xml:space="preserve">de </w:t>
      </w:r>
      <w:r w:rsidRPr="00466CE7">
        <w:rPr>
          <w:rFonts w:eastAsia="Times New Roman"/>
          <w:lang w:val="fr-FR"/>
        </w:rPr>
        <w:t>panneaux d</w:t>
      </w:r>
      <w:r>
        <w:rPr>
          <w:rFonts w:eastAsia="Times New Roman"/>
          <w:lang w:val="fr-FR"/>
        </w:rPr>
        <w:t>’</w:t>
      </w:r>
      <w:r w:rsidRPr="00466CE7">
        <w:rPr>
          <w:rFonts w:eastAsia="Times New Roman"/>
          <w:lang w:val="fr-FR"/>
        </w:rPr>
        <w:t xml:space="preserve">avertissement, </w:t>
      </w:r>
      <w:r>
        <w:rPr>
          <w:rFonts w:eastAsia="Times New Roman"/>
          <w:lang w:val="fr-FR"/>
        </w:rPr>
        <w:t xml:space="preserve">d’une centrale solaire et d’un </w:t>
      </w:r>
      <w:r w:rsidRPr="00466CE7">
        <w:rPr>
          <w:rFonts w:eastAsia="Times New Roman"/>
          <w:lang w:val="fr-FR"/>
        </w:rPr>
        <w:t xml:space="preserve">système de </w:t>
      </w:r>
      <w:proofErr w:type="spellStart"/>
      <w:r w:rsidRPr="00466CE7">
        <w:rPr>
          <w:rFonts w:eastAsia="Times New Roman"/>
          <w:lang w:val="fr-FR"/>
        </w:rPr>
        <w:t>vidéosurveillance</w:t>
      </w:r>
      <w:proofErr w:type="spellEnd"/>
      <w:r w:rsidRPr="00466CE7">
        <w:rPr>
          <w:rFonts w:eastAsia="Times New Roman"/>
          <w:lang w:val="fr-FR"/>
        </w:rPr>
        <w:t>. Le financement a été</w:t>
      </w:r>
      <w:r>
        <w:rPr>
          <w:rFonts w:eastAsia="Times New Roman"/>
          <w:lang w:val="fr-FR"/>
        </w:rPr>
        <w:t xml:space="preserve"> pris en charge</w:t>
      </w:r>
      <w:r w:rsidRPr="00466CE7">
        <w:rPr>
          <w:rFonts w:eastAsia="Times New Roman"/>
          <w:lang w:val="fr-FR"/>
        </w:rPr>
        <w:t xml:space="preserve"> par le PNUE.</w:t>
      </w:r>
    </w:p>
    <w:p w14:paraId="281C0DB2" w14:textId="06E2A980" w:rsidR="009C6834" w:rsidRPr="00D86333" w:rsidRDefault="00C201F9" w:rsidP="00C201F9">
      <w:pPr>
        <w:pStyle w:val="H23G"/>
        <w:rPr>
          <w:lang w:val="fr-FR"/>
        </w:rPr>
      </w:pPr>
      <w:r>
        <w:rPr>
          <w:lang w:val="fr-FR"/>
        </w:rPr>
        <w:tab/>
      </w:r>
      <w:r>
        <w:rPr>
          <w:lang w:val="fr-FR"/>
        </w:rPr>
        <w:tab/>
      </w:r>
      <w:r w:rsidR="009C6834">
        <w:rPr>
          <w:lang w:val="fr-FR"/>
        </w:rPr>
        <w:t xml:space="preserve">Site </w:t>
      </w:r>
      <w:r w:rsidR="009C6834" w:rsidRPr="00D86333">
        <w:rPr>
          <w:lang w:val="fr-FR"/>
        </w:rPr>
        <w:t xml:space="preserve">de </w:t>
      </w:r>
      <w:proofErr w:type="spellStart"/>
      <w:r w:rsidR="009C6834" w:rsidRPr="00D86333">
        <w:rPr>
          <w:lang w:val="fr-FR"/>
        </w:rPr>
        <w:t>Kochkor</w:t>
      </w:r>
      <w:proofErr w:type="spellEnd"/>
    </w:p>
    <w:p w14:paraId="574639CF" w14:textId="77777777" w:rsidR="009C6834" w:rsidRPr="00466CE7" w:rsidRDefault="009C6834" w:rsidP="009C6834">
      <w:pPr>
        <w:pStyle w:val="SingleTxtG"/>
        <w:rPr>
          <w:rFonts w:eastAsia="Times New Roman"/>
          <w:lang w:val="fr-FR"/>
        </w:rPr>
      </w:pPr>
      <w:r w:rsidRPr="00466CE7">
        <w:rPr>
          <w:rFonts w:eastAsia="Times New Roman"/>
          <w:lang w:val="fr-FR"/>
        </w:rPr>
        <w:t>455.</w:t>
      </w:r>
      <w:r w:rsidRPr="00466CE7">
        <w:rPr>
          <w:rFonts w:eastAsia="Times New Roman"/>
          <w:lang w:val="fr-FR"/>
        </w:rPr>
        <w:tab/>
        <w:t xml:space="preserve">Dans le cadre du projet de la FAO et du FEM </w:t>
      </w:r>
      <w:r>
        <w:rPr>
          <w:rFonts w:eastAsia="Times New Roman"/>
          <w:lang w:val="fr-FR"/>
        </w:rPr>
        <w:t>« </w:t>
      </w:r>
      <w:r w:rsidRPr="00466CE7">
        <w:rPr>
          <w:rFonts w:eastAsia="Times New Roman"/>
          <w:lang w:val="fr-FR"/>
        </w:rPr>
        <w:t xml:space="preserve">Gestion du cycle de vie des pesticides et élimination des pesticides </w:t>
      </w:r>
      <w:r>
        <w:rPr>
          <w:rFonts w:eastAsia="Times New Roman"/>
          <w:lang w:val="fr-FR"/>
        </w:rPr>
        <w:t xml:space="preserve">contenant des polluants organiques persistants </w:t>
      </w:r>
      <w:r w:rsidRPr="00466CE7">
        <w:rPr>
          <w:rFonts w:eastAsia="Times New Roman"/>
          <w:lang w:val="fr-FR"/>
        </w:rPr>
        <w:t>en Asie centrale et en Turquie</w:t>
      </w:r>
      <w:r>
        <w:rPr>
          <w:rFonts w:eastAsia="Times New Roman"/>
          <w:lang w:val="fr-FR"/>
        </w:rPr>
        <w:t> »</w:t>
      </w:r>
      <w:r w:rsidRPr="00466CE7">
        <w:rPr>
          <w:rFonts w:eastAsia="Times New Roman"/>
          <w:lang w:val="fr-FR"/>
        </w:rPr>
        <w:t xml:space="preserve"> </w:t>
      </w:r>
      <w:r>
        <w:rPr>
          <w:rFonts w:eastAsia="Times New Roman"/>
          <w:lang w:val="fr-FR"/>
        </w:rPr>
        <w:t>(</w:t>
      </w:r>
      <w:r w:rsidRPr="00466CE7">
        <w:rPr>
          <w:rFonts w:eastAsia="Times New Roman"/>
          <w:lang w:val="fr-FR"/>
        </w:rPr>
        <w:t>GCP/SEC/011/GFF</w:t>
      </w:r>
      <w:r>
        <w:rPr>
          <w:rFonts w:eastAsia="Times New Roman"/>
          <w:lang w:val="fr-FR"/>
        </w:rPr>
        <w:t xml:space="preserve">), </w:t>
      </w:r>
      <w:r w:rsidRPr="00466CE7">
        <w:rPr>
          <w:rFonts w:eastAsia="Times New Roman"/>
          <w:lang w:val="fr-FR"/>
        </w:rPr>
        <w:t xml:space="preserve">des travaux sont prévus </w:t>
      </w:r>
      <w:r>
        <w:rPr>
          <w:rFonts w:eastAsia="Times New Roman"/>
          <w:lang w:val="fr-FR"/>
        </w:rPr>
        <w:t xml:space="preserve">en </w:t>
      </w:r>
      <w:r w:rsidRPr="00466CE7">
        <w:rPr>
          <w:rFonts w:eastAsia="Times New Roman"/>
          <w:lang w:val="fr-FR"/>
        </w:rPr>
        <w:t>2020-2022</w:t>
      </w:r>
      <w:r>
        <w:rPr>
          <w:rFonts w:eastAsia="Times New Roman"/>
          <w:lang w:val="fr-FR"/>
        </w:rPr>
        <w:t xml:space="preserve"> </w:t>
      </w:r>
      <w:r w:rsidRPr="00466CE7">
        <w:rPr>
          <w:rFonts w:eastAsia="Times New Roman"/>
          <w:lang w:val="fr-FR"/>
        </w:rPr>
        <w:t xml:space="preserve">pour réduire les risques </w:t>
      </w:r>
      <w:r>
        <w:rPr>
          <w:rFonts w:eastAsia="Times New Roman"/>
          <w:lang w:val="fr-FR"/>
        </w:rPr>
        <w:t xml:space="preserve">environnementaux présentés par le site </w:t>
      </w:r>
      <w:r w:rsidRPr="00466CE7">
        <w:rPr>
          <w:rFonts w:eastAsia="Times New Roman"/>
          <w:lang w:val="fr-FR"/>
        </w:rPr>
        <w:t xml:space="preserve">de </w:t>
      </w:r>
      <w:proofErr w:type="spellStart"/>
      <w:r w:rsidRPr="00466CE7">
        <w:rPr>
          <w:rFonts w:eastAsia="Times New Roman"/>
          <w:lang w:val="fr-FR"/>
        </w:rPr>
        <w:t>Kochkor</w:t>
      </w:r>
      <w:proofErr w:type="spellEnd"/>
      <w:r w:rsidRPr="00466CE7">
        <w:rPr>
          <w:rFonts w:eastAsia="Times New Roman"/>
          <w:lang w:val="fr-FR"/>
        </w:rPr>
        <w:t>.</w:t>
      </w:r>
    </w:p>
    <w:p w14:paraId="62363678" w14:textId="231199E5" w:rsidR="009C6834" w:rsidRPr="00D86333" w:rsidRDefault="00C201F9" w:rsidP="00C201F9">
      <w:pPr>
        <w:pStyle w:val="H1G"/>
        <w:rPr>
          <w:lang w:val="fr-FR"/>
        </w:rPr>
      </w:pPr>
      <w:r>
        <w:rPr>
          <w:lang w:val="fr-FR"/>
        </w:rPr>
        <w:tab/>
      </w:r>
      <w:r>
        <w:rPr>
          <w:lang w:val="fr-FR"/>
        </w:rPr>
        <w:tab/>
      </w:r>
      <w:r w:rsidR="00CB4ECD">
        <w:rPr>
          <w:lang w:val="fr-FR"/>
        </w:rPr>
        <w:t>Article </w:t>
      </w:r>
      <w:r w:rsidR="009C6834" w:rsidRPr="00D86333">
        <w:rPr>
          <w:lang w:val="fr-FR"/>
        </w:rPr>
        <w:t>26</w:t>
      </w:r>
      <w:r>
        <w:rPr>
          <w:lang w:val="fr-FR"/>
        </w:rPr>
        <w:br/>
      </w:r>
      <w:r w:rsidR="009C6834" w:rsidRPr="00D86333">
        <w:rPr>
          <w:lang w:val="fr-FR"/>
        </w:rPr>
        <w:t>Accès à l</w:t>
      </w:r>
      <w:r w:rsidR="009C6834">
        <w:rPr>
          <w:lang w:val="fr-FR"/>
        </w:rPr>
        <w:t>’</w:t>
      </w:r>
      <w:r w:rsidR="009C6834" w:rsidRPr="00D86333">
        <w:rPr>
          <w:lang w:val="fr-FR"/>
        </w:rPr>
        <w:t>éducation</w:t>
      </w:r>
    </w:p>
    <w:p w14:paraId="54D471B5" w14:textId="77777777" w:rsidR="009C6834" w:rsidRPr="00466CE7" w:rsidRDefault="009C6834" w:rsidP="009C6834">
      <w:pPr>
        <w:pStyle w:val="SingleTxtG"/>
        <w:rPr>
          <w:rFonts w:eastAsia="Times New Roman"/>
          <w:lang w:val="fr-FR"/>
        </w:rPr>
      </w:pPr>
      <w:r w:rsidRPr="00466CE7">
        <w:rPr>
          <w:rFonts w:eastAsia="Times New Roman"/>
          <w:lang w:val="fr-FR"/>
        </w:rPr>
        <w:t>456.</w:t>
      </w:r>
      <w:r w:rsidRPr="00466CE7">
        <w:rPr>
          <w:rFonts w:eastAsia="Times New Roman"/>
          <w:lang w:val="fr-FR"/>
        </w:rPr>
        <w:tab/>
      </w:r>
      <w:r>
        <w:rPr>
          <w:rFonts w:eastAsia="Times New Roman"/>
          <w:lang w:val="fr-FR"/>
        </w:rPr>
        <w:t xml:space="preserve">Conformément à </w:t>
      </w:r>
      <w:r w:rsidRPr="00466CE7">
        <w:rPr>
          <w:rFonts w:eastAsia="Times New Roman"/>
          <w:lang w:val="fr-FR"/>
        </w:rPr>
        <w:t>la Constitution, chacun a droit à l</w:t>
      </w:r>
      <w:r>
        <w:rPr>
          <w:rFonts w:eastAsia="Times New Roman"/>
          <w:lang w:val="fr-FR"/>
        </w:rPr>
        <w:t>’</w:t>
      </w:r>
      <w:r w:rsidRPr="00466CE7">
        <w:rPr>
          <w:rFonts w:eastAsia="Times New Roman"/>
          <w:lang w:val="fr-FR"/>
        </w:rPr>
        <w:t>éducation</w:t>
      </w:r>
      <w:r>
        <w:rPr>
          <w:rFonts w:eastAsia="Times New Roman"/>
          <w:lang w:val="fr-FR"/>
        </w:rPr>
        <w:t>.</w:t>
      </w:r>
      <w:r w:rsidRPr="00466CE7">
        <w:rPr>
          <w:rFonts w:eastAsia="Times New Roman"/>
          <w:lang w:val="fr-FR"/>
        </w:rPr>
        <w:t xml:space="preserve"> L</w:t>
      </w:r>
      <w:r>
        <w:rPr>
          <w:rFonts w:eastAsia="Times New Roman"/>
          <w:lang w:val="fr-FR"/>
        </w:rPr>
        <w:t>’</w:t>
      </w:r>
      <w:r w:rsidRPr="00466CE7">
        <w:rPr>
          <w:rFonts w:eastAsia="Times New Roman"/>
          <w:lang w:val="fr-FR"/>
        </w:rPr>
        <w:t xml:space="preserve">enseignement général </w:t>
      </w:r>
      <w:r>
        <w:rPr>
          <w:rFonts w:eastAsia="Times New Roman"/>
          <w:lang w:val="fr-FR"/>
        </w:rPr>
        <w:t xml:space="preserve">élémentaire </w:t>
      </w:r>
      <w:r w:rsidRPr="00466CE7">
        <w:rPr>
          <w:rFonts w:eastAsia="Times New Roman"/>
          <w:lang w:val="fr-FR"/>
        </w:rPr>
        <w:t xml:space="preserve">est obligatoire. Toute personne a le droit de recevoir gratuitement un enseignement général </w:t>
      </w:r>
      <w:r>
        <w:rPr>
          <w:rFonts w:eastAsia="Times New Roman"/>
          <w:lang w:val="fr-FR"/>
        </w:rPr>
        <w:t xml:space="preserve">élémentaire </w:t>
      </w:r>
      <w:r w:rsidRPr="00466CE7">
        <w:rPr>
          <w:rFonts w:eastAsia="Times New Roman"/>
          <w:lang w:val="fr-FR"/>
        </w:rPr>
        <w:t>et secondaire dans les établissements d</w:t>
      </w:r>
      <w:r>
        <w:rPr>
          <w:rFonts w:eastAsia="Times New Roman"/>
          <w:lang w:val="fr-FR"/>
        </w:rPr>
        <w:t>’</w:t>
      </w:r>
      <w:r w:rsidRPr="00466CE7">
        <w:rPr>
          <w:rFonts w:eastAsia="Times New Roman"/>
          <w:lang w:val="fr-FR"/>
        </w:rPr>
        <w:t>enseignement publics.</w:t>
      </w:r>
    </w:p>
    <w:p w14:paraId="751B1DF8" w14:textId="47C2844A" w:rsidR="009C6834" w:rsidRPr="00466CE7" w:rsidRDefault="009C6834" w:rsidP="009C6834">
      <w:pPr>
        <w:pStyle w:val="SingleTxtG"/>
        <w:rPr>
          <w:rFonts w:eastAsia="Times New Roman"/>
          <w:lang w:val="fr-FR"/>
        </w:rPr>
      </w:pPr>
      <w:bookmarkStart w:id="7" w:name="_Hlk89271024"/>
      <w:r w:rsidRPr="00466CE7">
        <w:rPr>
          <w:rFonts w:eastAsia="Times New Roman"/>
          <w:lang w:val="fr-FR"/>
        </w:rPr>
        <w:t>457.</w:t>
      </w:r>
      <w:r w:rsidRPr="00466CE7">
        <w:rPr>
          <w:rFonts w:eastAsia="Times New Roman"/>
          <w:lang w:val="fr-FR"/>
        </w:rPr>
        <w:tab/>
      </w:r>
      <w:r>
        <w:rPr>
          <w:rFonts w:eastAsia="Times New Roman"/>
          <w:lang w:val="fr-FR"/>
        </w:rPr>
        <w:t xml:space="preserve">Le </w:t>
      </w:r>
      <w:r w:rsidR="0068119F">
        <w:rPr>
          <w:rFonts w:eastAsia="Times New Roman"/>
          <w:lang w:val="fr-FR"/>
        </w:rPr>
        <w:t xml:space="preserve">Gouvernement </w:t>
      </w:r>
      <w:r>
        <w:rPr>
          <w:rFonts w:eastAsia="Times New Roman"/>
          <w:lang w:val="fr-FR"/>
        </w:rPr>
        <w:t xml:space="preserve">a adopté en 2017 une décision </w:t>
      </w:r>
      <w:r w:rsidRPr="00466CE7">
        <w:rPr>
          <w:rFonts w:eastAsia="Times New Roman"/>
          <w:lang w:val="fr-FR"/>
        </w:rPr>
        <w:t>prévoyant l</w:t>
      </w:r>
      <w:r>
        <w:rPr>
          <w:rFonts w:eastAsia="Times New Roman"/>
          <w:lang w:val="fr-FR"/>
        </w:rPr>
        <w:t xml:space="preserve">a mise en place </w:t>
      </w:r>
      <w:r w:rsidRPr="00466CE7">
        <w:rPr>
          <w:rFonts w:eastAsia="Times New Roman"/>
          <w:lang w:val="fr-FR"/>
        </w:rPr>
        <w:t>d</w:t>
      </w:r>
      <w:r>
        <w:rPr>
          <w:rFonts w:eastAsia="Times New Roman"/>
          <w:lang w:val="fr-FR"/>
        </w:rPr>
        <w:t>’</w:t>
      </w:r>
      <w:r w:rsidRPr="00466CE7">
        <w:rPr>
          <w:rFonts w:eastAsia="Times New Roman"/>
          <w:lang w:val="fr-FR"/>
        </w:rPr>
        <w:t xml:space="preserve">un système </w:t>
      </w:r>
      <w:r>
        <w:rPr>
          <w:rFonts w:eastAsia="Times New Roman"/>
          <w:lang w:val="fr-FR"/>
        </w:rPr>
        <w:t>de recensement</w:t>
      </w:r>
      <w:r w:rsidRPr="00466CE7">
        <w:rPr>
          <w:rFonts w:eastAsia="Times New Roman"/>
          <w:lang w:val="fr-FR"/>
        </w:rPr>
        <w:t xml:space="preserve"> actualisé des enfants et adolescents </w:t>
      </w:r>
      <w:r>
        <w:rPr>
          <w:rFonts w:eastAsia="Times New Roman"/>
          <w:lang w:val="fr-FR"/>
        </w:rPr>
        <w:t>d’</w:t>
      </w:r>
      <w:r w:rsidRPr="00466CE7">
        <w:rPr>
          <w:rFonts w:eastAsia="Times New Roman"/>
          <w:lang w:val="fr-FR"/>
        </w:rPr>
        <w:t xml:space="preserve">âge scolaire afin de réduire </w:t>
      </w:r>
      <w:r>
        <w:rPr>
          <w:rFonts w:eastAsia="Times New Roman"/>
          <w:lang w:val="fr-FR"/>
        </w:rPr>
        <w:t>le nombre des enfants délaissés</w:t>
      </w:r>
      <w:r w:rsidRPr="00466CE7">
        <w:rPr>
          <w:rFonts w:eastAsia="Times New Roman"/>
          <w:lang w:val="fr-FR"/>
        </w:rPr>
        <w:t xml:space="preserve"> et </w:t>
      </w:r>
      <w:r>
        <w:rPr>
          <w:rFonts w:eastAsia="Times New Roman"/>
          <w:lang w:val="fr-FR"/>
        </w:rPr>
        <w:t xml:space="preserve">de centraliser </w:t>
      </w:r>
      <w:r w:rsidRPr="00466CE7">
        <w:rPr>
          <w:rFonts w:eastAsia="Times New Roman"/>
          <w:lang w:val="fr-FR"/>
        </w:rPr>
        <w:t xml:space="preserve">la </w:t>
      </w:r>
      <w:r>
        <w:rPr>
          <w:rFonts w:eastAsia="Times New Roman"/>
          <w:lang w:val="fr-FR"/>
        </w:rPr>
        <w:t xml:space="preserve">compilation des </w:t>
      </w:r>
      <w:r w:rsidRPr="00466CE7">
        <w:rPr>
          <w:rFonts w:eastAsia="Times New Roman"/>
          <w:lang w:val="fr-FR"/>
        </w:rPr>
        <w:t xml:space="preserve">statistiques sur les enfants </w:t>
      </w:r>
      <w:r>
        <w:rPr>
          <w:rFonts w:eastAsia="Times New Roman"/>
          <w:lang w:val="fr-FR"/>
        </w:rPr>
        <w:t>non scolarisés</w:t>
      </w:r>
      <w:r w:rsidRPr="00466CE7">
        <w:rPr>
          <w:rFonts w:eastAsia="Times New Roman"/>
          <w:lang w:val="fr-FR"/>
        </w:rPr>
        <w:t>.</w:t>
      </w:r>
    </w:p>
    <w:bookmarkEnd w:id="7"/>
    <w:p w14:paraId="2C599E8B" w14:textId="77777777" w:rsidR="009C6834" w:rsidRPr="00466CE7" w:rsidRDefault="009C6834" w:rsidP="009C6834">
      <w:pPr>
        <w:pStyle w:val="SingleTxtG"/>
        <w:rPr>
          <w:rFonts w:eastAsia="Times New Roman"/>
          <w:lang w:val="fr-FR"/>
        </w:rPr>
      </w:pPr>
      <w:r w:rsidRPr="00466CE7">
        <w:rPr>
          <w:rFonts w:eastAsia="Times New Roman"/>
          <w:lang w:val="fr-FR"/>
        </w:rPr>
        <w:t>458.</w:t>
      </w:r>
      <w:r w:rsidRPr="00466CE7">
        <w:rPr>
          <w:rFonts w:eastAsia="Times New Roman"/>
          <w:lang w:val="fr-FR"/>
        </w:rPr>
        <w:tab/>
      </w:r>
      <w:r>
        <w:rPr>
          <w:rFonts w:eastAsia="Times New Roman"/>
          <w:lang w:val="fr-FR"/>
        </w:rPr>
        <w:t xml:space="preserve">Parallèlement aux établissements </w:t>
      </w:r>
      <w:r w:rsidRPr="00466CE7">
        <w:rPr>
          <w:rFonts w:eastAsia="Times New Roman"/>
          <w:lang w:val="fr-FR"/>
        </w:rPr>
        <w:t>d</w:t>
      </w:r>
      <w:r>
        <w:rPr>
          <w:rFonts w:eastAsia="Times New Roman"/>
          <w:lang w:val="fr-FR"/>
        </w:rPr>
        <w:t>’</w:t>
      </w:r>
      <w:r w:rsidRPr="00466CE7">
        <w:rPr>
          <w:rFonts w:eastAsia="Times New Roman"/>
          <w:lang w:val="fr-FR"/>
        </w:rPr>
        <w:t>enseignement général</w:t>
      </w:r>
      <w:r w:rsidRPr="00A61A5F">
        <w:rPr>
          <w:rFonts w:eastAsia="Times New Roman"/>
          <w:lang w:val="fr-FR"/>
        </w:rPr>
        <w:t xml:space="preserve"> </w:t>
      </w:r>
      <w:r w:rsidRPr="00466CE7">
        <w:rPr>
          <w:rFonts w:eastAsia="Times New Roman"/>
          <w:lang w:val="fr-FR"/>
        </w:rPr>
        <w:t xml:space="preserve">de jour, un réseau </w:t>
      </w:r>
      <w:r>
        <w:rPr>
          <w:rFonts w:eastAsia="Times New Roman"/>
          <w:lang w:val="fr-FR"/>
        </w:rPr>
        <w:t xml:space="preserve">opérationnel </w:t>
      </w:r>
      <w:r w:rsidRPr="00466CE7">
        <w:rPr>
          <w:rFonts w:eastAsia="Times New Roman"/>
          <w:lang w:val="fr-FR"/>
        </w:rPr>
        <w:t>d</w:t>
      </w:r>
      <w:r>
        <w:rPr>
          <w:rFonts w:eastAsia="Times New Roman"/>
          <w:lang w:val="fr-FR"/>
        </w:rPr>
        <w:t>’</w:t>
      </w:r>
      <w:r w:rsidRPr="00466CE7">
        <w:rPr>
          <w:rFonts w:eastAsia="Times New Roman"/>
          <w:lang w:val="fr-FR"/>
        </w:rPr>
        <w:t>écoles du soir/</w:t>
      </w:r>
      <w:r>
        <w:rPr>
          <w:rFonts w:eastAsia="Times New Roman"/>
          <w:lang w:val="fr-FR"/>
        </w:rPr>
        <w:t xml:space="preserve">par correspondance permet aux </w:t>
      </w:r>
      <w:r w:rsidRPr="00466CE7">
        <w:rPr>
          <w:rFonts w:eastAsia="Times New Roman"/>
          <w:lang w:val="fr-FR"/>
        </w:rPr>
        <w:t xml:space="preserve">mineurs et </w:t>
      </w:r>
      <w:r>
        <w:rPr>
          <w:rFonts w:eastAsia="Times New Roman"/>
          <w:lang w:val="fr-FR"/>
        </w:rPr>
        <w:t xml:space="preserve">aux </w:t>
      </w:r>
      <w:r w:rsidRPr="00466CE7">
        <w:rPr>
          <w:rFonts w:eastAsia="Times New Roman"/>
          <w:lang w:val="fr-FR"/>
        </w:rPr>
        <w:t>adultes qui</w:t>
      </w:r>
      <w:r>
        <w:rPr>
          <w:rFonts w:eastAsia="Times New Roman"/>
          <w:lang w:val="fr-FR"/>
        </w:rPr>
        <w:t>,</w:t>
      </w:r>
      <w:r w:rsidRPr="00466CE7">
        <w:rPr>
          <w:rFonts w:eastAsia="Times New Roman"/>
          <w:lang w:val="fr-FR"/>
        </w:rPr>
        <w:t xml:space="preserve"> pour diverses raisons</w:t>
      </w:r>
      <w:r>
        <w:rPr>
          <w:rFonts w:eastAsia="Times New Roman"/>
          <w:lang w:val="fr-FR"/>
        </w:rPr>
        <w:t>,</w:t>
      </w:r>
      <w:r w:rsidRPr="00466CE7">
        <w:rPr>
          <w:rFonts w:eastAsia="Times New Roman"/>
          <w:lang w:val="fr-FR"/>
        </w:rPr>
        <w:t xml:space="preserve"> n</w:t>
      </w:r>
      <w:r>
        <w:rPr>
          <w:rFonts w:eastAsia="Times New Roman"/>
          <w:lang w:val="fr-FR"/>
        </w:rPr>
        <w:t>’</w:t>
      </w:r>
      <w:r w:rsidRPr="00466CE7">
        <w:rPr>
          <w:rFonts w:eastAsia="Times New Roman"/>
          <w:lang w:val="fr-FR"/>
        </w:rPr>
        <w:t>ont pas reçu d</w:t>
      </w:r>
      <w:r>
        <w:rPr>
          <w:rFonts w:eastAsia="Times New Roman"/>
          <w:lang w:val="fr-FR"/>
        </w:rPr>
        <w:t xml:space="preserve">’instruction de base, de poursuivre des </w:t>
      </w:r>
      <w:r w:rsidRPr="00466CE7">
        <w:rPr>
          <w:rFonts w:eastAsia="Times New Roman"/>
          <w:lang w:val="fr-FR"/>
        </w:rPr>
        <w:t>études,</w:t>
      </w:r>
      <w:r>
        <w:rPr>
          <w:rFonts w:eastAsia="Times New Roman"/>
          <w:lang w:val="fr-FR"/>
        </w:rPr>
        <w:t xml:space="preserve"> et contribue à la réintégration </w:t>
      </w:r>
      <w:r w:rsidRPr="00466CE7">
        <w:rPr>
          <w:rFonts w:eastAsia="Times New Roman"/>
          <w:lang w:val="fr-FR"/>
        </w:rPr>
        <w:t>des jeunes dans le système scolaire.</w:t>
      </w:r>
    </w:p>
    <w:p w14:paraId="05240042" w14:textId="6A84E993" w:rsidR="009C6834" w:rsidRPr="00466CE7" w:rsidRDefault="009C6834" w:rsidP="009C6834">
      <w:pPr>
        <w:pStyle w:val="SingleTxtG"/>
        <w:rPr>
          <w:rFonts w:eastAsia="Times New Roman"/>
          <w:lang w:val="fr-FR"/>
        </w:rPr>
      </w:pPr>
      <w:r w:rsidRPr="00466CE7">
        <w:rPr>
          <w:rFonts w:eastAsia="Times New Roman"/>
          <w:lang w:val="fr-FR"/>
        </w:rPr>
        <w:t>459.</w:t>
      </w:r>
      <w:r w:rsidRPr="00466CE7">
        <w:rPr>
          <w:rFonts w:eastAsia="Times New Roman"/>
          <w:lang w:val="fr-FR"/>
        </w:rPr>
        <w:tab/>
      </w:r>
      <w:r>
        <w:rPr>
          <w:rFonts w:eastAsia="Times New Roman"/>
          <w:lang w:val="fr-FR"/>
        </w:rPr>
        <w:t xml:space="preserve">On dénombre </w:t>
      </w:r>
      <w:r w:rsidRPr="00466CE7">
        <w:rPr>
          <w:rFonts w:eastAsia="Times New Roman"/>
          <w:lang w:val="fr-FR"/>
        </w:rPr>
        <w:t>actuellement 1</w:t>
      </w:r>
      <w:r w:rsidR="00C201F9">
        <w:rPr>
          <w:rFonts w:eastAsia="Times New Roman"/>
          <w:lang w:val="fr-FR"/>
        </w:rPr>
        <w:t> </w:t>
      </w:r>
      <w:r w:rsidRPr="00466CE7">
        <w:rPr>
          <w:rFonts w:eastAsia="Times New Roman"/>
          <w:lang w:val="fr-FR"/>
        </w:rPr>
        <w:t>245</w:t>
      </w:r>
      <w:r w:rsidR="00C201F9">
        <w:rPr>
          <w:rFonts w:eastAsia="Times New Roman"/>
          <w:lang w:val="fr-FR"/>
        </w:rPr>
        <w:t> </w:t>
      </w:r>
      <w:r w:rsidRPr="00466CE7">
        <w:rPr>
          <w:rFonts w:eastAsia="Times New Roman"/>
          <w:lang w:val="fr-FR"/>
        </w:rPr>
        <w:t>enfants non scolarisés</w:t>
      </w:r>
      <w:r>
        <w:rPr>
          <w:rFonts w:eastAsia="Times New Roman"/>
          <w:lang w:val="fr-FR"/>
        </w:rPr>
        <w:t xml:space="preserve"> : </w:t>
      </w:r>
      <w:r w:rsidRPr="00466CE7">
        <w:rPr>
          <w:rFonts w:eastAsia="Times New Roman"/>
          <w:lang w:val="fr-FR"/>
        </w:rPr>
        <w:t>789</w:t>
      </w:r>
      <w:r w:rsidR="00C201F9">
        <w:rPr>
          <w:rFonts w:eastAsia="Times New Roman"/>
          <w:lang w:val="fr-FR"/>
        </w:rPr>
        <w:t> </w:t>
      </w:r>
      <w:r>
        <w:rPr>
          <w:rFonts w:eastAsia="Times New Roman"/>
          <w:lang w:val="fr-FR"/>
        </w:rPr>
        <w:t>enfants handicapés</w:t>
      </w:r>
      <w:r w:rsidRPr="00466CE7">
        <w:rPr>
          <w:rFonts w:eastAsia="Times New Roman"/>
          <w:lang w:val="fr-FR"/>
        </w:rPr>
        <w:t>, 258</w:t>
      </w:r>
      <w:r w:rsidR="00C201F9">
        <w:rPr>
          <w:rFonts w:eastAsia="Times New Roman"/>
          <w:lang w:val="fr-FR"/>
        </w:rPr>
        <w:t> </w:t>
      </w:r>
      <w:r>
        <w:rPr>
          <w:rFonts w:eastAsia="Times New Roman"/>
          <w:lang w:val="fr-FR"/>
        </w:rPr>
        <w:t xml:space="preserve">enfants âgés </w:t>
      </w:r>
      <w:r w:rsidRPr="00466CE7">
        <w:rPr>
          <w:rFonts w:eastAsia="Times New Roman"/>
          <w:lang w:val="fr-FR"/>
        </w:rPr>
        <w:t xml:space="preserve">de </w:t>
      </w:r>
      <w:r w:rsidR="0068119F">
        <w:rPr>
          <w:rFonts w:eastAsia="Times New Roman"/>
          <w:lang w:val="fr-FR"/>
        </w:rPr>
        <w:t>8 </w:t>
      </w:r>
      <w:r w:rsidRPr="00466CE7">
        <w:rPr>
          <w:rFonts w:eastAsia="Times New Roman"/>
          <w:lang w:val="fr-FR"/>
        </w:rPr>
        <w:t xml:space="preserve">ans </w:t>
      </w:r>
      <w:r>
        <w:rPr>
          <w:rFonts w:eastAsia="Times New Roman"/>
          <w:lang w:val="fr-FR"/>
        </w:rPr>
        <w:t xml:space="preserve">qui ne sont jamais allés à l’école pour cause de maladie et </w:t>
      </w:r>
      <w:r w:rsidRPr="00466CE7">
        <w:rPr>
          <w:rFonts w:eastAsia="Times New Roman"/>
          <w:lang w:val="fr-FR"/>
        </w:rPr>
        <w:t>198</w:t>
      </w:r>
      <w:r w:rsidR="00C201F9">
        <w:rPr>
          <w:rFonts w:eastAsia="Times New Roman"/>
          <w:lang w:val="fr-FR"/>
        </w:rPr>
        <w:t> </w:t>
      </w:r>
      <w:r w:rsidRPr="00466CE7">
        <w:rPr>
          <w:rFonts w:eastAsia="Times New Roman"/>
          <w:lang w:val="fr-FR"/>
        </w:rPr>
        <w:t xml:space="preserve">enfants </w:t>
      </w:r>
      <w:r>
        <w:rPr>
          <w:rFonts w:eastAsia="Times New Roman"/>
          <w:lang w:val="fr-FR"/>
        </w:rPr>
        <w:t xml:space="preserve">connaissant des </w:t>
      </w:r>
      <w:r w:rsidRPr="00466CE7">
        <w:rPr>
          <w:rFonts w:eastAsia="Times New Roman"/>
          <w:lang w:val="fr-FR"/>
        </w:rPr>
        <w:t xml:space="preserve">problèmes sociaux </w:t>
      </w:r>
      <w:r>
        <w:rPr>
          <w:rFonts w:eastAsia="Times New Roman"/>
          <w:lang w:val="fr-FR"/>
        </w:rPr>
        <w:t xml:space="preserve">ou </w:t>
      </w:r>
      <w:r w:rsidRPr="00466CE7">
        <w:rPr>
          <w:rFonts w:eastAsia="Times New Roman"/>
          <w:lang w:val="fr-FR"/>
        </w:rPr>
        <w:t>familiaux (</w:t>
      </w:r>
      <w:r>
        <w:rPr>
          <w:rFonts w:eastAsia="Times New Roman"/>
          <w:lang w:val="fr-FR"/>
        </w:rPr>
        <w:t>enfants en situation difficile</w:t>
      </w:r>
      <w:r w:rsidRPr="00466CE7">
        <w:rPr>
          <w:rFonts w:eastAsia="Times New Roman"/>
          <w:lang w:val="fr-FR"/>
        </w:rPr>
        <w:t>, enfants sans papiers, enfants qui travaillent).</w:t>
      </w:r>
    </w:p>
    <w:p w14:paraId="512A9B93" w14:textId="3757F8DE" w:rsidR="009C6834" w:rsidRPr="00466CE7" w:rsidRDefault="009C6834" w:rsidP="009C6834">
      <w:pPr>
        <w:pStyle w:val="SingleTxtG"/>
        <w:rPr>
          <w:rFonts w:eastAsia="Times New Roman"/>
          <w:lang w:val="fr-FR"/>
        </w:rPr>
      </w:pPr>
      <w:r w:rsidRPr="00466CE7">
        <w:rPr>
          <w:rFonts w:eastAsia="Times New Roman"/>
          <w:lang w:val="fr-FR"/>
        </w:rPr>
        <w:t>460.</w:t>
      </w:r>
      <w:r w:rsidRPr="00466CE7">
        <w:rPr>
          <w:rFonts w:eastAsia="Times New Roman"/>
          <w:lang w:val="fr-FR"/>
        </w:rPr>
        <w:tab/>
        <w:t>D</w:t>
      </w:r>
      <w:r>
        <w:rPr>
          <w:rFonts w:eastAsia="Times New Roman"/>
          <w:lang w:val="fr-FR"/>
        </w:rPr>
        <w:t>’</w:t>
      </w:r>
      <w:r w:rsidRPr="00466CE7">
        <w:rPr>
          <w:rFonts w:eastAsia="Times New Roman"/>
          <w:lang w:val="fr-FR"/>
        </w:rPr>
        <w:t>après l</w:t>
      </w:r>
      <w:r>
        <w:rPr>
          <w:rFonts w:eastAsia="Times New Roman"/>
          <w:lang w:val="fr-FR"/>
        </w:rPr>
        <w:t>’</w:t>
      </w:r>
      <w:r w:rsidRPr="00466CE7">
        <w:rPr>
          <w:rFonts w:eastAsia="Times New Roman"/>
          <w:lang w:val="fr-FR"/>
        </w:rPr>
        <w:t>analyse des recherches</w:t>
      </w:r>
      <w:r>
        <w:rPr>
          <w:rFonts w:eastAsia="Times New Roman"/>
          <w:lang w:val="fr-FR"/>
        </w:rPr>
        <w:t xml:space="preserve"> effectuées</w:t>
      </w:r>
      <w:r w:rsidRPr="00466CE7">
        <w:rPr>
          <w:rFonts w:eastAsia="Times New Roman"/>
          <w:lang w:val="fr-FR"/>
        </w:rPr>
        <w:t xml:space="preserve">, la non-scolarisation des enfants </w:t>
      </w:r>
      <w:r>
        <w:rPr>
          <w:rFonts w:eastAsia="Times New Roman"/>
          <w:lang w:val="fr-FR"/>
        </w:rPr>
        <w:t xml:space="preserve">tient principalement à </w:t>
      </w:r>
      <w:r w:rsidRPr="00466CE7">
        <w:rPr>
          <w:rFonts w:eastAsia="Times New Roman"/>
          <w:lang w:val="fr-FR"/>
        </w:rPr>
        <w:t>des facteurs personnels, familiaux et sociaux</w:t>
      </w:r>
      <w:r>
        <w:rPr>
          <w:rFonts w:eastAsia="Times New Roman"/>
          <w:lang w:val="fr-FR"/>
        </w:rPr>
        <w:t> :</w:t>
      </w:r>
      <w:r w:rsidRPr="00466CE7">
        <w:rPr>
          <w:rFonts w:eastAsia="Times New Roman"/>
          <w:lang w:val="fr-FR"/>
        </w:rPr>
        <w:t xml:space="preserve"> </w:t>
      </w:r>
      <w:r>
        <w:rPr>
          <w:rFonts w:eastAsia="Times New Roman"/>
          <w:lang w:val="fr-FR"/>
        </w:rPr>
        <w:t xml:space="preserve">nécessité de gagner sa vie, </w:t>
      </w:r>
      <w:r w:rsidRPr="00466CE7">
        <w:rPr>
          <w:rFonts w:eastAsia="Times New Roman"/>
          <w:lang w:val="fr-FR"/>
        </w:rPr>
        <w:t xml:space="preserve">parents </w:t>
      </w:r>
      <w:r>
        <w:rPr>
          <w:rFonts w:eastAsia="Times New Roman"/>
          <w:lang w:val="fr-FR"/>
        </w:rPr>
        <w:t xml:space="preserve">partis </w:t>
      </w:r>
      <w:r w:rsidRPr="00466CE7">
        <w:rPr>
          <w:rFonts w:eastAsia="Times New Roman"/>
          <w:lang w:val="fr-FR"/>
        </w:rPr>
        <w:t>travailler</w:t>
      </w:r>
      <w:r>
        <w:rPr>
          <w:rFonts w:eastAsia="Times New Roman"/>
          <w:lang w:val="fr-FR"/>
        </w:rPr>
        <w:t xml:space="preserve"> ailleurs et obligeant des adolescents à s’occuper des plus jeunes</w:t>
      </w:r>
      <w:r w:rsidRPr="00466CE7">
        <w:rPr>
          <w:rFonts w:eastAsia="Times New Roman"/>
          <w:lang w:val="fr-FR"/>
        </w:rPr>
        <w:t>, maladies diverses, handicaps, infractions de toutes sortes, etc.</w:t>
      </w:r>
    </w:p>
    <w:p w14:paraId="6A9F27B3" w14:textId="77777777" w:rsidR="009C6834" w:rsidRPr="00466CE7" w:rsidRDefault="009C6834" w:rsidP="009C6834">
      <w:pPr>
        <w:pStyle w:val="SingleTxtG"/>
        <w:rPr>
          <w:rFonts w:eastAsia="Times New Roman"/>
          <w:lang w:val="fr-FR"/>
        </w:rPr>
      </w:pPr>
      <w:r w:rsidRPr="00466CE7">
        <w:rPr>
          <w:rFonts w:eastAsia="Times New Roman"/>
          <w:lang w:val="fr-FR"/>
        </w:rPr>
        <w:lastRenderedPageBreak/>
        <w:t>461.</w:t>
      </w:r>
      <w:r w:rsidRPr="00466CE7">
        <w:rPr>
          <w:rFonts w:eastAsia="Times New Roman"/>
          <w:lang w:val="fr-FR"/>
        </w:rPr>
        <w:tab/>
      </w:r>
      <w:r>
        <w:rPr>
          <w:rFonts w:eastAsia="Times New Roman"/>
          <w:lang w:val="fr-FR"/>
        </w:rPr>
        <w:t>I</w:t>
      </w:r>
      <w:r w:rsidRPr="00466CE7">
        <w:rPr>
          <w:rFonts w:eastAsia="Times New Roman"/>
          <w:lang w:val="fr-FR"/>
        </w:rPr>
        <w:t xml:space="preserve">l convient </w:t>
      </w:r>
      <w:r>
        <w:rPr>
          <w:rFonts w:eastAsia="Times New Roman"/>
          <w:lang w:val="fr-FR"/>
        </w:rPr>
        <w:t xml:space="preserve">toutefois </w:t>
      </w:r>
      <w:r w:rsidRPr="00466CE7">
        <w:rPr>
          <w:rFonts w:eastAsia="Times New Roman"/>
          <w:lang w:val="fr-FR"/>
        </w:rPr>
        <w:t>de noter que le Kirghizistan a ratifié</w:t>
      </w:r>
      <w:r w:rsidRPr="007A1EFF">
        <w:rPr>
          <w:rFonts w:eastAsia="Times New Roman"/>
          <w:lang w:val="fr-FR"/>
        </w:rPr>
        <w:t xml:space="preserve"> </w:t>
      </w:r>
      <w:r w:rsidRPr="00466CE7">
        <w:rPr>
          <w:rFonts w:eastAsia="Times New Roman"/>
          <w:lang w:val="fr-FR"/>
        </w:rPr>
        <w:t xml:space="preserve">en mars 2019 la Convention des Nations </w:t>
      </w:r>
      <w:r>
        <w:rPr>
          <w:rFonts w:eastAsia="Times New Roman"/>
          <w:lang w:val="fr-FR"/>
        </w:rPr>
        <w:t>U</w:t>
      </w:r>
      <w:r w:rsidRPr="00466CE7">
        <w:rPr>
          <w:rFonts w:eastAsia="Times New Roman"/>
          <w:lang w:val="fr-FR"/>
        </w:rPr>
        <w:t xml:space="preserve">nies relative aux droits des personnes handicapées. </w:t>
      </w:r>
      <w:r>
        <w:rPr>
          <w:rFonts w:eastAsia="Times New Roman"/>
          <w:lang w:val="fr-FR"/>
        </w:rPr>
        <w:t>Il</w:t>
      </w:r>
      <w:r w:rsidRPr="00466CE7">
        <w:rPr>
          <w:rFonts w:eastAsia="Times New Roman"/>
          <w:lang w:val="fr-FR"/>
        </w:rPr>
        <w:t xml:space="preserve"> s</w:t>
      </w:r>
      <w:r>
        <w:rPr>
          <w:rFonts w:eastAsia="Times New Roman"/>
          <w:lang w:val="fr-FR"/>
        </w:rPr>
        <w:t>’</w:t>
      </w:r>
      <w:r w:rsidRPr="00466CE7">
        <w:rPr>
          <w:rFonts w:eastAsia="Times New Roman"/>
          <w:lang w:val="fr-FR"/>
        </w:rPr>
        <w:t xml:space="preserve">est engagé </w:t>
      </w:r>
      <w:r>
        <w:rPr>
          <w:rFonts w:eastAsia="Times New Roman"/>
          <w:lang w:val="fr-FR"/>
        </w:rPr>
        <w:t xml:space="preserve">à cet égard </w:t>
      </w:r>
      <w:r w:rsidRPr="00466CE7">
        <w:rPr>
          <w:rFonts w:eastAsia="Times New Roman"/>
          <w:lang w:val="fr-FR"/>
        </w:rPr>
        <w:t xml:space="preserve">à garantir et promouvoir la pleine </w:t>
      </w:r>
      <w:r>
        <w:rPr>
          <w:rFonts w:eastAsia="Times New Roman"/>
          <w:lang w:val="fr-FR"/>
        </w:rPr>
        <w:t xml:space="preserve">réalisation </w:t>
      </w:r>
      <w:r w:rsidRPr="00466CE7">
        <w:rPr>
          <w:rFonts w:eastAsia="Times New Roman"/>
          <w:lang w:val="fr-FR"/>
        </w:rPr>
        <w:t>de tous les droits de l</w:t>
      </w:r>
      <w:r>
        <w:rPr>
          <w:rFonts w:eastAsia="Times New Roman"/>
          <w:lang w:val="fr-FR"/>
        </w:rPr>
        <w:t>’</w:t>
      </w:r>
      <w:r w:rsidRPr="00466CE7">
        <w:rPr>
          <w:rFonts w:eastAsia="Times New Roman"/>
          <w:lang w:val="fr-FR"/>
        </w:rPr>
        <w:t xml:space="preserve">homme et de toutes les libertés fondamentales </w:t>
      </w:r>
      <w:r>
        <w:rPr>
          <w:rFonts w:eastAsia="Times New Roman"/>
          <w:lang w:val="fr-FR"/>
        </w:rPr>
        <w:t xml:space="preserve">de </w:t>
      </w:r>
      <w:r w:rsidRPr="00466CE7">
        <w:rPr>
          <w:rFonts w:eastAsia="Times New Roman"/>
          <w:lang w:val="fr-FR"/>
        </w:rPr>
        <w:t xml:space="preserve">toutes les personnes handicapées, sans discrimination </w:t>
      </w:r>
      <w:r>
        <w:rPr>
          <w:rFonts w:eastAsia="Times New Roman"/>
          <w:lang w:val="fr-FR"/>
        </w:rPr>
        <w:t xml:space="preserve">d’aucune sorte </w:t>
      </w:r>
      <w:r w:rsidRPr="00466CE7">
        <w:rPr>
          <w:rFonts w:eastAsia="Times New Roman"/>
          <w:lang w:val="fr-FR"/>
        </w:rPr>
        <w:t>fondée sur le handicap.</w:t>
      </w:r>
    </w:p>
    <w:p w14:paraId="76C2DAEF" w14:textId="3F5C551E" w:rsidR="009C6834" w:rsidRPr="00466CE7" w:rsidRDefault="009C6834" w:rsidP="009C6834">
      <w:pPr>
        <w:pStyle w:val="SingleTxtG"/>
        <w:rPr>
          <w:rFonts w:eastAsia="Times New Roman"/>
          <w:lang w:val="fr-FR"/>
        </w:rPr>
      </w:pPr>
      <w:r w:rsidRPr="00466CE7">
        <w:rPr>
          <w:rFonts w:eastAsia="Times New Roman"/>
          <w:lang w:val="fr-FR"/>
        </w:rPr>
        <w:t>462.</w:t>
      </w:r>
      <w:r w:rsidRPr="00466CE7">
        <w:rPr>
          <w:rFonts w:eastAsia="Times New Roman"/>
          <w:lang w:val="fr-FR"/>
        </w:rPr>
        <w:tab/>
        <w:t xml:space="preserve">En juillet 2019, le </w:t>
      </w:r>
      <w:r w:rsidR="0068119F" w:rsidRPr="00466CE7">
        <w:rPr>
          <w:rFonts w:eastAsia="Times New Roman"/>
          <w:lang w:val="fr-FR"/>
        </w:rPr>
        <w:t xml:space="preserve">Gouvernement </w:t>
      </w:r>
      <w:r w:rsidRPr="00466CE7">
        <w:rPr>
          <w:rFonts w:eastAsia="Times New Roman"/>
          <w:lang w:val="fr-FR"/>
        </w:rPr>
        <w:t xml:space="preserve">a approuvé pour </w:t>
      </w:r>
      <w:r>
        <w:rPr>
          <w:rFonts w:eastAsia="Times New Roman"/>
          <w:lang w:val="fr-FR"/>
        </w:rPr>
        <w:t xml:space="preserve">la période </w:t>
      </w:r>
      <w:r w:rsidRPr="00466CE7">
        <w:rPr>
          <w:rFonts w:eastAsia="Times New Roman"/>
          <w:lang w:val="fr-FR"/>
        </w:rPr>
        <w:t>2019-2023</w:t>
      </w:r>
      <w:r>
        <w:rPr>
          <w:rFonts w:eastAsia="Times New Roman"/>
          <w:lang w:val="fr-FR"/>
        </w:rPr>
        <w:t xml:space="preserve"> un document d’orientation et un p</w:t>
      </w:r>
      <w:r w:rsidRPr="00466CE7">
        <w:rPr>
          <w:rFonts w:eastAsia="Times New Roman"/>
          <w:lang w:val="fr-FR"/>
        </w:rPr>
        <w:t xml:space="preserve">rogramme </w:t>
      </w:r>
      <w:r>
        <w:rPr>
          <w:rFonts w:eastAsia="Times New Roman"/>
          <w:lang w:val="fr-FR"/>
        </w:rPr>
        <w:t xml:space="preserve">pour le </w:t>
      </w:r>
      <w:r w:rsidRPr="00466CE7">
        <w:rPr>
          <w:rFonts w:eastAsia="Times New Roman"/>
          <w:lang w:val="fr-FR"/>
        </w:rPr>
        <w:t>développement de l</w:t>
      </w:r>
      <w:r>
        <w:rPr>
          <w:rFonts w:eastAsia="Times New Roman"/>
          <w:lang w:val="fr-FR"/>
        </w:rPr>
        <w:t>’</w:t>
      </w:r>
      <w:r w:rsidRPr="00466CE7">
        <w:rPr>
          <w:rFonts w:eastAsia="Times New Roman"/>
          <w:lang w:val="fr-FR"/>
        </w:rPr>
        <w:t>éducation inclusive.</w:t>
      </w:r>
    </w:p>
    <w:p w14:paraId="2C560C05" w14:textId="77777777" w:rsidR="009C6834" w:rsidRPr="00466CE7" w:rsidRDefault="009C6834" w:rsidP="009C6834">
      <w:pPr>
        <w:pStyle w:val="SingleTxtG"/>
        <w:rPr>
          <w:rFonts w:eastAsia="Times New Roman"/>
          <w:lang w:val="fr-FR"/>
        </w:rPr>
      </w:pPr>
      <w:r w:rsidRPr="00466CE7">
        <w:rPr>
          <w:rFonts w:eastAsia="Times New Roman"/>
          <w:lang w:val="fr-FR"/>
        </w:rPr>
        <w:t>463.</w:t>
      </w:r>
      <w:r w:rsidRPr="00466CE7">
        <w:rPr>
          <w:rFonts w:eastAsia="Times New Roman"/>
          <w:lang w:val="fr-FR"/>
        </w:rPr>
        <w:tab/>
      </w:r>
      <w:r>
        <w:rPr>
          <w:rFonts w:eastAsia="Times New Roman"/>
          <w:lang w:val="fr-FR"/>
        </w:rPr>
        <w:t xml:space="preserve">Conformément à </w:t>
      </w:r>
      <w:r w:rsidRPr="00466CE7">
        <w:rPr>
          <w:rFonts w:eastAsia="Times New Roman"/>
          <w:lang w:val="fr-FR"/>
        </w:rPr>
        <w:t xml:space="preserve">la loi </w:t>
      </w:r>
      <w:r>
        <w:rPr>
          <w:rFonts w:eastAsia="Times New Roman"/>
          <w:lang w:val="fr-FR"/>
        </w:rPr>
        <w:t xml:space="preserve">relative au </w:t>
      </w:r>
      <w:r w:rsidRPr="00466CE7">
        <w:rPr>
          <w:rFonts w:eastAsia="Times New Roman"/>
          <w:lang w:val="fr-FR"/>
        </w:rPr>
        <w:t xml:space="preserve">conseil </w:t>
      </w:r>
      <w:r>
        <w:rPr>
          <w:rFonts w:eastAsia="Times New Roman"/>
          <w:lang w:val="fr-FR"/>
        </w:rPr>
        <w:t>d’administration</w:t>
      </w:r>
      <w:r w:rsidRPr="00466CE7">
        <w:rPr>
          <w:rFonts w:eastAsia="Times New Roman"/>
          <w:lang w:val="fr-FR"/>
        </w:rPr>
        <w:t xml:space="preserve">, </w:t>
      </w:r>
      <w:r>
        <w:rPr>
          <w:rFonts w:eastAsia="Times New Roman"/>
          <w:lang w:val="fr-FR"/>
        </w:rPr>
        <w:t xml:space="preserve">il est possible de constituer </w:t>
      </w:r>
      <w:r w:rsidRPr="00466CE7">
        <w:rPr>
          <w:rFonts w:eastAsia="Times New Roman"/>
          <w:lang w:val="fr-FR"/>
        </w:rPr>
        <w:t xml:space="preserve">dans les </w:t>
      </w:r>
      <w:r>
        <w:rPr>
          <w:rFonts w:eastAsia="Times New Roman"/>
          <w:lang w:val="fr-FR"/>
        </w:rPr>
        <w:t xml:space="preserve">établissements dispensant des </w:t>
      </w:r>
      <w:r w:rsidRPr="00466CE7">
        <w:rPr>
          <w:rFonts w:eastAsia="Times New Roman"/>
          <w:lang w:val="fr-FR"/>
        </w:rPr>
        <w:t xml:space="preserve">services sociaux </w:t>
      </w:r>
      <w:r>
        <w:rPr>
          <w:rFonts w:eastAsia="Times New Roman"/>
          <w:lang w:val="fr-FR"/>
        </w:rPr>
        <w:t>en matière d’</w:t>
      </w:r>
      <w:r w:rsidRPr="00466CE7">
        <w:rPr>
          <w:rFonts w:eastAsia="Times New Roman"/>
          <w:lang w:val="fr-FR"/>
        </w:rPr>
        <w:t>éducation</w:t>
      </w:r>
      <w:r w:rsidRPr="00AC6AA7">
        <w:rPr>
          <w:rFonts w:eastAsia="Times New Roman"/>
          <w:lang w:val="fr-FR"/>
        </w:rPr>
        <w:t xml:space="preserve"> </w:t>
      </w:r>
      <w:r w:rsidRPr="00466CE7">
        <w:rPr>
          <w:rFonts w:eastAsia="Times New Roman"/>
          <w:lang w:val="fr-FR"/>
        </w:rPr>
        <w:t xml:space="preserve">un conseil </w:t>
      </w:r>
      <w:r>
        <w:rPr>
          <w:rFonts w:eastAsia="Times New Roman"/>
          <w:lang w:val="fr-FR"/>
        </w:rPr>
        <w:t>d’administration</w:t>
      </w:r>
      <w:r w:rsidRPr="00466CE7">
        <w:rPr>
          <w:rFonts w:eastAsia="Times New Roman"/>
          <w:lang w:val="fr-FR"/>
        </w:rPr>
        <w:t xml:space="preserve">, </w:t>
      </w:r>
      <w:r>
        <w:rPr>
          <w:rFonts w:eastAsia="Times New Roman"/>
          <w:lang w:val="fr-FR"/>
        </w:rPr>
        <w:t xml:space="preserve">dont les membres sont </w:t>
      </w:r>
      <w:r w:rsidRPr="00466CE7">
        <w:rPr>
          <w:rFonts w:eastAsia="Times New Roman"/>
          <w:lang w:val="fr-FR"/>
        </w:rPr>
        <w:t>élu</w:t>
      </w:r>
      <w:r>
        <w:rPr>
          <w:rFonts w:eastAsia="Times New Roman"/>
          <w:lang w:val="fr-FR"/>
        </w:rPr>
        <w:t>s</w:t>
      </w:r>
      <w:r w:rsidRPr="00466CE7">
        <w:rPr>
          <w:rFonts w:eastAsia="Times New Roman"/>
          <w:lang w:val="fr-FR"/>
        </w:rPr>
        <w:t xml:space="preserve"> par les parents des élèves </w:t>
      </w:r>
      <w:r>
        <w:rPr>
          <w:rFonts w:eastAsia="Times New Roman"/>
          <w:lang w:val="fr-FR"/>
        </w:rPr>
        <w:t>de l’</w:t>
      </w:r>
      <w:r w:rsidRPr="00466CE7">
        <w:rPr>
          <w:rFonts w:eastAsia="Times New Roman"/>
          <w:lang w:val="fr-FR"/>
        </w:rPr>
        <w:t>établissement parmi les parents, les personnalités publiques et les sponsors.</w:t>
      </w:r>
    </w:p>
    <w:p w14:paraId="7C17E5C4" w14:textId="77777777" w:rsidR="009C6834" w:rsidRPr="00466CE7" w:rsidRDefault="009C6834" w:rsidP="009C6834">
      <w:pPr>
        <w:pStyle w:val="SingleTxtG"/>
        <w:rPr>
          <w:rFonts w:eastAsia="Times New Roman"/>
          <w:lang w:val="fr-FR"/>
        </w:rPr>
      </w:pPr>
      <w:r w:rsidRPr="00466CE7">
        <w:rPr>
          <w:rFonts w:eastAsia="Times New Roman"/>
          <w:lang w:val="fr-FR"/>
        </w:rPr>
        <w:t>464.</w:t>
      </w:r>
      <w:r w:rsidRPr="00466CE7">
        <w:rPr>
          <w:rFonts w:eastAsia="Times New Roman"/>
          <w:lang w:val="fr-FR"/>
        </w:rPr>
        <w:tab/>
      </w:r>
      <w:r>
        <w:rPr>
          <w:rFonts w:eastAsia="Times New Roman"/>
          <w:lang w:val="fr-FR"/>
        </w:rPr>
        <w:t xml:space="preserve">Le conseil d’administration a principalement pour fonction de contribuer </w:t>
      </w:r>
      <w:r w:rsidRPr="00466CE7">
        <w:rPr>
          <w:rFonts w:eastAsia="Times New Roman"/>
          <w:lang w:val="fr-FR"/>
        </w:rPr>
        <w:t>au renforcement et à l</w:t>
      </w:r>
      <w:r>
        <w:rPr>
          <w:rFonts w:eastAsia="Times New Roman"/>
          <w:lang w:val="fr-FR"/>
        </w:rPr>
        <w:t>’</w:t>
      </w:r>
      <w:r w:rsidRPr="00466CE7">
        <w:rPr>
          <w:rFonts w:eastAsia="Times New Roman"/>
          <w:lang w:val="fr-FR"/>
        </w:rPr>
        <w:t>amélioration de</w:t>
      </w:r>
      <w:r>
        <w:rPr>
          <w:rFonts w:eastAsia="Times New Roman"/>
          <w:lang w:val="fr-FR"/>
        </w:rPr>
        <w:t xml:space="preserve">s moyens matériels, techniques et pédagogiques </w:t>
      </w:r>
      <w:r w:rsidRPr="00466CE7">
        <w:rPr>
          <w:rFonts w:eastAsia="Times New Roman"/>
          <w:lang w:val="fr-FR"/>
        </w:rPr>
        <w:t xml:space="preserve">de </w:t>
      </w:r>
      <w:r>
        <w:rPr>
          <w:rFonts w:eastAsia="Times New Roman"/>
          <w:lang w:val="fr-FR"/>
        </w:rPr>
        <w:t>l’établissement</w:t>
      </w:r>
      <w:r w:rsidRPr="00466CE7">
        <w:rPr>
          <w:rFonts w:eastAsia="Times New Roman"/>
          <w:lang w:val="fr-FR"/>
        </w:rPr>
        <w:t xml:space="preserve">, </w:t>
      </w:r>
      <w:r>
        <w:rPr>
          <w:rFonts w:eastAsia="Times New Roman"/>
          <w:lang w:val="fr-FR"/>
        </w:rPr>
        <w:t>à la bonne tenue des locaux et terrains</w:t>
      </w:r>
      <w:r w:rsidRPr="00466CE7">
        <w:rPr>
          <w:rFonts w:eastAsia="Times New Roman"/>
          <w:lang w:val="fr-FR"/>
        </w:rPr>
        <w:t>, à l</w:t>
      </w:r>
      <w:r>
        <w:rPr>
          <w:rFonts w:eastAsia="Times New Roman"/>
          <w:lang w:val="fr-FR"/>
        </w:rPr>
        <w:t>’</w:t>
      </w:r>
      <w:r w:rsidRPr="00466CE7">
        <w:rPr>
          <w:rFonts w:eastAsia="Times New Roman"/>
          <w:lang w:val="fr-FR"/>
        </w:rPr>
        <w:t xml:space="preserve">amélioration des conditions de mise </w:t>
      </w:r>
      <w:r>
        <w:rPr>
          <w:rFonts w:eastAsia="Times New Roman"/>
          <w:lang w:val="fr-FR"/>
        </w:rPr>
        <w:t xml:space="preserve">en œuvre du processus éducatif, et </w:t>
      </w:r>
      <w:r w:rsidRPr="00466CE7">
        <w:rPr>
          <w:rFonts w:eastAsia="Times New Roman"/>
          <w:lang w:val="fr-FR"/>
        </w:rPr>
        <w:t>à la protection des droits et des intérêts lé</w:t>
      </w:r>
      <w:r>
        <w:rPr>
          <w:rFonts w:eastAsia="Times New Roman"/>
          <w:lang w:val="fr-FR"/>
        </w:rPr>
        <w:t xml:space="preserve">gitimes et </w:t>
      </w:r>
      <w:r w:rsidRPr="00466CE7">
        <w:rPr>
          <w:rFonts w:eastAsia="Times New Roman"/>
          <w:lang w:val="fr-FR"/>
        </w:rPr>
        <w:t>de la vie et de la santé des é</w:t>
      </w:r>
      <w:r>
        <w:rPr>
          <w:rFonts w:eastAsia="Times New Roman"/>
          <w:lang w:val="fr-FR"/>
        </w:rPr>
        <w:t xml:space="preserve">lèves. Il veille également à la bonne </w:t>
      </w:r>
      <w:r w:rsidRPr="00466CE7">
        <w:rPr>
          <w:rFonts w:eastAsia="Times New Roman"/>
          <w:lang w:val="fr-FR"/>
        </w:rPr>
        <w:t xml:space="preserve">utilisation des </w:t>
      </w:r>
      <w:r>
        <w:rPr>
          <w:rFonts w:eastAsia="Times New Roman"/>
          <w:lang w:val="fr-FR"/>
        </w:rPr>
        <w:t xml:space="preserve">contributions </w:t>
      </w:r>
      <w:r w:rsidRPr="00466CE7">
        <w:rPr>
          <w:rFonts w:eastAsia="Times New Roman"/>
          <w:lang w:val="fr-FR"/>
        </w:rPr>
        <w:t>et subventions.</w:t>
      </w:r>
    </w:p>
    <w:p w14:paraId="3BD69B1F" w14:textId="77777777" w:rsidR="009C6834" w:rsidRPr="00466CE7" w:rsidRDefault="009C6834" w:rsidP="009C6834">
      <w:pPr>
        <w:pStyle w:val="SingleTxtG"/>
        <w:rPr>
          <w:rFonts w:eastAsia="Times New Roman"/>
          <w:lang w:val="fr-FR"/>
        </w:rPr>
      </w:pPr>
      <w:r w:rsidRPr="00466CE7">
        <w:rPr>
          <w:rFonts w:eastAsia="Times New Roman"/>
          <w:lang w:val="fr-FR"/>
        </w:rPr>
        <w:t>465.</w:t>
      </w:r>
      <w:r w:rsidRPr="00466CE7">
        <w:rPr>
          <w:rFonts w:eastAsia="Times New Roman"/>
          <w:lang w:val="fr-FR"/>
        </w:rPr>
        <w:tab/>
        <w:t>L</w:t>
      </w:r>
      <w:r>
        <w:rPr>
          <w:rFonts w:eastAsia="Times New Roman"/>
          <w:lang w:val="fr-FR"/>
        </w:rPr>
        <w:t xml:space="preserve">a contribution des </w:t>
      </w:r>
      <w:r w:rsidRPr="00466CE7">
        <w:rPr>
          <w:rFonts w:eastAsia="Times New Roman"/>
          <w:lang w:val="fr-FR"/>
        </w:rPr>
        <w:t>parents d</w:t>
      </w:r>
      <w:r>
        <w:rPr>
          <w:rFonts w:eastAsia="Times New Roman"/>
          <w:lang w:val="fr-FR"/>
        </w:rPr>
        <w:t>’</w:t>
      </w:r>
      <w:r w:rsidRPr="00466CE7">
        <w:rPr>
          <w:rFonts w:eastAsia="Times New Roman"/>
          <w:lang w:val="fr-FR"/>
        </w:rPr>
        <w:t xml:space="preserve">élèves dans les </w:t>
      </w:r>
      <w:r>
        <w:rPr>
          <w:rFonts w:eastAsia="Times New Roman"/>
          <w:lang w:val="fr-FR"/>
        </w:rPr>
        <w:t xml:space="preserve">établissements </w:t>
      </w:r>
      <w:r w:rsidRPr="00466CE7">
        <w:rPr>
          <w:rFonts w:eastAsia="Times New Roman"/>
          <w:lang w:val="fr-FR"/>
        </w:rPr>
        <w:t>d</w:t>
      </w:r>
      <w:r>
        <w:rPr>
          <w:rFonts w:eastAsia="Times New Roman"/>
          <w:lang w:val="fr-FR"/>
        </w:rPr>
        <w:t>’</w:t>
      </w:r>
      <w:r w:rsidRPr="00466CE7">
        <w:rPr>
          <w:rFonts w:eastAsia="Times New Roman"/>
          <w:lang w:val="fr-FR"/>
        </w:rPr>
        <w:t>enseignement général</w:t>
      </w:r>
      <w:r w:rsidRPr="009E2DB9">
        <w:rPr>
          <w:rFonts w:eastAsia="Times New Roman"/>
          <w:lang w:val="fr-FR"/>
        </w:rPr>
        <w:t xml:space="preserve"> </w:t>
      </w:r>
      <w:r w:rsidRPr="00466CE7">
        <w:rPr>
          <w:rFonts w:eastAsia="Times New Roman"/>
          <w:lang w:val="fr-FR"/>
        </w:rPr>
        <w:t xml:space="preserve">est volontaire et </w:t>
      </w:r>
      <w:r>
        <w:rPr>
          <w:rFonts w:eastAsia="Times New Roman"/>
          <w:lang w:val="fr-FR"/>
        </w:rPr>
        <w:t xml:space="preserve">les employés de ces établissements n’ont pas </w:t>
      </w:r>
      <w:r w:rsidRPr="00466CE7">
        <w:rPr>
          <w:rFonts w:eastAsia="Times New Roman"/>
          <w:lang w:val="fr-FR"/>
        </w:rPr>
        <w:t>le droit d</w:t>
      </w:r>
      <w:r>
        <w:rPr>
          <w:rFonts w:eastAsia="Times New Roman"/>
          <w:lang w:val="fr-FR"/>
        </w:rPr>
        <w:t>’</w:t>
      </w:r>
      <w:r w:rsidRPr="00466CE7">
        <w:rPr>
          <w:rFonts w:eastAsia="Times New Roman"/>
          <w:lang w:val="fr-FR"/>
        </w:rPr>
        <w:t xml:space="preserve">exiger des élèves et de leurs parents une aide financière </w:t>
      </w:r>
      <w:r>
        <w:rPr>
          <w:rFonts w:eastAsia="Times New Roman"/>
          <w:lang w:val="fr-FR"/>
        </w:rPr>
        <w:t xml:space="preserve">ou toute autre aide </w:t>
      </w:r>
      <w:r w:rsidRPr="00466CE7">
        <w:rPr>
          <w:rFonts w:eastAsia="Times New Roman"/>
          <w:lang w:val="fr-FR"/>
        </w:rPr>
        <w:t>matérielle.</w:t>
      </w:r>
    </w:p>
    <w:p w14:paraId="3309C51C" w14:textId="77777777" w:rsidR="009C6834" w:rsidRPr="00466CE7" w:rsidRDefault="009C6834" w:rsidP="009C6834">
      <w:pPr>
        <w:pStyle w:val="SingleTxtG"/>
        <w:rPr>
          <w:rFonts w:eastAsia="Times New Roman"/>
          <w:lang w:val="fr-FR"/>
        </w:rPr>
      </w:pPr>
      <w:r w:rsidRPr="00466CE7">
        <w:rPr>
          <w:rFonts w:eastAsia="Times New Roman"/>
          <w:lang w:val="fr-FR"/>
        </w:rPr>
        <w:t>466.</w:t>
      </w:r>
      <w:r w:rsidRPr="00466CE7">
        <w:rPr>
          <w:rFonts w:eastAsia="Times New Roman"/>
          <w:lang w:val="fr-FR"/>
        </w:rPr>
        <w:tab/>
        <w:t>Le M</w:t>
      </w:r>
      <w:r>
        <w:rPr>
          <w:rFonts w:eastAsia="Times New Roman"/>
          <w:lang w:val="fr-FR"/>
        </w:rPr>
        <w:t xml:space="preserve">inistère de l’éducation et de la science a pris un arrêté en </w:t>
      </w:r>
      <w:r w:rsidRPr="00466CE7">
        <w:rPr>
          <w:rFonts w:eastAsia="Times New Roman"/>
          <w:lang w:val="fr-FR"/>
        </w:rPr>
        <w:t>2018</w:t>
      </w:r>
      <w:r>
        <w:rPr>
          <w:rFonts w:eastAsia="Times New Roman"/>
          <w:lang w:val="fr-FR"/>
        </w:rPr>
        <w:t xml:space="preserve"> concernant l’adoption de mesures propres à mettre fin aux pratiques de concussion et de versement de pots-de-vin aux </w:t>
      </w:r>
      <w:r w:rsidRPr="00466CE7">
        <w:rPr>
          <w:rFonts w:eastAsia="Times New Roman"/>
          <w:lang w:val="fr-FR"/>
        </w:rPr>
        <w:t xml:space="preserve">enseignants </w:t>
      </w:r>
      <w:r>
        <w:rPr>
          <w:rFonts w:eastAsia="Times New Roman"/>
          <w:lang w:val="fr-FR"/>
        </w:rPr>
        <w:t xml:space="preserve">à l’occasion des examens d’État et des remises de diplôme </w:t>
      </w:r>
      <w:r w:rsidRPr="00466CE7">
        <w:rPr>
          <w:rFonts w:eastAsia="Times New Roman"/>
          <w:lang w:val="fr-FR"/>
        </w:rPr>
        <w:t>dans les écoles du pays.</w:t>
      </w:r>
    </w:p>
    <w:p w14:paraId="18DB9CA4" w14:textId="77777777" w:rsidR="009C6834" w:rsidRDefault="009C6834" w:rsidP="009C6834">
      <w:pPr>
        <w:pStyle w:val="SingleTxtG"/>
        <w:rPr>
          <w:rFonts w:eastAsia="Times New Roman"/>
          <w:lang w:val="fr-FR"/>
        </w:rPr>
      </w:pPr>
      <w:r w:rsidRPr="00466CE7">
        <w:rPr>
          <w:rFonts w:eastAsia="Times New Roman"/>
          <w:lang w:val="fr-FR"/>
        </w:rPr>
        <w:t>467.</w:t>
      </w:r>
      <w:r w:rsidRPr="00466CE7">
        <w:rPr>
          <w:rFonts w:eastAsia="Times New Roman"/>
          <w:lang w:val="fr-FR"/>
        </w:rPr>
        <w:tab/>
      </w:r>
      <w:r>
        <w:rPr>
          <w:rFonts w:eastAsia="Times New Roman"/>
          <w:lang w:val="fr-FR"/>
        </w:rPr>
        <w:t xml:space="preserve">Pour éradiquer cette pratique dans la capitale, le </w:t>
      </w:r>
      <w:r w:rsidRPr="00466CE7">
        <w:rPr>
          <w:rFonts w:eastAsia="Times New Roman"/>
          <w:lang w:val="fr-FR"/>
        </w:rPr>
        <w:t>M</w:t>
      </w:r>
      <w:r>
        <w:rPr>
          <w:rFonts w:eastAsia="Times New Roman"/>
          <w:lang w:val="fr-FR"/>
        </w:rPr>
        <w:t>inistère de l’éducation et de la science</w:t>
      </w:r>
      <w:r w:rsidRPr="00466CE7">
        <w:rPr>
          <w:rFonts w:eastAsia="Times New Roman"/>
          <w:lang w:val="fr-FR"/>
        </w:rPr>
        <w:t xml:space="preserve"> </w:t>
      </w:r>
      <w:r>
        <w:rPr>
          <w:rFonts w:eastAsia="Times New Roman"/>
          <w:lang w:val="fr-FR"/>
        </w:rPr>
        <w:t xml:space="preserve">et </w:t>
      </w:r>
      <w:r w:rsidRPr="00466CE7">
        <w:rPr>
          <w:rFonts w:eastAsia="Times New Roman"/>
          <w:lang w:val="fr-FR"/>
        </w:rPr>
        <w:t xml:space="preserve">la </w:t>
      </w:r>
      <w:r>
        <w:rPr>
          <w:rFonts w:eastAsia="Times New Roman"/>
          <w:lang w:val="fr-FR"/>
        </w:rPr>
        <w:t xml:space="preserve">municipalité </w:t>
      </w:r>
      <w:r w:rsidRPr="00466CE7">
        <w:rPr>
          <w:rFonts w:eastAsia="Times New Roman"/>
          <w:lang w:val="fr-FR"/>
        </w:rPr>
        <w:t xml:space="preserve">de </w:t>
      </w:r>
      <w:r>
        <w:rPr>
          <w:rFonts w:eastAsia="Times New Roman"/>
          <w:lang w:val="fr-FR"/>
        </w:rPr>
        <w:t>Bichkek</w:t>
      </w:r>
      <w:r w:rsidRPr="00466CE7">
        <w:rPr>
          <w:rFonts w:eastAsia="Times New Roman"/>
          <w:lang w:val="fr-FR"/>
        </w:rPr>
        <w:t xml:space="preserve"> </w:t>
      </w:r>
      <w:r>
        <w:rPr>
          <w:rFonts w:eastAsia="Times New Roman"/>
          <w:lang w:val="fr-FR"/>
        </w:rPr>
        <w:t xml:space="preserve">ont adopté en </w:t>
      </w:r>
      <w:r w:rsidRPr="00466CE7">
        <w:rPr>
          <w:rFonts w:eastAsia="Times New Roman"/>
          <w:lang w:val="fr-FR"/>
        </w:rPr>
        <w:t xml:space="preserve">2017 un </w:t>
      </w:r>
      <w:r>
        <w:rPr>
          <w:rFonts w:eastAsia="Times New Roman"/>
          <w:lang w:val="fr-FR"/>
        </w:rPr>
        <w:t xml:space="preserve">arrêté </w:t>
      </w:r>
      <w:r w:rsidRPr="00466CE7">
        <w:rPr>
          <w:rFonts w:eastAsia="Times New Roman"/>
          <w:lang w:val="fr-FR"/>
        </w:rPr>
        <w:t xml:space="preserve">conjoint </w:t>
      </w:r>
      <w:r>
        <w:rPr>
          <w:rFonts w:eastAsia="Times New Roman"/>
          <w:lang w:val="fr-FR"/>
        </w:rPr>
        <w:t xml:space="preserve">interdisant </w:t>
      </w:r>
      <w:r w:rsidRPr="00466CE7">
        <w:rPr>
          <w:rFonts w:eastAsia="Times New Roman"/>
          <w:lang w:val="fr-FR"/>
        </w:rPr>
        <w:t xml:space="preserve">tout </w:t>
      </w:r>
      <w:r>
        <w:rPr>
          <w:rFonts w:eastAsia="Times New Roman"/>
          <w:lang w:val="fr-FR"/>
        </w:rPr>
        <w:t xml:space="preserve">examen </w:t>
      </w:r>
      <w:r w:rsidRPr="00466CE7">
        <w:rPr>
          <w:rFonts w:eastAsia="Times New Roman"/>
          <w:lang w:val="fr-FR"/>
        </w:rPr>
        <w:t>d</w:t>
      </w:r>
      <w:r>
        <w:rPr>
          <w:rFonts w:eastAsia="Times New Roman"/>
          <w:lang w:val="fr-FR"/>
        </w:rPr>
        <w:t>’</w:t>
      </w:r>
      <w:r w:rsidRPr="00466CE7">
        <w:rPr>
          <w:rFonts w:eastAsia="Times New Roman"/>
          <w:lang w:val="fr-FR"/>
        </w:rPr>
        <w:t xml:space="preserve">admission en première année </w:t>
      </w:r>
      <w:r>
        <w:rPr>
          <w:rFonts w:eastAsia="Times New Roman"/>
          <w:lang w:val="fr-FR"/>
        </w:rPr>
        <w:t xml:space="preserve">ainsi que la perception de </w:t>
      </w:r>
      <w:r w:rsidRPr="00466CE7">
        <w:rPr>
          <w:rFonts w:eastAsia="Times New Roman"/>
          <w:lang w:val="fr-FR"/>
        </w:rPr>
        <w:t>frais d</w:t>
      </w:r>
      <w:r>
        <w:rPr>
          <w:rFonts w:eastAsia="Times New Roman"/>
          <w:lang w:val="fr-FR"/>
        </w:rPr>
        <w:t>’</w:t>
      </w:r>
      <w:r w:rsidRPr="00466CE7">
        <w:rPr>
          <w:rFonts w:eastAsia="Times New Roman"/>
          <w:lang w:val="fr-FR"/>
        </w:rPr>
        <w:t>admission.</w:t>
      </w:r>
    </w:p>
    <w:p w14:paraId="3C14EE69" w14:textId="77777777" w:rsidR="009C6834" w:rsidRPr="00466CE7" w:rsidRDefault="009C6834" w:rsidP="009C6834">
      <w:pPr>
        <w:pStyle w:val="SingleTxtG"/>
        <w:rPr>
          <w:rFonts w:eastAsia="Times New Roman"/>
          <w:lang w:val="fr-FR"/>
        </w:rPr>
      </w:pPr>
      <w:r w:rsidRPr="00466CE7">
        <w:rPr>
          <w:rFonts w:eastAsia="Times New Roman"/>
          <w:lang w:val="fr-FR"/>
        </w:rPr>
        <w:t>468.</w:t>
      </w:r>
      <w:r w:rsidRPr="00466CE7">
        <w:rPr>
          <w:rFonts w:eastAsia="Times New Roman"/>
          <w:lang w:val="fr-FR"/>
        </w:rPr>
        <w:tab/>
      </w:r>
      <w:r>
        <w:rPr>
          <w:rFonts w:eastAsia="Times New Roman"/>
          <w:lang w:val="fr-FR"/>
        </w:rPr>
        <w:t xml:space="preserve">Pour lutter contre la pratique consistant à percevoir des droits d’entrée </w:t>
      </w:r>
      <w:r w:rsidRPr="00466CE7">
        <w:rPr>
          <w:rFonts w:eastAsia="Times New Roman"/>
          <w:lang w:val="fr-FR"/>
        </w:rPr>
        <w:t xml:space="preserve">dans les </w:t>
      </w:r>
      <w:r>
        <w:rPr>
          <w:rFonts w:eastAsia="Times New Roman"/>
          <w:lang w:val="fr-FR"/>
        </w:rPr>
        <w:t xml:space="preserve">établissements </w:t>
      </w:r>
      <w:r w:rsidRPr="00466CE7">
        <w:rPr>
          <w:rFonts w:eastAsia="Times New Roman"/>
          <w:lang w:val="fr-FR"/>
        </w:rPr>
        <w:t>d</w:t>
      </w:r>
      <w:r>
        <w:rPr>
          <w:rFonts w:eastAsia="Times New Roman"/>
          <w:lang w:val="fr-FR"/>
        </w:rPr>
        <w:t>’</w:t>
      </w:r>
      <w:r w:rsidRPr="00466CE7">
        <w:rPr>
          <w:rFonts w:eastAsia="Times New Roman"/>
          <w:lang w:val="fr-FR"/>
        </w:rPr>
        <w:t>enseignement général, le M</w:t>
      </w:r>
      <w:r>
        <w:rPr>
          <w:rFonts w:eastAsia="Times New Roman"/>
          <w:lang w:val="fr-FR"/>
        </w:rPr>
        <w:t xml:space="preserve">inistère de l’éducation et de la science </w:t>
      </w:r>
      <w:r w:rsidRPr="00466CE7">
        <w:rPr>
          <w:rFonts w:eastAsia="Times New Roman"/>
          <w:lang w:val="fr-FR"/>
        </w:rPr>
        <w:t xml:space="preserve">a </w:t>
      </w:r>
      <w:r>
        <w:rPr>
          <w:rFonts w:eastAsia="Times New Roman"/>
          <w:lang w:val="fr-FR"/>
        </w:rPr>
        <w:t xml:space="preserve">publié </w:t>
      </w:r>
      <w:r w:rsidRPr="00466CE7">
        <w:rPr>
          <w:rFonts w:eastAsia="Times New Roman"/>
          <w:lang w:val="fr-FR"/>
        </w:rPr>
        <w:t>une instruction</w:t>
      </w:r>
      <w:r>
        <w:rPr>
          <w:rFonts w:eastAsia="Times New Roman"/>
          <w:lang w:val="fr-FR"/>
        </w:rPr>
        <w:t xml:space="preserve"> relative à l’i</w:t>
      </w:r>
      <w:r w:rsidRPr="00466CE7">
        <w:rPr>
          <w:rFonts w:eastAsia="Times New Roman"/>
          <w:lang w:val="fr-FR"/>
        </w:rPr>
        <w:t xml:space="preserve">nscription électronique </w:t>
      </w:r>
      <w:r>
        <w:rPr>
          <w:rFonts w:eastAsia="Times New Roman"/>
          <w:lang w:val="fr-FR"/>
        </w:rPr>
        <w:t xml:space="preserve">des élèves </w:t>
      </w:r>
      <w:r w:rsidRPr="00466CE7">
        <w:rPr>
          <w:rFonts w:eastAsia="Times New Roman"/>
          <w:lang w:val="fr-FR"/>
        </w:rPr>
        <w:t xml:space="preserve">dans les </w:t>
      </w:r>
      <w:r>
        <w:rPr>
          <w:rFonts w:eastAsia="Times New Roman"/>
          <w:lang w:val="fr-FR"/>
        </w:rPr>
        <w:t xml:space="preserve">établissements </w:t>
      </w:r>
      <w:r w:rsidRPr="00466CE7">
        <w:rPr>
          <w:rFonts w:eastAsia="Times New Roman"/>
          <w:lang w:val="fr-FR"/>
        </w:rPr>
        <w:t>d</w:t>
      </w:r>
      <w:r>
        <w:rPr>
          <w:rFonts w:eastAsia="Times New Roman"/>
          <w:lang w:val="fr-FR"/>
        </w:rPr>
        <w:t>’</w:t>
      </w:r>
      <w:r w:rsidRPr="00466CE7">
        <w:rPr>
          <w:rFonts w:eastAsia="Times New Roman"/>
          <w:lang w:val="fr-FR"/>
        </w:rPr>
        <w:t>enseignement général de la République kirghize</w:t>
      </w:r>
      <w:r>
        <w:rPr>
          <w:rFonts w:eastAsia="Times New Roman"/>
          <w:lang w:val="fr-FR"/>
        </w:rPr>
        <w:t xml:space="preserve">, qui a été </w:t>
      </w:r>
      <w:r w:rsidRPr="00466CE7">
        <w:rPr>
          <w:rFonts w:eastAsia="Times New Roman"/>
          <w:lang w:val="fr-FR"/>
        </w:rPr>
        <w:t xml:space="preserve">introduite </w:t>
      </w:r>
      <w:r>
        <w:rPr>
          <w:rFonts w:eastAsia="Times New Roman"/>
          <w:lang w:val="fr-FR"/>
        </w:rPr>
        <w:t xml:space="preserve">à titre expérimental </w:t>
      </w:r>
      <w:r w:rsidRPr="00466CE7">
        <w:rPr>
          <w:rFonts w:eastAsia="Times New Roman"/>
          <w:lang w:val="fr-FR"/>
        </w:rPr>
        <w:t xml:space="preserve">dans les écoles de </w:t>
      </w:r>
      <w:r>
        <w:rPr>
          <w:rFonts w:eastAsia="Times New Roman"/>
          <w:lang w:val="fr-FR"/>
        </w:rPr>
        <w:t xml:space="preserve">Bichkek et </w:t>
      </w:r>
      <w:r w:rsidRPr="00466CE7">
        <w:rPr>
          <w:rFonts w:eastAsia="Times New Roman"/>
          <w:lang w:val="fr-FR"/>
        </w:rPr>
        <w:t xml:space="preserve">qui a eu </w:t>
      </w:r>
      <w:r>
        <w:rPr>
          <w:rFonts w:eastAsia="Times New Roman"/>
          <w:lang w:val="fr-FR"/>
        </w:rPr>
        <w:t xml:space="preserve">des </w:t>
      </w:r>
      <w:r w:rsidRPr="00466CE7">
        <w:rPr>
          <w:rFonts w:eastAsia="Times New Roman"/>
          <w:lang w:val="fr-FR"/>
        </w:rPr>
        <w:t>effet</w:t>
      </w:r>
      <w:r>
        <w:rPr>
          <w:rFonts w:eastAsia="Times New Roman"/>
          <w:lang w:val="fr-FR"/>
        </w:rPr>
        <w:t>s</w:t>
      </w:r>
      <w:r w:rsidRPr="00466CE7">
        <w:rPr>
          <w:rFonts w:eastAsia="Times New Roman"/>
          <w:lang w:val="fr-FR"/>
        </w:rPr>
        <w:t xml:space="preserve"> positif</w:t>
      </w:r>
      <w:r>
        <w:rPr>
          <w:rFonts w:eastAsia="Times New Roman"/>
          <w:lang w:val="fr-FR"/>
        </w:rPr>
        <w:t>s</w:t>
      </w:r>
      <w:r w:rsidRPr="00466CE7">
        <w:rPr>
          <w:rFonts w:eastAsia="Times New Roman"/>
          <w:lang w:val="fr-FR"/>
        </w:rPr>
        <w:t xml:space="preserve"> sur </w:t>
      </w:r>
      <w:r>
        <w:rPr>
          <w:rFonts w:eastAsia="Times New Roman"/>
          <w:lang w:val="fr-FR"/>
        </w:rPr>
        <w:t>l’élimination de cette pratique</w:t>
      </w:r>
      <w:r w:rsidRPr="00466CE7">
        <w:rPr>
          <w:rFonts w:eastAsia="Times New Roman"/>
          <w:lang w:val="fr-FR"/>
        </w:rPr>
        <w:t>.</w:t>
      </w:r>
    </w:p>
    <w:p w14:paraId="0A0AF9C8" w14:textId="671A8BC5" w:rsidR="009C6834" w:rsidRPr="00466CE7" w:rsidRDefault="009C6834" w:rsidP="009C6834">
      <w:pPr>
        <w:pStyle w:val="SingleTxtG"/>
        <w:rPr>
          <w:rFonts w:eastAsia="Times New Roman"/>
          <w:lang w:val="fr-FR"/>
        </w:rPr>
      </w:pPr>
      <w:r w:rsidRPr="00466CE7">
        <w:rPr>
          <w:rFonts w:eastAsia="Times New Roman"/>
          <w:lang w:val="fr-FR"/>
        </w:rPr>
        <w:t>469.</w:t>
      </w:r>
      <w:r w:rsidRPr="00466CE7">
        <w:rPr>
          <w:rFonts w:eastAsia="Times New Roman"/>
          <w:lang w:val="fr-FR"/>
        </w:rPr>
        <w:tab/>
        <w:t>Af</w:t>
      </w:r>
      <w:r>
        <w:rPr>
          <w:rFonts w:eastAsia="Times New Roman"/>
          <w:lang w:val="fr-FR"/>
        </w:rPr>
        <w:t>in d’établir le système de recensement des élèves</w:t>
      </w:r>
      <w:r w:rsidRPr="006A3F6E">
        <w:rPr>
          <w:rFonts w:eastAsia="Times New Roman"/>
          <w:lang w:val="fr-FR"/>
        </w:rPr>
        <w:t xml:space="preserve"> </w:t>
      </w:r>
      <w:r>
        <w:rPr>
          <w:rFonts w:eastAsia="Times New Roman"/>
          <w:lang w:val="fr-FR"/>
        </w:rPr>
        <w:t>sous une forme électronique</w:t>
      </w:r>
      <w:r w:rsidRPr="00466CE7">
        <w:rPr>
          <w:rFonts w:eastAsia="Times New Roman"/>
          <w:lang w:val="fr-FR"/>
        </w:rPr>
        <w:t xml:space="preserve">, </w:t>
      </w:r>
      <w:r>
        <w:rPr>
          <w:rFonts w:eastAsia="Times New Roman"/>
          <w:lang w:val="fr-FR"/>
        </w:rPr>
        <w:t xml:space="preserve">les </w:t>
      </w:r>
      <w:r w:rsidRPr="00466CE7">
        <w:rPr>
          <w:rFonts w:eastAsia="Times New Roman"/>
          <w:lang w:val="fr-FR"/>
        </w:rPr>
        <w:t xml:space="preserve">données </w:t>
      </w:r>
      <w:r>
        <w:rPr>
          <w:rFonts w:eastAsia="Times New Roman"/>
          <w:lang w:val="fr-FR"/>
        </w:rPr>
        <w:t xml:space="preserve">concernant les </w:t>
      </w:r>
      <w:r w:rsidRPr="00466CE7">
        <w:rPr>
          <w:rFonts w:eastAsia="Times New Roman"/>
          <w:lang w:val="fr-FR"/>
        </w:rPr>
        <w:t xml:space="preserve">élèves des écoles </w:t>
      </w:r>
      <w:r>
        <w:rPr>
          <w:rFonts w:eastAsia="Times New Roman"/>
          <w:lang w:val="fr-FR"/>
        </w:rPr>
        <w:t>ont été numérisées</w:t>
      </w:r>
      <w:r w:rsidRPr="006A3F6E">
        <w:rPr>
          <w:rFonts w:eastAsia="Times New Roman"/>
          <w:lang w:val="fr-FR"/>
        </w:rPr>
        <w:t xml:space="preserve"> </w:t>
      </w:r>
      <w:r w:rsidRPr="00466CE7">
        <w:rPr>
          <w:rFonts w:eastAsia="Times New Roman"/>
          <w:lang w:val="fr-FR"/>
        </w:rPr>
        <w:t>(</w:t>
      </w:r>
      <w:r>
        <w:rPr>
          <w:rFonts w:eastAsia="Times New Roman"/>
          <w:lang w:val="fr-FR"/>
        </w:rPr>
        <w:t xml:space="preserve">établissement d’un passeport </w:t>
      </w:r>
      <w:r w:rsidRPr="00466CE7">
        <w:rPr>
          <w:rFonts w:eastAsia="Times New Roman"/>
          <w:lang w:val="fr-FR"/>
        </w:rPr>
        <w:t xml:space="preserve">électronique </w:t>
      </w:r>
      <w:r>
        <w:rPr>
          <w:rFonts w:eastAsia="Times New Roman"/>
          <w:lang w:val="fr-FR"/>
        </w:rPr>
        <w:t>pour chaque enfant</w:t>
      </w:r>
      <w:r w:rsidRPr="00466CE7">
        <w:rPr>
          <w:rFonts w:eastAsia="Times New Roman"/>
          <w:lang w:val="fr-FR"/>
        </w:rPr>
        <w:t xml:space="preserve">) </w:t>
      </w:r>
      <w:r>
        <w:rPr>
          <w:rFonts w:eastAsia="Times New Roman"/>
          <w:lang w:val="fr-FR"/>
        </w:rPr>
        <w:t xml:space="preserve">entre </w:t>
      </w:r>
      <w:r w:rsidRPr="00466CE7">
        <w:rPr>
          <w:rFonts w:eastAsia="Times New Roman"/>
          <w:lang w:val="fr-FR"/>
        </w:rPr>
        <w:t xml:space="preserve">avril </w:t>
      </w:r>
      <w:r>
        <w:rPr>
          <w:rFonts w:eastAsia="Times New Roman"/>
          <w:lang w:val="fr-FR"/>
        </w:rPr>
        <w:t xml:space="preserve">et juin 2016 </w:t>
      </w:r>
      <w:r w:rsidRPr="00466CE7">
        <w:rPr>
          <w:rFonts w:eastAsia="Times New Roman"/>
          <w:lang w:val="fr-FR"/>
        </w:rPr>
        <w:t>dans le cadre d</w:t>
      </w:r>
      <w:r>
        <w:rPr>
          <w:rFonts w:eastAsia="Times New Roman"/>
          <w:lang w:val="fr-FR"/>
        </w:rPr>
        <w:t>’</w:t>
      </w:r>
      <w:r w:rsidRPr="00466CE7">
        <w:rPr>
          <w:rFonts w:eastAsia="Times New Roman"/>
          <w:lang w:val="fr-FR"/>
        </w:rPr>
        <w:t xml:space="preserve">un projet </w:t>
      </w:r>
      <w:r>
        <w:rPr>
          <w:rFonts w:eastAsia="Times New Roman"/>
          <w:lang w:val="fr-FR"/>
        </w:rPr>
        <w:t xml:space="preserve">mené conjointement par le </w:t>
      </w:r>
      <w:r w:rsidR="0071029D">
        <w:rPr>
          <w:rFonts w:eastAsia="Times New Roman"/>
          <w:lang w:val="fr-FR"/>
        </w:rPr>
        <w:t>s</w:t>
      </w:r>
      <w:r>
        <w:rPr>
          <w:rFonts w:eastAsia="Times New Roman"/>
          <w:lang w:val="fr-FR"/>
        </w:rPr>
        <w:t xml:space="preserve">ervice public d’enregistrement relevant du </w:t>
      </w:r>
      <w:r w:rsidR="00822657">
        <w:rPr>
          <w:rFonts w:eastAsia="Times New Roman"/>
          <w:lang w:val="fr-FR"/>
        </w:rPr>
        <w:t xml:space="preserve">Gouvernement </w:t>
      </w:r>
      <w:r>
        <w:rPr>
          <w:rFonts w:eastAsia="Times New Roman"/>
          <w:lang w:val="fr-FR"/>
        </w:rPr>
        <w:t>et le</w:t>
      </w:r>
      <w:r w:rsidRPr="00466CE7">
        <w:rPr>
          <w:rFonts w:eastAsia="Times New Roman"/>
          <w:lang w:val="fr-FR"/>
        </w:rPr>
        <w:t xml:space="preserve"> M</w:t>
      </w:r>
      <w:r>
        <w:rPr>
          <w:rFonts w:eastAsia="Times New Roman"/>
          <w:lang w:val="fr-FR"/>
        </w:rPr>
        <w:t>inistère de l’éducation et de la science</w:t>
      </w:r>
      <w:r w:rsidRPr="00466CE7">
        <w:rPr>
          <w:rFonts w:eastAsia="Times New Roman"/>
          <w:lang w:val="fr-FR"/>
        </w:rPr>
        <w:t xml:space="preserve">. Le </w:t>
      </w:r>
      <w:r w:rsidR="0071029D">
        <w:rPr>
          <w:rFonts w:eastAsia="Times New Roman"/>
          <w:lang w:val="fr-FR"/>
        </w:rPr>
        <w:t>s</w:t>
      </w:r>
      <w:r>
        <w:rPr>
          <w:rFonts w:eastAsia="Times New Roman"/>
          <w:lang w:val="fr-FR"/>
        </w:rPr>
        <w:t xml:space="preserve">ervice public d’enregistrement </w:t>
      </w:r>
      <w:r w:rsidRPr="00466CE7">
        <w:rPr>
          <w:rFonts w:eastAsia="Times New Roman"/>
          <w:lang w:val="fr-FR"/>
        </w:rPr>
        <w:t xml:space="preserve">enregistre les données reçues dans le système </w:t>
      </w:r>
      <w:r>
        <w:rPr>
          <w:rFonts w:eastAsia="Times New Roman"/>
          <w:lang w:val="fr-FR"/>
        </w:rPr>
        <w:t xml:space="preserve">informatique de l’état civil en attribuant des </w:t>
      </w:r>
      <w:r w:rsidRPr="00466CE7">
        <w:rPr>
          <w:rFonts w:eastAsia="Times New Roman"/>
          <w:lang w:val="fr-FR"/>
        </w:rPr>
        <w:t>numéros d</w:t>
      </w:r>
      <w:r>
        <w:rPr>
          <w:rFonts w:eastAsia="Times New Roman"/>
          <w:lang w:val="fr-FR"/>
        </w:rPr>
        <w:t>’</w:t>
      </w:r>
      <w:r w:rsidRPr="00466CE7">
        <w:rPr>
          <w:rFonts w:eastAsia="Times New Roman"/>
          <w:lang w:val="fr-FR"/>
        </w:rPr>
        <w:t xml:space="preserve">identification personnels avec un lien vers le </w:t>
      </w:r>
      <w:r>
        <w:rPr>
          <w:rFonts w:eastAsia="Times New Roman"/>
          <w:lang w:val="fr-FR"/>
        </w:rPr>
        <w:t>numéro d’identification fiscale</w:t>
      </w:r>
      <w:r w:rsidRPr="00466CE7">
        <w:rPr>
          <w:rFonts w:eastAsia="Times New Roman"/>
          <w:lang w:val="fr-FR"/>
        </w:rPr>
        <w:t xml:space="preserve"> de</w:t>
      </w:r>
      <w:r>
        <w:rPr>
          <w:rFonts w:eastAsia="Times New Roman"/>
          <w:lang w:val="fr-FR"/>
        </w:rPr>
        <w:t>s</w:t>
      </w:r>
      <w:r w:rsidRPr="00466CE7">
        <w:rPr>
          <w:rFonts w:eastAsia="Times New Roman"/>
          <w:lang w:val="fr-FR"/>
        </w:rPr>
        <w:t xml:space="preserve"> parents.</w:t>
      </w:r>
    </w:p>
    <w:p w14:paraId="621D13A5" w14:textId="77777777" w:rsidR="009C6834" w:rsidRPr="00466CE7" w:rsidRDefault="009C6834" w:rsidP="009C6834">
      <w:pPr>
        <w:pStyle w:val="SingleTxtG"/>
        <w:rPr>
          <w:rFonts w:eastAsia="Times New Roman"/>
          <w:lang w:val="fr-FR"/>
        </w:rPr>
      </w:pPr>
      <w:r w:rsidRPr="00466CE7">
        <w:rPr>
          <w:rFonts w:eastAsia="Times New Roman"/>
          <w:lang w:val="fr-FR"/>
        </w:rPr>
        <w:t>470.</w:t>
      </w:r>
      <w:r w:rsidRPr="00466CE7">
        <w:rPr>
          <w:rFonts w:eastAsia="Times New Roman"/>
          <w:lang w:val="fr-FR"/>
        </w:rPr>
        <w:tab/>
        <w:t>Les enfants d</w:t>
      </w:r>
      <w:r>
        <w:rPr>
          <w:rFonts w:eastAsia="Times New Roman"/>
          <w:lang w:val="fr-FR"/>
        </w:rPr>
        <w:t>’</w:t>
      </w:r>
      <w:r w:rsidRPr="00466CE7">
        <w:rPr>
          <w:rFonts w:eastAsia="Times New Roman"/>
          <w:lang w:val="fr-FR"/>
        </w:rPr>
        <w:t xml:space="preserve">âge scolaire </w:t>
      </w:r>
      <w:r>
        <w:rPr>
          <w:rFonts w:eastAsia="Times New Roman"/>
          <w:lang w:val="fr-FR"/>
        </w:rPr>
        <w:t xml:space="preserve">sont recensés en </w:t>
      </w:r>
      <w:r w:rsidRPr="00466CE7">
        <w:rPr>
          <w:rFonts w:eastAsia="Times New Roman"/>
          <w:lang w:val="fr-FR"/>
        </w:rPr>
        <w:t xml:space="preserve">janvier, mai et août </w:t>
      </w:r>
      <w:r>
        <w:rPr>
          <w:rFonts w:eastAsia="Times New Roman"/>
          <w:lang w:val="fr-FR"/>
        </w:rPr>
        <w:t xml:space="preserve">de </w:t>
      </w:r>
      <w:r w:rsidRPr="00466CE7">
        <w:rPr>
          <w:rFonts w:eastAsia="Times New Roman"/>
          <w:lang w:val="fr-FR"/>
        </w:rPr>
        <w:t>chaque année.</w:t>
      </w:r>
    </w:p>
    <w:p w14:paraId="10877E4E" w14:textId="77777777" w:rsidR="009C6834" w:rsidRPr="00466CE7" w:rsidRDefault="009C6834" w:rsidP="009C6834">
      <w:pPr>
        <w:pStyle w:val="SingleTxtG"/>
        <w:rPr>
          <w:rFonts w:eastAsia="Times New Roman"/>
          <w:lang w:val="fr-FR"/>
        </w:rPr>
      </w:pPr>
      <w:r w:rsidRPr="00466CE7">
        <w:rPr>
          <w:rFonts w:eastAsia="Times New Roman"/>
          <w:lang w:val="fr-FR"/>
        </w:rPr>
        <w:t>471.</w:t>
      </w:r>
      <w:r w:rsidRPr="00466CE7">
        <w:rPr>
          <w:rFonts w:eastAsia="Times New Roman"/>
          <w:lang w:val="fr-FR"/>
        </w:rPr>
        <w:tab/>
        <w:t>Un système d</w:t>
      </w:r>
      <w:r>
        <w:rPr>
          <w:rFonts w:eastAsia="Times New Roman"/>
          <w:lang w:val="fr-FR"/>
        </w:rPr>
        <w:t>’</w:t>
      </w:r>
      <w:r w:rsidRPr="00466CE7">
        <w:rPr>
          <w:rFonts w:eastAsia="Times New Roman"/>
          <w:lang w:val="fr-FR"/>
        </w:rPr>
        <w:t>inscription électronique a été mis en place pour l</w:t>
      </w:r>
      <w:r>
        <w:rPr>
          <w:rFonts w:eastAsia="Times New Roman"/>
          <w:lang w:val="fr-FR"/>
        </w:rPr>
        <w:t>’</w:t>
      </w:r>
      <w:r w:rsidRPr="00466CE7">
        <w:rPr>
          <w:rFonts w:eastAsia="Times New Roman"/>
          <w:lang w:val="fr-FR"/>
        </w:rPr>
        <w:t xml:space="preserve">inscription </w:t>
      </w:r>
      <w:r>
        <w:rPr>
          <w:rFonts w:eastAsia="Times New Roman"/>
          <w:lang w:val="fr-FR"/>
        </w:rPr>
        <w:t xml:space="preserve">en </w:t>
      </w:r>
      <w:r w:rsidRPr="00466CE7">
        <w:rPr>
          <w:rFonts w:eastAsia="Times New Roman"/>
          <w:lang w:val="fr-FR"/>
        </w:rPr>
        <w:t xml:space="preserve">première année </w:t>
      </w:r>
      <w:r>
        <w:rPr>
          <w:rFonts w:eastAsia="Times New Roman"/>
          <w:lang w:val="fr-FR"/>
        </w:rPr>
        <w:t>d’</w:t>
      </w:r>
      <w:r w:rsidRPr="00466CE7">
        <w:rPr>
          <w:rFonts w:eastAsia="Times New Roman"/>
          <w:lang w:val="fr-FR"/>
        </w:rPr>
        <w:t xml:space="preserve">enseignement général dans cinq villes </w:t>
      </w:r>
      <w:r>
        <w:rPr>
          <w:rFonts w:eastAsia="Times New Roman"/>
          <w:lang w:val="fr-FR"/>
        </w:rPr>
        <w:t>du pays</w:t>
      </w:r>
      <w:r w:rsidRPr="00466CE7">
        <w:rPr>
          <w:rFonts w:eastAsia="Times New Roman"/>
          <w:lang w:val="fr-FR"/>
        </w:rPr>
        <w:t xml:space="preserve"> (Bichkek, </w:t>
      </w:r>
      <w:r>
        <w:rPr>
          <w:rFonts w:eastAsia="Times New Roman"/>
          <w:lang w:val="fr-FR"/>
        </w:rPr>
        <w:t xml:space="preserve">Och, </w:t>
      </w:r>
      <w:proofErr w:type="spellStart"/>
      <w:r>
        <w:rPr>
          <w:rFonts w:eastAsia="Times New Roman"/>
          <w:lang w:val="fr-FR"/>
        </w:rPr>
        <w:t>Djalal-Abad</w:t>
      </w:r>
      <w:proofErr w:type="spellEnd"/>
      <w:r>
        <w:rPr>
          <w:rFonts w:eastAsia="Times New Roman"/>
          <w:lang w:val="fr-FR"/>
        </w:rPr>
        <w:t>, Kyzyl-</w:t>
      </w:r>
      <w:proofErr w:type="spellStart"/>
      <w:r>
        <w:rPr>
          <w:rFonts w:eastAsia="Times New Roman"/>
          <w:lang w:val="fr-FR"/>
        </w:rPr>
        <w:t>Koul</w:t>
      </w:r>
      <w:proofErr w:type="spellEnd"/>
      <w:r w:rsidRPr="00466CE7">
        <w:rPr>
          <w:rFonts w:eastAsia="Times New Roman"/>
          <w:lang w:val="fr-FR"/>
        </w:rPr>
        <w:t>, Kara-Balta).</w:t>
      </w:r>
    </w:p>
    <w:p w14:paraId="39053640" w14:textId="1B97B40C" w:rsidR="009C6834" w:rsidRPr="00466CE7" w:rsidRDefault="009C6834" w:rsidP="009C6834">
      <w:pPr>
        <w:pStyle w:val="SingleTxtG"/>
        <w:rPr>
          <w:rFonts w:eastAsia="Times New Roman"/>
          <w:lang w:val="fr-FR"/>
        </w:rPr>
      </w:pPr>
      <w:r w:rsidRPr="00466CE7">
        <w:rPr>
          <w:rFonts w:eastAsia="Times New Roman"/>
          <w:lang w:val="fr-FR"/>
        </w:rPr>
        <w:t>472.</w:t>
      </w:r>
      <w:r w:rsidRPr="00466CE7">
        <w:rPr>
          <w:rFonts w:eastAsia="Times New Roman"/>
          <w:lang w:val="fr-FR"/>
        </w:rPr>
        <w:tab/>
        <w:t xml:space="preserve">Les </w:t>
      </w:r>
      <w:r>
        <w:rPr>
          <w:rFonts w:eastAsia="Times New Roman"/>
          <w:lang w:val="fr-FR"/>
        </w:rPr>
        <w:t xml:space="preserve">effectifs dans les </w:t>
      </w:r>
      <w:r w:rsidRPr="00466CE7">
        <w:rPr>
          <w:rFonts w:eastAsia="Times New Roman"/>
          <w:lang w:val="fr-FR"/>
        </w:rPr>
        <w:t xml:space="preserve">établissements </w:t>
      </w:r>
      <w:r>
        <w:rPr>
          <w:rFonts w:eastAsia="Times New Roman"/>
          <w:lang w:val="fr-FR"/>
        </w:rPr>
        <w:t xml:space="preserve">professionnels sont </w:t>
      </w:r>
      <w:r w:rsidRPr="00466CE7">
        <w:rPr>
          <w:rFonts w:eastAsia="Times New Roman"/>
          <w:lang w:val="fr-FR"/>
        </w:rPr>
        <w:t>assez stable</w:t>
      </w:r>
      <w:r>
        <w:rPr>
          <w:rFonts w:eastAsia="Times New Roman"/>
          <w:lang w:val="fr-FR"/>
        </w:rPr>
        <w:t>s :</w:t>
      </w:r>
      <w:r w:rsidRPr="00466CE7">
        <w:rPr>
          <w:rFonts w:eastAsia="Times New Roman"/>
          <w:lang w:val="fr-FR"/>
        </w:rPr>
        <w:t xml:space="preserve"> </w:t>
      </w:r>
      <w:r>
        <w:rPr>
          <w:rFonts w:eastAsia="Times New Roman"/>
          <w:lang w:val="fr-FR"/>
        </w:rPr>
        <w:t xml:space="preserve">la proportion des </w:t>
      </w:r>
      <w:r w:rsidRPr="00466CE7">
        <w:rPr>
          <w:rFonts w:eastAsia="Times New Roman"/>
          <w:lang w:val="fr-FR"/>
        </w:rPr>
        <w:t>jeunes de 15 à 17</w:t>
      </w:r>
      <w:r w:rsidR="00C201F9">
        <w:rPr>
          <w:rFonts w:eastAsia="Times New Roman"/>
          <w:lang w:val="fr-FR"/>
        </w:rPr>
        <w:t> </w:t>
      </w:r>
      <w:r w:rsidRPr="00466CE7">
        <w:rPr>
          <w:rFonts w:eastAsia="Times New Roman"/>
          <w:lang w:val="fr-FR"/>
        </w:rPr>
        <w:t xml:space="preserve">ans </w:t>
      </w:r>
      <w:r>
        <w:rPr>
          <w:rFonts w:eastAsia="Times New Roman"/>
          <w:lang w:val="fr-FR"/>
        </w:rPr>
        <w:t xml:space="preserve">qui suivent un </w:t>
      </w:r>
      <w:r w:rsidRPr="00466CE7">
        <w:rPr>
          <w:rFonts w:eastAsia="Times New Roman"/>
          <w:lang w:val="fr-FR"/>
        </w:rPr>
        <w:t xml:space="preserve">enseignement professionnel </w:t>
      </w:r>
      <w:r>
        <w:rPr>
          <w:rFonts w:eastAsia="Times New Roman"/>
          <w:lang w:val="fr-FR"/>
        </w:rPr>
        <w:t>élémentaire</w:t>
      </w:r>
      <w:r w:rsidRPr="00466CE7">
        <w:rPr>
          <w:rFonts w:eastAsia="Times New Roman"/>
          <w:lang w:val="fr-FR"/>
        </w:rPr>
        <w:t xml:space="preserve"> est passée de 9,4</w:t>
      </w:r>
      <w:r w:rsidR="00CB4ECD">
        <w:rPr>
          <w:rFonts w:eastAsia="Times New Roman"/>
          <w:lang w:val="fr-FR"/>
        </w:rPr>
        <w:t> %</w:t>
      </w:r>
      <w:r w:rsidRPr="00466CE7">
        <w:rPr>
          <w:rFonts w:eastAsia="Times New Roman"/>
          <w:lang w:val="fr-FR"/>
        </w:rPr>
        <w:t xml:space="preserve"> à 10,1</w:t>
      </w:r>
      <w:r w:rsidR="00CB4ECD">
        <w:rPr>
          <w:rFonts w:eastAsia="Times New Roman"/>
          <w:lang w:val="fr-FR"/>
        </w:rPr>
        <w:t> %</w:t>
      </w:r>
      <w:r w:rsidRPr="00466CE7">
        <w:rPr>
          <w:rFonts w:eastAsia="Times New Roman"/>
          <w:lang w:val="fr-FR"/>
        </w:rPr>
        <w:t xml:space="preserve"> (70</w:t>
      </w:r>
      <w:r w:rsidR="00CB4ECD">
        <w:rPr>
          <w:rFonts w:eastAsia="Times New Roman"/>
          <w:lang w:val="fr-FR"/>
        </w:rPr>
        <w:t> %</w:t>
      </w:r>
      <w:r w:rsidRPr="00466CE7">
        <w:rPr>
          <w:rFonts w:eastAsia="Times New Roman"/>
          <w:lang w:val="fr-FR"/>
        </w:rPr>
        <w:t xml:space="preserve"> </w:t>
      </w:r>
      <w:r>
        <w:rPr>
          <w:rFonts w:eastAsia="Times New Roman"/>
          <w:lang w:val="fr-FR"/>
        </w:rPr>
        <w:t xml:space="preserve">de garçons et </w:t>
      </w:r>
      <w:r w:rsidRPr="00466CE7">
        <w:rPr>
          <w:rFonts w:eastAsia="Times New Roman"/>
          <w:lang w:val="fr-FR"/>
        </w:rPr>
        <w:t>30</w:t>
      </w:r>
      <w:r w:rsidR="00CB4ECD">
        <w:rPr>
          <w:rFonts w:eastAsia="Times New Roman"/>
          <w:lang w:val="fr-FR"/>
        </w:rPr>
        <w:t> %</w:t>
      </w:r>
      <w:r w:rsidRPr="00466CE7">
        <w:rPr>
          <w:rFonts w:eastAsia="Times New Roman"/>
          <w:lang w:val="fr-FR"/>
        </w:rPr>
        <w:t xml:space="preserve"> </w:t>
      </w:r>
      <w:r>
        <w:rPr>
          <w:rFonts w:eastAsia="Times New Roman"/>
          <w:lang w:val="fr-FR"/>
        </w:rPr>
        <w:t xml:space="preserve">de filles) </w:t>
      </w:r>
      <w:r w:rsidRPr="00466CE7">
        <w:rPr>
          <w:rFonts w:eastAsia="Times New Roman"/>
          <w:lang w:val="fr-FR"/>
        </w:rPr>
        <w:t xml:space="preserve">et la </w:t>
      </w:r>
      <w:r>
        <w:rPr>
          <w:rFonts w:eastAsia="Times New Roman"/>
          <w:lang w:val="fr-FR"/>
        </w:rPr>
        <w:t xml:space="preserve">proportion </w:t>
      </w:r>
      <w:r w:rsidRPr="00466CE7">
        <w:rPr>
          <w:rFonts w:eastAsia="Times New Roman"/>
          <w:lang w:val="fr-FR"/>
        </w:rPr>
        <w:t>des jeunes de 17 à 20</w:t>
      </w:r>
      <w:r w:rsidR="00C201F9">
        <w:rPr>
          <w:rFonts w:eastAsia="Times New Roman"/>
          <w:lang w:val="fr-FR"/>
        </w:rPr>
        <w:t> </w:t>
      </w:r>
      <w:r w:rsidRPr="00466CE7">
        <w:rPr>
          <w:rFonts w:eastAsia="Times New Roman"/>
          <w:lang w:val="fr-FR"/>
        </w:rPr>
        <w:t xml:space="preserve">ans </w:t>
      </w:r>
      <w:r>
        <w:rPr>
          <w:rFonts w:eastAsia="Times New Roman"/>
          <w:lang w:val="fr-FR"/>
        </w:rPr>
        <w:t xml:space="preserve">suivant un </w:t>
      </w:r>
      <w:r w:rsidRPr="00466CE7">
        <w:rPr>
          <w:rFonts w:eastAsia="Times New Roman"/>
          <w:lang w:val="fr-FR"/>
        </w:rPr>
        <w:t>ensei</w:t>
      </w:r>
      <w:r>
        <w:rPr>
          <w:rFonts w:eastAsia="Times New Roman"/>
          <w:lang w:val="fr-FR"/>
        </w:rPr>
        <w:t>gnement professionnel secondaire</w:t>
      </w:r>
      <w:r w:rsidR="00C201F9">
        <w:rPr>
          <w:rFonts w:eastAsia="Times New Roman"/>
          <w:lang w:val="fr-FR"/>
        </w:rPr>
        <w:t xml:space="preserve"> </w:t>
      </w:r>
      <w:r w:rsidRPr="00466CE7">
        <w:rPr>
          <w:rFonts w:eastAsia="Times New Roman"/>
          <w:lang w:val="fr-FR"/>
        </w:rPr>
        <w:t>est passée de 20,3</w:t>
      </w:r>
      <w:r w:rsidR="00CB4ECD">
        <w:rPr>
          <w:rFonts w:eastAsia="Times New Roman"/>
          <w:lang w:val="fr-FR"/>
        </w:rPr>
        <w:t> %</w:t>
      </w:r>
      <w:r w:rsidRPr="00466CE7">
        <w:rPr>
          <w:rFonts w:eastAsia="Times New Roman"/>
          <w:lang w:val="fr-FR"/>
        </w:rPr>
        <w:t xml:space="preserve"> à 23,1</w:t>
      </w:r>
      <w:r w:rsidR="00CB4ECD">
        <w:rPr>
          <w:rFonts w:eastAsia="Times New Roman"/>
          <w:lang w:val="fr-FR"/>
        </w:rPr>
        <w:t> %</w:t>
      </w:r>
      <w:r w:rsidRPr="00466CE7">
        <w:rPr>
          <w:rFonts w:eastAsia="Times New Roman"/>
          <w:lang w:val="fr-FR"/>
        </w:rPr>
        <w:t xml:space="preserve"> (43,8</w:t>
      </w:r>
      <w:r w:rsidR="00CB4ECD">
        <w:rPr>
          <w:rFonts w:eastAsia="Times New Roman"/>
          <w:lang w:val="fr-FR"/>
        </w:rPr>
        <w:t> %</w:t>
      </w:r>
      <w:r w:rsidRPr="00466CE7">
        <w:rPr>
          <w:rFonts w:eastAsia="Times New Roman"/>
          <w:lang w:val="fr-FR"/>
        </w:rPr>
        <w:t xml:space="preserve"> </w:t>
      </w:r>
      <w:r>
        <w:rPr>
          <w:rFonts w:eastAsia="Times New Roman"/>
          <w:lang w:val="fr-FR"/>
        </w:rPr>
        <w:t xml:space="preserve">de garçons </w:t>
      </w:r>
      <w:r w:rsidRPr="00466CE7">
        <w:rPr>
          <w:rFonts w:eastAsia="Times New Roman"/>
          <w:lang w:val="fr-FR"/>
        </w:rPr>
        <w:t>et 56,1</w:t>
      </w:r>
      <w:r w:rsidR="00CB4ECD">
        <w:rPr>
          <w:rFonts w:eastAsia="Times New Roman"/>
          <w:lang w:val="fr-FR"/>
        </w:rPr>
        <w:t> %</w:t>
      </w:r>
      <w:r w:rsidRPr="00466CE7">
        <w:rPr>
          <w:rFonts w:eastAsia="Times New Roman"/>
          <w:lang w:val="fr-FR"/>
        </w:rPr>
        <w:t xml:space="preserve"> </w:t>
      </w:r>
      <w:r>
        <w:rPr>
          <w:rFonts w:eastAsia="Times New Roman"/>
          <w:lang w:val="fr-FR"/>
        </w:rPr>
        <w:t>de filles</w:t>
      </w:r>
      <w:r w:rsidRPr="00466CE7">
        <w:rPr>
          <w:rFonts w:eastAsia="Times New Roman"/>
          <w:lang w:val="fr-FR"/>
        </w:rPr>
        <w:t xml:space="preserve">). Cela </w:t>
      </w:r>
      <w:r>
        <w:rPr>
          <w:rFonts w:eastAsia="Times New Roman"/>
          <w:lang w:val="fr-FR"/>
        </w:rPr>
        <w:t xml:space="preserve">s’est traduit par une </w:t>
      </w:r>
      <w:r w:rsidRPr="00466CE7">
        <w:rPr>
          <w:rFonts w:eastAsia="Times New Roman"/>
          <w:lang w:val="fr-FR"/>
        </w:rPr>
        <w:t>réduction de 22,1</w:t>
      </w:r>
      <w:r w:rsidR="00C201F9">
        <w:rPr>
          <w:rFonts w:eastAsia="Times New Roman"/>
          <w:lang w:val="fr-FR"/>
        </w:rPr>
        <w:t> </w:t>
      </w:r>
      <w:r w:rsidRPr="00466CE7">
        <w:rPr>
          <w:rFonts w:eastAsia="Times New Roman"/>
          <w:lang w:val="fr-FR"/>
        </w:rPr>
        <w:t>% à 20,5</w:t>
      </w:r>
      <w:r w:rsidR="00C201F9">
        <w:rPr>
          <w:rFonts w:eastAsia="Times New Roman"/>
          <w:lang w:val="fr-FR"/>
        </w:rPr>
        <w:t> </w:t>
      </w:r>
      <w:r w:rsidRPr="00466CE7">
        <w:rPr>
          <w:rFonts w:eastAsia="Times New Roman"/>
          <w:lang w:val="fr-FR"/>
        </w:rPr>
        <w:t xml:space="preserve">% </w:t>
      </w:r>
      <w:r>
        <w:rPr>
          <w:rFonts w:eastAsia="Times New Roman"/>
          <w:lang w:val="fr-FR"/>
        </w:rPr>
        <w:t xml:space="preserve">de </w:t>
      </w:r>
      <w:r w:rsidRPr="00466CE7">
        <w:rPr>
          <w:rFonts w:eastAsia="Times New Roman"/>
          <w:lang w:val="fr-FR"/>
        </w:rPr>
        <w:t>la proportion de</w:t>
      </w:r>
      <w:r>
        <w:rPr>
          <w:rFonts w:eastAsia="Times New Roman"/>
          <w:lang w:val="fr-FR"/>
        </w:rPr>
        <w:t>s</w:t>
      </w:r>
      <w:r w:rsidRPr="00466CE7">
        <w:rPr>
          <w:rFonts w:eastAsia="Times New Roman"/>
          <w:lang w:val="fr-FR"/>
        </w:rPr>
        <w:t xml:space="preserve"> 15-24</w:t>
      </w:r>
      <w:r w:rsidR="00C201F9">
        <w:rPr>
          <w:rFonts w:eastAsia="Times New Roman"/>
          <w:lang w:val="fr-FR"/>
        </w:rPr>
        <w:t> </w:t>
      </w:r>
      <w:r w:rsidRPr="00466CE7">
        <w:rPr>
          <w:rFonts w:eastAsia="Times New Roman"/>
          <w:lang w:val="fr-FR"/>
        </w:rPr>
        <w:t xml:space="preserve">ans </w:t>
      </w:r>
      <w:r>
        <w:rPr>
          <w:rFonts w:eastAsia="Times New Roman"/>
          <w:lang w:val="fr-FR"/>
        </w:rPr>
        <w:t xml:space="preserve">qui ne sont ni en emploi, ni en études, ni en formation </w:t>
      </w:r>
      <w:r w:rsidRPr="00466CE7">
        <w:rPr>
          <w:rFonts w:eastAsia="Times New Roman"/>
          <w:lang w:val="fr-FR"/>
        </w:rPr>
        <w:t>(catégorie NEET).</w:t>
      </w:r>
    </w:p>
    <w:p w14:paraId="17FF0CC5" w14:textId="0D0911E2" w:rsidR="009C6834" w:rsidRPr="00466CE7" w:rsidRDefault="009C6834" w:rsidP="00726B8A">
      <w:pPr>
        <w:pStyle w:val="SingleTxtG"/>
        <w:keepLines/>
        <w:rPr>
          <w:rFonts w:eastAsia="Times New Roman"/>
          <w:lang w:val="fr-FR"/>
        </w:rPr>
      </w:pPr>
      <w:r w:rsidRPr="00466CE7">
        <w:rPr>
          <w:rFonts w:eastAsia="Times New Roman"/>
          <w:lang w:val="fr-FR"/>
        </w:rPr>
        <w:lastRenderedPageBreak/>
        <w:t>473.</w:t>
      </w:r>
      <w:r w:rsidRPr="00466CE7">
        <w:rPr>
          <w:rFonts w:eastAsia="Times New Roman"/>
          <w:lang w:val="fr-FR"/>
        </w:rPr>
        <w:tab/>
        <w:t>L</w:t>
      </w:r>
      <w:r>
        <w:rPr>
          <w:rFonts w:eastAsia="Times New Roman"/>
          <w:lang w:val="fr-FR"/>
        </w:rPr>
        <w:t>a proportion de la</w:t>
      </w:r>
      <w:r w:rsidRPr="003C1E41">
        <w:rPr>
          <w:rFonts w:eastAsia="Times New Roman"/>
          <w:lang w:val="fr-FR"/>
        </w:rPr>
        <w:t xml:space="preserve"> </w:t>
      </w:r>
      <w:r w:rsidRPr="00466CE7">
        <w:rPr>
          <w:rFonts w:eastAsia="Times New Roman"/>
          <w:lang w:val="fr-FR"/>
        </w:rPr>
        <w:t>population âgée de 17 à 24</w:t>
      </w:r>
      <w:r w:rsidR="00C201F9">
        <w:rPr>
          <w:rFonts w:eastAsia="Times New Roman"/>
          <w:lang w:val="fr-FR"/>
        </w:rPr>
        <w:t> </w:t>
      </w:r>
      <w:r w:rsidRPr="00466CE7">
        <w:rPr>
          <w:rFonts w:eastAsia="Times New Roman"/>
          <w:lang w:val="fr-FR"/>
        </w:rPr>
        <w:t>ans</w:t>
      </w:r>
      <w:r>
        <w:rPr>
          <w:rFonts w:eastAsia="Times New Roman"/>
          <w:lang w:val="fr-FR"/>
        </w:rPr>
        <w:t xml:space="preserve"> qui suit un </w:t>
      </w:r>
      <w:r w:rsidRPr="00466CE7">
        <w:rPr>
          <w:rFonts w:eastAsia="Times New Roman"/>
          <w:lang w:val="fr-FR"/>
        </w:rPr>
        <w:t xml:space="preserve">enseignement professionnel supérieur </w:t>
      </w:r>
      <w:r>
        <w:rPr>
          <w:rFonts w:eastAsia="Times New Roman"/>
          <w:lang w:val="fr-FR"/>
        </w:rPr>
        <w:t xml:space="preserve">a diminué, passant </w:t>
      </w:r>
      <w:r w:rsidRPr="00466CE7">
        <w:rPr>
          <w:rFonts w:eastAsia="Times New Roman"/>
          <w:lang w:val="fr-FR"/>
        </w:rPr>
        <w:t>de 24,3</w:t>
      </w:r>
      <w:r w:rsidR="00CB4ECD">
        <w:rPr>
          <w:rFonts w:eastAsia="Times New Roman"/>
          <w:lang w:val="fr-FR"/>
        </w:rPr>
        <w:t> %</w:t>
      </w:r>
      <w:r w:rsidRPr="00466CE7">
        <w:rPr>
          <w:rFonts w:eastAsia="Times New Roman"/>
          <w:lang w:val="fr-FR"/>
        </w:rPr>
        <w:t xml:space="preserve"> à 19,8</w:t>
      </w:r>
      <w:r w:rsidR="00CB4ECD">
        <w:rPr>
          <w:rFonts w:eastAsia="Times New Roman"/>
          <w:lang w:val="fr-FR"/>
        </w:rPr>
        <w:t> %</w:t>
      </w:r>
      <w:r w:rsidRPr="00466CE7">
        <w:rPr>
          <w:rFonts w:eastAsia="Times New Roman"/>
          <w:lang w:val="fr-FR"/>
        </w:rPr>
        <w:t xml:space="preserve"> (47,1</w:t>
      </w:r>
      <w:r w:rsidR="00CB4ECD">
        <w:rPr>
          <w:rFonts w:eastAsia="Times New Roman"/>
          <w:lang w:val="fr-FR"/>
        </w:rPr>
        <w:t> %</w:t>
      </w:r>
      <w:r w:rsidRPr="00466CE7">
        <w:rPr>
          <w:rFonts w:eastAsia="Times New Roman"/>
          <w:lang w:val="fr-FR"/>
        </w:rPr>
        <w:t xml:space="preserve"> </w:t>
      </w:r>
      <w:r>
        <w:rPr>
          <w:rFonts w:eastAsia="Times New Roman"/>
          <w:lang w:val="fr-FR"/>
        </w:rPr>
        <w:t xml:space="preserve">de jeunes </w:t>
      </w:r>
      <w:r w:rsidRPr="00466CE7">
        <w:rPr>
          <w:rFonts w:eastAsia="Times New Roman"/>
          <w:lang w:val="fr-FR"/>
        </w:rPr>
        <w:t>hommes et 52,8</w:t>
      </w:r>
      <w:r w:rsidR="00CB4ECD">
        <w:rPr>
          <w:rFonts w:eastAsia="Times New Roman"/>
          <w:lang w:val="fr-FR"/>
        </w:rPr>
        <w:t> %</w:t>
      </w:r>
      <w:r w:rsidRPr="00466CE7">
        <w:rPr>
          <w:rFonts w:eastAsia="Times New Roman"/>
          <w:lang w:val="fr-FR"/>
        </w:rPr>
        <w:t xml:space="preserve"> </w:t>
      </w:r>
      <w:r>
        <w:rPr>
          <w:rFonts w:eastAsia="Times New Roman"/>
          <w:lang w:val="fr-FR"/>
        </w:rPr>
        <w:t>de jeunes femmes) :</w:t>
      </w:r>
      <w:r w:rsidRPr="00466CE7">
        <w:rPr>
          <w:rFonts w:eastAsia="Times New Roman"/>
          <w:lang w:val="fr-FR"/>
        </w:rPr>
        <w:t xml:space="preserve"> les jeunes </w:t>
      </w:r>
      <w:r>
        <w:rPr>
          <w:rFonts w:eastAsia="Times New Roman"/>
          <w:lang w:val="fr-FR"/>
        </w:rPr>
        <w:t>choisissent de plus en plus souvent de poursuivre leurs études dans des collèges ou lycées professionnels</w:t>
      </w:r>
      <w:r w:rsidRPr="00466CE7">
        <w:rPr>
          <w:rFonts w:eastAsia="Times New Roman"/>
          <w:lang w:val="fr-FR"/>
        </w:rPr>
        <w:t xml:space="preserve">, ce qui devrait </w:t>
      </w:r>
      <w:r>
        <w:rPr>
          <w:rFonts w:eastAsia="Times New Roman"/>
          <w:lang w:val="fr-FR"/>
        </w:rPr>
        <w:t xml:space="preserve">contribuer à former </w:t>
      </w:r>
      <w:r w:rsidRPr="00466CE7">
        <w:rPr>
          <w:rFonts w:eastAsia="Times New Roman"/>
          <w:lang w:val="fr-FR"/>
        </w:rPr>
        <w:t>dans le pays</w:t>
      </w:r>
      <w:r w:rsidRPr="00D91E61">
        <w:rPr>
          <w:rFonts w:eastAsia="Times New Roman"/>
          <w:lang w:val="fr-FR"/>
        </w:rPr>
        <w:t xml:space="preserve"> </w:t>
      </w:r>
      <w:r w:rsidRPr="00466CE7">
        <w:rPr>
          <w:rFonts w:eastAsia="Times New Roman"/>
          <w:lang w:val="fr-FR"/>
        </w:rPr>
        <w:t>une classe moyenne stable.</w:t>
      </w:r>
    </w:p>
    <w:p w14:paraId="2E999B0A" w14:textId="6766AF0D" w:rsidR="009C6834" w:rsidRPr="00466CE7" w:rsidRDefault="009C6834" w:rsidP="00726B8A">
      <w:pPr>
        <w:pStyle w:val="H1G"/>
        <w:rPr>
          <w:lang w:val="fr-FR"/>
        </w:rPr>
      </w:pPr>
      <w:r w:rsidRPr="00466CE7">
        <w:rPr>
          <w:lang w:val="fr-FR"/>
        </w:rPr>
        <w:tab/>
      </w:r>
      <w:r w:rsidRPr="00466CE7">
        <w:rPr>
          <w:lang w:val="fr-FR"/>
        </w:rPr>
        <w:tab/>
      </w:r>
      <w:r w:rsidR="00CB4ECD">
        <w:rPr>
          <w:lang w:val="fr-FR"/>
        </w:rPr>
        <w:t>Article </w:t>
      </w:r>
      <w:r w:rsidRPr="00466CE7">
        <w:rPr>
          <w:lang w:val="fr-FR"/>
        </w:rPr>
        <w:t>27</w:t>
      </w:r>
      <w:r w:rsidRPr="00466CE7">
        <w:rPr>
          <w:lang w:val="fr-FR"/>
        </w:rPr>
        <w:br/>
      </w:r>
      <w:r>
        <w:rPr>
          <w:lang w:val="fr-FR"/>
        </w:rPr>
        <w:t>Droits culturels</w:t>
      </w:r>
    </w:p>
    <w:p w14:paraId="55DD8E52" w14:textId="762523CE" w:rsidR="009C6834" w:rsidRPr="00466CE7" w:rsidRDefault="009C6834" w:rsidP="009C6834">
      <w:pPr>
        <w:pStyle w:val="SingleTxtG"/>
        <w:rPr>
          <w:rFonts w:eastAsia="Times New Roman"/>
          <w:lang w:val="fr-FR"/>
        </w:rPr>
      </w:pPr>
      <w:r w:rsidRPr="00466CE7">
        <w:rPr>
          <w:rFonts w:eastAsia="Times New Roman"/>
          <w:lang w:val="fr-FR"/>
        </w:rPr>
        <w:t>474.</w:t>
      </w:r>
      <w:r w:rsidRPr="00466CE7">
        <w:rPr>
          <w:rFonts w:eastAsia="Times New Roman"/>
          <w:lang w:val="fr-FR"/>
        </w:rPr>
        <w:tab/>
        <w:t xml:space="preserve">La République kirghize est un État </w:t>
      </w:r>
      <w:r>
        <w:rPr>
          <w:rFonts w:eastAsia="Times New Roman"/>
          <w:lang w:val="fr-FR"/>
        </w:rPr>
        <w:t>pluri</w:t>
      </w:r>
      <w:r w:rsidRPr="00466CE7">
        <w:rPr>
          <w:rFonts w:eastAsia="Times New Roman"/>
          <w:lang w:val="fr-FR"/>
        </w:rPr>
        <w:t>ethnique comptant des représentants d</w:t>
      </w:r>
      <w:r>
        <w:rPr>
          <w:rFonts w:eastAsia="Times New Roman"/>
          <w:lang w:val="fr-FR"/>
        </w:rPr>
        <w:t>’</w:t>
      </w:r>
      <w:r w:rsidRPr="00466CE7">
        <w:rPr>
          <w:rFonts w:eastAsia="Times New Roman"/>
          <w:lang w:val="fr-FR"/>
        </w:rPr>
        <w:t xml:space="preserve">une centaine de groupes ethniques différents. </w:t>
      </w:r>
      <w:r>
        <w:rPr>
          <w:rFonts w:eastAsia="Times New Roman"/>
          <w:lang w:val="fr-FR"/>
        </w:rPr>
        <w:t>D’après les données du Comité national de statistique</w:t>
      </w:r>
      <w:r w:rsidRPr="00466CE7">
        <w:rPr>
          <w:rFonts w:eastAsia="Times New Roman"/>
          <w:lang w:val="fr-FR"/>
        </w:rPr>
        <w:t>, en 2019</w:t>
      </w:r>
      <w:r>
        <w:rPr>
          <w:rFonts w:eastAsia="Times New Roman"/>
          <w:lang w:val="fr-FR"/>
        </w:rPr>
        <w:t>, le pays comptait</w:t>
      </w:r>
      <w:r w:rsidRPr="00466CE7">
        <w:rPr>
          <w:rFonts w:eastAsia="Times New Roman"/>
          <w:lang w:val="fr-FR"/>
        </w:rPr>
        <w:t xml:space="preserve"> 6</w:t>
      </w:r>
      <w:r w:rsidR="00726B8A">
        <w:rPr>
          <w:rFonts w:eastAsia="Times New Roman"/>
          <w:lang w:val="fr-FR"/>
        </w:rPr>
        <w:t> </w:t>
      </w:r>
      <w:r w:rsidRPr="00466CE7">
        <w:rPr>
          <w:rFonts w:eastAsia="Times New Roman"/>
          <w:lang w:val="fr-FR"/>
        </w:rPr>
        <w:t>389</w:t>
      </w:r>
      <w:r w:rsidR="00726B8A">
        <w:rPr>
          <w:rFonts w:eastAsia="Times New Roman"/>
          <w:lang w:val="fr-FR"/>
        </w:rPr>
        <w:t> </w:t>
      </w:r>
      <w:r w:rsidRPr="00466CE7">
        <w:rPr>
          <w:rFonts w:eastAsia="Times New Roman"/>
          <w:lang w:val="fr-FR"/>
        </w:rPr>
        <w:t>500</w:t>
      </w:r>
      <w:r w:rsidR="00726B8A">
        <w:rPr>
          <w:rFonts w:eastAsia="Times New Roman"/>
          <w:lang w:val="fr-FR"/>
        </w:rPr>
        <w:t> </w:t>
      </w:r>
      <w:r w:rsidRPr="00466CE7">
        <w:rPr>
          <w:rFonts w:eastAsia="Times New Roman"/>
          <w:lang w:val="fr-FR"/>
        </w:rPr>
        <w:t xml:space="preserve">habitants, </w:t>
      </w:r>
      <w:r>
        <w:rPr>
          <w:rFonts w:eastAsia="Times New Roman"/>
          <w:lang w:val="fr-FR"/>
        </w:rPr>
        <w:t xml:space="preserve">dont </w:t>
      </w:r>
      <w:r w:rsidRPr="00466CE7">
        <w:rPr>
          <w:rFonts w:eastAsia="Times New Roman"/>
          <w:lang w:val="fr-FR"/>
        </w:rPr>
        <w:t>14,7</w:t>
      </w:r>
      <w:r w:rsidR="00CB4ECD">
        <w:rPr>
          <w:rFonts w:eastAsia="Times New Roman"/>
          <w:lang w:val="fr-FR"/>
        </w:rPr>
        <w:t> %</w:t>
      </w:r>
      <w:r w:rsidRPr="00466CE7">
        <w:rPr>
          <w:rFonts w:eastAsia="Times New Roman"/>
          <w:lang w:val="fr-FR"/>
        </w:rPr>
        <w:t xml:space="preserve"> d</w:t>
      </w:r>
      <w:r>
        <w:rPr>
          <w:rFonts w:eastAsia="Times New Roman"/>
          <w:lang w:val="fr-FR"/>
        </w:rPr>
        <w:t>’</w:t>
      </w:r>
      <w:r w:rsidRPr="00466CE7">
        <w:rPr>
          <w:rFonts w:eastAsia="Times New Roman"/>
          <w:lang w:val="fr-FR"/>
        </w:rPr>
        <w:t>Ouzbeks, 5,4</w:t>
      </w:r>
      <w:r w:rsidR="00CB4ECD">
        <w:rPr>
          <w:rFonts w:eastAsia="Times New Roman"/>
          <w:lang w:val="fr-FR"/>
        </w:rPr>
        <w:t> %</w:t>
      </w:r>
      <w:r w:rsidRPr="00466CE7">
        <w:rPr>
          <w:rFonts w:eastAsia="Times New Roman"/>
          <w:lang w:val="fr-FR"/>
        </w:rPr>
        <w:t xml:space="preserve"> de Russes, 1,1</w:t>
      </w:r>
      <w:r w:rsidR="00CB4ECD">
        <w:rPr>
          <w:rFonts w:eastAsia="Times New Roman"/>
          <w:lang w:val="fr-FR"/>
        </w:rPr>
        <w:t> %</w:t>
      </w:r>
      <w:r w:rsidRPr="00466CE7">
        <w:rPr>
          <w:rFonts w:eastAsia="Times New Roman"/>
          <w:lang w:val="fr-FR"/>
        </w:rPr>
        <w:t xml:space="preserve"> de </w:t>
      </w:r>
      <w:proofErr w:type="spellStart"/>
      <w:r w:rsidRPr="00466CE7">
        <w:rPr>
          <w:rFonts w:eastAsia="Times New Roman"/>
          <w:lang w:val="fr-FR"/>
        </w:rPr>
        <w:t>Dounganes</w:t>
      </w:r>
      <w:proofErr w:type="spellEnd"/>
      <w:r w:rsidRPr="00466CE7">
        <w:rPr>
          <w:rFonts w:eastAsia="Times New Roman"/>
          <w:lang w:val="fr-FR"/>
        </w:rPr>
        <w:t>, 0,9</w:t>
      </w:r>
      <w:r w:rsidR="00CB4ECD">
        <w:rPr>
          <w:rFonts w:eastAsia="Times New Roman"/>
          <w:lang w:val="fr-FR"/>
        </w:rPr>
        <w:t> %</w:t>
      </w:r>
      <w:r w:rsidRPr="00466CE7">
        <w:rPr>
          <w:rFonts w:eastAsia="Times New Roman"/>
          <w:lang w:val="fr-FR"/>
        </w:rPr>
        <w:t xml:space="preserve"> de Ouïghours, 0,8</w:t>
      </w:r>
      <w:r w:rsidR="00CB4ECD">
        <w:rPr>
          <w:rFonts w:eastAsia="Times New Roman"/>
          <w:lang w:val="fr-FR"/>
        </w:rPr>
        <w:t> %</w:t>
      </w:r>
      <w:r w:rsidRPr="00466CE7">
        <w:rPr>
          <w:rFonts w:eastAsia="Times New Roman"/>
          <w:lang w:val="fr-FR"/>
        </w:rPr>
        <w:t xml:space="preserve"> de Tadjiks et 3,9</w:t>
      </w:r>
      <w:r w:rsidR="00CB4ECD">
        <w:rPr>
          <w:rFonts w:eastAsia="Times New Roman"/>
          <w:lang w:val="fr-FR"/>
        </w:rPr>
        <w:t> %</w:t>
      </w:r>
      <w:r>
        <w:rPr>
          <w:rFonts w:eastAsia="Times New Roman"/>
          <w:lang w:val="fr-FR"/>
        </w:rPr>
        <w:t xml:space="preserve"> de représentants</w:t>
      </w:r>
      <w:r w:rsidRPr="0021717A">
        <w:rPr>
          <w:rFonts w:eastAsia="Times New Roman"/>
          <w:lang w:val="fr-FR"/>
        </w:rPr>
        <w:t xml:space="preserve"> </w:t>
      </w:r>
      <w:r w:rsidRPr="00466CE7">
        <w:rPr>
          <w:rFonts w:eastAsia="Times New Roman"/>
          <w:lang w:val="fr-FR"/>
        </w:rPr>
        <w:t>d</w:t>
      </w:r>
      <w:r>
        <w:rPr>
          <w:rFonts w:eastAsia="Times New Roman"/>
          <w:lang w:val="fr-FR"/>
        </w:rPr>
        <w:t>’</w:t>
      </w:r>
      <w:r w:rsidRPr="00466CE7">
        <w:rPr>
          <w:rFonts w:eastAsia="Times New Roman"/>
          <w:lang w:val="fr-FR"/>
        </w:rPr>
        <w:t>autres groupes ethniques.</w:t>
      </w:r>
    </w:p>
    <w:p w14:paraId="2FA9C8C4" w14:textId="77777777" w:rsidR="009C6834" w:rsidRPr="00466CE7" w:rsidRDefault="009C6834" w:rsidP="009C6834">
      <w:pPr>
        <w:pStyle w:val="SingleTxtG"/>
        <w:rPr>
          <w:rFonts w:eastAsia="Times New Roman"/>
          <w:lang w:val="fr-FR"/>
        </w:rPr>
      </w:pPr>
      <w:r w:rsidRPr="00466CE7">
        <w:rPr>
          <w:rFonts w:eastAsia="Times New Roman"/>
          <w:lang w:val="fr-FR"/>
        </w:rPr>
        <w:t>475.</w:t>
      </w:r>
      <w:r w:rsidRPr="00466CE7">
        <w:rPr>
          <w:rFonts w:eastAsia="Times New Roman"/>
          <w:lang w:val="fr-FR"/>
        </w:rPr>
        <w:tab/>
        <w:t>L</w:t>
      </w:r>
      <w:r>
        <w:rPr>
          <w:rFonts w:eastAsia="Times New Roman"/>
          <w:lang w:val="fr-FR"/>
        </w:rPr>
        <w:t>e Kirghizistan</w:t>
      </w:r>
      <w:r w:rsidRPr="00466CE7">
        <w:rPr>
          <w:rFonts w:eastAsia="Times New Roman"/>
          <w:lang w:val="fr-FR"/>
        </w:rPr>
        <w:t xml:space="preserve"> </w:t>
      </w:r>
      <w:r>
        <w:rPr>
          <w:rFonts w:eastAsia="Times New Roman"/>
          <w:lang w:val="fr-FR"/>
        </w:rPr>
        <w:t xml:space="preserve">a mis en place </w:t>
      </w:r>
      <w:r w:rsidRPr="00466CE7">
        <w:rPr>
          <w:rFonts w:eastAsia="Times New Roman"/>
          <w:lang w:val="fr-FR"/>
        </w:rPr>
        <w:t xml:space="preserve">un cadre législatif pour la protection des droits </w:t>
      </w:r>
      <w:r>
        <w:rPr>
          <w:rFonts w:eastAsia="Times New Roman"/>
          <w:lang w:val="fr-FR"/>
        </w:rPr>
        <w:t xml:space="preserve">des membres des </w:t>
      </w:r>
      <w:r w:rsidRPr="00466CE7">
        <w:rPr>
          <w:rFonts w:eastAsia="Times New Roman"/>
          <w:lang w:val="fr-FR"/>
        </w:rPr>
        <w:t>groupes ethniques</w:t>
      </w:r>
      <w:r>
        <w:rPr>
          <w:rFonts w:eastAsia="Times New Roman"/>
          <w:lang w:val="fr-FR"/>
        </w:rPr>
        <w:t xml:space="preserve">, qui sont garantis par </w:t>
      </w:r>
      <w:r w:rsidRPr="00466CE7">
        <w:rPr>
          <w:rFonts w:eastAsia="Times New Roman"/>
          <w:lang w:val="fr-FR"/>
        </w:rPr>
        <w:t xml:space="preserve">les articles </w:t>
      </w:r>
      <w:r>
        <w:rPr>
          <w:rFonts w:eastAsia="Times New Roman"/>
          <w:lang w:val="fr-FR"/>
        </w:rPr>
        <w:t xml:space="preserve">correspondants </w:t>
      </w:r>
      <w:r w:rsidRPr="00466CE7">
        <w:rPr>
          <w:rFonts w:eastAsia="Times New Roman"/>
          <w:lang w:val="fr-FR"/>
        </w:rPr>
        <w:t xml:space="preserve">de la Constitution et </w:t>
      </w:r>
      <w:r>
        <w:rPr>
          <w:rFonts w:eastAsia="Times New Roman"/>
          <w:lang w:val="fr-FR"/>
        </w:rPr>
        <w:t xml:space="preserve">par </w:t>
      </w:r>
      <w:r w:rsidRPr="00466CE7">
        <w:rPr>
          <w:rFonts w:eastAsia="Times New Roman"/>
          <w:lang w:val="fr-FR"/>
        </w:rPr>
        <w:t xml:space="preserve">un certain nombre de lois prévoyant des sanctions administratives et pénales en cas de déstabilisation des relations </w:t>
      </w:r>
      <w:proofErr w:type="spellStart"/>
      <w:r w:rsidRPr="00466CE7">
        <w:rPr>
          <w:rFonts w:eastAsia="Times New Roman"/>
          <w:lang w:val="fr-FR"/>
        </w:rPr>
        <w:t>interethniques</w:t>
      </w:r>
      <w:proofErr w:type="spellEnd"/>
      <w:r w:rsidRPr="00466CE7">
        <w:rPr>
          <w:rFonts w:eastAsia="Times New Roman"/>
          <w:lang w:val="fr-FR"/>
        </w:rPr>
        <w:t>.</w:t>
      </w:r>
    </w:p>
    <w:p w14:paraId="1F87CD0A" w14:textId="24D79848" w:rsidR="009C6834" w:rsidRPr="00466CE7" w:rsidRDefault="009C6834" w:rsidP="009C6834">
      <w:pPr>
        <w:pStyle w:val="SingleTxtG"/>
        <w:rPr>
          <w:rFonts w:eastAsia="Times New Roman"/>
          <w:lang w:val="fr-FR"/>
        </w:rPr>
      </w:pPr>
      <w:r w:rsidRPr="00466CE7">
        <w:rPr>
          <w:rFonts w:eastAsia="Times New Roman"/>
          <w:lang w:val="fr-FR"/>
        </w:rPr>
        <w:t>476.</w:t>
      </w:r>
      <w:r w:rsidRPr="00466CE7">
        <w:rPr>
          <w:rFonts w:eastAsia="Times New Roman"/>
          <w:lang w:val="fr-FR"/>
        </w:rPr>
        <w:tab/>
        <w:t>Les principes fondamentaux de la politique ethnique sont énoncés dans la Constitution</w:t>
      </w:r>
      <w:r>
        <w:rPr>
          <w:rFonts w:eastAsia="Times New Roman"/>
          <w:lang w:val="fr-FR"/>
        </w:rPr>
        <w:t> :</w:t>
      </w:r>
      <w:r w:rsidRPr="00466CE7">
        <w:rPr>
          <w:rFonts w:eastAsia="Times New Roman"/>
          <w:lang w:val="fr-FR"/>
        </w:rPr>
        <w:t xml:space="preserve"> </w:t>
      </w:r>
      <w:r>
        <w:rPr>
          <w:rFonts w:eastAsia="Times New Roman"/>
          <w:lang w:val="fr-FR"/>
        </w:rPr>
        <w:t xml:space="preserve">« Dans la </w:t>
      </w:r>
      <w:r w:rsidRPr="00466CE7">
        <w:rPr>
          <w:rFonts w:eastAsia="Times New Roman"/>
          <w:lang w:val="fr-FR"/>
        </w:rPr>
        <w:t>République kirghize, toutes les personnes sont égales devant la loi</w:t>
      </w:r>
      <w:r>
        <w:rPr>
          <w:rFonts w:eastAsia="Times New Roman"/>
          <w:lang w:val="fr-FR"/>
        </w:rPr>
        <w:t> »</w:t>
      </w:r>
      <w:r w:rsidRPr="00466CE7">
        <w:rPr>
          <w:rFonts w:eastAsia="Times New Roman"/>
          <w:lang w:val="fr-FR"/>
        </w:rPr>
        <w:t xml:space="preserve">. La Constitution interdit </w:t>
      </w:r>
      <w:r>
        <w:rPr>
          <w:rFonts w:eastAsia="Times New Roman"/>
          <w:lang w:val="fr-FR"/>
        </w:rPr>
        <w:t>la</w:t>
      </w:r>
      <w:r w:rsidRPr="00466CE7">
        <w:rPr>
          <w:rFonts w:eastAsia="Times New Roman"/>
          <w:lang w:val="fr-FR"/>
        </w:rPr>
        <w:t xml:space="preserve"> discrimination fondée sur la r</w:t>
      </w:r>
      <w:r>
        <w:rPr>
          <w:rFonts w:eastAsia="Times New Roman"/>
          <w:lang w:val="fr-FR"/>
        </w:rPr>
        <w:t xml:space="preserve">ace, la langue, le handicap, l’appartenance </w:t>
      </w:r>
      <w:r w:rsidRPr="00466CE7">
        <w:rPr>
          <w:rFonts w:eastAsia="Times New Roman"/>
          <w:lang w:val="fr-FR"/>
        </w:rPr>
        <w:t>ethnique, la religion, l</w:t>
      </w:r>
      <w:r>
        <w:rPr>
          <w:rFonts w:eastAsia="Times New Roman"/>
          <w:lang w:val="fr-FR"/>
        </w:rPr>
        <w:t>’</w:t>
      </w:r>
      <w:r w:rsidRPr="00466CE7">
        <w:rPr>
          <w:rFonts w:eastAsia="Times New Roman"/>
          <w:lang w:val="fr-FR"/>
        </w:rPr>
        <w:t>âge, les opinions politiques ou autres</w:t>
      </w:r>
      <w:r>
        <w:rPr>
          <w:rFonts w:eastAsia="Times New Roman"/>
          <w:lang w:val="fr-FR"/>
        </w:rPr>
        <w:t xml:space="preserve"> convictions</w:t>
      </w:r>
      <w:r w:rsidRPr="00466CE7">
        <w:rPr>
          <w:rFonts w:eastAsia="Times New Roman"/>
          <w:lang w:val="fr-FR"/>
        </w:rPr>
        <w:t>, l</w:t>
      </w:r>
      <w:r>
        <w:rPr>
          <w:rFonts w:eastAsia="Times New Roman"/>
          <w:lang w:val="fr-FR"/>
        </w:rPr>
        <w:t>’</w:t>
      </w:r>
      <w:r w:rsidRPr="00466CE7">
        <w:rPr>
          <w:rFonts w:eastAsia="Times New Roman"/>
          <w:lang w:val="fr-FR"/>
        </w:rPr>
        <w:t>éducation, l</w:t>
      </w:r>
      <w:r>
        <w:rPr>
          <w:rFonts w:eastAsia="Times New Roman"/>
          <w:lang w:val="fr-FR"/>
        </w:rPr>
        <w:t>’</w:t>
      </w:r>
      <w:r w:rsidRPr="00466CE7">
        <w:rPr>
          <w:rFonts w:eastAsia="Times New Roman"/>
          <w:lang w:val="fr-FR"/>
        </w:rPr>
        <w:t xml:space="preserve">origine, la </w:t>
      </w:r>
      <w:r>
        <w:rPr>
          <w:rFonts w:eastAsia="Times New Roman"/>
          <w:lang w:val="fr-FR"/>
        </w:rPr>
        <w:t>fortune</w:t>
      </w:r>
      <w:r w:rsidRPr="00466CE7">
        <w:rPr>
          <w:rFonts w:eastAsia="Times New Roman"/>
          <w:lang w:val="fr-FR"/>
        </w:rPr>
        <w:t xml:space="preserve"> ou toute autre situation</w:t>
      </w:r>
      <w:r>
        <w:rPr>
          <w:rFonts w:eastAsia="Times New Roman"/>
          <w:lang w:val="fr-FR"/>
        </w:rPr>
        <w:t>,</w:t>
      </w:r>
      <w:r w:rsidRPr="00466CE7">
        <w:rPr>
          <w:rFonts w:eastAsia="Times New Roman"/>
          <w:lang w:val="fr-FR"/>
        </w:rPr>
        <w:t xml:space="preserve"> </w:t>
      </w:r>
      <w:r>
        <w:rPr>
          <w:rFonts w:eastAsia="Times New Roman"/>
          <w:lang w:val="fr-FR"/>
        </w:rPr>
        <w:t>ainsi que d’autres circonstances</w:t>
      </w:r>
      <w:r w:rsidRPr="00466CE7">
        <w:rPr>
          <w:rFonts w:eastAsia="Times New Roman"/>
          <w:lang w:val="fr-FR"/>
        </w:rPr>
        <w:t xml:space="preserve">. </w:t>
      </w:r>
      <w:r>
        <w:rPr>
          <w:rFonts w:eastAsia="Times New Roman"/>
          <w:lang w:val="fr-FR"/>
        </w:rPr>
        <w:t>L</w:t>
      </w:r>
      <w:r w:rsidRPr="00466CE7">
        <w:rPr>
          <w:rFonts w:eastAsia="Times New Roman"/>
          <w:lang w:val="fr-FR"/>
        </w:rPr>
        <w:t xml:space="preserve">e principe de non-discrimination </w:t>
      </w:r>
      <w:r>
        <w:rPr>
          <w:rFonts w:eastAsia="Times New Roman"/>
          <w:lang w:val="fr-FR"/>
        </w:rPr>
        <w:t xml:space="preserve">énoncé dans la Constitution </w:t>
      </w:r>
      <w:r w:rsidRPr="00466CE7">
        <w:rPr>
          <w:rFonts w:eastAsia="Times New Roman"/>
          <w:lang w:val="fr-FR"/>
        </w:rPr>
        <w:t>s</w:t>
      </w:r>
      <w:r>
        <w:rPr>
          <w:rFonts w:eastAsia="Times New Roman"/>
          <w:lang w:val="fr-FR"/>
        </w:rPr>
        <w:t>’</w:t>
      </w:r>
      <w:r w:rsidRPr="00466CE7">
        <w:rPr>
          <w:rFonts w:eastAsia="Times New Roman"/>
          <w:lang w:val="fr-FR"/>
        </w:rPr>
        <w:t xml:space="preserve">applique non seulement </w:t>
      </w:r>
      <w:r>
        <w:rPr>
          <w:rFonts w:eastAsia="Times New Roman"/>
          <w:lang w:val="fr-FR"/>
        </w:rPr>
        <w:t>à l’appareil d’</w:t>
      </w:r>
      <w:r w:rsidRPr="00466CE7">
        <w:rPr>
          <w:rFonts w:eastAsia="Times New Roman"/>
          <w:lang w:val="fr-FR"/>
        </w:rPr>
        <w:t>État, mais aussi aux partis politiques et aux associations.</w:t>
      </w:r>
    </w:p>
    <w:p w14:paraId="37D1B733" w14:textId="77777777" w:rsidR="009C6834" w:rsidRPr="00466CE7" w:rsidRDefault="009C6834" w:rsidP="009C6834">
      <w:pPr>
        <w:pStyle w:val="SingleTxtG"/>
        <w:rPr>
          <w:rFonts w:eastAsia="Times New Roman"/>
          <w:lang w:val="fr-FR"/>
        </w:rPr>
      </w:pPr>
      <w:r w:rsidRPr="00466CE7">
        <w:rPr>
          <w:rFonts w:eastAsia="Times New Roman"/>
          <w:lang w:val="fr-FR"/>
        </w:rPr>
        <w:t>477.</w:t>
      </w:r>
      <w:r w:rsidRPr="00466CE7">
        <w:rPr>
          <w:rFonts w:eastAsia="Times New Roman"/>
          <w:lang w:val="fr-FR"/>
        </w:rPr>
        <w:tab/>
        <w:t>Il convient de noter que l</w:t>
      </w:r>
      <w:r>
        <w:rPr>
          <w:rFonts w:eastAsia="Times New Roman"/>
          <w:lang w:val="fr-FR"/>
        </w:rPr>
        <w:t>’</w:t>
      </w:r>
      <w:r w:rsidRPr="00466CE7">
        <w:rPr>
          <w:rFonts w:eastAsia="Times New Roman"/>
          <w:lang w:val="fr-FR"/>
        </w:rPr>
        <w:t>État s</w:t>
      </w:r>
      <w:r>
        <w:rPr>
          <w:rFonts w:eastAsia="Times New Roman"/>
          <w:lang w:val="fr-FR"/>
        </w:rPr>
        <w:t>’</w:t>
      </w:r>
      <w:r w:rsidRPr="00466CE7">
        <w:rPr>
          <w:rFonts w:eastAsia="Times New Roman"/>
          <w:lang w:val="fr-FR"/>
        </w:rPr>
        <w:t>efforce de mettre en œuvre une politique linguistique équilibrée</w:t>
      </w:r>
      <w:r>
        <w:rPr>
          <w:rFonts w:eastAsia="Times New Roman"/>
          <w:lang w:val="fr-FR"/>
        </w:rPr>
        <w:t xml:space="preserve"> en vue de </w:t>
      </w:r>
      <w:r w:rsidRPr="00466CE7">
        <w:rPr>
          <w:rFonts w:eastAsia="Times New Roman"/>
          <w:lang w:val="fr-FR"/>
        </w:rPr>
        <w:t xml:space="preserve">former une nouvelle génération de Kirghizes </w:t>
      </w:r>
      <w:r>
        <w:rPr>
          <w:rFonts w:eastAsia="Times New Roman"/>
          <w:lang w:val="fr-FR"/>
        </w:rPr>
        <w:t xml:space="preserve">trilingues maîtrisant </w:t>
      </w:r>
      <w:r w:rsidRPr="00466CE7">
        <w:rPr>
          <w:rFonts w:eastAsia="Times New Roman"/>
          <w:lang w:val="fr-FR"/>
        </w:rPr>
        <w:t xml:space="preserve">la langue </w:t>
      </w:r>
      <w:r>
        <w:rPr>
          <w:rFonts w:eastAsia="Times New Roman"/>
          <w:lang w:val="fr-FR"/>
        </w:rPr>
        <w:t>nationale</w:t>
      </w:r>
      <w:r w:rsidRPr="00466CE7">
        <w:rPr>
          <w:rFonts w:eastAsia="Times New Roman"/>
          <w:lang w:val="fr-FR"/>
        </w:rPr>
        <w:t xml:space="preserve">, la langue officielle et une </w:t>
      </w:r>
      <w:r>
        <w:rPr>
          <w:rFonts w:eastAsia="Times New Roman"/>
          <w:lang w:val="fr-FR"/>
        </w:rPr>
        <w:t>langue étrangère</w:t>
      </w:r>
      <w:r w:rsidRPr="00466CE7">
        <w:rPr>
          <w:rFonts w:eastAsia="Times New Roman"/>
          <w:lang w:val="fr-FR"/>
        </w:rPr>
        <w:t xml:space="preserve">, tout en </w:t>
      </w:r>
      <w:r>
        <w:rPr>
          <w:rFonts w:eastAsia="Times New Roman"/>
          <w:lang w:val="fr-FR"/>
        </w:rPr>
        <w:t>préservant la langue maternelle de chaque communauté ethnique</w:t>
      </w:r>
      <w:r w:rsidRPr="00466CE7">
        <w:rPr>
          <w:rFonts w:eastAsia="Times New Roman"/>
          <w:lang w:val="fr-FR"/>
        </w:rPr>
        <w:t>.</w:t>
      </w:r>
    </w:p>
    <w:p w14:paraId="036DECB5" w14:textId="46B91F28" w:rsidR="009C6834" w:rsidRPr="00466CE7" w:rsidRDefault="009C6834" w:rsidP="009C6834">
      <w:pPr>
        <w:pStyle w:val="SingleTxtG"/>
        <w:rPr>
          <w:rFonts w:eastAsia="Times New Roman"/>
          <w:lang w:val="fr-FR"/>
        </w:rPr>
      </w:pPr>
      <w:r w:rsidRPr="00466CE7">
        <w:rPr>
          <w:rFonts w:eastAsia="Times New Roman"/>
          <w:lang w:val="fr-FR"/>
        </w:rPr>
        <w:t>478.</w:t>
      </w:r>
      <w:r w:rsidRPr="00466CE7">
        <w:rPr>
          <w:rFonts w:eastAsia="Times New Roman"/>
          <w:lang w:val="fr-FR"/>
        </w:rPr>
        <w:tab/>
      </w:r>
      <w:r>
        <w:rPr>
          <w:rFonts w:eastAsia="Times New Roman"/>
          <w:lang w:val="fr-FR"/>
        </w:rPr>
        <w:t>U</w:t>
      </w:r>
      <w:r w:rsidRPr="00466CE7">
        <w:rPr>
          <w:rFonts w:eastAsia="Times New Roman"/>
          <w:lang w:val="fr-FR"/>
        </w:rPr>
        <w:t xml:space="preserve">n programme </w:t>
      </w:r>
      <w:r>
        <w:rPr>
          <w:rFonts w:eastAsia="Times New Roman"/>
          <w:lang w:val="fr-FR"/>
        </w:rPr>
        <w:t xml:space="preserve">pour la mise en place d’un enseignement </w:t>
      </w:r>
      <w:r w:rsidRPr="00466CE7">
        <w:rPr>
          <w:rFonts w:eastAsia="Times New Roman"/>
          <w:lang w:val="fr-FR"/>
        </w:rPr>
        <w:t xml:space="preserve">multilingue a été adopté pour </w:t>
      </w:r>
      <w:r>
        <w:rPr>
          <w:rFonts w:eastAsia="Times New Roman"/>
          <w:lang w:val="fr-FR"/>
        </w:rPr>
        <w:t xml:space="preserve">la période </w:t>
      </w:r>
      <w:r w:rsidRPr="00466CE7">
        <w:rPr>
          <w:rFonts w:eastAsia="Times New Roman"/>
          <w:lang w:val="fr-FR"/>
        </w:rPr>
        <w:t xml:space="preserve">2017-2030 conformément à la résolution du </w:t>
      </w:r>
      <w:proofErr w:type="spellStart"/>
      <w:r w:rsidRPr="00466CE7">
        <w:rPr>
          <w:rFonts w:eastAsia="Times New Roman"/>
          <w:lang w:val="fr-FR"/>
        </w:rPr>
        <w:t>Jogork</w:t>
      </w:r>
      <w:r>
        <w:rPr>
          <w:rFonts w:eastAsia="Times New Roman"/>
          <w:lang w:val="fr-FR"/>
        </w:rPr>
        <w:t>o</w:t>
      </w:r>
      <w:r w:rsidRPr="00466CE7">
        <w:rPr>
          <w:rFonts w:eastAsia="Times New Roman"/>
          <w:lang w:val="fr-FR"/>
        </w:rPr>
        <w:t>u</w:t>
      </w:r>
      <w:proofErr w:type="spellEnd"/>
      <w:r w:rsidRPr="00466CE7">
        <w:rPr>
          <w:rFonts w:eastAsia="Times New Roman"/>
          <w:lang w:val="fr-FR"/>
        </w:rPr>
        <w:t xml:space="preserve"> </w:t>
      </w:r>
      <w:proofErr w:type="spellStart"/>
      <w:r w:rsidRPr="00466CE7">
        <w:rPr>
          <w:rFonts w:eastAsia="Times New Roman"/>
          <w:lang w:val="fr-FR"/>
        </w:rPr>
        <w:t>Kene</w:t>
      </w:r>
      <w:r>
        <w:rPr>
          <w:rFonts w:eastAsia="Times New Roman"/>
          <w:lang w:val="fr-FR"/>
        </w:rPr>
        <w:t>c</w:t>
      </w:r>
      <w:r w:rsidRPr="00466CE7">
        <w:rPr>
          <w:rFonts w:eastAsia="Times New Roman"/>
          <w:lang w:val="fr-FR"/>
        </w:rPr>
        <w:t>h</w:t>
      </w:r>
      <w:proofErr w:type="spellEnd"/>
      <w:r w:rsidRPr="00466CE7">
        <w:rPr>
          <w:rFonts w:eastAsia="Times New Roman"/>
          <w:lang w:val="fr-FR"/>
        </w:rPr>
        <w:t xml:space="preserve"> du 30</w:t>
      </w:r>
      <w:r w:rsidR="00726B8A">
        <w:rPr>
          <w:rFonts w:eastAsia="Times New Roman"/>
          <w:lang w:val="fr-FR"/>
        </w:rPr>
        <w:t> </w:t>
      </w:r>
      <w:r w:rsidRPr="00466CE7">
        <w:rPr>
          <w:rFonts w:eastAsia="Times New Roman"/>
          <w:lang w:val="fr-FR"/>
        </w:rPr>
        <w:t xml:space="preserve">juin 2016 </w:t>
      </w:r>
      <w:r>
        <w:rPr>
          <w:rFonts w:eastAsia="Times New Roman"/>
          <w:lang w:val="fr-FR"/>
        </w:rPr>
        <w:t xml:space="preserve">relative à </w:t>
      </w:r>
      <w:r w:rsidRPr="00466CE7">
        <w:rPr>
          <w:rFonts w:eastAsia="Times New Roman"/>
          <w:lang w:val="fr-FR"/>
        </w:rPr>
        <w:t>l</w:t>
      </w:r>
      <w:r>
        <w:rPr>
          <w:rFonts w:eastAsia="Times New Roman"/>
          <w:lang w:val="fr-FR"/>
        </w:rPr>
        <w:t>’</w:t>
      </w:r>
      <w:r w:rsidRPr="00466CE7">
        <w:rPr>
          <w:rFonts w:eastAsia="Times New Roman"/>
          <w:lang w:val="fr-FR"/>
        </w:rPr>
        <w:t>introduction</w:t>
      </w:r>
      <w:r>
        <w:rPr>
          <w:rFonts w:eastAsia="Times New Roman"/>
          <w:lang w:val="fr-FR"/>
        </w:rPr>
        <w:t xml:space="preserve"> de l’enseignement </w:t>
      </w:r>
      <w:r w:rsidRPr="00466CE7">
        <w:rPr>
          <w:rFonts w:eastAsia="Times New Roman"/>
          <w:lang w:val="fr-FR"/>
        </w:rPr>
        <w:t>multilingue en République kirghize.</w:t>
      </w:r>
    </w:p>
    <w:p w14:paraId="2B1E92AE" w14:textId="14F7FB5C" w:rsidR="009C6834" w:rsidRPr="00466CE7" w:rsidRDefault="009C6834" w:rsidP="009C6834">
      <w:pPr>
        <w:pStyle w:val="SingleTxtG"/>
        <w:rPr>
          <w:rFonts w:eastAsia="Times New Roman"/>
          <w:lang w:val="fr-FR"/>
        </w:rPr>
      </w:pPr>
      <w:r w:rsidRPr="00466CE7">
        <w:rPr>
          <w:rFonts w:eastAsia="Times New Roman"/>
          <w:lang w:val="fr-FR"/>
        </w:rPr>
        <w:t>479.</w:t>
      </w:r>
      <w:r w:rsidRPr="00466CE7">
        <w:rPr>
          <w:rFonts w:eastAsia="Times New Roman"/>
          <w:lang w:val="fr-FR"/>
        </w:rPr>
        <w:tab/>
      </w:r>
      <w:r>
        <w:rPr>
          <w:rFonts w:eastAsia="Times New Roman"/>
          <w:lang w:val="fr-FR"/>
        </w:rPr>
        <w:t xml:space="preserve">On comptait au </w:t>
      </w:r>
      <w:r w:rsidRPr="00466CE7">
        <w:rPr>
          <w:rFonts w:eastAsia="Times New Roman"/>
          <w:lang w:val="fr-FR"/>
        </w:rPr>
        <w:t>total 2</w:t>
      </w:r>
      <w:r w:rsidR="00726B8A">
        <w:rPr>
          <w:rFonts w:eastAsia="Times New Roman"/>
          <w:lang w:val="fr-FR"/>
        </w:rPr>
        <w:t> </w:t>
      </w:r>
      <w:r w:rsidRPr="00466CE7">
        <w:rPr>
          <w:rFonts w:eastAsia="Times New Roman"/>
          <w:lang w:val="fr-FR"/>
        </w:rPr>
        <w:t>265</w:t>
      </w:r>
      <w:r w:rsidR="00726B8A">
        <w:rPr>
          <w:rFonts w:eastAsia="Times New Roman"/>
          <w:lang w:val="fr-FR"/>
        </w:rPr>
        <w:t> </w:t>
      </w:r>
      <w:r w:rsidRPr="00466CE7">
        <w:rPr>
          <w:rFonts w:eastAsia="Times New Roman"/>
          <w:lang w:val="fr-FR"/>
        </w:rPr>
        <w:t xml:space="preserve">écoles en République kirghize </w:t>
      </w:r>
      <w:r>
        <w:rPr>
          <w:rFonts w:eastAsia="Times New Roman"/>
          <w:lang w:val="fr-FR"/>
        </w:rPr>
        <w:t xml:space="preserve">au cours de </w:t>
      </w:r>
      <w:r w:rsidRPr="00466CE7">
        <w:rPr>
          <w:rFonts w:eastAsia="Times New Roman"/>
          <w:lang w:val="fr-FR"/>
        </w:rPr>
        <w:t>l</w:t>
      </w:r>
      <w:r>
        <w:rPr>
          <w:rFonts w:eastAsia="Times New Roman"/>
          <w:lang w:val="fr-FR"/>
        </w:rPr>
        <w:t>’</w:t>
      </w:r>
      <w:r w:rsidRPr="00466CE7">
        <w:rPr>
          <w:rFonts w:eastAsia="Times New Roman"/>
          <w:lang w:val="fr-FR"/>
        </w:rPr>
        <w:t>année scolaire 2018</w:t>
      </w:r>
      <w:r w:rsidR="00726B8A">
        <w:rPr>
          <w:rFonts w:eastAsia="Times New Roman"/>
          <w:lang w:val="fr-FR"/>
        </w:rPr>
        <w:t>/</w:t>
      </w:r>
      <w:r w:rsidRPr="00466CE7">
        <w:rPr>
          <w:rFonts w:eastAsia="Times New Roman"/>
          <w:lang w:val="fr-FR"/>
        </w:rPr>
        <w:t>19, dont 1</w:t>
      </w:r>
      <w:r>
        <w:rPr>
          <w:rFonts w:eastAsia="Times New Roman"/>
          <w:lang w:val="fr-FR"/>
        </w:rPr>
        <w:t> </w:t>
      </w:r>
      <w:r w:rsidRPr="00466CE7">
        <w:rPr>
          <w:rFonts w:eastAsia="Times New Roman"/>
          <w:lang w:val="fr-FR"/>
        </w:rPr>
        <w:t>395</w:t>
      </w:r>
      <w:r>
        <w:rPr>
          <w:rFonts w:eastAsia="Times New Roman"/>
          <w:lang w:val="fr-FR"/>
        </w:rPr>
        <w:t xml:space="preserve"> dispensent l’intégralité des cours en </w:t>
      </w:r>
      <w:r w:rsidRPr="00466CE7">
        <w:rPr>
          <w:rFonts w:eastAsia="Times New Roman"/>
          <w:lang w:val="fr-FR"/>
        </w:rPr>
        <w:t>kirghize, 234 en russe, 31 en ouzbek et 3 en tadjik</w:t>
      </w:r>
      <w:r w:rsidR="00726B8A">
        <w:rPr>
          <w:rFonts w:eastAsia="Times New Roman"/>
          <w:lang w:val="fr-FR"/>
        </w:rPr>
        <w:t> </w:t>
      </w:r>
      <w:r w:rsidRPr="00466CE7">
        <w:rPr>
          <w:rFonts w:eastAsia="Times New Roman"/>
          <w:lang w:val="fr-FR"/>
        </w:rPr>
        <w:t xml:space="preserve">; </w:t>
      </w:r>
      <w:r>
        <w:rPr>
          <w:rFonts w:eastAsia="Times New Roman"/>
          <w:lang w:val="fr-FR"/>
        </w:rPr>
        <w:t xml:space="preserve">et </w:t>
      </w:r>
      <w:r w:rsidRPr="00466CE7">
        <w:rPr>
          <w:rFonts w:eastAsia="Times New Roman"/>
          <w:lang w:val="fr-FR"/>
        </w:rPr>
        <w:t xml:space="preserve">50 </w:t>
      </w:r>
      <w:r>
        <w:rPr>
          <w:rFonts w:eastAsia="Times New Roman"/>
          <w:lang w:val="fr-FR"/>
        </w:rPr>
        <w:t xml:space="preserve">dispensent les cours en ouzbek et en </w:t>
      </w:r>
      <w:r w:rsidRPr="00466CE7">
        <w:rPr>
          <w:rFonts w:eastAsia="Times New Roman"/>
          <w:lang w:val="fr-FR"/>
        </w:rPr>
        <w:t>russe, 49 en kirghiz</w:t>
      </w:r>
      <w:r>
        <w:rPr>
          <w:rFonts w:eastAsia="Times New Roman"/>
          <w:lang w:val="fr-FR"/>
        </w:rPr>
        <w:t xml:space="preserve">e et en </w:t>
      </w:r>
      <w:r w:rsidRPr="00466CE7">
        <w:rPr>
          <w:rFonts w:eastAsia="Times New Roman"/>
          <w:lang w:val="fr-FR"/>
        </w:rPr>
        <w:t>ouzbek, 2 en kirghiz</w:t>
      </w:r>
      <w:r>
        <w:rPr>
          <w:rFonts w:eastAsia="Times New Roman"/>
          <w:lang w:val="fr-FR"/>
        </w:rPr>
        <w:t xml:space="preserve">e et en </w:t>
      </w:r>
      <w:r w:rsidRPr="00466CE7">
        <w:rPr>
          <w:rFonts w:eastAsia="Times New Roman"/>
          <w:lang w:val="fr-FR"/>
        </w:rPr>
        <w:t>ta</w:t>
      </w:r>
      <w:r>
        <w:rPr>
          <w:rFonts w:eastAsia="Times New Roman"/>
          <w:lang w:val="fr-FR"/>
        </w:rPr>
        <w:t>d</w:t>
      </w:r>
      <w:r w:rsidRPr="00466CE7">
        <w:rPr>
          <w:rFonts w:eastAsia="Times New Roman"/>
          <w:lang w:val="fr-FR"/>
        </w:rPr>
        <w:t>jik</w:t>
      </w:r>
      <w:r>
        <w:rPr>
          <w:rFonts w:eastAsia="Times New Roman"/>
          <w:lang w:val="fr-FR"/>
        </w:rPr>
        <w:t>,</w:t>
      </w:r>
      <w:r w:rsidRPr="00466CE7">
        <w:rPr>
          <w:rFonts w:eastAsia="Times New Roman"/>
          <w:lang w:val="fr-FR"/>
        </w:rPr>
        <w:t xml:space="preserve"> et 1 en ouzbek</w:t>
      </w:r>
      <w:r>
        <w:rPr>
          <w:rFonts w:eastAsia="Times New Roman"/>
          <w:lang w:val="fr-FR"/>
        </w:rPr>
        <w:t xml:space="preserve">, en </w:t>
      </w:r>
      <w:r w:rsidRPr="00466CE7">
        <w:rPr>
          <w:rFonts w:eastAsia="Times New Roman"/>
          <w:lang w:val="fr-FR"/>
        </w:rPr>
        <w:t>kirghiz</w:t>
      </w:r>
      <w:r>
        <w:rPr>
          <w:rFonts w:eastAsia="Times New Roman"/>
          <w:lang w:val="fr-FR"/>
        </w:rPr>
        <w:t xml:space="preserve">e, en </w:t>
      </w:r>
      <w:r w:rsidRPr="00466CE7">
        <w:rPr>
          <w:rFonts w:eastAsia="Times New Roman"/>
          <w:lang w:val="fr-FR"/>
        </w:rPr>
        <w:t>ta</w:t>
      </w:r>
      <w:r>
        <w:rPr>
          <w:rFonts w:eastAsia="Times New Roman"/>
          <w:lang w:val="fr-FR"/>
        </w:rPr>
        <w:t>d</w:t>
      </w:r>
      <w:r w:rsidRPr="00466CE7">
        <w:rPr>
          <w:rFonts w:eastAsia="Times New Roman"/>
          <w:lang w:val="fr-FR"/>
        </w:rPr>
        <w:t>jik</w:t>
      </w:r>
      <w:r>
        <w:rPr>
          <w:rFonts w:eastAsia="Times New Roman"/>
          <w:lang w:val="fr-FR"/>
        </w:rPr>
        <w:t xml:space="preserve"> et en </w:t>
      </w:r>
      <w:r w:rsidRPr="00466CE7">
        <w:rPr>
          <w:rFonts w:eastAsia="Times New Roman"/>
          <w:lang w:val="fr-FR"/>
        </w:rPr>
        <w:t>russe.</w:t>
      </w:r>
    </w:p>
    <w:p w14:paraId="4EEDD628" w14:textId="7546989B" w:rsidR="009C6834" w:rsidRPr="00466CE7" w:rsidRDefault="009C6834" w:rsidP="009C6834">
      <w:pPr>
        <w:pStyle w:val="SingleTxtG"/>
        <w:rPr>
          <w:rFonts w:eastAsia="Times New Roman"/>
          <w:lang w:val="fr-FR"/>
        </w:rPr>
      </w:pPr>
      <w:r w:rsidRPr="00466CE7">
        <w:rPr>
          <w:rFonts w:eastAsia="Times New Roman"/>
          <w:lang w:val="fr-FR"/>
        </w:rPr>
        <w:t>480.</w:t>
      </w:r>
      <w:r w:rsidRPr="00466CE7">
        <w:rPr>
          <w:rFonts w:eastAsia="Times New Roman"/>
          <w:lang w:val="fr-FR"/>
        </w:rPr>
        <w:tab/>
        <w:t xml:space="preserve">Entre 1998 et 2018, le Centre de production de manuels scolaires, qui dépend du </w:t>
      </w:r>
      <w:r>
        <w:rPr>
          <w:rFonts w:eastAsia="Times New Roman"/>
          <w:lang w:val="fr-FR"/>
        </w:rPr>
        <w:t>Ministère de l’é</w:t>
      </w:r>
      <w:r w:rsidRPr="00466CE7">
        <w:rPr>
          <w:rFonts w:eastAsia="Times New Roman"/>
          <w:lang w:val="fr-FR"/>
        </w:rPr>
        <w:t xml:space="preserve">ducation et des </w:t>
      </w:r>
      <w:r>
        <w:rPr>
          <w:rFonts w:eastAsia="Times New Roman"/>
          <w:lang w:val="fr-FR"/>
        </w:rPr>
        <w:t>s</w:t>
      </w:r>
      <w:r w:rsidRPr="00466CE7">
        <w:rPr>
          <w:rFonts w:eastAsia="Times New Roman"/>
          <w:lang w:val="fr-FR"/>
        </w:rPr>
        <w:t>ciences, a publié plus de 147</w:t>
      </w:r>
      <w:r w:rsidR="00726B8A">
        <w:rPr>
          <w:rFonts w:eastAsia="Times New Roman"/>
          <w:lang w:val="fr-FR"/>
        </w:rPr>
        <w:t> </w:t>
      </w:r>
      <w:r w:rsidRPr="00466CE7">
        <w:rPr>
          <w:rFonts w:eastAsia="Times New Roman"/>
          <w:lang w:val="fr-FR"/>
        </w:rPr>
        <w:t xml:space="preserve">titres, avec une diffusion de plus de </w:t>
      </w:r>
      <w:r>
        <w:rPr>
          <w:rFonts w:eastAsia="Times New Roman"/>
          <w:lang w:val="fr-FR"/>
        </w:rPr>
        <w:t xml:space="preserve">deux </w:t>
      </w:r>
      <w:r w:rsidRPr="00466CE7">
        <w:rPr>
          <w:rFonts w:eastAsia="Times New Roman"/>
          <w:lang w:val="fr-FR"/>
        </w:rPr>
        <w:t>millions d</w:t>
      </w:r>
      <w:r>
        <w:rPr>
          <w:rFonts w:eastAsia="Times New Roman"/>
          <w:lang w:val="fr-FR"/>
        </w:rPr>
        <w:t>’</w:t>
      </w:r>
      <w:r w:rsidRPr="00466CE7">
        <w:rPr>
          <w:rFonts w:eastAsia="Times New Roman"/>
          <w:lang w:val="fr-FR"/>
        </w:rPr>
        <w:t xml:space="preserve">exemplaires. </w:t>
      </w:r>
      <w:r>
        <w:rPr>
          <w:rFonts w:eastAsia="Times New Roman"/>
          <w:lang w:val="fr-FR"/>
        </w:rPr>
        <w:t>L</w:t>
      </w:r>
      <w:r w:rsidRPr="00466CE7">
        <w:rPr>
          <w:rFonts w:eastAsia="Times New Roman"/>
          <w:lang w:val="fr-FR"/>
        </w:rPr>
        <w:t xml:space="preserve">es écoles de langue ouzbèke sont </w:t>
      </w:r>
      <w:r>
        <w:rPr>
          <w:rFonts w:eastAsia="Times New Roman"/>
          <w:lang w:val="fr-FR"/>
        </w:rPr>
        <w:t xml:space="preserve">ainsi </w:t>
      </w:r>
      <w:r w:rsidRPr="00466CE7">
        <w:rPr>
          <w:rFonts w:eastAsia="Times New Roman"/>
          <w:lang w:val="fr-FR"/>
        </w:rPr>
        <w:t xml:space="preserve">dotées </w:t>
      </w:r>
      <w:r>
        <w:rPr>
          <w:rFonts w:eastAsia="Times New Roman"/>
          <w:lang w:val="fr-FR"/>
        </w:rPr>
        <w:t xml:space="preserve">à </w:t>
      </w:r>
      <w:r w:rsidRPr="00466CE7">
        <w:rPr>
          <w:rFonts w:eastAsia="Times New Roman"/>
          <w:lang w:val="fr-FR"/>
        </w:rPr>
        <w:t>70</w:t>
      </w:r>
      <w:r w:rsidR="00CB4ECD">
        <w:rPr>
          <w:rFonts w:eastAsia="Times New Roman"/>
          <w:lang w:val="fr-FR"/>
        </w:rPr>
        <w:t> %</w:t>
      </w:r>
      <w:r w:rsidRPr="00466CE7">
        <w:rPr>
          <w:rFonts w:eastAsia="Times New Roman"/>
          <w:lang w:val="fr-FR"/>
        </w:rPr>
        <w:t xml:space="preserve"> de manuels et supports pédagogiques pour tous les cycles</w:t>
      </w:r>
      <w:r>
        <w:rPr>
          <w:rFonts w:eastAsia="Times New Roman"/>
          <w:lang w:val="fr-FR"/>
        </w:rPr>
        <w:t xml:space="preserve"> d’enseignement</w:t>
      </w:r>
      <w:r w:rsidRPr="00466CE7">
        <w:rPr>
          <w:rFonts w:eastAsia="Times New Roman"/>
          <w:lang w:val="fr-FR"/>
        </w:rPr>
        <w:t xml:space="preserve">. Le </w:t>
      </w:r>
      <w:r w:rsidR="00822657" w:rsidRPr="00466CE7">
        <w:rPr>
          <w:rFonts w:eastAsia="Times New Roman"/>
          <w:lang w:val="fr-FR"/>
        </w:rPr>
        <w:t>G</w:t>
      </w:r>
      <w:r w:rsidR="00822657">
        <w:rPr>
          <w:rFonts w:eastAsia="Times New Roman"/>
          <w:lang w:val="fr-FR"/>
        </w:rPr>
        <w:t>ouvernement</w:t>
      </w:r>
      <w:r>
        <w:rPr>
          <w:rFonts w:eastAsia="Times New Roman"/>
          <w:lang w:val="fr-FR"/>
        </w:rPr>
        <w:t>, représenté par le M</w:t>
      </w:r>
      <w:r w:rsidRPr="00466CE7">
        <w:rPr>
          <w:rFonts w:eastAsia="Times New Roman"/>
          <w:lang w:val="fr-FR"/>
        </w:rPr>
        <w:t>inistère de l</w:t>
      </w:r>
      <w:r>
        <w:rPr>
          <w:rFonts w:eastAsia="Times New Roman"/>
          <w:lang w:val="fr-FR"/>
        </w:rPr>
        <w:t>’</w:t>
      </w:r>
      <w:r w:rsidRPr="00466CE7">
        <w:rPr>
          <w:rFonts w:eastAsia="Times New Roman"/>
          <w:lang w:val="fr-FR"/>
        </w:rPr>
        <w:t>éducation et de</w:t>
      </w:r>
      <w:r>
        <w:rPr>
          <w:rFonts w:eastAsia="Times New Roman"/>
          <w:lang w:val="fr-FR"/>
        </w:rPr>
        <w:t xml:space="preserve"> la science</w:t>
      </w:r>
      <w:r w:rsidRPr="00466CE7">
        <w:rPr>
          <w:rFonts w:eastAsia="Times New Roman"/>
          <w:lang w:val="fr-FR"/>
        </w:rPr>
        <w:t xml:space="preserve">, apporte un soutien financier permanent au </w:t>
      </w:r>
      <w:r>
        <w:rPr>
          <w:rFonts w:eastAsia="Times New Roman"/>
          <w:lang w:val="fr-FR"/>
        </w:rPr>
        <w:t>C</w:t>
      </w:r>
      <w:r w:rsidRPr="00466CE7">
        <w:rPr>
          <w:rFonts w:eastAsia="Times New Roman"/>
          <w:lang w:val="fr-FR"/>
        </w:rPr>
        <w:t xml:space="preserve">entre </w:t>
      </w:r>
      <w:r>
        <w:rPr>
          <w:rFonts w:eastAsia="Times New Roman"/>
          <w:lang w:val="fr-FR"/>
        </w:rPr>
        <w:t>de production de manuels scolaires</w:t>
      </w:r>
      <w:r w:rsidRPr="00466CE7">
        <w:rPr>
          <w:rFonts w:eastAsia="Times New Roman"/>
          <w:lang w:val="fr-FR"/>
        </w:rPr>
        <w:t xml:space="preserve"> pour la </w:t>
      </w:r>
      <w:r>
        <w:rPr>
          <w:rFonts w:eastAsia="Times New Roman"/>
          <w:lang w:val="fr-FR"/>
        </w:rPr>
        <w:t xml:space="preserve">publication </w:t>
      </w:r>
      <w:r w:rsidRPr="00466CE7">
        <w:rPr>
          <w:rFonts w:eastAsia="Times New Roman"/>
          <w:lang w:val="fr-FR"/>
        </w:rPr>
        <w:t xml:space="preserve">et la </w:t>
      </w:r>
      <w:r>
        <w:rPr>
          <w:rFonts w:eastAsia="Times New Roman"/>
          <w:lang w:val="fr-FR"/>
        </w:rPr>
        <w:t xml:space="preserve">distribution </w:t>
      </w:r>
      <w:r w:rsidRPr="00466CE7">
        <w:rPr>
          <w:rFonts w:eastAsia="Times New Roman"/>
          <w:lang w:val="fr-FR"/>
        </w:rPr>
        <w:t xml:space="preserve">de manuels </w:t>
      </w:r>
      <w:r>
        <w:rPr>
          <w:rFonts w:eastAsia="Times New Roman"/>
          <w:lang w:val="fr-FR"/>
        </w:rPr>
        <w:t xml:space="preserve">aux </w:t>
      </w:r>
      <w:r w:rsidRPr="00466CE7">
        <w:rPr>
          <w:rFonts w:eastAsia="Times New Roman"/>
          <w:lang w:val="fr-FR"/>
        </w:rPr>
        <w:t xml:space="preserve">écoles </w:t>
      </w:r>
      <w:r>
        <w:rPr>
          <w:rFonts w:eastAsia="Times New Roman"/>
          <w:lang w:val="fr-FR"/>
        </w:rPr>
        <w:t>enseignant en ouzbek</w:t>
      </w:r>
      <w:r w:rsidRPr="00466CE7">
        <w:rPr>
          <w:rFonts w:eastAsia="Times New Roman"/>
          <w:lang w:val="fr-FR"/>
        </w:rPr>
        <w:t>.</w:t>
      </w:r>
    </w:p>
    <w:p w14:paraId="153D982C" w14:textId="77777777" w:rsidR="009C6834" w:rsidRPr="00466CE7" w:rsidRDefault="009C6834" w:rsidP="009C6834">
      <w:pPr>
        <w:pStyle w:val="SingleTxtG"/>
        <w:rPr>
          <w:rFonts w:eastAsia="Times New Roman"/>
          <w:lang w:val="fr-FR"/>
        </w:rPr>
      </w:pPr>
      <w:r w:rsidRPr="00466CE7">
        <w:rPr>
          <w:rFonts w:eastAsia="Times New Roman"/>
          <w:lang w:val="fr-FR"/>
        </w:rPr>
        <w:t>481.</w:t>
      </w:r>
      <w:r w:rsidRPr="00466CE7">
        <w:rPr>
          <w:rFonts w:eastAsia="Times New Roman"/>
          <w:lang w:val="fr-FR"/>
        </w:rPr>
        <w:tab/>
        <w:t>Ces dernières années, l</w:t>
      </w:r>
      <w:r>
        <w:rPr>
          <w:rFonts w:eastAsia="Times New Roman"/>
          <w:lang w:val="fr-FR"/>
        </w:rPr>
        <w:t>’</w:t>
      </w:r>
      <w:r w:rsidRPr="00466CE7">
        <w:rPr>
          <w:rFonts w:eastAsia="Times New Roman"/>
          <w:lang w:val="fr-FR"/>
        </w:rPr>
        <w:t xml:space="preserve">équipe </w:t>
      </w:r>
      <w:r>
        <w:rPr>
          <w:rFonts w:eastAsia="Times New Roman"/>
          <w:lang w:val="fr-FR"/>
        </w:rPr>
        <w:t xml:space="preserve">éditoriale </w:t>
      </w:r>
      <w:r w:rsidRPr="00466CE7">
        <w:rPr>
          <w:rFonts w:eastAsia="Times New Roman"/>
          <w:lang w:val="fr-FR"/>
        </w:rPr>
        <w:t xml:space="preserve">du Centre a été renforcée par des spécialistes hautement qualifiés. </w:t>
      </w:r>
      <w:r>
        <w:rPr>
          <w:rFonts w:eastAsia="Times New Roman"/>
          <w:lang w:val="fr-FR"/>
        </w:rPr>
        <w:t xml:space="preserve">Elle comprend </w:t>
      </w:r>
      <w:r w:rsidRPr="00466CE7">
        <w:rPr>
          <w:rFonts w:eastAsia="Times New Roman"/>
          <w:lang w:val="fr-FR"/>
        </w:rPr>
        <w:t xml:space="preserve">actuellement un académicien, trois docteurs </w:t>
      </w:r>
      <w:r>
        <w:rPr>
          <w:rFonts w:eastAsia="Times New Roman"/>
          <w:lang w:val="fr-FR"/>
        </w:rPr>
        <w:t xml:space="preserve">ès sciences </w:t>
      </w:r>
      <w:r w:rsidRPr="00466CE7">
        <w:rPr>
          <w:rFonts w:eastAsia="Times New Roman"/>
          <w:lang w:val="fr-FR"/>
        </w:rPr>
        <w:t xml:space="preserve">et quatre </w:t>
      </w:r>
      <w:r>
        <w:rPr>
          <w:rFonts w:eastAsia="Times New Roman"/>
          <w:lang w:val="fr-FR"/>
        </w:rPr>
        <w:t>candidats ès sciences</w:t>
      </w:r>
      <w:r w:rsidRPr="00466CE7">
        <w:rPr>
          <w:rFonts w:eastAsia="Times New Roman"/>
          <w:lang w:val="fr-FR"/>
        </w:rPr>
        <w:t>, ainsi qu</w:t>
      </w:r>
      <w:r>
        <w:rPr>
          <w:rFonts w:eastAsia="Times New Roman"/>
          <w:lang w:val="fr-FR"/>
        </w:rPr>
        <w:t>’</w:t>
      </w:r>
      <w:r w:rsidRPr="00466CE7">
        <w:rPr>
          <w:rFonts w:eastAsia="Times New Roman"/>
          <w:lang w:val="fr-FR"/>
        </w:rPr>
        <w:t xml:space="preserve">une importante équipe </w:t>
      </w:r>
      <w:r>
        <w:rPr>
          <w:rFonts w:eastAsia="Times New Roman"/>
          <w:lang w:val="fr-FR"/>
        </w:rPr>
        <w:t xml:space="preserve">de rédaction </w:t>
      </w:r>
      <w:r w:rsidRPr="00466CE7">
        <w:rPr>
          <w:rFonts w:eastAsia="Times New Roman"/>
          <w:lang w:val="fr-FR"/>
        </w:rPr>
        <w:t>composée de spécialistes expérimentés.</w:t>
      </w:r>
    </w:p>
    <w:p w14:paraId="77038914" w14:textId="77777777" w:rsidR="009C6834" w:rsidRPr="00466CE7" w:rsidRDefault="009C6834" w:rsidP="009C6834">
      <w:pPr>
        <w:pStyle w:val="SingleTxtG"/>
        <w:rPr>
          <w:rFonts w:eastAsia="Times New Roman"/>
          <w:lang w:val="fr-FR"/>
        </w:rPr>
      </w:pPr>
      <w:r w:rsidRPr="00466CE7">
        <w:rPr>
          <w:rFonts w:eastAsia="Times New Roman"/>
          <w:lang w:val="fr-FR"/>
        </w:rPr>
        <w:t>482.</w:t>
      </w:r>
      <w:r w:rsidRPr="00466CE7">
        <w:rPr>
          <w:rFonts w:eastAsia="Times New Roman"/>
          <w:lang w:val="fr-FR"/>
        </w:rPr>
        <w:tab/>
        <w:t xml:space="preserve">Les équipes </w:t>
      </w:r>
      <w:r>
        <w:rPr>
          <w:rFonts w:eastAsia="Times New Roman"/>
          <w:lang w:val="fr-FR"/>
        </w:rPr>
        <w:t>de rédaction</w:t>
      </w:r>
      <w:r w:rsidRPr="00466CE7">
        <w:rPr>
          <w:rFonts w:eastAsia="Times New Roman"/>
          <w:lang w:val="fr-FR"/>
        </w:rPr>
        <w:t xml:space="preserve"> et les spécialistes du Centre participent activement à l</w:t>
      </w:r>
      <w:r>
        <w:rPr>
          <w:rFonts w:eastAsia="Times New Roman"/>
          <w:lang w:val="fr-FR"/>
        </w:rPr>
        <w:t xml:space="preserve">’expérimentation </w:t>
      </w:r>
      <w:r w:rsidRPr="00466CE7">
        <w:rPr>
          <w:rFonts w:eastAsia="Times New Roman"/>
          <w:lang w:val="fr-FR"/>
        </w:rPr>
        <w:t xml:space="preserve">et à la traduction de nouveaux manuels destinés aux classes de </w:t>
      </w:r>
      <w:r>
        <w:rPr>
          <w:rFonts w:eastAsia="Times New Roman"/>
          <w:lang w:val="fr-FR"/>
        </w:rPr>
        <w:t xml:space="preserve">cinquième et de </w:t>
      </w:r>
      <w:r w:rsidRPr="00466CE7">
        <w:rPr>
          <w:rFonts w:eastAsia="Times New Roman"/>
          <w:lang w:val="fr-FR"/>
        </w:rPr>
        <w:t xml:space="preserve">sixième années des écoles </w:t>
      </w:r>
      <w:r>
        <w:rPr>
          <w:rFonts w:eastAsia="Times New Roman"/>
          <w:lang w:val="fr-FR"/>
        </w:rPr>
        <w:t xml:space="preserve">enseignant en </w:t>
      </w:r>
      <w:r w:rsidRPr="00466CE7">
        <w:rPr>
          <w:rFonts w:eastAsia="Times New Roman"/>
          <w:lang w:val="fr-FR"/>
        </w:rPr>
        <w:t>ouzbek</w:t>
      </w:r>
      <w:r>
        <w:rPr>
          <w:rFonts w:eastAsia="Times New Roman"/>
          <w:lang w:val="fr-FR"/>
        </w:rPr>
        <w:t xml:space="preserve"> et u</w:t>
      </w:r>
      <w:r w:rsidRPr="00466CE7">
        <w:rPr>
          <w:rFonts w:eastAsia="Times New Roman"/>
          <w:lang w:val="fr-FR"/>
        </w:rPr>
        <w:t xml:space="preserve">ne attention particulière </w:t>
      </w:r>
      <w:r>
        <w:rPr>
          <w:rFonts w:eastAsia="Times New Roman"/>
          <w:lang w:val="fr-FR"/>
        </w:rPr>
        <w:t xml:space="preserve">a été </w:t>
      </w:r>
      <w:r w:rsidRPr="00466CE7">
        <w:rPr>
          <w:rFonts w:eastAsia="Times New Roman"/>
          <w:lang w:val="fr-FR"/>
        </w:rPr>
        <w:t xml:space="preserve">accordée </w:t>
      </w:r>
      <w:r>
        <w:rPr>
          <w:rFonts w:eastAsia="Times New Roman"/>
          <w:lang w:val="fr-FR"/>
        </w:rPr>
        <w:t xml:space="preserve">à cet égard à la rédaction des </w:t>
      </w:r>
      <w:r w:rsidRPr="00466CE7">
        <w:rPr>
          <w:rFonts w:eastAsia="Times New Roman"/>
          <w:lang w:val="fr-FR"/>
        </w:rPr>
        <w:t xml:space="preserve">nouveaux manuels </w:t>
      </w:r>
      <w:r w:rsidRPr="0009259A">
        <w:rPr>
          <w:rFonts w:eastAsia="Times New Roman"/>
          <w:lang w:val="fr-FR"/>
        </w:rPr>
        <w:t xml:space="preserve">Ouzbek </w:t>
      </w:r>
      <w:proofErr w:type="spellStart"/>
      <w:r w:rsidRPr="0009259A">
        <w:rPr>
          <w:rFonts w:eastAsia="Times New Roman"/>
          <w:lang w:val="fr-FR"/>
        </w:rPr>
        <w:t>Tili</w:t>
      </w:r>
      <w:proofErr w:type="spellEnd"/>
      <w:r w:rsidRPr="00466CE7">
        <w:rPr>
          <w:rFonts w:eastAsia="Times New Roman"/>
          <w:lang w:val="fr-FR"/>
        </w:rPr>
        <w:t xml:space="preserve"> et </w:t>
      </w:r>
      <w:r w:rsidRPr="0009259A">
        <w:rPr>
          <w:rFonts w:eastAsia="Times New Roman"/>
          <w:lang w:val="fr-FR"/>
        </w:rPr>
        <w:t xml:space="preserve">Ouzbek </w:t>
      </w:r>
      <w:proofErr w:type="spellStart"/>
      <w:r w:rsidRPr="0009259A">
        <w:rPr>
          <w:rFonts w:eastAsia="Times New Roman"/>
          <w:lang w:val="fr-FR"/>
        </w:rPr>
        <w:t>Adabiyoti</w:t>
      </w:r>
      <w:proofErr w:type="spellEnd"/>
      <w:r w:rsidRPr="00466CE7">
        <w:rPr>
          <w:rFonts w:eastAsia="Times New Roman"/>
          <w:lang w:val="fr-FR"/>
        </w:rPr>
        <w:t>. Ces manuels ont maintenant été publiés et sont largement utilisés dans les écoles de langue ouzbèke.</w:t>
      </w:r>
    </w:p>
    <w:p w14:paraId="5DAEADD7" w14:textId="1A6D52E0" w:rsidR="009C6834" w:rsidRPr="00466CE7" w:rsidRDefault="009C6834" w:rsidP="00E1792A">
      <w:pPr>
        <w:pStyle w:val="SingleTxtG"/>
        <w:keepNext/>
        <w:rPr>
          <w:rFonts w:eastAsia="Times New Roman"/>
          <w:lang w:val="fr-FR"/>
        </w:rPr>
      </w:pPr>
      <w:r w:rsidRPr="00466CE7">
        <w:rPr>
          <w:rFonts w:eastAsia="Times New Roman"/>
          <w:lang w:val="fr-FR"/>
        </w:rPr>
        <w:lastRenderedPageBreak/>
        <w:t>483.</w:t>
      </w:r>
      <w:r w:rsidRPr="00466CE7">
        <w:rPr>
          <w:rFonts w:eastAsia="Times New Roman"/>
          <w:lang w:val="fr-FR"/>
        </w:rPr>
        <w:tab/>
      </w:r>
      <w:r>
        <w:rPr>
          <w:rFonts w:eastAsia="Times New Roman"/>
          <w:lang w:val="fr-FR"/>
        </w:rPr>
        <w:t xml:space="preserve">Pour l’année 2018/19, les établissements d’enseignement ont été dotés à </w:t>
      </w:r>
      <w:r w:rsidRPr="00466CE7">
        <w:rPr>
          <w:rFonts w:eastAsia="Times New Roman"/>
          <w:lang w:val="fr-FR"/>
        </w:rPr>
        <w:t>7</w:t>
      </w:r>
      <w:r>
        <w:rPr>
          <w:rFonts w:eastAsia="Times New Roman"/>
          <w:lang w:val="fr-FR"/>
        </w:rPr>
        <w:t>4,3</w:t>
      </w:r>
      <w:r w:rsidR="00CB4ECD">
        <w:rPr>
          <w:rFonts w:eastAsia="Times New Roman"/>
          <w:lang w:val="fr-FR"/>
        </w:rPr>
        <w:t> %</w:t>
      </w:r>
      <w:r>
        <w:rPr>
          <w:rFonts w:eastAsia="Times New Roman"/>
          <w:lang w:val="fr-FR"/>
        </w:rPr>
        <w:t xml:space="preserve"> de manuels scolaires :</w:t>
      </w:r>
    </w:p>
    <w:p w14:paraId="114FE866" w14:textId="0C0EC967" w:rsidR="009C6834" w:rsidRPr="00DF6565" w:rsidRDefault="00726B8A" w:rsidP="00726B8A">
      <w:pPr>
        <w:pStyle w:val="Bullet1G"/>
        <w:rPr>
          <w:lang w:val="fr-FR"/>
        </w:rPr>
      </w:pPr>
      <w:r>
        <w:rPr>
          <w:lang w:val="fr-FR"/>
        </w:rPr>
        <w:t xml:space="preserve">À </w:t>
      </w:r>
      <w:r w:rsidR="009C6834" w:rsidRPr="00DF6565">
        <w:rPr>
          <w:lang w:val="fr-FR"/>
        </w:rPr>
        <w:t>84,9</w:t>
      </w:r>
      <w:r w:rsidR="00CB4ECD">
        <w:rPr>
          <w:lang w:val="fr-FR"/>
        </w:rPr>
        <w:t> %</w:t>
      </w:r>
      <w:r w:rsidR="009C6834" w:rsidRPr="00DF6565">
        <w:rPr>
          <w:lang w:val="fr-FR"/>
        </w:rPr>
        <w:t xml:space="preserve"> </w:t>
      </w:r>
      <w:r w:rsidR="009C6834">
        <w:rPr>
          <w:lang w:val="fr-FR"/>
        </w:rPr>
        <w:t xml:space="preserve">pour les établissements enseignant en </w:t>
      </w:r>
      <w:r w:rsidR="009C6834" w:rsidRPr="00DF6565">
        <w:rPr>
          <w:lang w:val="fr-FR"/>
        </w:rPr>
        <w:t>kirghize</w:t>
      </w:r>
      <w:r>
        <w:rPr>
          <w:lang w:val="fr-FR"/>
        </w:rPr>
        <w:t> ;</w:t>
      </w:r>
    </w:p>
    <w:p w14:paraId="41935BFC" w14:textId="79D3551A" w:rsidR="009C6834" w:rsidRPr="00DF6565" w:rsidRDefault="00726B8A" w:rsidP="00726B8A">
      <w:pPr>
        <w:pStyle w:val="Bullet1G"/>
        <w:rPr>
          <w:lang w:val="fr-FR"/>
        </w:rPr>
      </w:pPr>
      <w:r>
        <w:rPr>
          <w:lang w:val="fr-FR"/>
        </w:rPr>
        <w:t xml:space="preserve">À </w:t>
      </w:r>
      <w:r w:rsidR="009C6834" w:rsidRPr="00DF6565">
        <w:rPr>
          <w:lang w:val="fr-FR"/>
        </w:rPr>
        <w:t xml:space="preserve">62,2% </w:t>
      </w:r>
      <w:r w:rsidR="009C6834">
        <w:rPr>
          <w:lang w:val="fr-FR"/>
        </w:rPr>
        <w:t>pour les établissements enseignant en russe</w:t>
      </w:r>
      <w:r>
        <w:rPr>
          <w:lang w:val="fr-FR"/>
        </w:rPr>
        <w:t> </w:t>
      </w:r>
      <w:r w:rsidR="009C6834" w:rsidRPr="00DF6565">
        <w:rPr>
          <w:lang w:val="fr-FR"/>
        </w:rPr>
        <w:t>;</w:t>
      </w:r>
    </w:p>
    <w:p w14:paraId="4D3C9E99" w14:textId="509DF633" w:rsidR="009C6834" w:rsidRPr="00DF6565" w:rsidRDefault="00726B8A" w:rsidP="00726B8A">
      <w:pPr>
        <w:pStyle w:val="Bullet1G"/>
        <w:rPr>
          <w:lang w:val="fr-FR"/>
        </w:rPr>
      </w:pPr>
      <w:r>
        <w:rPr>
          <w:lang w:val="fr-FR"/>
        </w:rPr>
        <w:t xml:space="preserve">À </w:t>
      </w:r>
      <w:r w:rsidR="009C6834" w:rsidRPr="00DF6565">
        <w:rPr>
          <w:lang w:val="fr-FR"/>
        </w:rPr>
        <w:t>74,5</w:t>
      </w:r>
      <w:r w:rsidR="00CB4ECD">
        <w:rPr>
          <w:lang w:val="fr-FR"/>
        </w:rPr>
        <w:t> %</w:t>
      </w:r>
      <w:r w:rsidR="009C6834" w:rsidRPr="00FF0772">
        <w:rPr>
          <w:lang w:val="fr-FR"/>
        </w:rPr>
        <w:t xml:space="preserve"> </w:t>
      </w:r>
      <w:r w:rsidR="009C6834">
        <w:rPr>
          <w:lang w:val="fr-FR"/>
        </w:rPr>
        <w:t>pour les établissements enseignant en ouzbek </w:t>
      </w:r>
      <w:r w:rsidR="009C6834" w:rsidRPr="00DF6565">
        <w:rPr>
          <w:lang w:val="fr-FR"/>
        </w:rPr>
        <w:t>;</w:t>
      </w:r>
    </w:p>
    <w:p w14:paraId="299D3B6F" w14:textId="7299C029" w:rsidR="009C6834" w:rsidRPr="00DF6565" w:rsidRDefault="00726B8A" w:rsidP="00726B8A">
      <w:pPr>
        <w:pStyle w:val="Bullet1G"/>
        <w:rPr>
          <w:lang w:val="fr-FR"/>
        </w:rPr>
      </w:pPr>
      <w:r>
        <w:rPr>
          <w:lang w:val="fr-FR"/>
        </w:rPr>
        <w:t xml:space="preserve">À </w:t>
      </w:r>
      <w:r w:rsidR="009C6834" w:rsidRPr="00DF6565">
        <w:rPr>
          <w:lang w:val="fr-FR"/>
        </w:rPr>
        <w:t>63,4</w:t>
      </w:r>
      <w:r w:rsidR="00CB4ECD">
        <w:rPr>
          <w:lang w:val="fr-FR"/>
        </w:rPr>
        <w:t> %</w:t>
      </w:r>
      <w:r w:rsidR="009C6834" w:rsidRPr="00DF6565">
        <w:rPr>
          <w:lang w:val="fr-FR"/>
        </w:rPr>
        <w:t xml:space="preserve"> </w:t>
      </w:r>
      <w:r w:rsidR="009C6834">
        <w:rPr>
          <w:lang w:val="fr-FR"/>
        </w:rPr>
        <w:t>pour les établissements enseignant en tadjik</w:t>
      </w:r>
      <w:r w:rsidR="009C6834" w:rsidRPr="00DF6565">
        <w:rPr>
          <w:lang w:val="fr-FR"/>
        </w:rPr>
        <w:t>.</w:t>
      </w:r>
    </w:p>
    <w:p w14:paraId="0FFDE1BA" w14:textId="3257D724" w:rsidR="009C6834" w:rsidRPr="00466CE7" w:rsidRDefault="009C6834" w:rsidP="009C6834">
      <w:pPr>
        <w:pStyle w:val="SingleTxtG"/>
        <w:rPr>
          <w:rFonts w:eastAsia="Times New Roman"/>
          <w:lang w:val="fr-FR"/>
        </w:rPr>
      </w:pPr>
      <w:r w:rsidRPr="00466CE7">
        <w:rPr>
          <w:rFonts w:eastAsia="Times New Roman"/>
          <w:lang w:val="fr-FR"/>
        </w:rPr>
        <w:t>484.</w:t>
      </w:r>
      <w:r w:rsidRPr="00466CE7">
        <w:rPr>
          <w:rFonts w:eastAsia="Times New Roman"/>
          <w:lang w:val="fr-FR"/>
        </w:rPr>
        <w:tab/>
        <w:t xml:space="preserve">Les équipes </w:t>
      </w:r>
      <w:r>
        <w:rPr>
          <w:rFonts w:eastAsia="Times New Roman"/>
          <w:lang w:val="fr-FR"/>
        </w:rPr>
        <w:t>de rédaction</w:t>
      </w:r>
      <w:r w:rsidRPr="00466CE7">
        <w:rPr>
          <w:rFonts w:eastAsia="Times New Roman"/>
          <w:lang w:val="fr-FR"/>
        </w:rPr>
        <w:t xml:space="preserve"> du Centre ont terminé la rédaction de</w:t>
      </w:r>
      <w:r>
        <w:rPr>
          <w:rFonts w:eastAsia="Times New Roman"/>
          <w:lang w:val="fr-FR"/>
        </w:rPr>
        <w:t>s</w:t>
      </w:r>
      <w:r w:rsidRPr="00466CE7">
        <w:rPr>
          <w:rFonts w:eastAsia="Times New Roman"/>
          <w:lang w:val="fr-FR"/>
        </w:rPr>
        <w:t xml:space="preserve"> nouveaux manuels et supports pédagogiques </w:t>
      </w:r>
      <w:r w:rsidRPr="0009259A">
        <w:rPr>
          <w:rFonts w:eastAsia="Times New Roman"/>
          <w:lang w:val="fr-FR"/>
        </w:rPr>
        <w:t xml:space="preserve">Ouzbek </w:t>
      </w:r>
      <w:proofErr w:type="spellStart"/>
      <w:r w:rsidRPr="0009259A">
        <w:rPr>
          <w:rFonts w:eastAsia="Times New Roman"/>
          <w:lang w:val="fr-FR"/>
        </w:rPr>
        <w:t>Tili</w:t>
      </w:r>
      <w:proofErr w:type="spellEnd"/>
      <w:r w:rsidR="00726B8A">
        <w:rPr>
          <w:rFonts w:eastAsia="Times New Roman"/>
          <w:lang w:val="fr-FR"/>
        </w:rPr>
        <w:t xml:space="preserve"> </w:t>
      </w:r>
      <w:r w:rsidRPr="00466CE7">
        <w:rPr>
          <w:rFonts w:eastAsia="Times New Roman"/>
          <w:lang w:val="fr-FR"/>
        </w:rPr>
        <w:t xml:space="preserve">et </w:t>
      </w:r>
      <w:r w:rsidRPr="0009259A">
        <w:rPr>
          <w:rFonts w:eastAsia="Times New Roman"/>
          <w:lang w:val="fr-FR"/>
        </w:rPr>
        <w:t xml:space="preserve">Ouzbek </w:t>
      </w:r>
      <w:proofErr w:type="spellStart"/>
      <w:r w:rsidRPr="0009259A">
        <w:rPr>
          <w:rFonts w:eastAsia="Times New Roman"/>
          <w:lang w:val="fr-FR"/>
        </w:rPr>
        <w:t>Adabiyoti</w:t>
      </w:r>
      <w:proofErr w:type="spellEnd"/>
      <w:r w:rsidR="00726B8A">
        <w:rPr>
          <w:rFonts w:eastAsia="Times New Roman"/>
          <w:lang w:val="fr-FR"/>
        </w:rPr>
        <w:t xml:space="preserve"> </w:t>
      </w:r>
      <w:r w:rsidRPr="00466CE7">
        <w:rPr>
          <w:rFonts w:eastAsia="Times New Roman"/>
          <w:lang w:val="fr-FR"/>
        </w:rPr>
        <w:t>pour les classes de</w:t>
      </w:r>
      <w:r>
        <w:rPr>
          <w:rFonts w:eastAsia="Times New Roman"/>
          <w:lang w:val="fr-FR"/>
        </w:rPr>
        <w:t xml:space="preserve"> septième et de huitième </w:t>
      </w:r>
      <w:r w:rsidRPr="00466CE7">
        <w:rPr>
          <w:rFonts w:eastAsia="Times New Roman"/>
          <w:lang w:val="fr-FR"/>
        </w:rPr>
        <w:t>années. Ces manuels ont passé avec succès l</w:t>
      </w:r>
      <w:r>
        <w:rPr>
          <w:rFonts w:eastAsia="Times New Roman"/>
          <w:lang w:val="fr-FR"/>
        </w:rPr>
        <w:t>’</w:t>
      </w:r>
      <w:r w:rsidRPr="00466CE7">
        <w:rPr>
          <w:rFonts w:eastAsia="Times New Roman"/>
          <w:lang w:val="fr-FR"/>
        </w:rPr>
        <w:t>ex</w:t>
      </w:r>
      <w:r>
        <w:rPr>
          <w:rFonts w:eastAsia="Times New Roman"/>
          <w:lang w:val="fr-FR"/>
        </w:rPr>
        <w:t>amen de la commission d’experts du Mi</w:t>
      </w:r>
      <w:r w:rsidRPr="00466CE7">
        <w:rPr>
          <w:rFonts w:eastAsia="Times New Roman"/>
          <w:lang w:val="fr-FR"/>
        </w:rPr>
        <w:t>nistère de l</w:t>
      </w:r>
      <w:r>
        <w:rPr>
          <w:rFonts w:eastAsia="Times New Roman"/>
          <w:lang w:val="fr-FR"/>
        </w:rPr>
        <w:t>’</w:t>
      </w:r>
      <w:r w:rsidRPr="00466CE7">
        <w:rPr>
          <w:rFonts w:eastAsia="Times New Roman"/>
          <w:lang w:val="fr-FR"/>
        </w:rPr>
        <w:t>éducation et d</w:t>
      </w:r>
      <w:r>
        <w:rPr>
          <w:rFonts w:eastAsia="Times New Roman"/>
          <w:lang w:val="fr-FR"/>
        </w:rPr>
        <w:t>e la science</w:t>
      </w:r>
      <w:r w:rsidRPr="00466CE7">
        <w:rPr>
          <w:rFonts w:eastAsia="Times New Roman"/>
          <w:lang w:val="fr-FR"/>
        </w:rPr>
        <w:t xml:space="preserve">, et une version </w:t>
      </w:r>
      <w:r>
        <w:rPr>
          <w:rFonts w:eastAsia="Times New Roman"/>
          <w:lang w:val="fr-FR"/>
        </w:rPr>
        <w:t xml:space="preserve">expérimentale </w:t>
      </w:r>
      <w:r w:rsidRPr="00466CE7">
        <w:rPr>
          <w:rFonts w:eastAsia="Times New Roman"/>
          <w:lang w:val="fr-FR"/>
        </w:rPr>
        <w:t>devrait être publiée.</w:t>
      </w:r>
    </w:p>
    <w:p w14:paraId="19C94C3A" w14:textId="77777777" w:rsidR="009C6834" w:rsidRDefault="009C6834" w:rsidP="009C6834">
      <w:pPr>
        <w:pStyle w:val="SingleTxtG"/>
        <w:rPr>
          <w:rFonts w:eastAsia="Times New Roman"/>
          <w:lang w:val="fr-FR"/>
        </w:rPr>
      </w:pPr>
      <w:r w:rsidRPr="00466CE7">
        <w:rPr>
          <w:rFonts w:eastAsia="Times New Roman"/>
          <w:lang w:val="fr-FR"/>
        </w:rPr>
        <w:t>485.</w:t>
      </w:r>
      <w:r w:rsidRPr="00466CE7">
        <w:rPr>
          <w:rFonts w:eastAsia="Times New Roman"/>
          <w:lang w:val="fr-FR"/>
        </w:rPr>
        <w:tab/>
      </w:r>
      <w:r>
        <w:rPr>
          <w:rFonts w:eastAsia="Times New Roman"/>
          <w:lang w:val="fr-FR"/>
        </w:rPr>
        <w:t xml:space="preserve">Tous les trois ans, le Centre des </w:t>
      </w:r>
      <w:r w:rsidRPr="00466CE7">
        <w:rPr>
          <w:rFonts w:eastAsia="Times New Roman"/>
          <w:lang w:val="fr-FR"/>
        </w:rPr>
        <w:t xml:space="preserve">études </w:t>
      </w:r>
      <w:proofErr w:type="spellStart"/>
      <w:r>
        <w:rPr>
          <w:rFonts w:eastAsia="Times New Roman"/>
          <w:lang w:val="fr-FR"/>
        </w:rPr>
        <w:t>doungan</w:t>
      </w:r>
      <w:r w:rsidRPr="00466CE7">
        <w:rPr>
          <w:rFonts w:eastAsia="Times New Roman"/>
          <w:lang w:val="fr-FR"/>
        </w:rPr>
        <w:t>es</w:t>
      </w:r>
      <w:proofErr w:type="spellEnd"/>
      <w:r w:rsidRPr="00466CE7">
        <w:rPr>
          <w:rFonts w:eastAsia="Times New Roman"/>
          <w:lang w:val="fr-FR"/>
        </w:rPr>
        <w:t xml:space="preserve"> et chinoises organise des cours de formation pour les </w:t>
      </w:r>
      <w:r>
        <w:rPr>
          <w:rFonts w:eastAsia="Times New Roman"/>
          <w:lang w:val="fr-FR"/>
        </w:rPr>
        <w:t xml:space="preserve">professeurs de </w:t>
      </w:r>
      <w:proofErr w:type="spellStart"/>
      <w:r>
        <w:rPr>
          <w:rFonts w:eastAsia="Times New Roman"/>
          <w:lang w:val="fr-FR"/>
        </w:rPr>
        <w:t>doungane</w:t>
      </w:r>
      <w:proofErr w:type="spellEnd"/>
      <w:r w:rsidRPr="00466CE7">
        <w:rPr>
          <w:rFonts w:eastAsia="Times New Roman"/>
          <w:lang w:val="fr-FR"/>
        </w:rPr>
        <w:t xml:space="preserve">. </w:t>
      </w:r>
      <w:r>
        <w:rPr>
          <w:rFonts w:eastAsia="Times New Roman"/>
          <w:lang w:val="fr-FR"/>
        </w:rPr>
        <w:t xml:space="preserve">Il y a dans l’école secondaire Ya. </w:t>
      </w:r>
      <w:proofErr w:type="spellStart"/>
      <w:r>
        <w:rPr>
          <w:rFonts w:eastAsia="Times New Roman"/>
          <w:lang w:val="fr-FR"/>
        </w:rPr>
        <w:t>C</w:t>
      </w:r>
      <w:r w:rsidRPr="00466CE7">
        <w:rPr>
          <w:rFonts w:eastAsia="Times New Roman"/>
          <w:lang w:val="fr-FR"/>
        </w:rPr>
        <w:t>hivaz</w:t>
      </w:r>
      <w:proofErr w:type="spellEnd"/>
      <w:r w:rsidRPr="00466CE7">
        <w:rPr>
          <w:rFonts w:eastAsia="Times New Roman"/>
          <w:lang w:val="fr-FR"/>
        </w:rPr>
        <w:t xml:space="preserve"> </w:t>
      </w:r>
      <w:r>
        <w:rPr>
          <w:rFonts w:eastAsia="Times New Roman"/>
          <w:lang w:val="fr-FR"/>
        </w:rPr>
        <w:t>d’</w:t>
      </w:r>
      <w:r w:rsidRPr="00466CE7">
        <w:rPr>
          <w:rFonts w:eastAsia="Times New Roman"/>
          <w:lang w:val="fr-FR"/>
        </w:rPr>
        <w:t xml:space="preserve">Alexandrov </w:t>
      </w:r>
      <w:r>
        <w:rPr>
          <w:rFonts w:eastAsia="Times New Roman"/>
          <w:lang w:val="fr-FR"/>
        </w:rPr>
        <w:t xml:space="preserve">une salle de ressources pédagogiques </w:t>
      </w:r>
      <w:r w:rsidRPr="00466CE7">
        <w:rPr>
          <w:rFonts w:eastAsia="Times New Roman"/>
          <w:lang w:val="fr-FR"/>
        </w:rPr>
        <w:t>entièrement équipée</w:t>
      </w:r>
      <w:r w:rsidRPr="007C435C">
        <w:rPr>
          <w:rFonts w:eastAsia="Times New Roman"/>
          <w:lang w:val="fr-FR"/>
        </w:rPr>
        <w:t xml:space="preserve"> </w:t>
      </w:r>
      <w:r>
        <w:rPr>
          <w:rFonts w:eastAsia="Times New Roman"/>
          <w:lang w:val="fr-FR"/>
        </w:rPr>
        <w:t>pour</w:t>
      </w:r>
      <w:r w:rsidRPr="006C7325">
        <w:rPr>
          <w:rFonts w:eastAsia="Times New Roman"/>
          <w:lang w:val="fr-FR"/>
        </w:rPr>
        <w:t xml:space="preserve"> </w:t>
      </w:r>
      <w:r w:rsidRPr="00466CE7">
        <w:rPr>
          <w:rFonts w:eastAsia="Times New Roman"/>
          <w:lang w:val="fr-FR"/>
        </w:rPr>
        <w:t xml:space="preserve">le développement et la préservation de la langue </w:t>
      </w:r>
      <w:proofErr w:type="spellStart"/>
      <w:r>
        <w:rPr>
          <w:rFonts w:eastAsia="Times New Roman"/>
          <w:lang w:val="fr-FR"/>
        </w:rPr>
        <w:t>doungane</w:t>
      </w:r>
      <w:proofErr w:type="spellEnd"/>
      <w:r w:rsidRPr="00466CE7">
        <w:rPr>
          <w:rFonts w:eastAsia="Times New Roman"/>
          <w:lang w:val="fr-FR"/>
        </w:rPr>
        <w:t xml:space="preserve">. </w:t>
      </w:r>
      <w:r>
        <w:rPr>
          <w:rFonts w:eastAsia="Times New Roman"/>
          <w:lang w:val="fr-FR"/>
        </w:rPr>
        <w:t xml:space="preserve">Y sont régulièrement organisés, en </w:t>
      </w:r>
      <w:r w:rsidRPr="00466CE7">
        <w:rPr>
          <w:rFonts w:eastAsia="Times New Roman"/>
          <w:lang w:val="fr-FR"/>
        </w:rPr>
        <w:t xml:space="preserve">collaboration avec le Centre, des cours, des séminaires, des </w:t>
      </w:r>
      <w:r>
        <w:rPr>
          <w:rFonts w:eastAsia="Times New Roman"/>
          <w:lang w:val="fr-FR"/>
        </w:rPr>
        <w:t>conférences</w:t>
      </w:r>
      <w:r w:rsidRPr="00466CE7">
        <w:rPr>
          <w:rFonts w:eastAsia="Times New Roman"/>
          <w:lang w:val="fr-FR"/>
        </w:rPr>
        <w:t xml:space="preserve">, des concours littéraires et des </w:t>
      </w:r>
      <w:r>
        <w:rPr>
          <w:rFonts w:eastAsia="Times New Roman"/>
          <w:lang w:val="fr-FR"/>
        </w:rPr>
        <w:t xml:space="preserve">manifestations </w:t>
      </w:r>
      <w:r w:rsidRPr="00466CE7">
        <w:rPr>
          <w:rFonts w:eastAsia="Times New Roman"/>
          <w:lang w:val="fr-FR"/>
        </w:rPr>
        <w:t xml:space="preserve">pour marquer les anniversaires </w:t>
      </w:r>
      <w:r>
        <w:rPr>
          <w:rFonts w:eastAsia="Times New Roman"/>
          <w:lang w:val="fr-FR"/>
        </w:rPr>
        <w:t xml:space="preserve">d’écrivains et de </w:t>
      </w:r>
      <w:r w:rsidRPr="00466CE7">
        <w:rPr>
          <w:rFonts w:eastAsia="Times New Roman"/>
          <w:lang w:val="fr-FR"/>
        </w:rPr>
        <w:t xml:space="preserve">poètes. </w:t>
      </w:r>
      <w:r>
        <w:rPr>
          <w:rFonts w:eastAsia="Times New Roman"/>
          <w:lang w:val="fr-FR"/>
        </w:rPr>
        <w:t xml:space="preserve">Cette salle </w:t>
      </w:r>
      <w:r w:rsidRPr="00466CE7">
        <w:rPr>
          <w:rFonts w:eastAsia="Times New Roman"/>
          <w:lang w:val="fr-FR"/>
        </w:rPr>
        <w:t xml:space="preserve">abrite également la plus grande bibliothèque </w:t>
      </w:r>
      <w:r>
        <w:rPr>
          <w:rFonts w:eastAsia="Times New Roman"/>
          <w:lang w:val="fr-FR"/>
        </w:rPr>
        <w:t xml:space="preserve">au monde </w:t>
      </w:r>
      <w:r w:rsidRPr="00466CE7">
        <w:rPr>
          <w:rFonts w:eastAsia="Times New Roman"/>
          <w:lang w:val="fr-FR"/>
        </w:rPr>
        <w:t xml:space="preserve">de livres en langue </w:t>
      </w:r>
      <w:proofErr w:type="spellStart"/>
      <w:r>
        <w:rPr>
          <w:rFonts w:eastAsia="Times New Roman"/>
          <w:lang w:val="fr-FR"/>
        </w:rPr>
        <w:t>doungane</w:t>
      </w:r>
      <w:proofErr w:type="spellEnd"/>
      <w:r w:rsidRPr="00466CE7">
        <w:rPr>
          <w:rFonts w:eastAsia="Times New Roman"/>
          <w:lang w:val="fr-FR"/>
        </w:rPr>
        <w:t xml:space="preserve"> écrits en alphabets latin et cyrillique.</w:t>
      </w:r>
    </w:p>
    <w:p w14:paraId="5A7E14A0" w14:textId="7096B3D6" w:rsidR="009C6834" w:rsidRPr="0020277F" w:rsidRDefault="009C6834" w:rsidP="009C6834">
      <w:pPr>
        <w:pStyle w:val="SingleTxtG"/>
        <w:rPr>
          <w:bCs/>
          <w:iCs/>
          <w:lang w:val="fr-FR"/>
        </w:rPr>
      </w:pPr>
      <w:r w:rsidRPr="00466CE7">
        <w:rPr>
          <w:rFonts w:eastAsia="Times New Roman"/>
          <w:lang w:val="fr-FR"/>
        </w:rPr>
        <w:t>486.</w:t>
      </w:r>
      <w:r w:rsidRPr="00466CE7">
        <w:rPr>
          <w:rFonts w:eastAsia="Times New Roman"/>
          <w:lang w:val="fr-FR"/>
        </w:rPr>
        <w:tab/>
      </w:r>
      <w:r>
        <w:rPr>
          <w:rFonts w:eastAsia="Times New Roman"/>
          <w:lang w:val="fr-FR"/>
        </w:rPr>
        <w:t xml:space="preserve">L’État prend diverses </w:t>
      </w:r>
      <w:r w:rsidRPr="00466CE7">
        <w:rPr>
          <w:rFonts w:eastAsia="Times New Roman"/>
          <w:lang w:val="fr-FR"/>
        </w:rPr>
        <w:t>mesures</w:t>
      </w:r>
      <w:r>
        <w:rPr>
          <w:rFonts w:eastAsia="Times New Roman"/>
          <w:lang w:val="fr-FR"/>
        </w:rPr>
        <w:t xml:space="preserve"> qui ont permis par exemple à</w:t>
      </w:r>
      <w:r w:rsidRPr="00466CE7">
        <w:rPr>
          <w:rFonts w:eastAsia="Times New Roman"/>
          <w:lang w:val="fr-FR"/>
        </w:rPr>
        <w:t xml:space="preserve"> l</w:t>
      </w:r>
      <w:r>
        <w:rPr>
          <w:rFonts w:eastAsia="Times New Roman"/>
          <w:lang w:val="fr-FR"/>
        </w:rPr>
        <w:t>’</w:t>
      </w:r>
      <w:r w:rsidRPr="00466CE7">
        <w:rPr>
          <w:rFonts w:eastAsia="Times New Roman"/>
          <w:lang w:val="fr-FR"/>
        </w:rPr>
        <w:t xml:space="preserve">Association des </w:t>
      </w:r>
      <w:proofErr w:type="spellStart"/>
      <w:r>
        <w:rPr>
          <w:rFonts w:eastAsia="Times New Roman"/>
          <w:lang w:val="fr-FR"/>
        </w:rPr>
        <w:t>Doungane</w:t>
      </w:r>
      <w:r w:rsidRPr="00466CE7">
        <w:rPr>
          <w:rFonts w:eastAsia="Times New Roman"/>
          <w:lang w:val="fr-FR"/>
        </w:rPr>
        <w:t>s</w:t>
      </w:r>
      <w:proofErr w:type="spellEnd"/>
      <w:r w:rsidRPr="00466CE7">
        <w:rPr>
          <w:rFonts w:eastAsia="Times New Roman"/>
          <w:lang w:val="fr-FR"/>
        </w:rPr>
        <w:t xml:space="preserve"> du </w:t>
      </w:r>
      <w:r w:rsidR="000479B3">
        <w:rPr>
          <w:rFonts w:eastAsia="Times New Roman"/>
          <w:lang w:val="fr-FR"/>
        </w:rPr>
        <w:t>Kirghizistan</w:t>
      </w:r>
      <w:r>
        <w:rPr>
          <w:rFonts w:eastAsia="Times New Roman"/>
          <w:lang w:val="fr-FR"/>
        </w:rPr>
        <w:t xml:space="preserve"> d’obtenir à deux reprises des petites </w:t>
      </w:r>
      <w:r w:rsidRPr="0020277F">
        <w:rPr>
          <w:lang w:val="fr-FR"/>
        </w:rPr>
        <w:t>subvention</w:t>
      </w:r>
      <w:r>
        <w:rPr>
          <w:lang w:val="fr-FR"/>
        </w:rPr>
        <w:t>s</w:t>
      </w:r>
      <w:r w:rsidRPr="0020277F">
        <w:rPr>
          <w:lang w:val="fr-FR"/>
        </w:rPr>
        <w:t xml:space="preserve"> dans le cadre du programme public de réédition de </w:t>
      </w:r>
      <w:r>
        <w:rPr>
          <w:lang w:val="fr-FR"/>
        </w:rPr>
        <w:t xml:space="preserve">manuels </w:t>
      </w:r>
      <w:r w:rsidRPr="0020277F">
        <w:rPr>
          <w:lang w:val="fr-FR"/>
        </w:rPr>
        <w:t xml:space="preserve">en </w:t>
      </w:r>
      <w:proofErr w:type="spellStart"/>
      <w:r w:rsidRPr="0020277F">
        <w:rPr>
          <w:lang w:val="fr-FR"/>
        </w:rPr>
        <w:t>doungane</w:t>
      </w:r>
      <w:proofErr w:type="spellEnd"/>
      <w:r w:rsidRPr="0020277F">
        <w:rPr>
          <w:lang w:val="fr-FR"/>
        </w:rPr>
        <w:t xml:space="preserve"> </w:t>
      </w:r>
      <w:r>
        <w:rPr>
          <w:lang w:val="fr-FR"/>
        </w:rPr>
        <w:t xml:space="preserve">de </w:t>
      </w:r>
      <w:r w:rsidRPr="0020277F">
        <w:rPr>
          <w:lang w:val="fr-FR"/>
        </w:rPr>
        <w:t>l</w:t>
      </w:r>
      <w:r>
        <w:rPr>
          <w:lang w:val="fr-FR"/>
        </w:rPr>
        <w:t>’</w:t>
      </w:r>
      <w:r w:rsidRPr="0020277F">
        <w:rPr>
          <w:lang w:val="fr-FR"/>
        </w:rPr>
        <w:t xml:space="preserve">Agence </w:t>
      </w:r>
      <w:r>
        <w:rPr>
          <w:lang w:val="fr-FR"/>
        </w:rPr>
        <w:t xml:space="preserve">publique chargée auprès du </w:t>
      </w:r>
      <w:r w:rsidR="00822657">
        <w:rPr>
          <w:lang w:val="fr-FR"/>
        </w:rPr>
        <w:t xml:space="preserve">Gouvernement </w:t>
      </w:r>
      <w:r w:rsidRPr="0020277F">
        <w:rPr>
          <w:lang w:val="fr-FR"/>
        </w:rPr>
        <w:t xml:space="preserve">des </w:t>
      </w:r>
      <w:r>
        <w:rPr>
          <w:lang w:val="fr-FR"/>
        </w:rPr>
        <w:t xml:space="preserve">affaires des </w:t>
      </w:r>
      <w:r w:rsidRPr="0020277F">
        <w:rPr>
          <w:lang w:val="fr-FR"/>
        </w:rPr>
        <w:t xml:space="preserve">collectivités locales et des relations </w:t>
      </w:r>
      <w:proofErr w:type="spellStart"/>
      <w:r w:rsidRPr="0020277F">
        <w:rPr>
          <w:lang w:val="fr-FR"/>
        </w:rPr>
        <w:t>interethniques</w:t>
      </w:r>
      <w:proofErr w:type="spellEnd"/>
      <w:r w:rsidRPr="0020277F">
        <w:rPr>
          <w:lang w:val="fr-FR"/>
        </w:rPr>
        <w:t>. Cette aide a permis de publier 3 500 exemplaires</w:t>
      </w:r>
      <w:r>
        <w:rPr>
          <w:lang w:val="fr-FR"/>
        </w:rPr>
        <w:t xml:space="preserve"> du </w:t>
      </w:r>
      <w:r w:rsidRPr="0020277F">
        <w:rPr>
          <w:lang w:val="fr-FR"/>
        </w:rPr>
        <w:t xml:space="preserve">manuel </w:t>
      </w:r>
      <w:proofErr w:type="spellStart"/>
      <w:r w:rsidRPr="0020277F">
        <w:rPr>
          <w:lang w:val="fr-FR"/>
        </w:rPr>
        <w:t>Doungansky</w:t>
      </w:r>
      <w:proofErr w:type="spellEnd"/>
      <w:r w:rsidRPr="0020277F">
        <w:rPr>
          <w:lang w:val="fr-FR"/>
        </w:rPr>
        <w:t xml:space="preserve"> </w:t>
      </w:r>
      <w:proofErr w:type="spellStart"/>
      <w:r w:rsidRPr="0020277F">
        <w:rPr>
          <w:lang w:val="fr-FR"/>
        </w:rPr>
        <w:t>yazyk</w:t>
      </w:r>
      <w:proofErr w:type="spellEnd"/>
      <w:r w:rsidRPr="0020277F">
        <w:rPr>
          <w:lang w:val="fr-FR"/>
        </w:rPr>
        <w:t xml:space="preserve"> </w:t>
      </w:r>
      <w:r w:rsidR="00726B8A">
        <w:rPr>
          <w:lang w:val="fr-FR"/>
        </w:rPr>
        <w:t>−</w:t>
      </w:r>
      <w:r w:rsidRPr="0020277F">
        <w:rPr>
          <w:lang w:val="fr-FR"/>
        </w:rPr>
        <w:t xml:space="preserve"> </w:t>
      </w:r>
      <w:proofErr w:type="spellStart"/>
      <w:r w:rsidRPr="0020277F">
        <w:rPr>
          <w:lang w:val="fr-FR"/>
        </w:rPr>
        <w:t>Grammatika</w:t>
      </w:r>
      <w:proofErr w:type="spellEnd"/>
      <w:r w:rsidRPr="0020277F">
        <w:rPr>
          <w:lang w:val="fr-FR"/>
        </w:rPr>
        <w:t xml:space="preserve"> (</w:t>
      </w:r>
      <w:r w:rsidRPr="0020277F">
        <w:rPr>
          <w:iCs/>
          <w:lang w:val="fr-FR"/>
        </w:rPr>
        <w:t xml:space="preserve">Grammaire </w:t>
      </w:r>
      <w:proofErr w:type="spellStart"/>
      <w:r w:rsidRPr="0020277F">
        <w:rPr>
          <w:iCs/>
          <w:lang w:val="fr-FR"/>
        </w:rPr>
        <w:t>doungane</w:t>
      </w:r>
      <w:proofErr w:type="spellEnd"/>
      <w:r w:rsidRPr="0020277F">
        <w:rPr>
          <w:iCs/>
          <w:lang w:val="fr-FR"/>
        </w:rPr>
        <w:t>) pour les jeunes enfants</w:t>
      </w:r>
      <w:r w:rsidRPr="0020277F">
        <w:rPr>
          <w:lang w:val="fr-FR"/>
        </w:rPr>
        <w:t xml:space="preserve">, 1 400 exemplaires </w:t>
      </w:r>
      <w:r>
        <w:rPr>
          <w:lang w:val="fr-FR"/>
        </w:rPr>
        <w:t xml:space="preserve">du </w:t>
      </w:r>
      <w:r w:rsidRPr="0020277F">
        <w:rPr>
          <w:lang w:val="fr-FR"/>
        </w:rPr>
        <w:t xml:space="preserve">manuel </w:t>
      </w:r>
      <w:proofErr w:type="spellStart"/>
      <w:r w:rsidRPr="0020277F">
        <w:rPr>
          <w:lang w:val="fr-FR"/>
        </w:rPr>
        <w:t>Nacha</w:t>
      </w:r>
      <w:proofErr w:type="spellEnd"/>
      <w:r w:rsidRPr="0020277F">
        <w:rPr>
          <w:lang w:val="fr-FR"/>
        </w:rPr>
        <w:t xml:space="preserve"> </w:t>
      </w:r>
      <w:proofErr w:type="spellStart"/>
      <w:r w:rsidRPr="0020277F">
        <w:rPr>
          <w:lang w:val="fr-FR"/>
        </w:rPr>
        <w:t>literatura</w:t>
      </w:r>
      <w:proofErr w:type="spellEnd"/>
      <w:r w:rsidRPr="0020277F">
        <w:rPr>
          <w:lang w:val="fr-FR"/>
        </w:rPr>
        <w:t xml:space="preserve"> (</w:t>
      </w:r>
      <w:proofErr w:type="spellStart"/>
      <w:r w:rsidRPr="0020277F">
        <w:rPr>
          <w:lang w:val="fr-FR"/>
        </w:rPr>
        <w:t>tchtene</w:t>
      </w:r>
      <w:proofErr w:type="spellEnd"/>
      <w:r w:rsidRPr="0020277F">
        <w:rPr>
          <w:lang w:val="fr-FR"/>
        </w:rPr>
        <w:t>) (</w:t>
      </w:r>
      <w:r>
        <w:rPr>
          <w:iCs/>
          <w:lang w:val="fr-FR"/>
        </w:rPr>
        <w:t xml:space="preserve">Notre littérature </w:t>
      </w:r>
      <w:r w:rsidR="00726B8A">
        <w:rPr>
          <w:iCs/>
          <w:lang w:val="fr-FR"/>
        </w:rPr>
        <w:t xml:space="preserve">− </w:t>
      </w:r>
      <w:r w:rsidRPr="0020277F">
        <w:rPr>
          <w:iCs/>
          <w:lang w:val="fr-FR"/>
        </w:rPr>
        <w:t>livre de lecture)</w:t>
      </w:r>
      <w:r w:rsidRPr="0020277F">
        <w:rPr>
          <w:lang w:val="fr-FR"/>
        </w:rPr>
        <w:t xml:space="preserve"> pour les collégiens</w:t>
      </w:r>
      <w:r>
        <w:rPr>
          <w:lang w:val="fr-FR"/>
        </w:rPr>
        <w:t xml:space="preserve"> et</w:t>
      </w:r>
      <w:r w:rsidRPr="0020277F">
        <w:rPr>
          <w:lang w:val="fr-FR"/>
        </w:rPr>
        <w:t xml:space="preserve"> 1 800 exemplaires</w:t>
      </w:r>
      <w:r w:rsidRPr="006C7325">
        <w:rPr>
          <w:lang w:val="fr-FR"/>
        </w:rPr>
        <w:t xml:space="preserve"> </w:t>
      </w:r>
      <w:r>
        <w:rPr>
          <w:lang w:val="fr-FR"/>
        </w:rPr>
        <w:t xml:space="preserve">d’un </w:t>
      </w:r>
      <w:r w:rsidRPr="0020277F">
        <w:rPr>
          <w:lang w:val="fr-FR"/>
        </w:rPr>
        <w:t xml:space="preserve">manuel de </w:t>
      </w:r>
      <w:proofErr w:type="spellStart"/>
      <w:r w:rsidRPr="0020277F">
        <w:rPr>
          <w:lang w:val="fr-FR"/>
        </w:rPr>
        <w:t>doungane</w:t>
      </w:r>
      <w:proofErr w:type="spellEnd"/>
      <w:r w:rsidRPr="0020277F">
        <w:rPr>
          <w:lang w:val="fr-FR"/>
        </w:rPr>
        <w:t xml:space="preserve"> pour les lycéens. Ces manuels ont été distribués dans 14 écoles des régions de </w:t>
      </w:r>
      <w:proofErr w:type="spellStart"/>
      <w:r w:rsidRPr="0020277F">
        <w:rPr>
          <w:lang w:val="fr-FR"/>
        </w:rPr>
        <w:t>Tchouï</w:t>
      </w:r>
      <w:proofErr w:type="spellEnd"/>
      <w:r w:rsidRPr="0020277F">
        <w:rPr>
          <w:lang w:val="fr-FR"/>
        </w:rPr>
        <w:t xml:space="preserve"> et d</w:t>
      </w:r>
      <w:r>
        <w:rPr>
          <w:lang w:val="fr-FR"/>
        </w:rPr>
        <w:t>’</w:t>
      </w:r>
      <w:r w:rsidRPr="0020277F">
        <w:rPr>
          <w:lang w:val="fr-FR"/>
        </w:rPr>
        <w:t xml:space="preserve">Issyk-Koul. </w:t>
      </w:r>
    </w:p>
    <w:p w14:paraId="31EA29E0" w14:textId="77777777" w:rsidR="009C6834" w:rsidRPr="00466CE7" w:rsidRDefault="009C6834" w:rsidP="009C6834">
      <w:pPr>
        <w:pStyle w:val="SingleTxtG"/>
        <w:rPr>
          <w:rFonts w:eastAsia="Times New Roman"/>
          <w:lang w:val="fr-FR"/>
        </w:rPr>
      </w:pPr>
      <w:r w:rsidRPr="00466CE7">
        <w:rPr>
          <w:rFonts w:eastAsia="Times New Roman"/>
          <w:lang w:val="fr-FR"/>
        </w:rPr>
        <w:t>487.</w:t>
      </w:r>
      <w:r w:rsidRPr="00466CE7">
        <w:rPr>
          <w:rFonts w:eastAsia="Times New Roman"/>
          <w:lang w:val="fr-FR"/>
        </w:rPr>
        <w:tab/>
        <w:t>L</w:t>
      </w:r>
      <w:r>
        <w:rPr>
          <w:rFonts w:eastAsia="Times New Roman"/>
          <w:lang w:val="fr-FR"/>
        </w:rPr>
        <w:t>’</w:t>
      </w:r>
      <w:r w:rsidRPr="00466CE7">
        <w:rPr>
          <w:rFonts w:eastAsia="Times New Roman"/>
          <w:lang w:val="fr-FR"/>
        </w:rPr>
        <w:t xml:space="preserve">État prend </w:t>
      </w:r>
      <w:r>
        <w:rPr>
          <w:rFonts w:eastAsia="Times New Roman"/>
          <w:lang w:val="fr-FR"/>
        </w:rPr>
        <w:t xml:space="preserve">d’importantes </w:t>
      </w:r>
      <w:r w:rsidRPr="00466CE7">
        <w:rPr>
          <w:rFonts w:eastAsia="Times New Roman"/>
          <w:lang w:val="fr-FR"/>
        </w:rPr>
        <w:t xml:space="preserve">mesures pour créer </w:t>
      </w:r>
      <w:r>
        <w:rPr>
          <w:rFonts w:eastAsia="Times New Roman"/>
          <w:lang w:val="fr-FR"/>
        </w:rPr>
        <w:t>d</w:t>
      </w:r>
      <w:r w:rsidRPr="00466CE7">
        <w:rPr>
          <w:rFonts w:eastAsia="Times New Roman"/>
          <w:lang w:val="fr-FR"/>
        </w:rPr>
        <w:t xml:space="preserve">es conditions </w:t>
      </w:r>
      <w:r>
        <w:rPr>
          <w:rFonts w:eastAsia="Times New Roman"/>
          <w:lang w:val="fr-FR"/>
        </w:rPr>
        <w:t>qui permette</w:t>
      </w:r>
      <w:r w:rsidRPr="00466CE7">
        <w:rPr>
          <w:rFonts w:eastAsia="Times New Roman"/>
          <w:lang w:val="fr-FR"/>
        </w:rPr>
        <w:t xml:space="preserve">nt à </w:t>
      </w:r>
      <w:r>
        <w:rPr>
          <w:rFonts w:eastAsia="Times New Roman"/>
          <w:lang w:val="fr-FR"/>
        </w:rPr>
        <w:t xml:space="preserve">chaque citoyen </w:t>
      </w:r>
      <w:r w:rsidRPr="00466CE7">
        <w:rPr>
          <w:rFonts w:eastAsia="Times New Roman"/>
          <w:lang w:val="fr-FR"/>
        </w:rPr>
        <w:t>de préserver et d</w:t>
      </w:r>
      <w:r>
        <w:rPr>
          <w:rFonts w:eastAsia="Times New Roman"/>
          <w:lang w:val="fr-FR"/>
        </w:rPr>
        <w:t>’</w:t>
      </w:r>
      <w:r w:rsidRPr="00466CE7">
        <w:rPr>
          <w:rFonts w:eastAsia="Times New Roman"/>
          <w:lang w:val="fr-FR"/>
        </w:rPr>
        <w:t xml:space="preserve">étudier </w:t>
      </w:r>
      <w:r>
        <w:rPr>
          <w:rFonts w:eastAsia="Times New Roman"/>
          <w:lang w:val="fr-FR"/>
        </w:rPr>
        <w:t xml:space="preserve">sa </w:t>
      </w:r>
      <w:r w:rsidRPr="00466CE7">
        <w:rPr>
          <w:rFonts w:eastAsia="Times New Roman"/>
          <w:lang w:val="fr-FR"/>
        </w:rPr>
        <w:t>langue maternelle et pour maintenir la diversité dans la société.</w:t>
      </w:r>
    </w:p>
    <w:p w14:paraId="7F55317D" w14:textId="77777777" w:rsidR="009C6834" w:rsidRPr="00466CE7" w:rsidRDefault="009C6834" w:rsidP="009C6834">
      <w:pPr>
        <w:pStyle w:val="SingleTxtG"/>
        <w:rPr>
          <w:rFonts w:eastAsia="Times New Roman"/>
          <w:lang w:val="fr-FR"/>
        </w:rPr>
      </w:pPr>
      <w:r w:rsidRPr="00466CE7">
        <w:rPr>
          <w:rFonts w:eastAsia="Times New Roman"/>
          <w:lang w:val="fr-FR"/>
        </w:rPr>
        <w:t>488.</w:t>
      </w:r>
      <w:r w:rsidRPr="00466CE7">
        <w:rPr>
          <w:rFonts w:eastAsia="Times New Roman"/>
          <w:lang w:val="fr-FR"/>
        </w:rPr>
        <w:tab/>
      </w:r>
      <w:r>
        <w:rPr>
          <w:rFonts w:eastAsia="Times New Roman"/>
          <w:lang w:val="fr-FR"/>
        </w:rPr>
        <w:t xml:space="preserve">Depuis son </w:t>
      </w:r>
      <w:r w:rsidRPr="00466CE7">
        <w:rPr>
          <w:rFonts w:eastAsia="Times New Roman"/>
          <w:lang w:val="fr-FR"/>
        </w:rPr>
        <w:t xml:space="preserve">indépendance, la République kirghize </w:t>
      </w:r>
      <w:r>
        <w:rPr>
          <w:rFonts w:eastAsia="Times New Roman"/>
          <w:lang w:val="fr-FR"/>
        </w:rPr>
        <w:t xml:space="preserve">reste </w:t>
      </w:r>
      <w:r w:rsidRPr="00466CE7">
        <w:rPr>
          <w:rFonts w:eastAsia="Times New Roman"/>
          <w:lang w:val="fr-FR"/>
        </w:rPr>
        <w:t>en tête des pays d</w:t>
      </w:r>
      <w:r>
        <w:rPr>
          <w:rFonts w:eastAsia="Times New Roman"/>
          <w:lang w:val="fr-FR"/>
        </w:rPr>
        <w:t>’</w:t>
      </w:r>
      <w:r w:rsidRPr="00466CE7">
        <w:rPr>
          <w:rFonts w:eastAsia="Times New Roman"/>
          <w:lang w:val="fr-FR"/>
        </w:rPr>
        <w:t xml:space="preserve">Asie centrale </w:t>
      </w:r>
      <w:r>
        <w:rPr>
          <w:rFonts w:eastAsia="Times New Roman"/>
          <w:lang w:val="fr-FR"/>
        </w:rPr>
        <w:t xml:space="preserve">pour la </w:t>
      </w:r>
      <w:r w:rsidRPr="00466CE7">
        <w:rPr>
          <w:rFonts w:eastAsia="Times New Roman"/>
          <w:lang w:val="fr-FR"/>
        </w:rPr>
        <w:t xml:space="preserve">liberté </w:t>
      </w:r>
      <w:r>
        <w:rPr>
          <w:rFonts w:eastAsia="Times New Roman"/>
          <w:lang w:val="fr-FR"/>
        </w:rPr>
        <w:t>de parole</w:t>
      </w:r>
      <w:r w:rsidRPr="00466CE7">
        <w:rPr>
          <w:rFonts w:eastAsia="Times New Roman"/>
          <w:lang w:val="fr-FR"/>
        </w:rPr>
        <w:t xml:space="preserve"> et </w:t>
      </w:r>
      <w:r>
        <w:rPr>
          <w:rFonts w:eastAsia="Times New Roman"/>
          <w:lang w:val="fr-FR"/>
        </w:rPr>
        <w:t xml:space="preserve">la </w:t>
      </w:r>
      <w:r w:rsidRPr="00466CE7">
        <w:rPr>
          <w:rFonts w:eastAsia="Times New Roman"/>
          <w:lang w:val="fr-FR"/>
        </w:rPr>
        <w:t>liberté de la presse.</w:t>
      </w:r>
    </w:p>
    <w:p w14:paraId="025894AE" w14:textId="72476EA4" w:rsidR="009C6834" w:rsidRPr="00466CE7" w:rsidRDefault="009C6834" w:rsidP="009C6834">
      <w:pPr>
        <w:pStyle w:val="SingleTxtG"/>
        <w:rPr>
          <w:rFonts w:eastAsia="Times New Roman"/>
          <w:lang w:val="fr-FR"/>
        </w:rPr>
      </w:pPr>
      <w:r w:rsidRPr="00466CE7">
        <w:rPr>
          <w:rFonts w:eastAsia="Times New Roman"/>
          <w:lang w:val="fr-FR"/>
        </w:rPr>
        <w:t>489.</w:t>
      </w:r>
      <w:r w:rsidRPr="00466CE7">
        <w:rPr>
          <w:rFonts w:eastAsia="Times New Roman"/>
          <w:lang w:val="fr-FR"/>
        </w:rPr>
        <w:tab/>
        <w:t xml:space="preserve">La liberté de parole, la liberté </w:t>
      </w:r>
      <w:r>
        <w:rPr>
          <w:rFonts w:eastAsia="Times New Roman"/>
          <w:lang w:val="fr-FR"/>
        </w:rPr>
        <w:t>de la presse</w:t>
      </w:r>
      <w:r w:rsidRPr="00466CE7">
        <w:rPr>
          <w:rFonts w:eastAsia="Times New Roman"/>
          <w:lang w:val="fr-FR"/>
        </w:rPr>
        <w:t xml:space="preserve"> et l</w:t>
      </w:r>
      <w:r>
        <w:rPr>
          <w:rFonts w:eastAsia="Times New Roman"/>
          <w:lang w:val="fr-FR"/>
        </w:rPr>
        <w:t xml:space="preserve">a liberté d’expression demeurent des éléments </w:t>
      </w:r>
      <w:r w:rsidRPr="00466CE7">
        <w:rPr>
          <w:rFonts w:eastAsia="Times New Roman"/>
          <w:lang w:val="fr-FR"/>
        </w:rPr>
        <w:t>cl</w:t>
      </w:r>
      <w:r w:rsidR="00822657">
        <w:rPr>
          <w:rFonts w:eastAsia="Times New Roman"/>
          <w:lang w:val="fr-FR"/>
        </w:rPr>
        <w:t>ef</w:t>
      </w:r>
      <w:r w:rsidRPr="00466CE7">
        <w:rPr>
          <w:rFonts w:eastAsia="Times New Roman"/>
          <w:lang w:val="fr-FR"/>
        </w:rPr>
        <w:t xml:space="preserve">s de </w:t>
      </w:r>
      <w:r>
        <w:rPr>
          <w:rFonts w:eastAsia="Times New Roman"/>
          <w:lang w:val="fr-FR"/>
        </w:rPr>
        <w:t xml:space="preserve">l’activité </w:t>
      </w:r>
      <w:r w:rsidRPr="00466CE7">
        <w:rPr>
          <w:rFonts w:eastAsia="Times New Roman"/>
          <w:lang w:val="fr-FR"/>
        </w:rPr>
        <w:t xml:space="preserve">humaine. </w:t>
      </w:r>
      <w:r>
        <w:rPr>
          <w:rFonts w:eastAsia="Times New Roman"/>
          <w:lang w:val="fr-FR"/>
        </w:rPr>
        <w:t xml:space="preserve">Dans la </w:t>
      </w:r>
      <w:r w:rsidRPr="00466CE7">
        <w:rPr>
          <w:rFonts w:eastAsia="Times New Roman"/>
          <w:lang w:val="fr-FR"/>
        </w:rPr>
        <w:t>République kirghize</w:t>
      </w:r>
      <w:r>
        <w:rPr>
          <w:rFonts w:eastAsia="Times New Roman"/>
          <w:lang w:val="fr-FR"/>
        </w:rPr>
        <w:t> ;</w:t>
      </w:r>
      <w:r w:rsidRPr="00466CE7">
        <w:rPr>
          <w:rFonts w:eastAsia="Times New Roman"/>
          <w:lang w:val="fr-FR"/>
        </w:rPr>
        <w:t xml:space="preserve"> le développement des </w:t>
      </w:r>
      <w:proofErr w:type="spellStart"/>
      <w:r w:rsidRPr="00466CE7">
        <w:rPr>
          <w:rFonts w:eastAsia="Times New Roman"/>
          <w:lang w:val="fr-FR"/>
        </w:rPr>
        <w:t>médias</w:t>
      </w:r>
      <w:proofErr w:type="spellEnd"/>
      <w:r w:rsidRPr="00466CE7">
        <w:rPr>
          <w:rFonts w:eastAsia="Times New Roman"/>
          <w:lang w:val="fr-FR"/>
        </w:rPr>
        <w:t xml:space="preserve"> </w:t>
      </w:r>
      <w:r>
        <w:rPr>
          <w:rFonts w:eastAsia="Times New Roman"/>
          <w:lang w:val="fr-FR"/>
        </w:rPr>
        <w:t xml:space="preserve">de masse </w:t>
      </w:r>
      <w:r w:rsidRPr="00466CE7">
        <w:rPr>
          <w:rFonts w:eastAsia="Times New Roman"/>
          <w:lang w:val="fr-FR"/>
        </w:rPr>
        <w:t>et de la liberté d</w:t>
      </w:r>
      <w:r>
        <w:rPr>
          <w:rFonts w:eastAsia="Times New Roman"/>
          <w:lang w:val="fr-FR"/>
        </w:rPr>
        <w:t>’</w:t>
      </w:r>
      <w:r w:rsidRPr="00466CE7">
        <w:rPr>
          <w:rFonts w:eastAsia="Times New Roman"/>
          <w:lang w:val="fr-FR"/>
        </w:rPr>
        <w:t>expression dans les langues des groupes ethniques</w:t>
      </w:r>
      <w:r>
        <w:rPr>
          <w:rFonts w:eastAsia="Times New Roman"/>
          <w:lang w:val="fr-FR"/>
        </w:rPr>
        <w:t xml:space="preserve"> est manifeste</w:t>
      </w:r>
      <w:r w:rsidRPr="00466CE7">
        <w:rPr>
          <w:rFonts w:eastAsia="Times New Roman"/>
          <w:lang w:val="fr-FR"/>
        </w:rPr>
        <w:t>.</w:t>
      </w:r>
    </w:p>
    <w:p w14:paraId="1B4C8BE3" w14:textId="3D62A884" w:rsidR="009C6834" w:rsidRDefault="009C6834" w:rsidP="009C6834">
      <w:pPr>
        <w:pStyle w:val="SingleTxtG"/>
        <w:rPr>
          <w:rFonts w:eastAsia="Times New Roman"/>
          <w:lang w:val="fr-FR"/>
        </w:rPr>
      </w:pPr>
      <w:r w:rsidRPr="00466CE7">
        <w:rPr>
          <w:rFonts w:eastAsia="Times New Roman"/>
          <w:lang w:val="fr-FR"/>
        </w:rPr>
        <w:t>490.</w:t>
      </w:r>
      <w:r w:rsidRPr="00466CE7">
        <w:rPr>
          <w:rFonts w:eastAsia="Times New Roman"/>
          <w:lang w:val="fr-FR"/>
        </w:rPr>
        <w:tab/>
        <w:t xml:space="preserve">La loi </w:t>
      </w:r>
      <w:r>
        <w:rPr>
          <w:rFonts w:eastAsia="Times New Roman"/>
          <w:lang w:val="fr-FR"/>
        </w:rPr>
        <w:t xml:space="preserve">relative aux </w:t>
      </w:r>
      <w:proofErr w:type="spellStart"/>
      <w:r w:rsidRPr="00466CE7">
        <w:rPr>
          <w:rFonts w:eastAsia="Times New Roman"/>
          <w:lang w:val="fr-FR"/>
        </w:rPr>
        <w:t>médias</w:t>
      </w:r>
      <w:proofErr w:type="spellEnd"/>
      <w:r w:rsidRPr="00466CE7">
        <w:rPr>
          <w:rFonts w:eastAsia="Times New Roman"/>
          <w:lang w:val="fr-FR"/>
        </w:rPr>
        <w:t xml:space="preserve"> de masse ne contient pas de </w:t>
      </w:r>
      <w:r>
        <w:rPr>
          <w:rFonts w:eastAsia="Times New Roman"/>
          <w:lang w:val="fr-FR"/>
        </w:rPr>
        <w:t xml:space="preserve">dispositions </w:t>
      </w:r>
      <w:r w:rsidRPr="00466CE7">
        <w:rPr>
          <w:rFonts w:eastAsia="Times New Roman"/>
          <w:lang w:val="fr-FR"/>
        </w:rPr>
        <w:t xml:space="preserve">restrictives </w:t>
      </w:r>
      <w:r>
        <w:rPr>
          <w:rFonts w:eastAsia="Times New Roman"/>
          <w:lang w:val="fr-FR"/>
        </w:rPr>
        <w:t xml:space="preserve">empêchant </w:t>
      </w:r>
      <w:r w:rsidRPr="00466CE7">
        <w:rPr>
          <w:rFonts w:eastAsia="Times New Roman"/>
          <w:lang w:val="fr-FR"/>
        </w:rPr>
        <w:t xml:space="preserve">le développement des </w:t>
      </w:r>
      <w:proofErr w:type="spellStart"/>
      <w:r w:rsidRPr="00466CE7">
        <w:rPr>
          <w:rFonts w:eastAsia="Times New Roman"/>
          <w:lang w:val="fr-FR"/>
        </w:rPr>
        <w:t>médias</w:t>
      </w:r>
      <w:proofErr w:type="spellEnd"/>
      <w:r w:rsidRPr="00466CE7">
        <w:rPr>
          <w:rFonts w:eastAsia="Times New Roman"/>
          <w:lang w:val="fr-FR"/>
        </w:rPr>
        <w:t xml:space="preserve"> dans les langues des communautés ethniques. La République kirghize a créé des conditions suffisamment libérales pour préserver la diversité ethnoculturelle des peuples </w:t>
      </w:r>
      <w:r>
        <w:rPr>
          <w:rFonts w:eastAsia="Times New Roman"/>
          <w:lang w:val="fr-FR"/>
        </w:rPr>
        <w:t>du pays</w:t>
      </w:r>
      <w:r w:rsidRPr="00466CE7">
        <w:rPr>
          <w:rFonts w:eastAsia="Times New Roman"/>
          <w:lang w:val="fr-FR"/>
        </w:rPr>
        <w:t xml:space="preserve">. En outre, les membres des groupes ethniques du </w:t>
      </w:r>
      <w:r w:rsidR="000479B3">
        <w:rPr>
          <w:rFonts w:eastAsia="Times New Roman"/>
          <w:lang w:val="fr-FR"/>
        </w:rPr>
        <w:t>Kirghizistan</w:t>
      </w:r>
      <w:r w:rsidRPr="00466CE7">
        <w:rPr>
          <w:rFonts w:eastAsia="Times New Roman"/>
          <w:lang w:val="fr-FR"/>
        </w:rPr>
        <w:t xml:space="preserve"> comprennent suffisamment bien le russe et le kirghiz</w:t>
      </w:r>
      <w:r>
        <w:rPr>
          <w:rFonts w:eastAsia="Times New Roman"/>
          <w:lang w:val="fr-FR"/>
        </w:rPr>
        <w:t>e</w:t>
      </w:r>
      <w:r w:rsidRPr="00466CE7">
        <w:rPr>
          <w:rFonts w:eastAsia="Times New Roman"/>
          <w:lang w:val="fr-FR"/>
        </w:rPr>
        <w:t xml:space="preserve"> pour </w:t>
      </w:r>
      <w:r>
        <w:rPr>
          <w:rFonts w:eastAsia="Times New Roman"/>
          <w:lang w:val="fr-FR"/>
        </w:rPr>
        <w:t xml:space="preserve">tirer </w:t>
      </w:r>
      <w:r w:rsidRPr="00466CE7">
        <w:rPr>
          <w:rFonts w:eastAsia="Times New Roman"/>
          <w:lang w:val="fr-FR"/>
        </w:rPr>
        <w:t xml:space="preserve">pleinement </w:t>
      </w:r>
      <w:r>
        <w:rPr>
          <w:rFonts w:eastAsia="Times New Roman"/>
          <w:lang w:val="fr-FR"/>
        </w:rPr>
        <w:t xml:space="preserve">profit des </w:t>
      </w:r>
      <w:proofErr w:type="spellStart"/>
      <w:r w:rsidRPr="00466CE7">
        <w:rPr>
          <w:rFonts w:eastAsia="Times New Roman"/>
          <w:lang w:val="fr-FR"/>
        </w:rPr>
        <w:t>médias</w:t>
      </w:r>
      <w:proofErr w:type="spellEnd"/>
      <w:r>
        <w:rPr>
          <w:rFonts w:eastAsia="Times New Roman"/>
          <w:lang w:val="fr-FR"/>
        </w:rPr>
        <w:t xml:space="preserve"> nationaux</w:t>
      </w:r>
      <w:r w:rsidRPr="00466CE7">
        <w:rPr>
          <w:rFonts w:eastAsia="Times New Roman"/>
          <w:lang w:val="fr-FR"/>
        </w:rPr>
        <w:t xml:space="preserve">, être informés des principaux </w:t>
      </w:r>
      <w:r>
        <w:rPr>
          <w:rFonts w:eastAsia="Times New Roman"/>
          <w:lang w:val="fr-FR"/>
        </w:rPr>
        <w:t xml:space="preserve">processus et </w:t>
      </w:r>
      <w:r w:rsidRPr="00466CE7">
        <w:rPr>
          <w:rFonts w:eastAsia="Times New Roman"/>
          <w:lang w:val="fr-FR"/>
        </w:rPr>
        <w:t xml:space="preserve">événements </w:t>
      </w:r>
      <w:r>
        <w:rPr>
          <w:rFonts w:eastAsia="Times New Roman"/>
          <w:lang w:val="fr-FR"/>
        </w:rPr>
        <w:t xml:space="preserve">qui se passent dans le </w:t>
      </w:r>
      <w:r w:rsidRPr="00466CE7">
        <w:rPr>
          <w:rFonts w:eastAsia="Times New Roman"/>
          <w:lang w:val="fr-FR"/>
        </w:rPr>
        <w:t>pays, obtenir et partager des connaissances, et communiquer et entretenir des relations avec d</w:t>
      </w:r>
      <w:r>
        <w:rPr>
          <w:rFonts w:eastAsia="Times New Roman"/>
          <w:lang w:val="fr-FR"/>
        </w:rPr>
        <w:t>’</w:t>
      </w:r>
      <w:r w:rsidRPr="00466CE7">
        <w:rPr>
          <w:rFonts w:eastAsia="Times New Roman"/>
          <w:lang w:val="fr-FR"/>
        </w:rPr>
        <w:t>autres communautés culturelles.</w:t>
      </w:r>
    </w:p>
    <w:p w14:paraId="629F518A" w14:textId="77777777" w:rsidR="009C6834" w:rsidRPr="00466CE7" w:rsidRDefault="009C6834" w:rsidP="009C6834">
      <w:pPr>
        <w:pStyle w:val="SingleTxtG"/>
        <w:rPr>
          <w:rFonts w:eastAsia="Times New Roman"/>
          <w:lang w:val="fr-FR"/>
        </w:rPr>
      </w:pPr>
      <w:r>
        <w:rPr>
          <w:rFonts w:eastAsia="Times New Roman"/>
          <w:lang w:val="fr-FR"/>
        </w:rPr>
        <w:t>491.</w:t>
      </w:r>
      <w:r>
        <w:rPr>
          <w:rFonts w:eastAsia="Times New Roman"/>
          <w:lang w:val="fr-FR"/>
        </w:rPr>
        <w:tab/>
        <w:t xml:space="preserve">La station de radio </w:t>
      </w:r>
      <w:proofErr w:type="spellStart"/>
      <w:r w:rsidRPr="006C7325">
        <w:rPr>
          <w:rFonts w:eastAsia="Times New Roman"/>
          <w:lang w:val="fr-FR"/>
        </w:rPr>
        <w:t>Dostouk</w:t>
      </w:r>
      <w:proofErr w:type="spellEnd"/>
      <w:r>
        <w:rPr>
          <w:rFonts w:eastAsia="Times New Roman"/>
          <w:lang w:val="fr-FR"/>
        </w:rPr>
        <w:t>, qui relève de la compagnie</w:t>
      </w:r>
      <w:r w:rsidRPr="00466CE7">
        <w:rPr>
          <w:rFonts w:eastAsia="Times New Roman"/>
          <w:lang w:val="fr-FR"/>
        </w:rPr>
        <w:t xml:space="preserve"> </w:t>
      </w:r>
      <w:r>
        <w:rPr>
          <w:rFonts w:eastAsia="Times New Roman"/>
          <w:lang w:val="fr-FR"/>
        </w:rPr>
        <w:t xml:space="preserve">nationale de télévision et de radiodiffusion, a pour </w:t>
      </w:r>
      <w:r w:rsidRPr="00466CE7">
        <w:rPr>
          <w:rFonts w:eastAsia="Times New Roman"/>
          <w:lang w:val="fr-FR"/>
        </w:rPr>
        <w:t xml:space="preserve">principal </w:t>
      </w:r>
      <w:r>
        <w:rPr>
          <w:rFonts w:eastAsia="Times New Roman"/>
          <w:lang w:val="fr-FR"/>
        </w:rPr>
        <w:t xml:space="preserve">objectif </w:t>
      </w:r>
      <w:r w:rsidRPr="00466CE7">
        <w:rPr>
          <w:rFonts w:eastAsia="Times New Roman"/>
          <w:lang w:val="fr-FR"/>
        </w:rPr>
        <w:t>de promouvoir l</w:t>
      </w:r>
      <w:r>
        <w:rPr>
          <w:rFonts w:eastAsia="Times New Roman"/>
          <w:lang w:val="fr-FR"/>
        </w:rPr>
        <w:t>’</w:t>
      </w:r>
      <w:r w:rsidRPr="00466CE7">
        <w:rPr>
          <w:rFonts w:eastAsia="Times New Roman"/>
          <w:lang w:val="fr-FR"/>
        </w:rPr>
        <w:t xml:space="preserve">unité du peuple et les relations </w:t>
      </w:r>
      <w:proofErr w:type="spellStart"/>
      <w:r w:rsidRPr="00466CE7">
        <w:rPr>
          <w:rFonts w:eastAsia="Times New Roman"/>
          <w:lang w:val="fr-FR"/>
        </w:rPr>
        <w:t>interethniques</w:t>
      </w:r>
      <w:proofErr w:type="spellEnd"/>
      <w:r w:rsidRPr="00466CE7">
        <w:rPr>
          <w:rFonts w:eastAsia="Times New Roman"/>
          <w:lang w:val="fr-FR"/>
        </w:rPr>
        <w:t xml:space="preserve"> </w:t>
      </w:r>
      <w:r>
        <w:rPr>
          <w:rFonts w:eastAsia="Times New Roman"/>
          <w:lang w:val="fr-FR"/>
        </w:rPr>
        <w:t xml:space="preserve">dans la </w:t>
      </w:r>
      <w:r w:rsidRPr="00466CE7">
        <w:rPr>
          <w:rFonts w:eastAsia="Times New Roman"/>
          <w:lang w:val="fr-FR"/>
        </w:rPr>
        <w:t>République kirghize.</w:t>
      </w:r>
    </w:p>
    <w:p w14:paraId="15081651" w14:textId="30D7FD0F" w:rsidR="009C6834" w:rsidRPr="00466CE7" w:rsidRDefault="009C6834" w:rsidP="009C6834">
      <w:pPr>
        <w:pStyle w:val="SingleTxtG"/>
        <w:rPr>
          <w:rFonts w:eastAsia="Times New Roman"/>
          <w:lang w:val="fr-FR"/>
        </w:rPr>
      </w:pPr>
      <w:r w:rsidRPr="00466CE7">
        <w:rPr>
          <w:rFonts w:eastAsia="Times New Roman"/>
          <w:lang w:val="fr-FR"/>
        </w:rPr>
        <w:t>492.</w:t>
      </w:r>
      <w:r w:rsidRPr="00466CE7">
        <w:rPr>
          <w:rFonts w:eastAsia="Times New Roman"/>
          <w:lang w:val="fr-FR"/>
        </w:rPr>
        <w:tab/>
      </w:r>
      <w:r>
        <w:rPr>
          <w:rFonts w:eastAsia="Times New Roman"/>
          <w:lang w:val="fr-FR"/>
        </w:rPr>
        <w:t xml:space="preserve">Elle a été créée conformément au document d’orientation pour la promotion </w:t>
      </w:r>
      <w:r w:rsidRPr="00466CE7">
        <w:rPr>
          <w:rFonts w:eastAsia="Times New Roman"/>
          <w:lang w:val="fr-FR"/>
        </w:rPr>
        <w:t>de l</w:t>
      </w:r>
      <w:r>
        <w:rPr>
          <w:rFonts w:eastAsia="Times New Roman"/>
          <w:lang w:val="fr-FR"/>
        </w:rPr>
        <w:t>’</w:t>
      </w:r>
      <w:r w:rsidRPr="00466CE7">
        <w:rPr>
          <w:rFonts w:eastAsia="Times New Roman"/>
          <w:lang w:val="fr-FR"/>
        </w:rPr>
        <w:t xml:space="preserve">unité du peuple et des relations </w:t>
      </w:r>
      <w:proofErr w:type="spellStart"/>
      <w:r w:rsidRPr="00466CE7">
        <w:rPr>
          <w:rFonts w:eastAsia="Times New Roman"/>
          <w:lang w:val="fr-FR"/>
        </w:rPr>
        <w:t>interethniques</w:t>
      </w:r>
      <w:proofErr w:type="spellEnd"/>
      <w:r w:rsidRPr="006C7325">
        <w:rPr>
          <w:rFonts w:eastAsia="Times New Roman"/>
          <w:lang w:val="fr-FR"/>
        </w:rPr>
        <w:t xml:space="preserve"> </w:t>
      </w:r>
      <w:r>
        <w:rPr>
          <w:rFonts w:eastAsia="Times New Roman"/>
          <w:lang w:val="fr-FR"/>
        </w:rPr>
        <w:t xml:space="preserve">dans la </w:t>
      </w:r>
      <w:r w:rsidRPr="00466CE7">
        <w:rPr>
          <w:rFonts w:eastAsia="Times New Roman"/>
          <w:lang w:val="fr-FR"/>
        </w:rPr>
        <w:t xml:space="preserve">République kirghize, approuvé par décret présidentiel </w:t>
      </w:r>
      <w:r>
        <w:rPr>
          <w:rFonts w:eastAsia="Times New Roman"/>
          <w:lang w:val="fr-FR"/>
        </w:rPr>
        <w:t xml:space="preserve">le </w:t>
      </w:r>
      <w:r w:rsidRPr="00466CE7">
        <w:rPr>
          <w:rFonts w:eastAsia="Times New Roman"/>
          <w:lang w:val="fr-FR"/>
        </w:rPr>
        <w:t>10</w:t>
      </w:r>
      <w:r w:rsidR="00726B8A">
        <w:rPr>
          <w:rFonts w:eastAsia="Times New Roman"/>
          <w:lang w:val="fr-FR"/>
        </w:rPr>
        <w:t> </w:t>
      </w:r>
      <w:r w:rsidRPr="00466CE7">
        <w:rPr>
          <w:rFonts w:eastAsia="Times New Roman"/>
          <w:lang w:val="fr-FR"/>
        </w:rPr>
        <w:t xml:space="preserve">avril 2013. </w:t>
      </w:r>
      <w:r>
        <w:rPr>
          <w:rFonts w:eastAsia="Times New Roman"/>
          <w:lang w:val="fr-FR"/>
        </w:rPr>
        <w:t xml:space="preserve">Elle traite de </w:t>
      </w:r>
      <w:r w:rsidRPr="00466CE7">
        <w:rPr>
          <w:rFonts w:eastAsia="Times New Roman"/>
          <w:lang w:val="fr-FR"/>
        </w:rPr>
        <w:t xml:space="preserve">sujets </w:t>
      </w:r>
      <w:r>
        <w:rPr>
          <w:rFonts w:eastAsia="Times New Roman"/>
          <w:lang w:val="fr-FR"/>
        </w:rPr>
        <w:t xml:space="preserve">se rapportant à la </w:t>
      </w:r>
      <w:r w:rsidRPr="00466CE7">
        <w:rPr>
          <w:rFonts w:eastAsia="Times New Roman"/>
          <w:lang w:val="fr-FR"/>
        </w:rPr>
        <w:t xml:space="preserve">culture, </w:t>
      </w:r>
      <w:r>
        <w:rPr>
          <w:rFonts w:eastAsia="Times New Roman"/>
          <w:lang w:val="fr-FR"/>
        </w:rPr>
        <w:t>l’</w:t>
      </w:r>
      <w:r w:rsidRPr="00466CE7">
        <w:rPr>
          <w:rFonts w:eastAsia="Times New Roman"/>
          <w:lang w:val="fr-FR"/>
        </w:rPr>
        <w:t xml:space="preserve">histoire, </w:t>
      </w:r>
      <w:r>
        <w:rPr>
          <w:rFonts w:eastAsia="Times New Roman"/>
          <w:lang w:val="fr-FR"/>
        </w:rPr>
        <w:t>l’</w:t>
      </w:r>
      <w:r w:rsidRPr="00466CE7">
        <w:rPr>
          <w:rFonts w:eastAsia="Times New Roman"/>
          <w:lang w:val="fr-FR"/>
        </w:rPr>
        <w:t xml:space="preserve">art et </w:t>
      </w:r>
      <w:r>
        <w:rPr>
          <w:rFonts w:eastAsia="Times New Roman"/>
          <w:lang w:val="fr-FR"/>
        </w:rPr>
        <w:t xml:space="preserve">la </w:t>
      </w:r>
      <w:r w:rsidRPr="00466CE7">
        <w:rPr>
          <w:rFonts w:eastAsia="Times New Roman"/>
          <w:lang w:val="fr-FR"/>
        </w:rPr>
        <w:t>littérature.</w:t>
      </w:r>
    </w:p>
    <w:p w14:paraId="724CEC93" w14:textId="6D62D351" w:rsidR="009C6834" w:rsidRPr="00466CE7" w:rsidRDefault="009C6834" w:rsidP="009C6834">
      <w:pPr>
        <w:pStyle w:val="SingleTxtG"/>
        <w:rPr>
          <w:rFonts w:eastAsia="Times New Roman"/>
          <w:lang w:val="fr-FR"/>
        </w:rPr>
      </w:pPr>
      <w:bookmarkStart w:id="8" w:name="_Hlk89263821"/>
      <w:r w:rsidRPr="00466CE7">
        <w:rPr>
          <w:rFonts w:eastAsia="Times New Roman"/>
          <w:lang w:val="fr-FR"/>
        </w:rPr>
        <w:lastRenderedPageBreak/>
        <w:t>493.</w:t>
      </w:r>
      <w:r w:rsidRPr="00466CE7">
        <w:rPr>
          <w:rFonts w:eastAsia="Times New Roman"/>
          <w:lang w:val="fr-FR"/>
        </w:rPr>
        <w:tab/>
        <w:t xml:space="preserve">Le lancement de la radio </w:t>
      </w:r>
      <w:proofErr w:type="spellStart"/>
      <w:r w:rsidRPr="006C7325">
        <w:rPr>
          <w:rFonts w:eastAsia="Times New Roman"/>
          <w:lang w:val="fr-FR"/>
        </w:rPr>
        <w:t>Dostouk</w:t>
      </w:r>
      <w:proofErr w:type="spellEnd"/>
      <w:r w:rsidRPr="00466CE7">
        <w:rPr>
          <w:rFonts w:eastAsia="Times New Roman"/>
          <w:lang w:val="fr-FR"/>
        </w:rPr>
        <w:t xml:space="preserve"> a </w:t>
      </w:r>
      <w:r>
        <w:rPr>
          <w:rFonts w:eastAsia="Times New Roman"/>
          <w:lang w:val="fr-FR"/>
        </w:rPr>
        <w:t xml:space="preserve">créé </w:t>
      </w:r>
      <w:r w:rsidRPr="00466CE7">
        <w:rPr>
          <w:rFonts w:eastAsia="Times New Roman"/>
          <w:lang w:val="fr-FR"/>
        </w:rPr>
        <w:t xml:space="preserve">une </w:t>
      </w:r>
      <w:proofErr w:type="spellStart"/>
      <w:r w:rsidRPr="00466CE7">
        <w:rPr>
          <w:rFonts w:eastAsia="Times New Roman"/>
          <w:lang w:val="fr-FR"/>
        </w:rPr>
        <w:t>plateforme</w:t>
      </w:r>
      <w:proofErr w:type="spellEnd"/>
      <w:r w:rsidRPr="00466CE7">
        <w:rPr>
          <w:rFonts w:eastAsia="Times New Roman"/>
          <w:lang w:val="fr-FR"/>
        </w:rPr>
        <w:t xml:space="preserve"> </w:t>
      </w:r>
      <w:r>
        <w:rPr>
          <w:rFonts w:eastAsia="Times New Roman"/>
          <w:lang w:val="fr-FR"/>
        </w:rPr>
        <w:t xml:space="preserve">qui </w:t>
      </w:r>
      <w:r w:rsidRPr="00875787">
        <w:rPr>
          <w:rFonts w:eastAsia="Times New Roman"/>
          <w:lang w:val="fr-FR"/>
        </w:rPr>
        <w:t>permet de vastes</w:t>
      </w:r>
      <w:r>
        <w:rPr>
          <w:rFonts w:eastAsia="Times New Roman"/>
          <w:lang w:val="fr-FR"/>
        </w:rPr>
        <w:t xml:space="preserve"> </w:t>
      </w:r>
      <w:r w:rsidRPr="00466CE7">
        <w:rPr>
          <w:rFonts w:eastAsia="Times New Roman"/>
          <w:lang w:val="fr-FR"/>
        </w:rPr>
        <w:t>échange</w:t>
      </w:r>
      <w:r>
        <w:rPr>
          <w:rFonts w:eastAsia="Times New Roman"/>
          <w:lang w:val="fr-FR"/>
        </w:rPr>
        <w:t>s</w:t>
      </w:r>
      <w:r w:rsidRPr="00466CE7">
        <w:rPr>
          <w:rFonts w:eastAsia="Times New Roman"/>
          <w:lang w:val="fr-FR"/>
        </w:rPr>
        <w:t xml:space="preserve"> </w:t>
      </w:r>
      <w:r>
        <w:rPr>
          <w:rFonts w:eastAsia="Times New Roman"/>
          <w:lang w:val="fr-FR"/>
        </w:rPr>
        <w:t xml:space="preserve">culturels </w:t>
      </w:r>
      <w:r w:rsidRPr="00466CE7">
        <w:rPr>
          <w:rFonts w:eastAsia="Times New Roman"/>
          <w:lang w:val="fr-FR"/>
        </w:rPr>
        <w:t xml:space="preserve">entre les différents groupes ethniques </w:t>
      </w:r>
      <w:r>
        <w:rPr>
          <w:rFonts w:eastAsia="Times New Roman"/>
          <w:lang w:val="fr-FR"/>
        </w:rPr>
        <w:t>peuplant le pays</w:t>
      </w:r>
      <w:r w:rsidRPr="00466CE7">
        <w:rPr>
          <w:rFonts w:eastAsia="Times New Roman"/>
          <w:lang w:val="fr-FR"/>
        </w:rPr>
        <w:t xml:space="preserve">. </w:t>
      </w:r>
      <w:r>
        <w:rPr>
          <w:rFonts w:eastAsia="Times New Roman"/>
          <w:lang w:val="fr-FR"/>
        </w:rPr>
        <w:t xml:space="preserve">Un </w:t>
      </w:r>
      <w:r w:rsidRPr="00466CE7">
        <w:rPr>
          <w:rFonts w:eastAsia="Times New Roman"/>
          <w:lang w:val="fr-FR"/>
        </w:rPr>
        <w:t xml:space="preserve">projet </w:t>
      </w:r>
      <w:r>
        <w:rPr>
          <w:rFonts w:eastAsia="Times New Roman"/>
          <w:lang w:val="fr-FR"/>
        </w:rPr>
        <w:t xml:space="preserve">de programme pour </w:t>
      </w:r>
      <w:r w:rsidRPr="00466CE7">
        <w:rPr>
          <w:rFonts w:eastAsia="Times New Roman"/>
          <w:lang w:val="fr-FR"/>
        </w:rPr>
        <w:t>l</w:t>
      </w:r>
      <w:r>
        <w:rPr>
          <w:rFonts w:eastAsia="Times New Roman"/>
          <w:lang w:val="fr-FR"/>
        </w:rPr>
        <w:t xml:space="preserve">’apprentissage du </w:t>
      </w:r>
      <w:r w:rsidRPr="00466CE7">
        <w:rPr>
          <w:rFonts w:eastAsia="Times New Roman"/>
          <w:lang w:val="fr-FR"/>
        </w:rPr>
        <w:t>kirghize est en cours de réalisation.</w:t>
      </w:r>
    </w:p>
    <w:bookmarkEnd w:id="8"/>
    <w:p w14:paraId="0C1CCABA" w14:textId="2E0396F9" w:rsidR="009C6834" w:rsidRPr="00466CE7" w:rsidRDefault="009C6834" w:rsidP="009C6834">
      <w:pPr>
        <w:pStyle w:val="SingleTxtG"/>
        <w:rPr>
          <w:rFonts w:eastAsia="Times New Roman"/>
          <w:lang w:val="fr-FR"/>
        </w:rPr>
      </w:pPr>
      <w:r w:rsidRPr="00466CE7">
        <w:rPr>
          <w:rFonts w:eastAsia="Times New Roman"/>
          <w:lang w:val="fr-FR"/>
        </w:rPr>
        <w:t>494.</w:t>
      </w:r>
      <w:r w:rsidRPr="00466CE7">
        <w:rPr>
          <w:rFonts w:eastAsia="Times New Roman"/>
          <w:lang w:val="fr-FR"/>
        </w:rPr>
        <w:tab/>
      </w:r>
      <w:r>
        <w:rPr>
          <w:rFonts w:eastAsia="Times New Roman"/>
          <w:lang w:val="fr-FR"/>
        </w:rPr>
        <w:t xml:space="preserve">Des émissions sont diffusées </w:t>
      </w:r>
      <w:r w:rsidRPr="00466CE7">
        <w:rPr>
          <w:rFonts w:eastAsia="Times New Roman"/>
          <w:lang w:val="fr-FR"/>
        </w:rPr>
        <w:t xml:space="preserve">en ligne </w:t>
      </w:r>
      <w:r>
        <w:rPr>
          <w:rFonts w:eastAsia="Times New Roman"/>
          <w:lang w:val="fr-FR"/>
        </w:rPr>
        <w:t xml:space="preserve">durant la </w:t>
      </w:r>
      <w:r w:rsidRPr="00466CE7">
        <w:rPr>
          <w:rFonts w:eastAsia="Times New Roman"/>
          <w:lang w:val="fr-FR"/>
        </w:rPr>
        <w:t xml:space="preserve">semaine et sur </w:t>
      </w:r>
      <w:r>
        <w:rPr>
          <w:rFonts w:eastAsia="Times New Roman"/>
          <w:lang w:val="fr-FR"/>
        </w:rPr>
        <w:t xml:space="preserve">la fréquence de </w:t>
      </w:r>
      <w:proofErr w:type="spellStart"/>
      <w:r w:rsidRPr="006C7325">
        <w:rPr>
          <w:rFonts w:eastAsia="Times New Roman"/>
          <w:lang w:val="fr-FR"/>
        </w:rPr>
        <w:t>Birintchi</w:t>
      </w:r>
      <w:proofErr w:type="spellEnd"/>
      <w:r w:rsidRPr="006C7325">
        <w:rPr>
          <w:rFonts w:eastAsia="Times New Roman"/>
          <w:lang w:val="fr-FR"/>
        </w:rPr>
        <w:t xml:space="preserve"> Radio</w:t>
      </w:r>
      <w:r w:rsidRPr="00620FA3">
        <w:rPr>
          <w:rFonts w:eastAsia="Times New Roman"/>
          <w:lang w:val="fr-FR"/>
        </w:rPr>
        <w:t xml:space="preserve"> </w:t>
      </w:r>
      <w:r w:rsidRPr="00466CE7">
        <w:rPr>
          <w:rFonts w:eastAsia="Times New Roman"/>
          <w:lang w:val="fr-FR"/>
        </w:rPr>
        <w:t>le week-end (</w:t>
      </w:r>
      <w:r>
        <w:rPr>
          <w:rFonts w:eastAsia="Times New Roman"/>
          <w:lang w:val="fr-FR"/>
        </w:rPr>
        <w:t xml:space="preserve">le </w:t>
      </w:r>
      <w:r w:rsidRPr="00466CE7">
        <w:rPr>
          <w:rFonts w:eastAsia="Times New Roman"/>
          <w:lang w:val="fr-FR"/>
        </w:rPr>
        <w:t xml:space="preserve">samedi et </w:t>
      </w:r>
      <w:r>
        <w:rPr>
          <w:rFonts w:eastAsia="Times New Roman"/>
          <w:lang w:val="fr-FR"/>
        </w:rPr>
        <w:t xml:space="preserve">le </w:t>
      </w:r>
      <w:r w:rsidRPr="00466CE7">
        <w:rPr>
          <w:rFonts w:eastAsia="Times New Roman"/>
          <w:lang w:val="fr-FR"/>
        </w:rPr>
        <w:t>dimanche). L</w:t>
      </w:r>
      <w:r>
        <w:rPr>
          <w:rFonts w:eastAsia="Times New Roman"/>
          <w:lang w:val="fr-FR"/>
        </w:rPr>
        <w:t xml:space="preserve">’équipe éditoriale </w:t>
      </w:r>
      <w:r w:rsidRPr="00466CE7">
        <w:rPr>
          <w:rFonts w:eastAsia="Times New Roman"/>
          <w:lang w:val="fr-FR"/>
        </w:rPr>
        <w:t xml:space="preserve">de la radio travaille en étroite collaboration avec les associations ethniques </w:t>
      </w:r>
      <w:r>
        <w:rPr>
          <w:rFonts w:eastAsia="Times New Roman"/>
          <w:lang w:val="fr-FR"/>
        </w:rPr>
        <w:t xml:space="preserve">membres </w:t>
      </w:r>
      <w:r w:rsidRPr="00466CE7">
        <w:rPr>
          <w:rFonts w:eastAsia="Times New Roman"/>
          <w:lang w:val="fr-FR"/>
        </w:rPr>
        <w:t>de l</w:t>
      </w:r>
      <w:r>
        <w:rPr>
          <w:rFonts w:eastAsia="Times New Roman"/>
          <w:lang w:val="fr-FR"/>
        </w:rPr>
        <w:t>’</w:t>
      </w:r>
      <w:r w:rsidRPr="00466CE7">
        <w:rPr>
          <w:rFonts w:eastAsia="Times New Roman"/>
          <w:lang w:val="fr-FR"/>
        </w:rPr>
        <w:t xml:space="preserve">Assemblée du peuple du </w:t>
      </w:r>
      <w:r w:rsidR="000479B3">
        <w:rPr>
          <w:rFonts w:eastAsia="Times New Roman"/>
          <w:lang w:val="fr-FR"/>
        </w:rPr>
        <w:t>Kirghizistan</w:t>
      </w:r>
      <w:r w:rsidRPr="00466CE7">
        <w:rPr>
          <w:rFonts w:eastAsia="Times New Roman"/>
          <w:lang w:val="fr-FR"/>
        </w:rPr>
        <w:t>.</w:t>
      </w:r>
    </w:p>
    <w:p w14:paraId="4799F6D8" w14:textId="7113B3AC" w:rsidR="009C6834" w:rsidRPr="00466CE7" w:rsidRDefault="009C6834" w:rsidP="009C6834">
      <w:pPr>
        <w:pStyle w:val="SingleTxtG"/>
        <w:rPr>
          <w:rFonts w:eastAsia="Times New Roman"/>
          <w:lang w:val="fr-FR"/>
        </w:rPr>
      </w:pPr>
      <w:r w:rsidRPr="00466CE7">
        <w:rPr>
          <w:rFonts w:eastAsia="Times New Roman"/>
          <w:lang w:val="fr-FR"/>
        </w:rPr>
        <w:t>495.</w:t>
      </w:r>
      <w:r w:rsidRPr="00466CE7">
        <w:rPr>
          <w:rFonts w:eastAsia="Times New Roman"/>
          <w:lang w:val="fr-FR"/>
        </w:rPr>
        <w:tab/>
        <w:t>L</w:t>
      </w:r>
      <w:r>
        <w:rPr>
          <w:rFonts w:eastAsia="Times New Roman"/>
          <w:lang w:val="fr-FR"/>
        </w:rPr>
        <w:t>’</w:t>
      </w:r>
      <w:r w:rsidRPr="00466CE7">
        <w:rPr>
          <w:rFonts w:eastAsia="Times New Roman"/>
          <w:lang w:val="fr-FR"/>
        </w:rPr>
        <w:t xml:space="preserve">émission de radio </w:t>
      </w:r>
      <w:r>
        <w:rPr>
          <w:rFonts w:eastAsia="Times New Roman"/>
          <w:lang w:val="fr-FR"/>
        </w:rPr>
        <w:t>« Le pont de l’amitié »</w:t>
      </w:r>
      <w:r w:rsidRPr="00466CE7">
        <w:rPr>
          <w:rFonts w:eastAsia="Times New Roman"/>
          <w:lang w:val="fr-FR"/>
        </w:rPr>
        <w:t xml:space="preserve"> est diffusée chaque semaine en plusieurs langues</w:t>
      </w:r>
      <w:r>
        <w:rPr>
          <w:rFonts w:eastAsia="Times New Roman"/>
          <w:lang w:val="fr-FR"/>
        </w:rPr>
        <w:t> :</w:t>
      </w:r>
      <w:r w:rsidRPr="00466CE7">
        <w:rPr>
          <w:rFonts w:eastAsia="Times New Roman"/>
          <w:lang w:val="fr-FR"/>
        </w:rPr>
        <w:t xml:space="preserve"> kirghize, russe, </w:t>
      </w:r>
      <w:proofErr w:type="spellStart"/>
      <w:r>
        <w:rPr>
          <w:rFonts w:eastAsia="Times New Roman"/>
          <w:lang w:val="fr-FR"/>
        </w:rPr>
        <w:t>doungane</w:t>
      </w:r>
      <w:proofErr w:type="spellEnd"/>
      <w:r w:rsidRPr="00466CE7">
        <w:rPr>
          <w:rFonts w:eastAsia="Times New Roman"/>
          <w:lang w:val="fr-FR"/>
        </w:rPr>
        <w:t>, ukrainien, polonais, tatar, turc et ouïgour.</w:t>
      </w:r>
    </w:p>
    <w:p w14:paraId="789F9BED" w14:textId="6B629216" w:rsidR="009C6834" w:rsidRPr="00466CE7" w:rsidRDefault="009C6834" w:rsidP="009C6834">
      <w:pPr>
        <w:pStyle w:val="SingleTxtG"/>
        <w:rPr>
          <w:rFonts w:eastAsia="Times New Roman"/>
          <w:lang w:val="fr-FR"/>
        </w:rPr>
      </w:pPr>
      <w:r w:rsidRPr="00466CE7">
        <w:rPr>
          <w:rFonts w:eastAsia="Times New Roman"/>
          <w:lang w:val="fr-FR"/>
        </w:rPr>
        <w:t>496.</w:t>
      </w:r>
      <w:r w:rsidRPr="00466CE7">
        <w:rPr>
          <w:rFonts w:eastAsia="Times New Roman"/>
          <w:lang w:val="fr-FR"/>
        </w:rPr>
        <w:tab/>
        <w:t>En outre, les antennes régionales</w:t>
      </w:r>
      <w:r>
        <w:rPr>
          <w:rFonts w:eastAsia="Times New Roman"/>
          <w:lang w:val="fr-FR"/>
        </w:rPr>
        <w:t xml:space="preserve"> de la compagnie </w:t>
      </w:r>
      <w:proofErr w:type="spellStart"/>
      <w:r w:rsidRPr="006C7325">
        <w:rPr>
          <w:rFonts w:eastAsia="Times New Roman"/>
          <w:lang w:val="fr-FR"/>
        </w:rPr>
        <w:t>Yntymak</w:t>
      </w:r>
      <w:proofErr w:type="spellEnd"/>
      <w:r w:rsidRPr="00466CE7">
        <w:rPr>
          <w:rFonts w:eastAsia="Times New Roman"/>
          <w:lang w:val="fr-FR"/>
        </w:rPr>
        <w:t xml:space="preserve"> diffusent des </w:t>
      </w:r>
      <w:r>
        <w:rPr>
          <w:rFonts w:eastAsia="Times New Roman"/>
          <w:lang w:val="fr-FR"/>
        </w:rPr>
        <w:t xml:space="preserve">programmes </w:t>
      </w:r>
      <w:r w:rsidRPr="00466CE7">
        <w:rPr>
          <w:rFonts w:eastAsia="Times New Roman"/>
          <w:lang w:val="fr-FR"/>
        </w:rPr>
        <w:t xml:space="preserve">en kirghize, en russe et en ouzbek. Le programme quotidien de la </w:t>
      </w:r>
      <w:r>
        <w:rPr>
          <w:rFonts w:eastAsia="Times New Roman"/>
          <w:lang w:val="fr-FR"/>
        </w:rPr>
        <w:t xml:space="preserve">compagnie </w:t>
      </w:r>
      <w:r w:rsidRPr="00466CE7">
        <w:rPr>
          <w:rFonts w:eastAsia="Times New Roman"/>
          <w:lang w:val="fr-FR"/>
        </w:rPr>
        <w:t>est le suivant</w:t>
      </w:r>
      <w:r>
        <w:rPr>
          <w:rFonts w:eastAsia="Times New Roman"/>
          <w:lang w:val="fr-FR"/>
        </w:rPr>
        <w:t> :</w:t>
      </w:r>
      <w:r w:rsidRPr="00466CE7">
        <w:rPr>
          <w:rFonts w:eastAsia="Times New Roman"/>
          <w:lang w:val="fr-FR"/>
        </w:rPr>
        <w:t xml:space="preserve"> 360</w:t>
      </w:r>
      <w:r w:rsidR="00726B8A">
        <w:rPr>
          <w:rFonts w:eastAsia="Times New Roman"/>
          <w:lang w:val="fr-FR"/>
        </w:rPr>
        <w:t> </w:t>
      </w:r>
      <w:r w:rsidRPr="00466CE7">
        <w:rPr>
          <w:rFonts w:eastAsia="Times New Roman"/>
          <w:lang w:val="fr-FR"/>
        </w:rPr>
        <w:t xml:space="preserve">minutes </w:t>
      </w:r>
      <w:r>
        <w:rPr>
          <w:rFonts w:eastAsia="Times New Roman"/>
          <w:lang w:val="fr-FR"/>
        </w:rPr>
        <w:t>(six heures)</w:t>
      </w:r>
      <w:r w:rsidRPr="006C7325">
        <w:rPr>
          <w:rFonts w:eastAsia="Times New Roman"/>
          <w:lang w:val="fr-FR"/>
        </w:rPr>
        <w:t xml:space="preserve"> </w:t>
      </w:r>
      <w:r w:rsidRPr="00466CE7">
        <w:rPr>
          <w:rFonts w:eastAsia="Times New Roman"/>
          <w:lang w:val="fr-FR"/>
        </w:rPr>
        <w:t xml:space="preserve">en kirghize, </w:t>
      </w:r>
      <w:r>
        <w:rPr>
          <w:rFonts w:eastAsia="Times New Roman"/>
          <w:lang w:val="fr-FR"/>
        </w:rPr>
        <w:t>90</w:t>
      </w:r>
      <w:r w:rsidR="00726B8A">
        <w:rPr>
          <w:rFonts w:eastAsia="Times New Roman"/>
          <w:lang w:val="fr-FR"/>
        </w:rPr>
        <w:t> </w:t>
      </w:r>
      <w:r w:rsidRPr="00466CE7">
        <w:rPr>
          <w:rFonts w:eastAsia="Times New Roman"/>
          <w:lang w:val="fr-FR"/>
        </w:rPr>
        <w:t xml:space="preserve">minutes </w:t>
      </w:r>
      <w:r>
        <w:rPr>
          <w:rFonts w:eastAsia="Times New Roman"/>
          <w:lang w:val="fr-FR"/>
        </w:rPr>
        <w:t xml:space="preserve">(une heure et demie) </w:t>
      </w:r>
      <w:r w:rsidRPr="00466CE7">
        <w:rPr>
          <w:rFonts w:eastAsia="Times New Roman"/>
          <w:lang w:val="fr-FR"/>
        </w:rPr>
        <w:t>en russe</w:t>
      </w:r>
      <w:r>
        <w:rPr>
          <w:rFonts w:eastAsia="Times New Roman"/>
          <w:lang w:val="fr-FR"/>
        </w:rPr>
        <w:t xml:space="preserve"> et 180</w:t>
      </w:r>
      <w:r w:rsidR="00726B8A">
        <w:rPr>
          <w:rFonts w:eastAsia="Times New Roman"/>
          <w:lang w:val="fr-FR"/>
        </w:rPr>
        <w:t> </w:t>
      </w:r>
      <w:r>
        <w:rPr>
          <w:rFonts w:eastAsia="Times New Roman"/>
          <w:lang w:val="fr-FR"/>
        </w:rPr>
        <w:t>minutes (trois heures)</w:t>
      </w:r>
      <w:r w:rsidRPr="006C7325">
        <w:rPr>
          <w:rFonts w:eastAsia="Times New Roman"/>
          <w:lang w:val="fr-FR"/>
        </w:rPr>
        <w:t xml:space="preserve"> </w:t>
      </w:r>
      <w:r>
        <w:rPr>
          <w:rFonts w:eastAsia="Times New Roman"/>
          <w:lang w:val="fr-FR"/>
        </w:rPr>
        <w:t>en o</w:t>
      </w:r>
      <w:r w:rsidRPr="00466CE7">
        <w:rPr>
          <w:rFonts w:eastAsia="Times New Roman"/>
          <w:lang w:val="fr-FR"/>
        </w:rPr>
        <w:t>uzbek.</w:t>
      </w:r>
    </w:p>
    <w:p w14:paraId="1E2DBCAD" w14:textId="1D1D0670" w:rsidR="009C6834" w:rsidRPr="00466CE7" w:rsidRDefault="009C6834" w:rsidP="009C6834">
      <w:pPr>
        <w:pStyle w:val="SingleTxtG"/>
        <w:rPr>
          <w:rFonts w:eastAsia="Times New Roman"/>
          <w:lang w:val="fr-FR"/>
        </w:rPr>
      </w:pPr>
      <w:r w:rsidRPr="00466CE7">
        <w:rPr>
          <w:rFonts w:eastAsia="Times New Roman"/>
          <w:lang w:val="fr-FR"/>
        </w:rPr>
        <w:t>497.</w:t>
      </w:r>
      <w:r w:rsidRPr="00466CE7">
        <w:rPr>
          <w:rFonts w:eastAsia="Times New Roman"/>
          <w:lang w:val="fr-FR"/>
        </w:rPr>
        <w:tab/>
        <w:t xml:space="preserve">Il existe </w:t>
      </w:r>
      <w:r>
        <w:rPr>
          <w:rFonts w:eastAsia="Times New Roman"/>
          <w:lang w:val="fr-FR"/>
        </w:rPr>
        <w:t xml:space="preserve">au Kirghizistan plusieurs journaux </w:t>
      </w:r>
      <w:r w:rsidRPr="00466CE7">
        <w:rPr>
          <w:rFonts w:eastAsia="Times New Roman"/>
          <w:lang w:val="fr-FR"/>
        </w:rPr>
        <w:t xml:space="preserve">financés par </w:t>
      </w:r>
      <w:r>
        <w:rPr>
          <w:rFonts w:eastAsia="Times New Roman"/>
          <w:lang w:val="fr-FR"/>
        </w:rPr>
        <w:t xml:space="preserve">l’État : </w:t>
      </w:r>
      <w:r w:rsidRPr="00466CE7">
        <w:rPr>
          <w:rFonts w:eastAsia="Times New Roman"/>
          <w:lang w:val="fr-FR"/>
        </w:rPr>
        <w:t>3 en ouzbek, 3 en russe, 7 en kirghize et russe, et 23 en kirg</w:t>
      </w:r>
      <w:r>
        <w:rPr>
          <w:rFonts w:eastAsia="Times New Roman"/>
          <w:lang w:val="fr-FR"/>
        </w:rPr>
        <w:t>hize.</w:t>
      </w:r>
    </w:p>
    <w:p w14:paraId="5BABE9C6" w14:textId="1826C1E8" w:rsidR="009C6834" w:rsidRPr="00466CE7" w:rsidRDefault="009C6834" w:rsidP="00726B8A">
      <w:pPr>
        <w:pStyle w:val="SingleTxtG"/>
        <w:keepNext/>
        <w:rPr>
          <w:rFonts w:eastAsia="Times New Roman"/>
          <w:lang w:val="fr-FR"/>
        </w:rPr>
      </w:pPr>
      <w:r w:rsidRPr="00466CE7">
        <w:rPr>
          <w:rFonts w:eastAsia="Times New Roman"/>
          <w:lang w:val="fr-FR"/>
        </w:rPr>
        <w:t>498.</w:t>
      </w:r>
      <w:r w:rsidRPr="00466CE7">
        <w:rPr>
          <w:rFonts w:eastAsia="Times New Roman"/>
          <w:lang w:val="fr-FR"/>
        </w:rPr>
        <w:tab/>
      </w:r>
      <w:r>
        <w:rPr>
          <w:rFonts w:eastAsia="Times New Roman"/>
          <w:lang w:val="fr-FR"/>
        </w:rPr>
        <w:t xml:space="preserve">Plusieurs </w:t>
      </w:r>
      <w:proofErr w:type="spellStart"/>
      <w:r>
        <w:rPr>
          <w:rFonts w:eastAsia="Times New Roman"/>
          <w:lang w:val="fr-FR"/>
        </w:rPr>
        <w:t>médias</w:t>
      </w:r>
      <w:proofErr w:type="spellEnd"/>
      <w:r>
        <w:rPr>
          <w:rFonts w:eastAsia="Times New Roman"/>
          <w:lang w:val="fr-FR"/>
        </w:rPr>
        <w:t xml:space="preserve"> diffusant dans les langues des groupes ethniques bénéficient de subventions publiques :</w:t>
      </w:r>
    </w:p>
    <w:p w14:paraId="6D344238" w14:textId="68ADB000" w:rsidR="009C6834" w:rsidRPr="00690F99" w:rsidRDefault="009C6834" w:rsidP="00726B8A">
      <w:pPr>
        <w:pStyle w:val="SingleTxtG"/>
        <w:ind w:left="1701"/>
        <w:rPr>
          <w:rFonts w:eastAsia="Times New Roman"/>
          <w:lang w:val="fr-FR"/>
        </w:rPr>
      </w:pPr>
      <w:r>
        <w:rPr>
          <w:rFonts w:eastAsia="Times New Roman"/>
          <w:lang w:val="fr-FR"/>
        </w:rPr>
        <w:t>1)</w:t>
      </w:r>
      <w:r w:rsidR="00726B8A">
        <w:rPr>
          <w:rFonts w:eastAsia="Times New Roman"/>
          <w:lang w:val="fr-FR"/>
        </w:rPr>
        <w:tab/>
        <w:t xml:space="preserve">La </w:t>
      </w:r>
      <w:r>
        <w:rPr>
          <w:rFonts w:eastAsia="Times New Roman"/>
          <w:lang w:val="fr-FR"/>
        </w:rPr>
        <w:t xml:space="preserve">compagnie publique </w:t>
      </w:r>
      <w:r w:rsidRPr="00466CE7">
        <w:rPr>
          <w:rFonts w:eastAsia="Times New Roman"/>
          <w:lang w:val="fr-FR"/>
        </w:rPr>
        <w:t>national</w:t>
      </w:r>
      <w:r>
        <w:rPr>
          <w:rFonts w:eastAsia="Times New Roman"/>
          <w:lang w:val="fr-FR"/>
        </w:rPr>
        <w:t>e</w:t>
      </w:r>
      <w:r w:rsidRPr="00466CE7">
        <w:rPr>
          <w:rFonts w:eastAsia="Times New Roman"/>
          <w:lang w:val="fr-FR"/>
        </w:rPr>
        <w:t xml:space="preserve"> de </w:t>
      </w:r>
      <w:r>
        <w:rPr>
          <w:rFonts w:eastAsia="Times New Roman"/>
          <w:lang w:val="fr-FR"/>
        </w:rPr>
        <w:t>radiodiffusion et de télévision</w:t>
      </w:r>
      <w:r w:rsidRPr="00466CE7">
        <w:rPr>
          <w:rFonts w:eastAsia="Times New Roman"/>
          <w:lang w:val="fr-FR"/>
        </w:rPr>
        <w:t xml:space="preserve"> </w:t>
      </w:r>
      <w:proofErr w:type="spellStart"/>
      <w:r w:rsidRPr="003C742E">
        <w:rPr>
          <w:rFonts w:eastAsia="Times New Roman"/>
          <w:lang w:val="fr-FR"/>
        </w:rPr>
        <w:t>Yntymak</w:t>
      </w:r>
      <w:proofErr w:type="spellEnd"/>
      <w:r>
        <w:rPr>
          <w:rFonts w:eastAsia="Times New Roman"/>
          <w:lang w:val="fr-FR"/>
        </w:rPr>
        <w:t xml:space="preserve"> (o</w:t>
      </w:r>
      <w:r w:rsidRPr="00690F99">
        <w:rPr>
          <w:rFonts w:eastAsia="Times New Roman"/>
          <w:lang w:val="fr-FR"/>
        </w:rPr>
        <w:t>uzbek) ;</w:t>
      </w:r>
    </w:p>
    <w:p w14:paraId="08DD50C3" w14:textId="15316E31" w:rsidR="009C6834" w:rsidRPr="00690F99" w:rsidRDefault="009C6834" w:rsidP="00726B8A">
      <w:pPr>
        <w:pStyle w:val="SingleTxtG"/>
        <w:ind w:left="1701"/>
        <w:rPr>
          <w:rFonts w:eastAsia="Times New Roman"/>
          <w:lang w:val="fr-FR"/>
        </w:rPr>
      </w:pPr>
      <w:r w:rsidRPr="00690F99">
        <w:rPr>
          <w:rFonts w:eastAsia="Times New Roman"/>
          <w:lang w:val="fr-FR"/>
        </w:rPr>
        <w:t>2)</w:t>
      </w:r>
      <w:r w:rsidR="00726B8A">
        <w:rPr>
          <w:rFonts w:eastAsia="Times New Roman"/>
          <w:lang w:val="fr-FR"/>
        </w:rPr>
        <w:tab/>
      </w:r>
      <w:r w:rsidR="00726B8A" w:rsidRPr="00690F99">
        <w:rPr>
          <w:rFonts w:eastAsia="Times New Roman"/>
          <w:lang w:val="fr-FR"/>
        </w:rPr>
        <w:t xml:space="preserve">Le </w:t>
      </w:r>
      <w:r w:rsidRPr="00690F99">
        <w:rPr>
          <w:rFonts w:eastAsia="Times New Roman"/>
          <w:lang w:val="fr-FR"/>
        </w:rPr>
        <w:t xml:space="preserve">groupe de presse </w:t>
      </w:r>
      <w:proofErr w:type="spellStart"/>
      <w:r w:rsidRPr="00690F99">
        <w:rPr>
          <w:rFonts w:eastAsia="Times New Roman"/>
          <w:lang w:val="fr-FR"/>
        </w:rPr>
        <w:t>Piramida</w:t>
      </w:r>
      <w:proofErr w:type="spellEnd"/>
      <w:r w:rsidRPr="00690F99">
        <w:rPr>
          <w:rFonts w:eastAsia="Times New Roman"/>
          <w:lang w:val="fr-FR"/>
        </w:rPr>
        <w:t xml:space="preserve"> (russe) ;</w:t>
      </w:r>
    </w:p>
    <w:p w14:paraId="2D700A67" w14:textId="1D72D06D" w:rsidR="009C6834" w:rsidRPr="00690F99" w:rsidRDefault="009C6834" w:rsidP="00726B8A">
      <w:pPr>
        <w:pStyle w:val="SingleTxtG"/>
        <w:ind w:left="1701"/>
        <w:rPr>
          <w:rFonts w:eastAsia="Times New Roman"/>
          <w:lang w:val="fr-FR"/>
        </w:rPr>
      </w:pPr>
      <w:r w:rsidRPr="00690F99">
        <w:rPr>
          <w:rFonts w:eastAsia="Times New Roman"/>
          <w:lang w:val="fr-FR"/>
        </w:rPr>
        <w:t>3)</w:t>
      </w:r>
      <w:r w:rsidR="00726B8A">
        <w:rPr>
          <w:rFonts w:eastAsia="Times New Roman"/>
          <w:lang w:val="fr-FR"/>
        </w:rPr>
        <w:tab/>
      </w:r>
      <w:r w:rsidR="00726B8A" w:rsidRPr="00690F99">
        <w:rPr>
          <w:rFonts w:eastAsia="Times New Roman"/>
          <w:lang w:val="fr-FR"/>
        </w:rPr>
        <w:t xml:space="preserve">Le </w:t>
      </w:r>
      <w:r w:rsidRPr="00690F99">
        <w:rPr>
          <w:rFonts w:eastAsia="Times New Roman"/>
          <w:lang w:val="fr-FR"/>
        </w:rPr>
        <w:t xml:space="preserve">journal </w:t>
      </w:r>
      <w:proofErr w:type="spellStart"/>
      <w:r w:rsidRPr="00690F99">
        <w:rPr>
          <w:rFonts w:eastAsia="Times New Roman"/>
          <w:lang w:val="fr-FR"/>
        </w:rPr>
        <w:t>Slovo</w:t>
      </w:r>
      <w:proofErr w:type="spellEnd"/>
      <w:r w:rsidRPr="00690F99">
        <w:rPr>
          <w:rFonts w:eastAsia="Times New Roman"/>
          <w:lang w:val="fr-FR"/>
        </w:rPr>
        <w:t xml:space="preserve"> </w:t>
      </w:r>
      <w:proofErr w:type="spellStart"/>
      <w:r w:rsidR="000479B3">
        <w:rPr>
          <w:rFonts w:eastAsia="Times New Roman"/>
          <w:lang w:val="fr-FR"/>
        </w:rPr>
        <w:t>Kirghizistan</w:t>
      </w:r>
      <w:r w:rsidRPr="00690F99">
        <w:rPr>
          <w:rFonts w:eastAsia="Times New Roman"/>
          <w:lang w:val="fr-FR"/>
        </w:rPr>
        <w:t>a</w:t>
      </w:r>
      <w:proofErr w:type="spellEnd"/>
      <w:r w:rsidRPr="00690F99">
        <w:rPr>
          <w:rFonts w:eastAsia="Times New Roman"/>
          <w:lang w:val="fr-FR"/>
        </w:rPr>
        <w:t xml:space="preserve"> (russe) ;</w:t>
      </w:r>
    </w:p>
    <w:p w14:paraId="3E4BE8C9" w14:textId="0BFD9179" w:rsidR="009C6834" w:rsidRPr="00690F99" w:rsidRDefault="009C6834" w:rsidP="00726B8A">
      <w:pPr>
        <w:pStyle w:val="SingleTxtG"/>
        <w:ind w:left="1701"/>
        <w:rPr>
          <w:rFonts w:eastAsia="Times New Roman"/>
          <w:lang w:val="fr-FR"/>
        </w:rPr>
      </w:pPr>
      <w:r w:rsidRPr="00690F99">
        <w:rPr>
          <w:rFonts w:eastAsia="Times New Roman"/>
          <w:lang w:val="fr-FR"/>
        </w:rPr>
        <w:t>4)</w:t>
      </w:r>
      <w:r w:rsidR="00726B8A">
        <w:rPr>
          <w:rFonts w:eastAsia="Times New Roman"/>
          <w:lang w:val="fr-FR"/>
        </w:rPr>
        <w:tab/>
      </w:r>
      <w:r w:rsidR="00726B8A" w:rsidRPr="00690F99">
        <w:rPr>
          <w:rFonts w:eastAsia="Times New Roman"/>
          <w:lang w:val="fr-FR"/>
        </w:rPr>
        <w:t xml:space="preserve">Le </w:t>
      </w:r>
      <w:r w:rsidRPr="00690F99">
        <w:rPr>
          <w:rFonts w:eastAsia="Times New Roman"/>
          <w:lang w:val="fr-FR"/>
        </w:rPr>
        <w:t xml:space="preserve">journal </w:t>
      </w:r>
      <w:proofErr w:type="spellStart"/>
      <w:r w:rsidRPr="00690F99">
        <w:rPr>
          <w:rFonts w:eastAsia="Times New Roman"/>
          <w:lang w:val="fr-FR"/>
        </w:rPr>
        <w:t>Ouch</w:t>
      </w:r>
      <w:proofErr w:type="spellEnd"/>
      <w:r w:rsidRPr="00690F99">
        <w:rPr>
          <w:rFonts w:eastAsia="Times New Roman"/>
          <w:lang w:val="fr-FR"/>
        </w:rPr>
        <w:t xml:space="preserve"> </w:t>
      </w:r>
      <w:proofErr w:type="spellStart"/>
      <w:r w:rsidRPr="00690F99">
        <w:rPr>
          <w:rFonts w:eastAsia="Times New Roman"/>
          <w:lang w:val="fr-FR"/>
        </w:rPr>
        <w:t>Sadosi</w:t>
      </w:r>
      <w:proofErr w:type="spellEnd"/>
      <w:r w:rsidRPr="00690F99">
        <w:rPr>
          <w:rFonts w:eastAsia="Times New Roman"/>
          <w:lang w:val="fr-FR"/>
        </w:rPr>
        <w:t xml:space="preserve"> (ouzbek) ;</w:t>
      </w:r>
    </w:p>
    <w:p w14:paraId="012E38EC" w14:textId="48F40049" w:rsidR="009C6834" w:rsidRPr="00690F99" w:rsidRDefault="009C6834" w:rsidP="00726B8A">
      <w:pPr>
        <w:pStyle w:val="SingleTxtG"/>
        <w:ind w:left="1701"/>
        <w:rPr>
          <w:rFonts w:eastAsia="Times New Roman"/>
          <w:lang w:val="fr-FR"/>
        </w:rPr>
      </w:pPr>
      <w:r w:rsidRPr="00690F99">
        <w:rPr>
          <w:rFonts w:eastAsia="Times New Roman"/>
          <w:lang w:val="fr-FR"/>
        </w:rPr>
        <w:t>5)</w:t>
      </w:r>
      <w:r w:rsidR="00726B8A">
        <w:rPr>
          <w:rFonts w:eastAsia="Times New Roman"/>
          <w:lang w:val="fr-FR"/>
        </w:rPr>
        <w:tab/>
      </w:r>
      <w:r w:rsidR="00726B8A" w:rsidRPr="00690F99">
        <w:rPr>
          <w:rFonts w:eastAsia="Times New Roman"/>
          <w:lang w:val="fr-FR"/>
        </w:rPr>
        <w:t xml:space="preserve">La </w:t>
      </w:r>
      <w:r w:rsidRPr="00690F99">
        <w:rPr>
          <w:rFonts w:eastAsia="Times New Roman"/>
          <w:lang w:val="fr-FR"/>
        </w:rPr>
        <w:t xml:space="preserve">radio </w:t>
      </w:r>
      <w:proofErr w:type="spellStart"/>
      <w:r w:rsidRPr="00690F99">
        <w:rPr>
          <w:rFonts w:eastAsia="Times New Roman"/>
          <w:lang w:val="fr-FR"/>
        </w:rPr>
        <w:t>Droujba</w:t>
      </w:r>
      <w:proofErr w:type="spellEnd"/>
      <w:r w:rsidRPr="00690F99">
        <w:rPr>
          <w:rFonts w:eastAsia="Times New Roman"/>
          <w:lang w:val="fr-FR"/>
        </w:rPr>
        <w:t xml:space="preserve"> de la compagnie </w:t>
      </w:r>
      <w:r>
        <w:rPr>
          <w:rFonts w:eastAsia="Times New Roman"/>
          <w:lang w:val="fr-FR"/>
        </w:rPr>
        <w:t xml:space="preserve">nationale </w:t>
      </w:r>
      <w:r w:rsidRPr="00690F99">
        <w:rPr>
          <w:rFonts w:eastAsia="Times New Roman"/>
          <w:lang w:val="fr-FR"/>
        </w:rPr>
        <w:t>de radiodiffusion et de télévision (langues des groupes ethniques)</w:t>
      </w:r>
      <w:r w:rsidR="00726B8A">
        <w:rPr>
          <w:rFonts w:eastAsia="Times New Roman"/>
          <w:lang w:val="fr-FR"/>
        </w:rPr>
        <w:t> </w:t>
      </w:r>
      <w:r w:rsidRPr="00690F99">
        <w:rPr>
          <w:rFonts w:eastAsia="Times New Roman"/>
          <w:lang w:val="fr-FR"/>
        </w:rPr>
        <w:t>;</w:t>
      </w:r>
    </w:p>
    <w:p w14:paraId="654A574D" w14:textId="69349BBA" w:rsidR="009C6834" w:rsidRPr="00690F99" w:rsidRDefault="009C6834" w:rsidP="00726B8A">
      <w:pPr>
        <w:pStyle w:val="SingleTxtG"/>
        <w:ind w:left="1701"/>
        <w:rPr>
          <w:rFonts w:eastAsia="Times New Roman"/>
          <w:lang w:val="fr-FR"/>
        </w:rPr>
      </w:pPr>
      <w:r w:rsidRPr="00690F99">
        <w:rPr>
          <w:rFonts w:eastAsia="Times New Roman"/>
          <w:lang w:val="fr-FR"/>
        </w:rPr>
        <w:t>6)</w:t>
      </w:r>
      <w:r w:rsidR="00726B8A">
        <w:rPr>
          <w:rFonts w:eastAsia="Times New Roman"/>
          <w:lang w:val="fr-FR"/>
        </w:rPr>
        <w:tab/>
      </w:r>
      <w:r w:rsidR="00726B8A" w:rsidRPr="00690F99">
        <w:rPr>
          <w:rFonts w:eastAsia="Times New Roman"/>
          <w:lang w:val="fr-FR"/>
        </w:rPr>
        <w:t xml:space="preserve">Le </w:t>
      </w:r>
      <w:r w:rsidRPr="00690F99">
        <w:rPr>
          <w:rFonts w:eastAsia="Times New Roman"/>
          <w:lang w:val="fr-FR"/>
        </w:rPr>
        <w:t xml:space="preserve">journal </w:t>
      </w:r>
      <w:proofErr w:type="spellStart"/>
      <w:r w:rsidRPr="00690F99">
        <w:rPr>
          <w:rFonts w:eastAsia="Times New Roman"/>
          <w:lang w:val="fr-FR"/>
        </w:rPr>
        <w:t>Djalal</w:t>
      </w:r>
      <w:r>
        <w:rPr>
          <w:rFonts w:eastAsia="Times New Roman"/>
          <w:lang w:val="fr-FR"/>
        </w:rPr>
        <w:t>-A</w:t>
      </w:r>
      <w:r w:rsidRPr="00690F99">
        <w:rPr>
          <w:rFonts w:eastAsia="Times New Roman"/>
          <w:lang w:val="fr-FR"/>
        </w:rPr>
        <w:t>bad</w:t>
      </w:r>
      <w:proofErr w:type="spellEnd"/>
      <w:r w:rsidRPr="00690F99">
        <w:rPr>
          <w:rFonts w:eastAsia="Times New Roman"/>
          <w:lang w:val="fr-FR"/>
        </w:rPr>
        <w:t xml:space="preserve"> Tongi (ouzbek)</w:t>
      </w:r>
      <w:r w:rsidR="00726B8A">
        <w:rPr>
          <w:rFonts w:eastAsia="Times New Roman"/>
          <w:lang w:val="fr-FR"/>
        </w:rPr>
        <w:t> </w:t>
      </w:r>
      <w:r w:rsidRPr="00690F99">
        <w:rPr>
          <w:rFonts w:eastAsia="Times New Roman"/>
          <w:lang w:val="fr-FR"/>
        </w:rPr>
        <w:t>;</w:t>
      </w:r>
    </w:p>
    <w:p w14:paraId="70040D32" w14:textId="18879061" w:rsidR="009C6834" w:rsidRDefault="009C6834" w:rsidP="00726B8A">
      <w:pPr>
        <w:pStyle w:val="SingleTxtG"/>
        <w:ind w:left="1701"/>
        <w:rPr>
          <w:rFonts w:eastAsia="Times New Roman"/>
          <w:lang w:val="fr-FR"/>
        </w:rPr>
      </w:pPr>
      <w:r w:rsidRPr="00690F99">
        <w:rPr>
          <w:rFonts w:eastAsia="Times New Roman"/>
          <w:lang w:val="fr-FR"/>
        </w:rPr>
        <w:t>7)</w:t>
      </w:r>
      <w:r w:rsidR="00726B8A">
        <w:rPr>
          <w:rFonts w:eastAsia="Times New Roman"/>
          <w:lang w:val="fr-FR"/>
        </w:rPr>
        <w:tab/>
      </w:r>
      <w:r w:rsidR="00726B8A" w:rsidRPr="00690F99">
        <w:rPr>
          <w:rFonts w:eastAsia="Times New Roman"/>
          <w:lang w:val="fr-FR"/>
        </w:rPr>
        <w:t xml:space="preserve">Le </w:t>
      </w:r>
      <w:r w:rsidRPr="00690F99">
        <w:rPr>
          <w:rFonts w:eastAsia="Times New Roman"/>
          <w:lang w:val="fr-FR"/>
        </w:rPr>
        <w:t xml:space="preserve">journal </w:t>
      </w:r>
      <w:proofErr w:type="spellStart"/>
      <w:r w:rsidRPr="00690F99">
        <w:rPr>
          <w:rFonts w:eastAsia="Times New Roman"/>
          <w:lang w:val="fr-FR"/>
        </w:rPr>
        <w:t>Tchouyskiye</w:t>
      </w:r>
      <w:proofErr w:type="spellEnd"/>
      <w:r w:rsidRPr="00690F99">
        <w:rPr>
          <w:rFonts w:eastAsia="Times New Roman"/>
          <w:lang w:val="fr-FR"/>
        </w:rPr>
        <w:t xml:space="preserve"> </w:t>
      </w:r>
      <w:proofErr w:type="spellStart"/>
      <w:r w:rsidRPr="00690F99">
        <w:rPr>
          <w:rFonts w:eastAsia="Times New Roman"/>
          <w:lang w:val="fr-FR"/>
        </w:rPr>
        <w:t>Izvestiya</w:t>
      </w:r>
      <w:proofErr w:type="spellEnd"/>
      <w:r w:rsidRPr="00690F99">
        <w:rPr>
          <w:rFonts w:eastAsia="Times New Roman"/>
          <w:lang w:val="fr-FR"/>
        </w:rPr>
        <w:t xml:space="preserve"> (russe).</w:t>
      </w:r>
    </w:p>
    <w:p w14:paraId="667B35DE" w14:textId="1BACE3B7" w:rsidR="009C6834" w:rsidRPr="00690F99" w:rsidRDefault="00726B8A" w:rsidP="00726B8A">
      <w:pPr>
        <w:pStyle w:val="H23G"/>
        <w:rPr>
          <w:lang w:val="fr-FR"/>
        </w:rPr>
      </w:pPr>
      <w:r>
        <w:rPr>
          <w:lang w:val="fr-FR"/>
        </w:rPr>
        <w:tab/>
      </w:r>
      <w:r>
        <w:rPr>
          <w:lang w:val="fr-FR"/>
        </w:rPr>
        <w:tab/>
      </w:r>
      <w:r w:rsidR="009C6834" w:rsidRPr="00690F99">
        <w:rPr>
          <w:lang w:val="fr-FR"/>
        </w:rPr>
        <w:t xml:space="preserve">Autres recommandations </w:t>
      </w:r>
    </w:p>
    <w:p w14:paraId="1FCE657C" w14:textId="77777777" w:rsidR="009C6834" w:rsidRPr="00726B8A" w:rsidRDefault="009C6834" w:rsidP="009C6834">
      <w:pPr>
        <w:pStyle w:val="SingleTxtG"/>
        <w:rPr>
          <w:rFonts w:eastAsia="Times New Roman"/>
          <w:i/>
          <w:iCs/>
          <w:lang w:val="fr-FR"/>
        </w:rPr>
      </w:pPr>
      <w:r w:rsidRPr="00726B8A">
        <w:rPr>
          <w:rFonts w:eastAsia="Times New Roman"/>
          <w:i/>
          <w:iCs/>
          <w:lang w:val="fr-FR"/>
        </w:rPr>
        <w:t>1.</w:t>
      </w:r>
      <w:r w:rsidRPr="00726B8A">
        <w:rPr>
          <w:rFonts w:eastAsia="Times New Roman"/>
          <w:i/>
          <w:iCs/>
          <w:lang w:val="fr-FR"/>
        </w:rPr>
        <w:tab/>
        <w:t>La question de la ratification du Protocole facultatif se rapportant au Pacte international relatif aux droits économiques, sociaux et culturels est à l’étude.</w:t>
      </w:r>
    </w:p>
    <w:p w14:paraId="4C1805BC" w14:textId="0115F250" w:rsidR="009C6834" w:rsidRPr="00726B8A" w:rsidRDefault="009C6834" w:rsidP="009C6834">
      <w:pPr>
        <w:pStyle w:val="SingleTxtG"/>
        <w:rPr>
          <w:rFonts w:eastAsia="Times New Roman"/>
          <w:i/>
          <w:iCs/>
          <w:lang w:val="fr-FR"/>
        </w:rPr>
      </w:pPr>
      <w:r w:rsidRPr="00726B8A">
        <w:rPr>
          <w:rFonts w:eastAsia="Times New Roman"/>
          <w:i/>
          <w:iCs/>
          <w:lang w:val="fr-FR"/>
        </w:rPr>
        <w:t>2.</w:t>
      </w:r>
      <w:r w:rsidRPr="00726B8A">
        <w:rPr>
          <w:rFonts w:eastAsia="Times New Roman"/>
          <w:i/>
          <w:iCs/>
          <w:lang w:val="fr-FR"/>
        </w:rPr>
        <w:tab/>
        <w:t>Afin de promouvoir la protection des droits des personnes handicapées et de renforcer leur participation à la vie civile, politique, économique, sociale et culturelle de la société, la République kirghize a adhéré à la Convention des Nations Unies relative aux droits des personnes handicapées, qui est entrée en vigueur le 15</w:t>
      </w:r>
      <w:r w:rsidR="00726B8A">
        <w:rPr>
          <w:rFonts w:eastAsia="Times New Roman"/>
          <w:i/>
          <w:iCs/>
          <w:lang w:val="fr-FR"/>
        </w:rPr>
        <w:t> </w:t>
      </w:r>
      <w:r w:rsidRPr="00726B8A">
        <w:rPr>
          <w:rFonts w:eastAsia="Times New Roman"/>
          <w:i/>
          <w:iCs/>
          <w:lang w:val="fr-FR"/>
        </w:rPr>
        <w:t>juin 2019.</w:t>
      </w:r>
    </w:p>
    <w:p w14:paraId="50A0E645" w14:textId="25BD9016" w:rsidR="009C6834" w:rsidRPr="00690F99" w:rsidRDefault="009C6834" w:rsidP="009C6834">
      <w:pPr>
        <w:pStyle w:val="SingleTxtG"/>
        <w:rPr>
          <w:rFonts w:eastAsia="Times New Roman"/>
          <w:lang w:val="fr-FR"/>
        </w:rPr>
      </w:pPr>
      <w:r w:rsidRPr="00690F99">
        <w:rPr>
          <w:rFonts w:eastAsia="Times New Roman"/>
          <w:lang w:val="fr-FR"/>
        </w:rPr>
        <w:t>499.</w:t>
      </w:r>
      <w:r w:rsidRPr="00690F99">
        <w:rPr>
          <w:rFonts w:eastAsia="Times New Roman"/>
          <w:lang w:val="fr-FR"/>
        </w:rPr>
        <w:tab/>
        <w:t xml:space="preserve">Afin de mettre en œuvre les dispositions de la Convention des Nations </w:t>
      </w:r>
      <w:r w:rsidR="008C25A6" w:rsidRPr="00690F99">
        <w:rPr>
          <w:rFonts w:eastAsia="Times New Roman"/>
          <w:lang w:val="fr-FR"/>
        </w:rPr>
        <w:t xml:space="preserve">Unies </w:t>
      </w:r>
      <w:r w:rsidRPr="00690F99">
        <w:rPr>
          <w:rFonts w:eastAsia="Times New Roman"/>
          <w:lang w:val="fr-FR"/>
        </w:rPr>
        <w:t>relative aux droits des personnes handicapées, l</w:t>
      </w:r>
      <w:r>
        <w:rPr>
          <w:rFonts w:eastAsia="Times New Roman"/>
          <w:lang w:val="fr-FR"/>
        </w:rPr>
        <w:t>’</w:t>
      </w:r>
      <w:r w:rsidRPr="00690F99">
        <w:rPr>
          <w:rFonts w:eastAsia="Times New Roman"/>
          <w:lang w:val="fr-FR"/>
        </w:rPr>
        <w:t>État s</w:t>
      </w:r>
      <w:r>
        <w:rPr>
          <w:rFonts w:eastAsia="Times New Roman"/>
          <w:lang w:val="fr-FR"/>
        </w:rPr>
        <w:t xml:space="preserve">’emploie à </w:t>
      </w:r>
      <w:r w:rsidRPr="00690F99">
        <w:rPr>
          <w:rFonts w:eastAsia="Times New Roman"/>
          <w:lang w:val="fr-FR"/>
        </w:rPr>
        <w:t>améliorer les services sociaux destinés aux personnes handicapées et aux personnes âgées en renforçant le cadre législatif</w:t>
      </w:r>
      <w:r>
        <w:rPr>
          <w:rFonts w:eastAsia="Times New Roman"/>
          <w:lang w:val="fr-FR"/>
        </w:rPr>
        <w:t xml:space="preserve">. Des </w:t>
      </w:r>
      <w:r w:rsidRPr="00690F99">
        <w:rPr>
          <w:rFonts w:eastAsia="Times New Roman"/>
          <w:lang w:val="fr-FR"/>
        </w:rPr>
        <w:t xml:space="preserve">mesures </w:t>
      </w:r>
      <w:r>
        <w:rPr>
          <w:rFonts w:eastAsia="Times New Roman"/>
          <w:lang w:val="fr-FR"/>
        </w:rPr>
        <w:t>sont prises afin d’</w:t>
      </w:r>
      <w:r w:rsidRPr="00690F99">
        <w:rPr>
          <w:rFonts w:eastAsia="Times New Roman"/>
          <w:lang w:val="fr-FR"/>
        </w:rPr>
        <w:t xml:space="preserve">améliorer la qualité de ces services et </w:t>
      </w:r>
      <w:r>
        <w:rPr>
          <w:rFonts w:eastAsia="Times New Roman"/>
          <w:lang w:val="fr-FR"/>
        </w:rPr>
        <w:t xml:space="preserve">de faire un bon </w:t>
      </w:r>
      <w:r w:rsidRPr="00690F99">
        <w:rPr>
          <w:rFonts w:eastAsia="Times New Roman"/>
          <w:lang w:val="fr-FR"/>
        </w:rPr>
        <w:t>usage des ressources disponibles pour garantir l</w:t>
      </w:r>
      <w:r>
        <w:rPr>
          <w:rFonts w:eastAsia="Times New Roman"/>
          <w:lang w:val="fr-FR"/>
        </w:rPr>
        <w:t>’</w:t>
      </w:r>
      <w:r w:rsidRPr="00690F99">
        <w:rPr>
          <w:rFonts w:eastAsia="Times New Roman"/>
          <w:lang w:val="fr-FR"/>
        </w:rPr>
        <w:t>accès des personnes handicapées aux services sociaux.</w:t>
      </w:r>
    </w:p>
    <w:p w14:paraId="47AED143" w14:textId="5A9CFED3" w:rsidR="009C6834" w:rsidRPr="00690F99" w:rsidRDefault="009C6834" w:rsidP="009C6834">
      <w:pPr>
        <w:pStyle w:val="SingleTxtG"/>
        <w:rPr>
          <w:rFonts w:eastAsia="Times New Roman"/>
          <w:lang w:val="fr-FR"/>
        </w:rPr>
      </w:pPr>
      <w:r w:rsidRPr="00690F99">
        <w:rPr>
          <w:rFonts w:eastAsia="Times New Roman"/>
          <w:lang w:val="fr-FR"/>
        </w:rPr>
        <w:t>500.</w:t>
      </w:r>
      <w:r w:rsidRPr="00690F99">
        <w:rPr>
          <w:rFonts w:eastAsia="Times New Roman"/>
          <w:lang w:val="fr-FR"/>
        </w:rPr>
        <w:tab/>
        <w:t>Un groupe de travail interministériel pour la mise en œuvre des dispositions de la Convention des Nations Unies relative aux droits des personnes handicapées a été constitué en vertu d</w:t>
      </w:r>
      <w:r>
        <w:rPr>
          <w:rFonts w:eastAsia="Times New Roman"/>
          <w:lang w:val="fr-FR"/>
        </w:rPr>
        <w:t>’</w:t>
      </w:r>
      <w:r w:rsidRPr="00690F99">
        <w:rPr>
          <w:rFonts w:eastAsia="Times New Roman"/>
          <w:lang w:val="fr-FR"/>
        </w:rPr>
        <w:t xml:space="preserve">une décision du </w:t>
      </w:r>
      <w:r w:rsidR="008C25A6" w:rsidRPr="00690F99">
        <w:rPr>
          <w:rFonts w:eastAsia="Times New Roman"/>
          <w:lang w:val="fr-FR"/>
        </w:rPr>
        <w:t xml:space="preserve">Gouvernement </w:t>
      </w:r>
      <w:r w:rsidRPr="00690F99">
        <w:rPr>
          <w:rFonts w:eastAsia="Times New Roman"/>
          <w:lang w:val="fr-FR"/>
        </w:rPr>
        <w:t>(2019).</w:t>
      </w:r>
    </w:p>
    <w:p w14:paraId="189EDC45" w14:textId="77777777" w:rsidR="009C6834" w:rsidRPr="00690F99" w:rsidRDefault="009C6834" w:rsidP="009C6834">
      <w:pPr>
        <w:pStyle w:val="SingleTxtG"/>
        <w:rPr>
          <w:rFonts w:eastAsia="Times New Roman"/>
          <w:lang w:val="fr-FR"/>
        </w:rPr>
      </w:pPr>
      <w:r w:rsidRPr="00690F99">
        <w:rPr>
          <w:rFonts w:eastAsia="Times New Roman"/>
          <w:lang w:val="fr-FR"/>
        </w:rPr>
        <w:t>501.</w:t>
      </w:r>
      <w:r w:rsidRPr="00690F99">
        <w:rPr>
          <w:rFonts w:eastAsia="Times New Roman"/>
          <w:lang w:val="fr-FR"/>
        </w:rPr>
        <w:tab/>
        <w:t>Le processus d</w:t>
      </w:r>
      <w:r>
        <w:rPr>
          <w:rFonts w:eastAsia="Times New Roman"/>
          <w:lang w:val="fr-FR"/>
        </w:rPr>
        <w:t>’</w:t>
      </w:r>
      <w:r w:rsidRPr="00690F99">
        <w:rPr>
          <w:rFonts w:eastAsia="Times New Roman"/>
          <w:lang w:val="fr-FR"/>
        </w:rPr>
        <w:t>approbation du projet de plan d</w:t>
      </w:r>
      <w:r>
        <w:rPr>
          <w:rFonts w:eastAsia="Times New Roman"/>
          <w:lang w:val="fr-FR"/>
        </w:rPr>
        <w:t>’</w:t>
      </w:r>
      <w:r w:rsidRPr="00690F99">
        <w:rPr>
          <w:rFonts w:eastAsia="Times New Roman"/>
          <w:lang w:val="fr-FR"/>
        </w:rPr>
        <w:t>action prioritaire pour la mise en œuvre de la Convention des Nations Unies relative aux droits des personnes handicapées pour la période 2021-2023 est en cours, de même que le processus d</w:t>
      </w:r>
      <w:r>
        <w:rPr>
          <w:rFonts w:eastAsia="Times New Roman"/>
          <w:lang w:val="fr-FR"/>
        </w:rPr>
        <w:t>’</w:t>
      </w:r>
      <w:r w:rsidRPr="00690F99">
        <w:rPr>
          <w:rFonts w:eastAsia="Times New Roman"/>
          <w:lang w:val="fr-FR"/>
        </w:rPr>
        <w:t>approbation du programme « Un pays accessible », qui vise à créer un environnement accessible pour les personnes handicapées.</w:t>
      </w:r>
    </w:p>
    <w:p w14:paraId="2175103F" w14:textId="26840F8C" w:rsidR="009C6834" w:rsidRPr="00690F99" w:rsidRDefault="009C6834" w:rsidP="00726B8A">
      <w:pPr>
        <w:pStyle w:val="SingleTxtG"/>
        <w:keepLines/>
        <w:rPr>
          <w:rFonts w:eastAsia="Times New Roman"/>
          <w:lang w:val="fr-FR"/>
        </w:rPr>
      </w:pPr>
      <w:r w:rsidRPr="00690F99">
        <w:rPr>
          <w:rFonts w:eastAsia="Times New Roman"/>
          <w:lang w:val="fr-FR"/>
        </w:rPr>
        <w:lastRenderedPageBreak/>
        <w:t>502.</w:t>
      </w:r>
      <w:r w:rsidRPr="00690F99">
        <w:rPr>
          <w:rFonts w:eastAsia="Times New Roman"/>
          <w:lang w:val="fr-FR"/>
        </w:rPr>
        <w:tab/>
        <w:t xml:space="preserve">Conformément à la Convention des Nations Unies relative aux droits des personnes handicapées, un Conseil </w:t>
      </w:r>
      <w:r>
        <w:rPr>
          <w:rFonts w:eastAsia="Times New Roman"/>
          <w:lang w:val="fr-FR"/>
        </w:rPr>
        <w:t xml:space="preserve">aux affaires </w:t>
      </w:r>
      <w:r w:rsidRPr="00690F99">
        <w:rPr>
          <w:rFonts w:eastAsia="Times New Roman"/>
          <w:lang w:val="fr-FR"/>
        </w:rPr>
        <w:t xml:space="preserve">des personnes handicapées a été établi auprès du </w:t>
      </w:r>
      <w:r w:rsidR="008C25A6" w:rsidRPr="00690F99">
        <w:rPr>
          <w:rFonts w:eastAsia="Times New Roman"/>
          <w:lang w:val="fr-FR"/>
        </w:rPr>
        <w:t xml:space="preserve">Gouvernement </w:t>
      </w:r>
      <w:r w:rsidRPr="00690F99">
        <w:rPr>
          <w:rFonts w:eastAsia="Times New Roman"/>
          <w:lang w:val="fr-FR"/>
        </w:rPr>
        <w:t>pour assurer la coopération des pouvoirs publics, des autorités locales, des associations, des organisations scientifiques et d</w:t>
      </w:r>
      <w:r>
        <w:rPr>
          <w:rFonts w:eastAsia="Times New Roman"/>
          <w:lang w:val="fr-FR"/>
        </w:rPr>
        <w:t>’</w:t>
      </w:r>
      <w:r w:rsidRPr="00690F99">
        <w:rPr>
          <w:rFonts w:eastAsia="Times New Roman"/>
          <w:lang w:val="fr-FR"/>
        </w:rPr>
        <w:t xml:space="preserve">autres parties prenantes </w:t>
      </w:r>
      <w:r>
        <w:rPr>
          <w:rFonts w:eastAsia="Times New Roman"/>
          <w:lang w:val="fr-FR"/>
        </w:rPr>
        <w:t xml:space="preserve">dans le domaine </w:t>
      </w:r>
      <w:r w:rsidRPr="00690F99">
        <w:rPr>
          <w:rFonts w:eastAsia="Times New Roman"/>
          <w:lang w:val="fr-FR"/>
        </w:rPr>
        <w:t>de la protection sociale et de la réadaptation professionnelle et sociale des personnes handicapées dans la République kirghize.</w:t>
      </w:r>
    </w:p>
    <w:p w14:paraId="22FCF7D0" w14:textId="77777777" w:rsidR="009C6834" w:rsidRPr="00726B8A" w:rsidRDefault="009C6834" w:rsidP="009C6834">
      <w:pPr>
        <w:pStyle w:val="SingleTxtG"/>
        <w:rPr>
          <w:rFonts w:eastAsia="Times New Roman"/>
          <w:i/>
          <w:iCs/>
          <w:lang w:val="fr-FR"/>
        </w:rPr>
      </w:pPr>
      <w:r w:rsidRPr="00726B8A">
        <w:rPr>
          <w:rFonts w:eastAsia="Times New Roman"/>
          <w:i/>
          <w:iCs/>
          <w:lang w:val="fr-FR"/>
        </w:rPr>
        <w:t>3.</w:t>
      </w:r>
      <w:r w:rsidRPr="00726B8A">
        <w:rPr>
          <w:rFonts w:eastAsia="Times New Roman"/>
          <w:i/>
          <w:iCs/>
          <w:lang w:val="fr-FR"/>
        </w:rPr>
        <w:tab/>
        <w:t>La République kirghize continue de coopérer activement avec les rapporteurs spéciaux des Nations Unies.</w:t>
      </w:r>
    </w:p>
    <w:p w14:paraId="5DBB9F82" w14:textId="09CB9C86" w:rsidR="009C6834" w:rsidRPr="00690F99" w:rsidRDefault="009C6834" w:rsidP="009C6834">
      <w:pPr>
        <w:pStyle w:val="SingleTxtG"/>
        <w:rPr>
          <w:rFonts w:eastAsia="Times New Roman"/>
          <w:lang w:val="fr-FR"/>
        </w:rPr>
      </w:pPr>
      <w:r w:rsidRPr="00690F99">
        <w:rPr>
          <w:rFonts w:eastAsia="Times New Roman"/>
          <w:lang w:val="fr-FR"/>
        </w:rPr>
        <w:t>503.</w:t>
      </w:r>
      <w:r w:rsidRPr="00690F99">
        <w:rPr>
          <w:rFonts w:eastAsia="Times New Roman"/>
          <w:lang w:val="fr-FR"/>
        </w:rPr>
        <w:tab/>
        <w:t xml:space="preserve">Le Conseil de coordination </w:t>
      </w:r>
      <w:r>
        <w:rPr>
          <w:rFonts w:eastAsia="Times New Roman"/>
          <w:lang w:val="fr-FR"/>
        </w:rPr>
        <w:t xml:space="preserve">pour les </w:t>
      </w:r>
      <w:r w:rsidRPr="00690F99">
        <w:rPr>
          <w:rFonts w:eastAsia="Times New Roman"/>
          <w:lang w:val="fr-FR"/>
        </w:rPr>
        <w:t>droits de l</w:t>
      </w:r>
      <w:r>
        <w:rPr>
          <w:rFonts w:eastAsia="Times New Roman"/>
          <w:lang w:val="fr-FR"/>
        </w:rPr>
        <w:t>’</w:t>
      </w:r>
      <w:r w:rsidRPr="00690F99">
        <w:rPr>
          <w:rFonts w:eastAsia="Times New Roman"/>
          <w:lang w:val="fr-FR"/>
        </w:rPr>
        <w:t xml:space="preserve">homme </w:t>
      </w:r>
      <w:r>
        <w:rPr>
          <w:rFonts w:eastAsia="Times New Roman"/>
          <w:lang w:val="fr-FR"/>
        </w:rPr>
        <w:t>au</w:t>
      </w:r>
      <w:r w:rsidRPr="00690F99">
        <w:rPr>
          <w:rFonts w:eastAsia="Times New Roman"/>
          <w:lang w:val="fr-FR"/>
        </w:rPr>
        <w:t xml:space="preserve">près </w:t>
      </w:r>
      <w:r>
        <w:rPr>
          <w:rFonts w:eastAsia="Times New Roman"/>
          <w:lang w:val="fr-FR"/>
        </w:rPr>
        <w:t xml:space="preserve">du </w:t>
      </w:r>
      <w:r w:rsidR="004834AB" w:rsidRPr="00690F99">
        <w:rPr>
          <w:rFonts w:eastAsia="Times New Roman"/>
          <w:lang w:val="fr-FR"/>
        </w:rPr>
        <w:t xml:space="preserve">Gouvernement </w:t>
      </w:r>
      <w:r w:rsidRPr="00690F99">
        <w:rPr>
          <w:rFonts w:eastAsia="Times New Roman"/>
          <w:lang w:val="fr-FR"/>
        </w:rPr>
        <w:t>examine régulièrement les demandes d</w:t>
      </w:r>
      <w:r>
        <w:rPr>
          <w:rFonts w:eastAsia="Times New Roman"/>
          <w:lang w:val="fr-FR"/>
        </w:rPr>
        <w:t>’</w:t>
      </w:r>
      <w:r w:rsidRPr="00690F99">
        <w:rPr>
          <w:rFonts w:eastAsia="Times New Roman"/>
          <w:lang w:val="fr-FR"/>
        </w:rPr>
        <w:t>autorisation de visite en République kirghize des rapporteurs spéciaux des Nations Unies, et se prononce à leur sujet.</w:t>
      </w:r>
    </w:p>
    <w:p w14:paraId="01E319DE" w14:textId="77777777" w:rsidR="009C6834" w:rsidRPr="00690F99" w:rsidRDefault="009C6834" w:rsidP="009C6834">
      <w:pPr>
        <w:pStyle w:val="SingleTxtG"/>
        <w:rPr>
          <w:rFonts w:eastAsia="Times New Roman"/>
          <w:lang w:val="fr-FR"/>
        </w:rPr>
      </w:pPr>
      <w:r w:rsidRPr="00690F99">
        <w:rPr>
          <w:rFonts w:eastAsia="Times New Roman"/>
          <w:lang w:val="fr-FR"/>
        </w:rPr>
        <w:t>504.</w:t>
      </w:r>
      <w:r w:rsidRPr="00690F99">
        <w:rPr>
          <w:rFonts w:eastAsia="Times New Roman"/>
          <w:lang w:val="fr-FR"/>
        </w:rPr>
        <w:tab/>
        <w:t>Il n</w:t>
      </w:r>
      <w:r>
        <w:rPr>
          <w:rFonts w:eastAsia="Times New Roman"/>
          <w:lang w:val="fr-FR"/>
        </w:rPr>
        <w:t>’</w:t>
      </w:r>
      <w:r w:rsidRPr="00690F99">
        <w:rPr>
          <w:rFonts w:eastAsia="Times New Roman"/>
          <w:lang w:val="fr-FR"/>
        </w:rPr>
        <w:t>y a actuellement aucune demande de visite de rapporteurs spéciaux dans notre pays.</w:t>
      </w:r>
    </w:p>
    <w:p w14:paraId="006412BF" w14:textId="77777777" w:rsidR="009C6834" w:rsidRPr="00690F99" w:rsidRDefault="009C6834" w:rsidP="009C6834">
      <w:pPr>
        <w:pStyle w:val="SingleTxtG"/>
        <w:rPr>
          <w:rFonts w:eastAsia="Times New Roman"/>
          <w:lang w:val="fr-FR"/>
        </w:rPr>
      </w:pPr>
      <w:r w:rsidRPr="00690F99">
        <w:rPr>
          <w:rFonts w:eastAsia="Times New Roman"/>
          <w:lang w:val="fr-FR"/>
        </w:rPr>
        <w:t>505.</w:t>
      </w:r>
      <w:r w:rsidRPr="00690F99">
        <w:rPr>
          <w:rFonts w:eastAsia="Times New Roman"/>
          <w:lang w:val="fr-FR"/>
        </w:rPr>
        <w:tab/>
        <w:t>Il convient de noter que le Ministère des affaires étrangères a demandé à la mission permanente de la République kirghize auprès de l</w:t>
      </w:r>
      <w:r>
        <w:rPr>
          <w:rFonts w:eastAsia="Times New Roman"/>
          <w:lang w:val="fr-FR"/>
        </w:rPr>
        <w:t>’</w:t>
      </w:r>
      <w:r w:rsidRPr="00690F99">
        <w:rPr>
          <w:rFonts w:eastAsia="Times New Roman"/>
          <w:lang w:val="fr-FR"/>
        </w:rPr>
        <w:t>Organisation des Nations Unies à Genève d</w:t>
      </w:r>
      <w:r>
        <w:rPr>
          <w:rFonts w:eastAsia="Times New Roman"/>
          <w:lang w:val="fr-FR"/>
        </w:rPr>
        <w:t>’</w:t>
      </w:r>
      <w:r w:rsidRPr="00690F99">
        <w:rPr>
          <w:rFonts w:eastAsia="Times New Roman"/>
          <w:lang w:val="fr-FR"/>
        </w:rPr>
        <w:t>adresser une invitation permanente à tous les titulaires de mandat au titre des procédures spéciales du Conseil des droits de l</w:t>
      </w:r>
      <w:r>
        <w:rPr>
          <w:rFonts w:eastAsia="Times New Roman"/>
          <w:lang w:val="fr-FR"/>
        </w:rPr>
        <w:t>’</w:t>
      </w:r>
      <w:r w:rsidRPr="00690F99">
        <w:rPr>
          <w:rFonts w:eastAsia="Times New Roman"/>
          <w:lang w:val="fr-FR"/>
        </w:rPr>
        <w:t>homme.</w:t>
      </w:r>
    </w:p>
    <w:p w14:paraId="3B9497CC" w14:textId="58C00045" w:rsidR="009C6834" w:rsidRPr="00690F99" w:rsidRDefault="009C6834" w:rsidP="009C6834">
      <w:pPr>
        <w:pStyle w:val="SingleTxtG"/>
        <w:rPr>
          <w:rFonts w:eastAsia="Times New Roman"/>
          <w:lang w:val="fr-FR"/>
        </w:rPr>
      </w:pPr>
      <w:r w:rsidRPr="00690F99">
        <w:rPr>
          <w:rFonts w:eastAsia="Times New Roman"/>
          <w:lang w:val="fr-FR"/>
        </w:rPr>
        <w:t>506.</w:t>
      </w:r>
      <w:r w:rsidRPr="00690F99">
        <w:rPr>
          <w:rFonts w:eastAsia="Times New Roman"/>
          <w:lang w:val="fr-FR"/>
        </w:rPr>
        <w:tab/>
        <w:t>Cette mesure aura un impact positif sur l</w:t>
      </w:r>
      <w:r>
        <w:rPr>
          <w:rFonts w:eastAsia="Times New Roman"/>
          <w:lang w:val="fr-FR"/>
        </w:rPr>
        <w:t>’</w:t>
      </w:r>
      <w:r w:rsidRPr="00690F99">
        <w:rPr>
          <w:rFonts w:eastAsia="Times New Roman"/>
          <w:lang w:val="fr-FR"/>
        </w:rPr>
        <w:t>image internationale du pays en tant que pays ouvert prêt à coopérer de façon constructive avec les procédures spéciales du Conseil des droits de l</w:t>
      </w:r>
      <w:r>
        <w:rPr>
          <w:rFonts w:eastAsia="Times New Roman"/>
          <w:lang w:val="fr-FR"/>
        </w:rPr>
        <w:t>’</w:t>
      </w:r>
      <w:r w:rsidRPr="00690F99">
        <w:rPr>
          <w:rFonts w:eastAsia="Times New Roman"/>
          <w:lang w:val="fr-FR"/>
        </w:rPr>
        <w:t>homme</w:t>
      </w:r>
      <w:r>
        <w:rPr>
          <w:rFonts w:eastAsia="Times New Roman"/>
          <w:lang w:val="fr-FR"/>
        </w:rPr>
        <w:t xml:space="preserve"> de l’ONU</w:t>
      </w:r>
      <w:r w:rsidRPr="00690F99">
        <w:rPr>
          <w:rFonts w:eastAsia="Times New Roman"/>
          <w:lang w:val="fr-FR"/>
        </w:rPr>
        <w:t>.</w:t>
      </w:r>
    </w:p>
    <w:p w14:paraId="4E903E1B" w14:textId="77777777" w:rsidR="009C6834" w:rsidRPr="00690F99" w:rsidRDefault="009C6834" w:rsidP="009C6834">
      <w:pPr>
        <w:pStyle w:val="SingleTxtG"/>
        <w:rPr>
          <w:rFonts w:eastAsia="Times New Roman"/>
          <w:lang w:val="fr-FR"/>
        </w:rPr>
      </w:pPr>
      <w:r w:rsidRPr="00690F99">
        <w:rPr>
          <w:rFonts w:eastAsia="Times New Roman"/>
          <w:lang w:val="fr-FR"/>
        </w:rPr>
        <w:br w:type="page"/>
      </w:r>
    </w:p>
    <w:p w14:paraId="0EAB7937" w14:textId="29E049FE" w:rsidR="009C6834" w:rsidRPr="00690F99" w:rsidRDefault="00726B8A" w:rsidP="00726B8A">
      <w:pPr>
        <w:pStyle w:val="H1G"/>
        <w:rPr>
          <w:lang w:val="fr-FR"/>
        </w:rPr>
      </w:pPr>
      <w:r>
        <w:rPr>
          <w:lang w:val="fr-FR"/>
        </w:rPr>
        <w:lastRenderedPageBreak/>
        <w:tab/>
      </w:r>
      <w:r>
        <w:rPr>
          <w:lang w:val="fr-FR"/>
        </w:rPr>
        <w:tab/>
      </w:r>
      <w:r w:rsidR="009C6834" w:rsidRPr="00690F99">
        <w:rPr>
          <w:lang w:val="fr-FR"/>
        </w:rPr>
        <w:t xml:space="preserve">Liste des abréviations </w:t>
      </w:r>
    </w:p>
    <w:p w14:paraId="6355D991" w14:textId="736553C1" w:rsidR="009C6834" w:rsidRDefault="009C6834" w:rsidP="009C6834">
      <w:pPr>
        <w:pStyle w:val="SingleTxtG"/>
        <w:rPr>
          <w:rFonts w:eastAsia="Times New Roman"/>
          <w:lang w:val="fr-FR"/>
        </w:rPr>
      </w:pPr>
      <w:r w:rsidRPr="00690F99">
        <w:rPr>
          <w:rFonts w:eastAsia="Times New Roman"/>
          <w:lang w:val="fr-FR"/>
        </w:rPr>
        <w:t>Sans objet en français</w:t>
      </w:r>
      <w:r w:rsidR="00726B8A">
        <w:rPr>
          <w:rFonts w:eastAsia="Times New Roman"/>
          <w:lang w:val="fr-FR"/>
        </w:rPr>
        <w:t>.</w:t>
      </w:r>
    </w:p>
    <w:p w14:paraId="7484D42B" w14:textId="26CC681D" w:rsidR="00726B8A" w:rsidRPr="00726B8A" w:rsidRDefault="00726B8A" w:rsidP="00726B8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26B8A" w:rsidRPr="00726B8A" w:rsidSect="00C201F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AD02" w14:textId="77777777" w:rsidR="00905EC8" w:rsidRDefault="00905EC8" w:rsidP="00F95C08">
      <w:pPr>
        <w:spacing w:line="240" w:lineRule="auto"/>
      </w:pPr>
    </w:p>
  </w:endnote>
  <w:endnote w:type="continuationSeparator" w:id="0">
    <w:p w14:paraId="540C54A6" w14:textId="77777777" w:rsidR="00905EC8" w:rsidRPr="00AC3823" w:rsidRDefault="00905EC8" w:rsidP="00AC3823">
      <w:pPr>
        <w:pStyle w:val="Pieddepage"/>
      </w:pPr>
    </w:p>
  </w:endnote>
  <w:endnote w:type="continuationNotice" w:id="1">
    <w:p w14:paraId="5756A91E" w14:textId="77777777" w:rsidR="00905EC8" w:rsidRDefault="00905E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01B2" w14:textId="3ABF9535" w:rsidR="00905EC8" w:rsidRPr="00BA6614" w:rsidRDefault="00905EC8" w:rsidP="00BA6614">
    <w:pPr>
      <w:pStyle w:val="Pieddepage"/>
      <w:tabs>
        <w:tab w:val="right" w:pos="9638"/>
      </w:tabs>
    </w:pPr>
    <w:r w:rsidRPr="00BA6614">
      <w:rPr>
        <w:b/>
        <w:sz w:val="18"/>
      </w:rPr>
      <w:fldChar w:fldCharType="begin"/>
    </w:r>
    <w:r w:rsidRPr="00BA6614">
      <w:rPr>
        <w:b/>
        <w:sz w:val="18"/>
      </w:rPr>
      <w:instrText xml:space="preserve"> PAGE  \* MERGEFORMAT </w:instrText>
    </w:r>
    <w:r w:rsidRPr="00BA6614">
      <w:rPr>
        <w:b/>
        <w:sz w:val="18"/>
      </w:rPr>
      <w:fldChar w:fldCharType="separate"/>
    </w:r>
    <w:r w:rsidRPr="00BA6614">
      <w:rPr>
        <w:b/>
        <w:noProof/>
        <w:sz w:val="18"/>
      </w:rPr>
      <w:t>2</w:t>
    </w:r>
    <w:r w:rsidRPr="00BA6614">
      <w:rPr>
        <w:b/>
        <w:sz w:val="18"/>
      </w:rPr>
      <w:fldChar w:fldCharType="end"/>
    </w:r>
    <w:r>
      <w:rPr>
        <w:b/>
        <w:sz w:val="18"/>
      </w:rPr>
      <w:tab/>
    </w:r>
    <w:r>
      <w:t>GE.21-11826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F4AB" w14:textId="0376ACD5" w:rsidR="00905EC8" w:rsidRPr="00BA6614" w:rsidRDefault="00905EC8" w:rsidP="00BA6614">
    <w:pPr>
      <w:pStyle w:val="Pieddepage"/>
      <w:tabs>
        <w:tab w:val="right" w:pos="9638"/>
      </w:tabs>
      <w:rPr>
        <w:b/>
        <w:sz w:val="18"/>
      </w:rPr>
    </w:pPr>
    <w:r>
      <w:t>GE.21-11826</w:t>
    </w:r>
    <w:r>
      <w:tab/>
    </w:r>
    <w:r w:rsidRPr="00BA6614">
      <w:rPr>
        <w:b/>
        <w:sz w:val="18"/>
      </w:rPr>
      <w:fldChar w:fldCharType="begin"/>
    </w:r>
    <w:r w:rsidRPr="00BA6614">
      <w:rPr>
        <w:b/>
        <w:sz w:val="18"/>
      </w:rPr>
      <w:instrText xml:space="preserve"> PAGE  \* MERGEFORMAT </w:instrText>
    </w:r>
    <w:r w:rsidRPr="00BA6614">
      <w:rPr>
        <w:b/>
        <w:sz w:val="18"/>
      </w:rPr>
      <w:fldChar w:fldCharType="separate"/>
    </w:r>
    <w:r w:rsidRPr="00BA6614">
      <w:rPr>
        <w:b/>
        <w:noProof/>
        <w:sz w:val="18"/>
      </w:rPr>
      <w:t>3</w:t>
    </w:r>
    <w:r w:rsidRPr="00BA66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32F3" w14:textId="34F05590" w:rsidR="00905EC8" w:rsidRPr="00BA6614" w:rsidRDefault="00905EC8" w:rsidP="00BA661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7D3E047" wp14:editId="019920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21-11826  (F)</w:t>
    </w:r>
    <w:r>
      <w:rPr>
        <w:noProof/>
        <w:sz w:val="20"/>
      </w:rPr>
      <w:drawing>
        <wp:anchor distT="0" distB="0" distL="114300" distR="114300" simplePos="0" relativeHeight="251660288" behindDoc="0" locked="0" layoutInCell="1" allowOverlap="1" wp14:anchorId="1E56F7E9" wp14:editId="72E166D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291121    021221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C9671" w14:textId="77777777" w:rsidR="00905EC8" w:rsidRPr="00AC3823" w:rsidRDefault="00905EC8" w:rsidP="00AC3823">
      <w:pPr>
        <w:pStyle w:val="Pieddepage"/>
        <w:tabs>
          <w:tab w:val="right" w:pos="2155"/>
        </w:tabs>
        <w:spacing w:after="80" w:line="240" w:lineRule="atLeast"/>
        <w:ind w:left="680"/>
        <w:rPr>
          <w:u w:val="single"/>
        </w:rPr>
      </w:pPr>
      <w:r>
        <w:rPr>
          <w:u w:val="single"/>
        </w:rPr>
        <w:tab/>
      </w:r>
    </w:p>
  </w:footnote>
  <w:footnote w:type="continuationSeparator" w:id="0">
    <w:p w14:paraId="6B02B92F" w14:textId="77777777" w:rsidR="00905EC8" w:rsidRPr="00AC3823" w:rsidRDefault="00905EC8" w:rsidP="00AC3823">
      <w:pPr>
        <w:pStyle w:val="Pieddepage"/>
        <w:tabs>
          <w:tab w:val="right" w:pos="2155"/>
        </w:tabs>
        <w:spacing w:after="80" w:line="240" w:lineRule="atLeast"/>
        <w:ind w:left="680"/>
        <w:rPr>
          <w:u w:val="single"/>
        </w:rPr>
      </w:pPr>
      <w:r>
        <w:rPr>
          <w:u w:val="single"/>
        </w:rPr>
        <w:tab/>
      </w:r>
    </w:p>
  </w:footnote>
  <w:footnote w:type="continuationNotice" w:id="1">
    <w:p w14:paraId="7863A4DA" w14:textId="77777777" w:rsidR="00905EC8" w:rsidRPr="00AC3823" w:rsidRDefault="00905EC8">
      <w:pPr>
        <w:spacing w:line="240" w:lineRule="auto"/>
        <w:rPr>
          <w:sz w:val="2"/>
          <w:szCs w:val="2"/>
        </w:rPr>
      </w:pPr>
    </w:p>
  </w:footnote>
  <w:footnote w:id="2">
    <w:p w14:paraId="1A0F4116" w14:textId="77777777" w:rsidR="00905EC8" w:rsidRPr="006F350B" w:rsidRDefault="00905EC8" w:rsidP="009C6834">
      <w:pPr>
        <w:pStyle w:val="Notedebasdepage"/>
        <w:rPr>
          <w:lang w:val="fr-FR"/>
        </w:rPr>
      </w:pPr>
      <w:r w:rsidRPr="009C6834">
        <w:rPr>
          <w:rStyle w:val="Appelnotedebasdep"/>
          <w:sz w:val="20"/>
          <w:szCs w:val="22"/>
          <w:vertAlign w:val="baseline"/>
          <w:lang w:val="fr-FR"/>
        </w:rPr>
        <w:tab/>
        <w:t>*</w:t>
      </w:r>
      <w:r w:rsidRPr="009C6834">
        <w:rPr>
          <w:rStyle w:val="Appelnotedebasdep"/>
          <w:sz w:val="20"/>
          <w:szCs w:val="22"/>
          <w:vertAlign w:val="baseline"/>
          <w:lang w:val="fr-FR"/>
        </w:rPr>
        <w:tab/>
      </w:r>
      <w:r>
        <w:rPr>
          <w:lang w:val="fr-FR"/>
        </w:rPr>
        <w:t>La version originale du présent document n’a pas été revue par les services d’édition</w:t>
      </w:r>
      <w:r w:rsidRPr="006F350B">
        <w:rPr>
          <w:lang w:val="fr-FR"/>
        </w:rPr>
        <w:t>.</w:t>
      </w:r>
    </w:p>
    <w:p w14:paraId="5640B39F" w14:textId="1F055DB0" w:rsidR="00905EC8" w:rsidRPr="006F350B" w:rsidRDefault="00905EC8" w:rsidP="009C6834">
      <w:pPr>
        <w:pStyle w:val="Notedebasdepage"/>
        <w:rPr>
          <w:lang w:val="fr-FR"/>
        </w:rPr>
      </w:pPr>
      <w:r w:rsidRPr="009C6834">
        <w:rPr>
          <w:sz w:val="20"/>
          <w:szCs w:val="22"/>
          <w:lang w:val="fr-FR"/>
        </w:rPr>
        <w:tab/>
        <w:t>**</w:t>
      </w:r>
      <w:r w:rsidRPr="009C6834">
        <w:rPr>
          <w:sz w:val="20"/>
          <w:szCs w:val="22"/>
          <w:lang w:val="fr-FR"/>
        </w:rPr>
        <w:tab/>
      </w:r>
      <w:r>
        <w:rPr>
          <w:lang w:val="fr-FR"/>
        </w:rPr>
        <w:t xml:space="preserve">Les </w:t>
      </w:r>
      <w:r w:rsidRPr="006F350B">
        <w:rPr>
          <w:lang w:val="fr-FR"/>
        </w:rPr>
        <w:t xml:space="preserve">annexes </w:t>
      </w:r>
      <w:r>
        <w:rPr>
          <w:lang w:val="fr-FR"/>
        </w:rPr>
        <w:t>au présent rapport peuvent être consultées sur la page Web du Comité</w:t>
      </w:r>
      <w:r w:rsidRPr="006F350B">
        <w:rPr>
          <w:lang w:val="fr-FR"/>
        </w:rPr>
        <w:t xml:space="preserve">. </w:t>
      </w:r>
    </w:p>
  </w:footnote>
  <w:footnote w:id="3">
    <w:p w14:paraId="0B37B14F" w14:textId="104461F9" w:rsidR="00905EC8" w:rsidRPr="00527392" w:rsidRDefault="00905EC8" w:rsidP="009C6834">
      <w:pPr>
        <w:pStyle w:val="Notedebasdepage"/>
        <w:rPr>
          <w:color w:val="000000"/>
          <w:lang w:val="fr-FR"/>
        </w:rPr>
      </w:pPr>
      <w:r w:rsidRPr="00527392">
        <w:rPr>
          <w:color w:val="000000"/>
          <w:lang w:val="fr-FR"/>
        </w:rPr>
        <w:tab/>
      </w:r>
      <w:r w:rsidRPr="009C14B5">
        <w:rPr>
          <w:rStyle w:val="Appelnotedebasdep"/>
        </w:rPr>
        <w:footnoteRef/>
      </w:r>
      <w:r w:rsidRPr="00527392">
        <w:rPr>
          <w:color w:val="000000"/>
          <w:lang w:val="fr-FR"/>
        </w:rPr>
        <w:t xml:space="preserve"> </w:t>
      </w:r>
      <w:r w:rsidRPr="00527392">
        <w:rPr>
          <w:color w:val="000000"/>
          <w:lang w:val="fr-FR"/>
        </w:rPr>
        <w:tab/>
      </w:r>
      <w:r>
        <w:rPr>
          <w:color w:val="000000"/>
          <w:lang w:val="fr-FR"/>
        </w:rPr>
        <w:t>Instruction relative à la prévention de l’infection à VIH dans les organes et services du parquet dans le cadre des interventions auprès des groupes vulnérables, approuvée par l’ordonnance n</w:t>
      </w:r>
      <w:r w:rsidRPr="00CB4ECD">
        <w:rPr>
          <w:color w:val="000000"/>
          <w:vertAlign w:val="superscript"/>
          <w:lang w:val="fr-FR"/>
        </w:rPr>
        <w:t>o</w:t>
      </w:r>
      <w:r>
        <w:rPr>
          <w:color w:val="000000"/>
          <w:lang w:val="fr-FR"/>
        </w:rPr>
        <w:t> 64 du procureur général en date du 30 octobre 2017</w:t>
      </w:r>
      <w:r w:rsidRPr="00527392">
        <w:rPr>
          <w:color w:val="000000"/>
          <w:lang w:val="fr-FR"/>
        </w:rPr>
        <w:t>.</w:t>
      </w:r>
    </w:p>
  </w:footnote>
  <w:footnote w:id="4">
    <w:p w14:paraId="7299CF4E" w14:textId="3F63FE2C" w:rsidR="00905EC8" w:rsidRPr="00527392" w:rsidRDefault="00905EC8" w:rsidP="009C6834">
      <w:pPr>
        <w:pStyle w:val="Notedebasdepage"/>
        <w:rPr>
          <w:lang w:val="fr-FR"/>
        </w:rPr>
      </w:pPr>
      <w:r w:rsidRPr="00527392">
        <w:rPr>
          <w:color w:val="000000"/>
          <w:lang w:val="fr-FR"/>
        </w:rPr>
        <w:tab/>
      </w:r>
      <w:r w:rsidRPr="009C14B5">
        <w:rPr>
          <w:rStyle w:val="Appelnotedebasdep"/>
        </w:rPr>
        <w:footnoteRef/>
      </w:r>
      <w:r w:rsidRPr="00527392">
        <w:rPr>
          <w:color w:val="000000"/>
          <w:lang w:val="fr-FR"/>
        </w:rPr>
        <w:t xml:space="preserve"> </w:t>
      </w:r>
      <w:r w:rsidRPr="00527392">
        <w:rPr>
          <w:color w:val="000000"/>
          <w:lang w:val="fr-FR"/>
        </w:rPr>
        <w:tab/>
      </w:r>
      <w:r>
        <w:rPr>
          <w:color w:val="000000"/>
          <w:lang w:val="fr-FR"/>
        </w:rPr>
        <w:t xml:space="preserve">Ordonnance </w:t>
      </w:r>
      <w:r w:rsidRPr="00527392">
        <w:rPr>
          <w:color w:val="000000"/>
          <w:lang w:val="fr-FR"/>
        </w:rPr>
        <w:t>n</w:t>
      </w:r>
      <w:r w:rsidRPr="00CB4ECD">
        <w:rPr>
          <w:color w:val="000000"/>
          <w:vertAlign w:val="superscript"/>
          <w:lang w:val="fr-FR"/>
        </w:rPr>
        <w:t>o</w:t>
      </w:r>
      <w:r>
        <w:rPr>
          <w:color w:val="000000"/>
          <w:lang w:val="fr-FR"/>
        </w:rPr>
        <w:t> </w:t>
      </w:r>
      <w:r w:rsidRPr="00527392">
        <w:rPr>
          <w:color w:val="000000"/>
          <w:lang w:val="fr-FR"/>
        </w:rPr>
        <w:t>946 du Ministère de l’intérieur en date du 14</w:t>
      </w:r>
      <w:r>
        <w:rPr>
          <w:color w:val="000000"/>
          <w:lang w:val="fr-FR"/>
        </w:rPr>
        <w:t> </w:t>
      </w:r>
      <w:r w:rsidRPr="00527392">
        <w:rPr>
          <w:color w:val="000000"/>
          <w:lang w:val="fr-FR"/>
        </w:rPr>
        <w:t xml:space="preserve">décembre 2017 </w:t>
      </w:r>
      <w:r>
        <w:rPr>
          <w:color w:val="000000"/>
          <w:lang w:val="fr-FR"/>
        </w:rPr>
        <w:t xml:space="preserve">relative à </w:t>
      </w:r>
      <w:r w:rsidRPr="00527392">
        <w:rPr>
          <w:color w:val="000000"/>
          <w:lang w:val="fr-FR"/>
        </w:rPr>
        <w:t>l’</w:t>
      </w:r>
      <w:r>
        <w:rPr>
          <w:color w:val="000000"/>
          <w:lang w:val="fr-FR"/>
        </w:rPr>
        <w:t xml:space="preserve">amélioration des activités menées par les </w:t>
      </w:r>
      <w:r w:rsidRPr="00527392">
        <w:rPr>
          <w:color w:val="000000"/>
          <w:lang w:val="fr-FR"/>
        </w:rPr>
        <w:t xml:space="preserve">services du Ministère de l’intérieur auprès des </w:t>
      </w:r>
      <w:r>
        <w:rPr>
          <w:color w:val="000000"/>
          <w:lang w:val="fr-FR"/>
        </w:rPr>
        <w:t xml:space="preserve">membres </w:t>
      </w:r>
      <w:r w:rsidRPr="00527392">
        <w:rPr>
          <w:color w:val="000000"/>
          <w:lang w:val="fr-FR"/>
        </w:rPr>
        <w:t>des groupes vulnérables de la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AF37" w14:textId="775BDF63" w:rsidR="00905EC8" w:rsidRPr="00BA6614" w:rsidRDefault="0073792D">
    <w:pPr>
      <w:pStyle w:val="En-tte"/>
    </w:pPr>
    <w:fldSimple w:instr=" TITLE  \* MERGEFORMAT ">
      <w:r w:rsidR="00E236B5">
        <w:t>E/C.12/KGZ/4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D5A3" w14:textId="02880F0F" w:rsidR="00905EC8" w:rsidRPr="00BA6614" w:rsidRDefault="0073792D" w:rsidP="00BA6614">
    <w:pPr>
      <w:pStyle w:val="En-tte"/>
      <w:jc w:val="right"/>
    </w:pPr>
    <w:fldSimple w:instr=" TITLE  \* MERGEFORMAT ">
      <w:r w:rsidR="00E236B5">
        <w:t>E/C.12/KGZ/4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0C81"/>
    <w:multiLevelType w:val="hybridMultilevel"/>
    <w:tmpl w:val="DCE28E78"/>
    <w:lvl w:ilvl="0" w:tplc="2CC631A4">
      <w:start w:val="1"/>
      <w:numFmt w:val="bullet"/>
      <w:lvlText w:val=""/>
      <w:lvlJc w:val="left"/>
      <w:pPr>
        <w:ind w:left="2061" w:hanging="360"/>
      </w:pPr>
      <w:rPr>
        <w:rFonts w:ascii="Symbol" w:hAnsi="Symbol" w:hint="default"/>
        <w:sz w:val="16"/>
        <w:szCs w:val="1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0502494A"/>
    <w:multiLevelType w:val="hybridMultilevel"/>
    <w:tmpl w:val="A5D2FB34"/>
    <w:lvl w:ilvl="0" w:tplc="117C42E6">
      <w:start w:val="1"/>
      <w:numFmt w:val="bullet"/>
      <w:lvlText w:val="•"/>
      <w:lvlJc w:val="left"/>
      <w:pPr>
        <w:ind w:left="2061" w:hanging="360"/>
      </w:pPr>
      <w:rPr>
        <w:rFonts w:ascii="Times New Roman"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0D7D13E5"/>
    <w:multiLevelType w:val="hybridMultilevel"/>
    <w:tmpl w:val="F0406C7C"/>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3"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0262E3"/>
    <w:multiLevelType w:val="hybridMultilevel"/>
    <w:tmpl w:val="069CD778"/>
    <w:lvl w:ilvl="0" w:tplc="722EBB82">
      <w:numFmt w:val="bullet"/>
      <w:lvlText w:val="-"/>
      <w:lvlJc w:val="left"/>
      <w:pPr>
        <w:ind w:left="1494" w:hanging="360"/>
      </w:pPr>
      <w:rPr>
        <w:rFonts w:ascii="Times New Roman" w:eastAsiaTheme="minorHAns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160F7B93"/>
    <w:multiLevelType w:val="hybridMultilevel"/>
    <w:tmpl w:val="F5068AE0"/>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279C53D6"/>
    <w:multiLevelType w:val="hybridMultilevel"/>
    <w:tmpl w:val="0BAE627E"/>
    <w:lvl w:ilvl="0" w:tplc="117C42E6">
      <w:start w:val="1"/>
      <w:numFmt w:val="bullet"/>
      <w:lvlText w:val="•"/>
      <w:lvlJc w:val="left"/>
      <w:pPr>
        <w:ind w:left="1854" w:hanging="360"/>
      </w:pPr>
      <w:rPr>
        <w:rFonts w:ascii="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29542515"/>
    <w:multiLevelType w:val="multilevel"/>
    <w:tmpl w:val="929E4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B440249"/>
    <w:multiLevelType w:val="multilevel"/>
    <w:tmpl w:val="A7F87058"/>
    <w:lvl w:ilvl="0">
      <w:start w:val="1"/>
      <w:numFmt w:val="bullet"/>
      <w:lvlText w:val="•"/>
      <w:lvlJc w:val="left"/>
      <w:pPr>
        <w:ind w:left="1701" w:hanging="170"/>
      </w:pPr>
      <w:rPr>
        <w:rFonts w:ascii="Times New Roman" w:eastAsia="Times New Roman" w:hAnsi="Times New Roman" w:cs="Times New Roman"/>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9" w15:restartNumberingAfterBreak="0">
    <w:nsid w:val="2C3D593C"/>
    <w:multiLevelType w:val="hybridMultilevel"/>
    <w:tmpl w:val="1A0481AE"/>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0" w15:restartNumberingAfterBreak="0">
    <w:nsid w:val="30DE7BE8"/>
    <w:multiLevelType w:val="hybridMultilevel"/>
    <w:tmpl w:val="97C63070"/>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1" w15:restartNumberingAfterBreak="0">
    <w:nsid w:val="37B138D0"/>
    <w:multiLevelType w:val="hybridMultilevel"/>
    <w:tmpl w:val="68423216"/>
    <w:lvl w:ilvl="0" w:tplc="117C42E6">
      <w:start w:val="1"/>
      <w:numFmt w:val="bullet"/>
      <w:lvlText w:val="•"/>
      <w:lvlJc w:val="left"/>
      <w:pPr>
        <w:ind w:left="1854" w:hanging="360"/>
      </w:pPr>
      <w:rPr>
        <w:rFonts w:ascii="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40D7012"/>
    <w:multiLevelType w:val="hybridMultilevel"/>
    <w:tmpl w:val="669E1D92"/>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4" w15:restartNumberingAfterBreak="0">
    <w:nsid w:val="445366BA"/>
    <w:multiLevelType w:val="hybridMultilevel"/>
    <w:tmpl w:val="54803D50"/>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5" w15:restartNumberingAfterBreak="0">
    <w:nsid w:val="4E247740"/>
    <w:multiLevelType w:val="hybridMultilevel"/>
    <w:tmpl w:val="4BDA6B2A"/>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6" w15:restartNumberingAfterBreak="0">
    <w:nsid w:val="52890F8E"/>
    <w:multiLevelType w:val="hybridMultilevel"/>
    <w:tmpl w:val="C6BCC8D0"/>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7" w15:restartNumberingAfterBreak="0">
    <w:nsid w:val="5E2B7528"/>
    <w:multiLevelType w:val="hybridMultilevel"/>
    <w:tmpl w:val="8200AEEE"/>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8" w15:restartNumberingAfterBreak="0">
    <w:nsid w:val="5E7F7353"/>
    <w:multiLevelType w:val="hybridMultilevel"/>
    <w:tmpl w:val="0046CE1C"/>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9" w15:restartNumberingAfterBreak="0">
    <w:nsid w:val="5FEE776A"/>
    <w:multiLevelType w:val="hybridMultilevel"/>
    <w:tmpl w:val="BBE6E210"/>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0" w15:restartNumberingAfterBreak="0">
    <w:nsid w:val="6025466E"/>
    <w:multiLevelType w:val="hybridMultilevel"/>
    <w:tmpl w:val="6F523BD2"/>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1" w15:restartNumberingAfterBreak="0">
    <w:nsid w:val="65B479E6"/>
    <w:multiLevelType w:val="hybridMultilevel"/>
    <w:tmpl w:val="9A5C4542"/>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2" w15:restartNumberingAfterBreak="0">
    <w:nsid w:val="6645278D"/>
    <w:multiLevelType w:val="hybridMultilevel"/>
    <w:tmpl w:val="FB3A976E"/>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3" w15:restartNumberingAfterBreak="0">
    <w:nsid w:val="681B31E3"/>
    <w:multiLevelType w:val="hybridMultilevel"/>
    <w:tmpl w:val="FDB83CB6"/>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4"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AEF6923"/>
    <w:multiLevelType w:val="hybridMultilevel"/>
    <w:tmpl w:val="8540644E"/>
    <w:lvl w:ilvl="0" w:tplc="117C42E6">
      <w:start w:val="1"/>
      <w:numFmt w:val="bullet"/>
      <w:lvlText w:val="•"/>
      <w:lvlJc w:val="left"/>
      <w:pPr>
        <w:ind w:left="2061" w:hanging="360"/>
      </w:pPr>
      <w:rPr>
        <w:rFonts w:ascii="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34"/>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2"/>
  </w:num>
  <w:num w:numId="16">
    <w:abstractNumId w:val="13"/>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14"/>
  </w:num>
  <w:num w:numId="26">
    <w:abstractNumId w:val="35"/>
  </w:num>
  <w:num w:numId="27">
    <w:abstractNumId w:val="29"/>
  </w:num>
  <w:num w:numId="28">
    <w:abstractNumId w:val="33"/>
  </w:num>
  <w:num w:numId="29">
    <w:abstractNumId w:val="16"/>
  </w:num>
  <w:num w:numId="30">
    <w:abstractNumId w:val="26"/>
  </w:num>
  <w:num w:numId="31">
    <w:abstractNumId w:val="12"/>
  </w:num>
  <w:num w:numId="32">
    <w:abstractNumId w:val="32"/>
  </w:num>
  <w:num w:numId="33">
    <w:abstractNumId w:val="24"/>
  </w:num>
  <w:num w:numId="34">
    <w:abstractNumId w:val="30"/>
  </w:num>
  <w:num w:numId="35">
    <w:abstractNumId w:val="11"/>
  </w:num>
  <w:num w:numId="36">
    <w:abstractNumId w:val="31"/>
  </w:num>
  <w:num w:numId="37">
    <w:abstractNumId w:val="20"/>
  </w:num>
  <w:num w:numId="38">
    <w:abstractNumId w:val="28"/>
  </w:num>
  <w:num w:numId="39">
    <w:abstractNumId w:val="27"/>
  </w:num>
  <w:num w:numId="40">
    <w:abstractNumId w:val="25"/>
  </w:num>
  <w:num w:numId="41">
    <w:abstractNumId w:val="21"/>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0E"/>
    <w:rsid w:val="00017F94"/>
    <w:rsid w:val="00023842"/>
    <w:rsid w:val="0002432E"/>
    <w:rsid w:val="000334F9"/>
    <w:rsid w:val="00041B7C"/>
    <w:rsid w:val="000479B3"/>
    <w:rsid w:val="00073B9D"/>
    <w:rsid w:val="0007796D"/>
    <w:rsid w:val="000B7790"/>
    <w:rsid w:val="00111F2F"/>
    <w:rsid w:val="0014365E"/>
    <w:rsid w:val="00176178"/>
    <w:rsid w:val="001A2FEA"/>
    <w:rsid w:val="001C3868"/>
    <w:rsid w:val="001F525A"/>
    <w:rsid w:val="00223272"/>
    <w:rsid w:val="00224CCB"/>
    <w:rsid w:val="0024779E"/>
    <w:rsid w:val="002515E3"/>
    <w:rsid w:val="00266ACE"/>
    <w:rsid w:val="002832AC"/>
    <w:rsid w:val="002A6A2B"/>
    <w:rsid w:val="002C42F4"/>
    <w:rsid w:val="002D7C93"/>
    <w:rsid w:val="002E59F6"/>
    <w:rsid w:val="00387393"/>
    <w:rsid w:val="003F1243"/>
    <w:rsid w:val="004119B3"/>
    <w:rsid w:val="00426750"/>
    <w:rsid w:val="00441C3B"/>
    <w:rsid w:val="00446FE5"/>
    <w:rsid w:val="00452396"/>
    <w:rsid w:val="00455D20"/>
    <w:rsid w:val="00470956"/>
    <w:rsid w:val="004834AB"/>
    <w:rsid w:val="004E1593"/>
    <w:rsid w:val="004E468C"/>
    <w:rsid w:val="0051009E"/>
    <w:rsid w:val="005505B7"/>
    <w:rsid w:val="00573BE5"/>
    <w:rsid w:val="00586ED3"/>
    <w:rsid w:val="00596AA9"/>
    <w:rsid w:val="005D7F19"/>
    <w:rsid w:val="00607AF1"/>
    <w:rsid w:val="0068119F"/>
    <w:rsid w:val="0071029D"/>
    <w:rsid w:val="0071601D"/>
    <w:rsid w:val="00726B8A"/>
    <w:rsid w:val="0073792D"/>
    <w:rsid w:val="007A62E6"/>
    <w:rsid w:val="007C1326"/>
    <w:rsid w:val="007E6AEE"/>
    <w:rsid w:val="00800202"/>
    <w:rsid w:val="0080236C"/>
    <w:rsid w:val="0080684C"/>
    <w:rsid w:val="00822657"/>
    <w:rsid w:val="00824019"/>
    <w:rsid w:val="008315BF"/>
    <w:rsid w:val="008361E5"/>
    <w:rsid w:val="00871C75"/>
    <w:rsid w:val="00875787"/>
    <w:rsid w:val="008776DC"/>
    <w:rsid w:val="00885249"/>
    <w:rsid w:val="008C25A6"/>
    <w:rsid w:val="008D567E"/>
    <w:rsid w:val="00905EC8"/>
    <w:rsid w:val="009250F6"/>
    <w:rsid w:val="00941895"/>
    <w:rsid w:val="009603CF"/>
    <w:rsid w:val="00967489"/>
    <w:rsid w:val="009705C8"/>
    <w:rsid w:val="00987D7E"/>
    <w:rsid w:val="009C1CF4"/>
    <w:rsid w:val="009C6834"/>
    <w:rsid w:val="00A30353"/>
    <w:rsid w:val="00A66135"/>
    <w:rsid w:val="00AA42FA"/>
    <w:rsid w:val="00AA6029"/>
    <w:rsid w:val="00AC3823"/>
    <w:rsid w:val="00AD680E"/>
    <w:rsid w:val="00AE323C"/>
    <w:rsid w:val="00AF290F"/>
    <w:rsid w:val="00B00181"/>
    <w:rsid w:val="00B00B0D"/>
    <w:rsid w:val="00B765F7"/>
    <w:rsid w:val="00BA0CA9"/>
    <w:rsid w:val="00BA6614"/>
    <w:rsid w:val="00BA6DC3"/>
    <w:rsid w:val="00BB253D"/>
    <w:rsid w:val="00BF2869"/>
    <w:rsid w:val="00C02897"/>
    <w:rsid w:val="00C201F9"/>
    <w:rsid w:val="00CB4ECD"/>
    <w:rsid w:val="00D3439C"/>
    <w:rsid w:val="00D75300"/>
    <w:rsid w:val="00DB1831"/>
    <w:rsid w:val="00DD3BFD"/>
    <w:rsid w:val="00DD6D60"/>
    <w:rsid w:val="00DE0C81"/>
    <w:rsid w:val="00DF6678"/>
    <w:rsid w:val="00E12DDF"/>
    <w:rsid w:val="00E1792A"/>
    <w:rsid w:val="00E236B5"/>
    <w:rsid w:val="00EB5D4F"/>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4DD39"/>
  <w15:docId w15:val="{C5CB4CD7-A043-46E7-9D75-5A534A4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BA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yatost.k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sp.gov.k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51</Pages>
  <Words>28593</Words>
  <Characters>152991</Characters>
  <Application>Microsoft Office Word</Application>
  <DocSecurity>0</DocSecurity>
  <Lines>2526</Lines>
  <Paragraphs>797</Paragraphs>
  <ScaleCrop>false</ScaleCrop>
  <HeadingPairs>
    <vt:vector size="2" baseType="variant">
      <vt:variant>
        <vt:lpstr>Titre</vt:lpstr>
      </vt:variant>
      <vt:variant>
        <vt:i4>1</vt:i4>
      </vt:variant>
    </vt:vector>
  </HeadingPairs>
  <TitlesOfParts>
    <vt:vector size="1" baseType="lpstr">
      <vt:lpstr>E/C.12/KGZ/4</vt:lpstr>
    </vt:vector>
  </TitlesOfParts>
  <Company>DCM</Company>
  <LinksUpToDate>false</LinksUpToDate>
  <CharactersWithSpaces>181079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E/C.12/KGZ/4</dc:title>
  <dc:subject/>
  <dc:creator>Christine CHAUTAGNAT</dc:creator>
  <cp:keywords/>
  <cp:lastModifiedBy>Christine Chautagnat</cp:lastModifiedBy>
  <cp:revision>3</cp:revision>
  <cp:lastPrinted>2021-12-02T08:23:00Z</cp:lastPrinted>
  <dcterms:created xsi:type="dcterms:W3CDTF">2021-12-02T08:23:00Z</dcterms:created>
  <dcterms:modified xsi:type="dcterms:W3CDTF">2021-12-02T08:26:00Z</dcterms:modified>
</cp:coreProperties>
</file>