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D73522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8D33AC" w14:textId="77777777" w:rsidR="002D5AAC" w:rsidRDefault="002D5AAC" w:rsidP="00AA2A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043DE2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C6A5E6" w14:textId="44032CCB" w:rsidR="002D5AAC" w:rsidRDefault="00AA2A81" w:rsidP="00AA2A81">
            <w:pPr>
              <w:jc w:val="right"/>
            </w:pPr>
            <w:r w:rsidRPr="00DD46B5">
              <w:rPr>
                <w:sz w:val="40"/>
              </w:rPr>
              <w:t>E</w:t>
            </w:r>
            <w:r w:rsidRPr="00DD46B5">
              <w:t>/C.12/KGZ/Q/4</w:t>
            </w:r>
          </w:p>
        </w:tc>
      </w:tr>
      <w:tr w:rsidR="002D5AAC" w:rsidRPr="00AA2A81" w14:paraId="601889E9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1E30C1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8C4297" wp14:editId="68E394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4144B7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40BB8C" w14:textId="77777777" w:rsidR="002D5AAC" w:rsidRDefault="00AA2A81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F89101" w14:textId="77777777" w:rsidR="00AA2A81" w:rsidRDefault="00AA2A81" w:rsidP="00AA2A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2022</w:t>
            </w:r>
          </w:p>
          <w:p w14:paraId="52546DB0" w14:textId="77777777" w:rsidR="00AA2A81" w:rsidRDefault="00AA2A81" w:rsidP="00AA2A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2EBC85" w14:textId="77777777" w:rsidR="00AA2A81" w:rsidRDefault="00AA2A81" w:rsidP="00AA2A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67F5E9D5" w14:textId="4C033C51" w:rsidR="00AA2A81" w:rsidRPr="00AA2A81" w:rsidRDefault="00AA2A81" w:rsidP="00AA2A81">
            <w:pPr>
              <w:spacing w:line="240" w:lineRule="exact"/>
              <w:rPr>
                <w:lang w:val="en-US"/>
              </w:rPr>
            </w:pPr>
            <w:r w:rsidRPr="00AA2A81">
              <w:rPr>
                <w:lang w:val="en-US"/>
              </w:rPr>
              <w:t>English, French, Russian and Spanish only</w:t>
            </w:r>
          </w:p>
        </w:tc>
      </w:tr>
    </w:tbl>
    <w:p w14:paraId="2959438E" w14:textId="6D58C276" w:rsidR="00AA2A81" w:rsidRPr="00B2496C" w:rsidRDefault="00AA2A81" w:rsidP="00AA2A81">
      <w:pPr>
        <w:spacing w:before="120"/>
        <w:rPr>
          <w:b/>
          <w:sz w:val="24"/>
          <w:szCs w:val="24"/>
        </w:rPr>
      </w:pPr>
      <w:r w:rsidRPr="00B2496C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B2496C">
        <w:rPr>
          <w:b/>
          <w:bCs/>
          <w:sz w:val="24"/>
          <w:szCs w:val="24"/>
        </w:rPr>
        <w:t>и культурным правам</w:t>
      </w:r>
    </w:p>
    <w:p w14:paraId="60816B76" w14:textId="77777777" w:rsidR="00AA2A81" w:rsidRPr="00B2496C" w:rsidRDefault="00AA2A81" w:rsidP="00AA2A81">
      <w:pPr>
        <w:pStyle w:val="HChG"/>
      </w:pPr>
      <w:r>
        <w:tab/>
      </w:r>
      <w:r>
        <w:tab/>
      </w:r>
      <w:r>
        <w:rPr>
          <w:bCs/>
        </w:rPr>
        <w:t>Перечень вопросов в связи с четвертым периодическим докладом Кыргызстана</w:t>
      </w:r>
      <w:r w:rsidRPr="00AA2A81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600475A4" w14:textId="77777777" w:rsidR="00AA2A81" w:rsidRPr="00B2496C" w:rsidRDefault="00AA2A81" w:rsidP="00AA2A81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Общая информация</w:t>
      </w:r>
    </w:p>
    <w:p w14:paraId="2622045F" w14:textId="77777777" w:rsidR="00AA2A81" w:rsidRPr="00B2496C" w:rsidRDefault="00AA2A81" w:rsidP="00AA2A81">
      <w:pPr>
        <w:pStyle w:val="SingleTxtG"/>
      </w:pPr>
      <w:r>
        <w:t>1.</w:t>
      </w:r>
      <w:r>
        <w:tab/>
        <w:t>Просьба предоставить информацию о том, является ли новая Конституция, принятая на референдуме в апреле 2021 года, шагом вперед в плане постепенного достижения полной реализации закрепленных в Пакте прав. В частности, просьба предоставить информацию о мерах, которые приняты в рамках Конституции или законодательства, регламентирующего ее применение, и направлены на обеспечение полного введения в силу положений Пакта во внутренней правовой системе государства-участника, а также информацию об участии гражданского общества в этом процессе. Просьба также предоставить информацию о действующих механизмах проверки соответствия внутреннего законодательства положениям Пакта и о любых случаях, когда национальные суды ссылались на Пакт или применяли его. Кроме того, просьба предоставить информацию о состоянии процесса всеобъемлющего пересмотра, или «инвентаризации», законодательства, начатого в феврале 2021 года, и о том, как он способствует реализации экономических, социальных и культурных прав.</w:t>
      </w:r>
    </w:p>
    <w:p w14:paraId="020E8AA8" w14:textId="609279E3" w:rsidR="00AA2A81" w:rsidRPr="00B2496C" w:rsidRDefault="00AA2A81" w:rsidP="00AA2A81">
      <w:pPr>
        <w:pStyle w:val="SingleTxtG"/>
      </w:pPr>
      <w:r>
        <w:t>2.</w:t>
      </w:r>
      <w:r>
        <w:tab/>
        <w:t>Просьба предоставить информацию о том, как новая Конституция и законодательство, регламентирующее ее применение, обеспечивают независимость судебной власти и предоставляют судебным органам необходимые инструменты для защиты экономических, социальных и культурных прав. Просьба предоставить информацию о мерах, которые приняты, в частности, в соответствии с новой Конституцией и направлены на обеспечение организациям гражданского общества и правозащитникам благоприятной правовой основы и гражданского пространства, позволяющих им вести независимую деятельность по защите экономических, социальных и культурных прав. Просьба пояснить, почему ограничения, санкционированные статьей</w:t>
      </w:r>
      <w:r w:rsidR="00304402">
        <w:rPr>
          <w:lang w:val="en-US"/>
        </w:rPr>
        <w:t> </w:t>
      </w:r>
      <w:r>
        <w:t>10 Конституции, не подразумевают чрезмерного ограничения деятельности организаций гражданского общества и правозащитников.</w:t>
      </w:r>
    </w:p>
    <w:p w14:paraId="02E9EFDB" w14:textId="77777777" w:rsidR="00AA2A81" w:rsidRPr="00B2496C" w:rsidRDefault="00AA2A81" w:rsidP="00AA2A81">
      <w:pPr>
        <w:pStyle w:val="SingleTxtG"/>
      </w:pPr>
      <w:r>
        <w:t>3.</w:t>
      </w:r>
      <w:r>
        <w:tab/>
        <w:t>Просьба предоставить информацию о любых действиях, предпринятых или рассматриваемых для обеспечения полного соответствия Аппарата омбудсмена принципам, касающимся статуса национальных учреждений, занимающихся поощрением и защитой прав человека (Парижские принципы). Просьба также предоставить информацию о мерах, принятых для обеспечения независимости Аппарата омбудсмена и наличия у него финансовых и людских ресурсов, необходимых для эффективного выполнения его мандата.</w:t>
      </w:r>
    </w:p>
    <w:p w14:paraId="63A3471A" w14:textId="77777777" w:rsidR="00AA2A81" w:rsidRPr="00AA2A81" w:rsidRDefault="00AA2A81" w:rsidP="00AA2A81">
      <w:pPr>
        <w:pStyle w:val="SingleTxtG"/>
        <w:pageBreakBefore/>
        <w:rPr>
          <w:color w:val="505050"/>
          <w:shd w:val="clear" w:color="auto" w:fill="FFFFFF"/>
        </w:rPr>
      </w:pPr>
      <w:r>
        <w:lastRenderedPageBreak/>
        <w:t>4.</w:t>
      </w:r>
      <w:r>
        <w:tab/>
        <w:t>Просьба указать, какие меры были приняты для смягчения воздействия пандемии коронавирусного заболевания (COVID-19) на осуществление экономических, социальных и культурных прав, особенно среди наиболее обездоленных и маргинализированных лиц и групп. Просьба предоставить информацию о мерах, принятых для содействия всеобщему и справедливому доступу к диагностике, лечению и иммунизации в связи с COVID-19.</w:t>
      </w:r>
    </w:p>
    <w:p w14:paraId="09EB972C" w14:textId="77777777" w:rsidR="00AA2A81" w:rsidRPr="00B2496C" w:rsidRDefault="00AA2A81" w:rsidP="00AA2A81">
      <w:pPr>
        <w:pStyle w:val="SingleTxtG"/>
      </w:pPr>
      <w:r>
        <w:t>5.</w:t>
      </w:r>
      <w:r>
        <w:tab/>
        <w:t>Просьба предоставить информацию о прогрессе, достигнутом в деле выполнения определенных на национальном уровне обязательств по сокращению выбросов, изложенных в Парижском соглашении. Просьба сообщить о результатах принятых мер по адаптации, особенно в отношении обездоленных и маргинализированных лиц и групп, включая женщин, проживающих в сельских районах, лиц с инвалидностью и детей из маргинализированных общин, которые проживают в районах, особенно уязвимых к изменению климата. Просьба предоставить информацию об эффективности институциональной структуры государства в сфере осуществления политики, связанной с изменением климата, и о ресурсах, выделенных на деятельность по адаптации к изменению климата.</w:t>
      </w:r>
    </w:p>
    <w:p w14:paraId="2E131FF1" w14:textId="77777777" w:rsidR="00AA2A81" w:rsidRPr="00B2496C" w:rsidRDefault="00AA2A81" w:rsidP="00AA2A81">
      <w:pPr>
        <w:pStyle w:val="SingleTxtG"/>
      </w:pPr>
      <w:r>
        <w:t>6.</w:t>
      </w:r>
      <w:r>
        <w:tab/>
        <w:t xml:space="preserve">Просьба предоставить информацию о действиях, предпринятых для обеспечения того, чтобы предприятия, действующие под юрисдикцией государства-участника, как на его территории, так и за рубежом, были обязаны проявлять </w:t>
      </w:r>
      <w:r w:rsidRPr="009F6E49">
        <w:t>должную осмотрительность в области прав человека</w:t>
      </w:r>
      <w:r>
        <w:t xml:space="preserve"> в своей деятельности и деловых отношениях. Просьба сообщить Комитету о результатах мер, принятых государством-участником для смягчения воздействия горнодобывающих работ на здоровье и окружающую среду, в том числе предоставить информацию об управлении золотым месторождением «</w:t>
      </w:r>
      <w:proofErr w:type="spellStart"/>
      <w:r>
        <w:t>Кумтор</w:t>
      </w:r>
      <w:proofErr w:type="spellEnd"/>
      <w:r>
        <w:t>». Просьба также сообщить Комитету о механизмах подачи жалоб и проведения консультаций, которые доступны общинам, затрагиваемым деятельностью добывающих отраслей, и о мерах, принятых для обеспечения того, чтобы горнодобывающая отрасль способствовала снижению уровня бедности в отдаленных районах, затрагиваемых деятельностью по добыче полезных ископаемых.</w:t>
      </w:r>
    </w:p>
    <w:p w14:paraId="2EBD39CB" w14:textId="77777777" w:rsidR="00AA2A81" w:rsidRPr="00B2496C" w:rsidRDefault="00AA2A81" w:rsidP="00AA2A81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Вопросы, касающиеся общих положений Пакта (статьи 1–5)</w:t>
      </w:r>
    </w:p>
    <w:p w14:paraId="2C5EE109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Максимальные пределы имеющихся ресурсов (статья 2 (пункт 1))</w:t>
      </w:r>
    </w:p>
    <w:p w14:paraId="4EEBEA43" w14:textId="77777777" w:rsidR="00AA2A81" w:rsidRPr="00B2496C" w:rsidRDefault="00AA2A81" w:rsidP="00AA2A81">
      <w:pPr>
        <w:pStyle w:val="SingleTxtG"/>
      </w:pPr>
      <w:r>
        <w:t>7.</w:t>
      </w:r>
      <w:r>
        <w:tab/>
        <w:t>Просьба предоставить информацию о динамике следующих показателей за последние 10 лет:</w:t>
      </w:r>
    </w:p>
    <w:p w14:paraId="4B86FDEE" w14:textId="77777777" w:rsidR="00AA2A81" w:rsidRPr="00B2496C" w:rsidRDefault="00AA2A81" w:rsidP="00AA2A81">
      <w:pPr>
        <w:pStyle w:val="SingleTxtG"/>
      </w:pPr>
      <w:r>
        <w:tab/>
        <w:t>a)</w:t>
      </w:r>
      <w:r>
        <w:tab/>
        <w:t>доли населения, живущего ниже определенной на национальном уровне черты бедности;</w:t>
      </w:r>
    </w:p>
    <w:p w14:paraId="14C87B64" w14:textId="1E47D33C" w:rsidR="00AA2A81" w:rsidRPr="00B2496C" w:rsidRDefault="00AA2A81" w:rsidP="00AA2A81">
      <w:pPr>
        <w:pStyle w:val="SingleTxtG"/>
      </w:pPr>
      <w:r>
        <w:tab/>
        <w:t>b)</w:t>
      </w:r>
      <w:r>
        <w:tab/>
        <w:t xml:space="preserve">уровней неравенства, определяемых как соотношение между общим доходом, получаемым самой богатой </w:t>
      </w:r>
      <w:proofErr w:type="spellStart"/>
      <w:r>
        <w:t>децилью</w:t>
      </w:r>
      <w:proofErr w:type="spellEnd"/>
      <w:r>
        <w:t xml:space="preserve"> населения, и общим доходом беднейших 40 процентов, а также как соотношение между активами, принадлежащими самой богатой децили населения, и активами, принадлежащими беднейшим 50</w:t>
      </w:r>
      <w:r>
        <w:rPr>
          <w:lang w:val="en-US"/>
        </w:rPr>
        <w:t> </w:t>
      </w:r>
      <w:r>
        <w:t>процентам;</w:t>
      </w:r>
    </w:p>
    <w:p w14:paraId="6A325C54" w14:textId="77777777" w:rsidR="00AA2A81" w:rsidRPr="00B2496C" w:rsidRDefault="00AA2A81" w:rsidP="00AA2A81">
      <w:pPr>
        <w:pStyle w:val="SingleTxtG"/>
      </w:pPr>
      <w:r>
        <w:tab/>
        <w:t>c)</w:t>
      </w:r>
      <w:r>
        <w:tab/>
        <w:t>доли государственных доходов, получаемых за счет налогов;</w:t>
      </w:r>
    </w:p>
    <w:p w14:paraId="290CFAC7" w14:textId="77777777" w:rsidR="00AA2A81" w:rsidRPr="00B2496C" w:rsidRDefault="00AA2A81" w:rsidP="00AA2A81">
      <w:pPr>
        <w:pStyle w:val="SingleTxtG"/>
      </w:pPr>
      <w:r>
        <w:tab/>
        <w:t>d)</w:t>
      </w:r>
      <w:r>
        <w:tab/>
        <w:t>ставок налогов на прибыль компаний, на доходы физических лиц и на добавленную стоимость (за исключением налога на добавленную стоимость, которым облагаются некоторые товары, в том числе предметы роскоши), а также процентной доли общего дохода, которую составляют налоги на доходы физических лиц, собираемые с 10 процентов наиболее состоятельных жителей страны;</w:t>
      </w:r>
    </w:p>
    <w:p w14:paraId="71FD6C39" w14:textId="77777777" w:rsidR="00AA2A81" w:rsidRPr="00B2496C" w:rsidRDefault="00AA2A81" w:rsidP="00AA2A81">
      <w:pPr>
        <w:pStyle w:val="SingleTxtG"/>
      </w:pPr>
      <w:r>
        <w:tab/>
        <w:t>e)</w:t>
      </w:r>
      <w:r>
        <w:tab/>
        <w:t>государственных расходов, выраженных в процентах от валового внутреннего продукта, а также, в рамках общего объема государственных расходов, процентной доли государственного бюджета, выделяемой на социальные затраты, включая социальное обеспечение, питание, водоснабжение и канализацию, жилищное хозяйство, здравоохранение и образование;</w:t>
      </w:r>
    </w:p>
    <w:p w14:paraId="222DAEEF" w14:textId="77777777" w:rsidR="00AA2A81" w:rsidRPr="00B2496C" w:rsidRDefault="00AA2A81" w:rsidP="00AA2A81">
      <w:pPr>
        <w:pStyle w:val="SingleTxtG"/>
        <w:pageBreakBefore/>
      </w:pPr>
      <w:r>
        <w:lastRenderedPageBreak/>
        <w:tab/>
        <w:t>f)</w:t>
      </w:r>
      <w:r>
        <w:tab/>
        <w:t>военных расходов, выраженных в процентах от валового внутреннего продукта и государственного бюджета;</w:t>
      </w:r>
    </w:p>
    <w:p w14:paraId="4D9CD3C6" w14:textId="77777777" w:rsidR="00AA2A81" w:rsidRPr="00B2496C" w:rsidRDefault="00AA2A81" w:rsidP="00AA2A81">
      <w:pPr>
        <w:pStyle w:val="SingleTxtG"/>
      </w:pPr>
      <w:r>
        <w:tab/>
        <w:t>g)</w:t>
      </w:r>
      <w:r>
        <w:tab/>
        <w:t>любой фискальной политики, принятой в качестве меры реагирования на пандемию COVID-19.</w:t>
      </w:r>
    </w:p>
    <w:p w14:paraId="147541AD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 xml:space="preserve">Коррупция </w:t>
      </w:r>
      <w:r w:rsidRPr="00751A8B">
        <w:rPr>
          <w:bCs/>
        </w:rPr>
        <w:t>(статья 2 (</w:t>
      </w:r>
      <w:r>
        <w:rPr>
          <w:bCs/>
        </w:rPr>
        <w:t xml:space="preserve">пункт </w:t>
      </w:r>
      <w:r w:rsidRPr="00751A8B">
        <w:rPr>
          <w:bCs/>
        </w:rPr>
        <w:t>1))</w:t>
      </w:r>
    </w:p>
    <w:p w14:paraId="71654F27" w14:textId="681EDC6C" w:rsidR="00AA2A81" w:rsidRPr="00B2496C" w:rsidRDefault="00AA2A81" w:rsidP="00AA2A81">
      <w:pPr>
        <w:pStyle w:val="SingleTxtG"/>
      </w:pPr>
      <w:r>
        <w:t>8.</w:t>
      </w:r>
      <w:r>
        <w:tab/>
        <w:t xml:space="preserve">Просьба предоставить информацию </w:t>
      </w:r>
      <w:r w:rsidRPr="00B87FBB">
        <w:t xml:space="preserve">об осуществлении </w:t>
      </w:r>
      <w:r>
        <w:t xml:space="preserve">и результатах плана </w:t>
      </w:r>
      <w:r w:rsidRPr="00B87FBB">
        <w:t xml:space="preserve">мероприятий государственных органов по противодействию коррупции </w:t>
      </w:r>
      <w:r>
        <w:t xml:space="preserve">на </w:t>
      </w:r>
      <w:r>
        <w:br/>
      </w:r>
      <w:r>
        <w:t xml:space="preserve">2019–2021 годы и направить Комитету обновленную информацию о сохраняющихся препятствиях на пути борьбы с коррупцией в государстве-участнике, особенно в таких областях, как государственные закупки, управление землепользованием, работа налоговых органов и государственные услуги. Просьба также предоставить информацию о количестве дел, возбужденных в отношении государственных должностных лиц и местных органов власти в связи с конфликтами интересов </w:t>
      </w:r>
      <w:r>
        <w:br/>
      </w:r>
      <w:r>
        <w:t>или нарушениями законодательства, а также об инициированных судебных разбирательствах и вынесенных приговорах, если таковые имели место, в отношении высокопоставленных должностных лиц, виновных в коррупции.</w:t>
      </w:r>
    </w:p>
    <w:p w14:paraId="569A8C0B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 xml:space="preserve">Недискриминация </w:t>
      </w:r>
      <w:r w:rsidRPr="00D73776">
        <w:rPr>
          <w:bCs/>
        </w:rPr>
        <w:t>(статья 2 (</w:t>
      </w:r>
      <w:r>
        <w:rPr>
          <w:bCs/>
        </w:rPr>
        <w:t xml:space="preserve">пункт </w:t>
      </w:r>
      <w:r w:rsidRPr="00D73776">
        <w:rPr>
          <w:bCs/>
        </w:rPr>
        <w:t>2))</w:t>
      </w:r>
    </w:p>
    <w:p w14:paraId="01FB6C06" w14:textId="77777777" w:rsidR="00AA2A81" w:rsidRPr="00B2496C" w:rsidRDefault="00AA2A81" w:rsidP="00AA2A81">
      <w:pPr>
        <w:pStyle w:val="SingleTxtG"/>
        <w:rPr>
          <w:vertAlign w:val="superscript"/>
        </w:rPr>
      </w:pPr>
      <w:r>
        <w:t>9.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2"/>
      </w:r>
      <w:r>
        <w:t xml:space="preserve"> просьба предоставить информацию о любых действиях, предпринятых для принятия всеобъемлющего антидискриминационного законодательства в отношении конкретных групп, а также о соответствующих жалобах и наказаниях. Просьба предоставить информацию о том, как осуществление межведомственного плана действий по выполнению рекомендаций Комитета по ликвидации расовой дискриминации, плана действий в области прав человека на 2019–2021 годы и нового Уголовного кодекса помогло предотвратить и решить проблему дискриминации при осуществлении экономических, социальных и культурных прав. Просьба также указать, какие действия были предприняты для пресечения и предупреждения дискриминации в отношении обездоленных и маргинализированных лиц и групп, в том числе со стороны медицинского персонала.</w:t>
      </w:r>
    </w:p>
    <w:p w14:paraId="256BD67B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Равные права мужчин и женщин (статья 3)</w:t>
      </w:r>
    </w:p>
    <w:p w14:paraId="350FFE49" w14:textId="73B207E1" w:rsidR="00AA2A81" w:rsidRPr="00B2496C" w:rsidRDefault="00AA2A81" w:rsidP="00AA2A81">
      <w:pPr>
        <w:pStyle w:val="SingleTxtG"/>
      </w:pPr>
      <w:r>
        <w:t>10.</w:t>
      </w:r>
      <w:r>
        <w:tab/>
        <w:t>Просьба сообщить Комитету об осуществлении и результатах национальной стратегии и плана действий по обеспечению гендерного равенства, а также принятых в их рамках документов. Просьба также предоставить информацию о результатах применения закона о внесении в конституционный Закон Кыргызской Республики «О</w:t>
      </w:r>
      <w:r>
        <w:rPr>
          <w:lang w:val="en-US"/>
        </w:rPr>
        <w:t> </w:t>
      </w:r>
      <w:r>
        <w:t xml:space="preserve">выборах Президента Кыргызской Республики и депутатов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Кенеша</w:t>
      </w:r>
      <w:proofErr w:type="spellEnd"/>
      <w:r>
        <w:t xml:space="preserve"> Кыргызской Республики» (2021 год) изменений, касающихся представленности женщин на всех уровнях власти. Просьба также предоставить информацию об осуществлении и результатах закона 2017 года о</w:t>
      </w:r>
      <w:r w:rsidRPr="006C18FD">
        <w:t>б охране и защите от семейного насилия</w:t>
      </w:r>
      <w:r>
        <w:t>. Просьба сообщить Комитету о мерах, принятых для обеспечения того, чтобы женщины и девочки, ставшие жертвами семейно-бытового насилия, в том числе проживающие в сельской местности, имели надлежащий доступ к приютам, медицинской помощи, психосоциальной поддержке и социально-экономическим услугам, чтобы случаи насилия в семье расследовались, а виновные привлекались к ответственности.</w:t>
      </w:r>
    </w:p>
    <w:p w14:paraId="419AF995" w14:textId="77777777" w:rsidR="00AA2A81" w:rsidRPr="00B2496C" w:rsidRDefault="00AA2A81" w:rsidP="00AA2A81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Вопросы, касающиеся конкретных положений Пакта (статьи 6–15)</w:t>
      </w:r>
    </w:p>
    <w:p w14:paraId="71659268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труд (статья 6)</w:t>
      </w:r>
    </w:p>
    <w:p w14:paraId="60AE9258" w14:textId="77777777" w:rsidR="00AA2A81" w:rsidRPr="00B2496C" w:rsidRDefault="00AA2A81" w:rsidP="00AA2A81">
      <w:pPr>
        <w:pStyle w:val="SingleTxtG"/>
      </w:pPr>
      <w:r>
        <w:t>11.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3"/>
      </w:r>
      <w:r>
        <w:t xml:space="preserve"> и информации, предоставленной государством-участником, просьба разъяснить, каким образом </w:t>
      </w:r>
      <w:r>
        <w:lastRenderedPageBreak/>
        <w:t>принятие закона 2015 года о содействии занятости населения (Закона № 214) способствовало борьбе с безработицей среди женщин, молодежи в возрасте до 30 лет, лиц с инвалидностью и беженцев, в том числе путем предоставления соответствующих дезагрегированных статистических данных. Кроме того, просьба предоставить информацию о результатах действий, предпринятых в целях:</w:t>
      </w:r>
    </w:p>
    <w:p w14:paraId="24312FD5" w14:textId="77777777" w:rsidR="00AA2A81" w:rsidRPr="00B2496C" w:rsidRDefault="00AA2A81" w:rsidP="00AA2A81">
      <w:pPr>
        <w:pStyle w:val="SingleTxtG"/>
      </w:pPr>
      <w:r>
        <w:tab/>
        <w:t>a)</w:t>
      </w:r>
      <w:r>
        <w:tab/>
        <w:t>борьбы со структурной безработицей в сфере услуг и строительной отрасли;</w:t>
      </w:r>
    </w:p>
    <w:p w14:paraId="0E04CD82" w14:textId="77777777" w:rsidR="00AA2A81" w:rsidRPr="00B2496C" w:rsidRDefault="00AA2A81" w:rsidP="00AA2A81">
      <w:pPr>
        <w:pStyle w:val="SingleTxtG"/>
      </w:pPr>
      <w:r>
        <w:tab/>
        <w:t>b)</w:t>
      </w:r>
      <w:r>
        <w:tab/>
        <w:t>смягчения воздействия пандемии COVID-19 на уровень безработицы, особенно среди обездоленных и маргинализированных лиц, включая мигрантов и работников неформальной экономики, проживающих в городских и полугородских районах.</w:t>
      </w:r>
    </w:p>
    <w:p w14:paraId="694CA082" w14:textId="77777777" w:rsidR="00AA2A81" w:rsidRPr="00B2496C" w:rsidRDefault="00AA2A81" w:rsidP="00AA2A81">
      <w:pPr>
        <w:pStyle w:val="SingleTxtG"/>
      </w:pPr>
      <w:r>
        <w:t>12.</w:t>
      </w:r>
      <w:r>
        <w:tab/>
        <w:t>Просьба предоставить статистические данные в разбивке по полу, расе, происхождению, сексуальной ориентации, инвалидности и ВИЧ-статусу, касающиеся дискриминации на рабочем месте при приеме на работу, повышении и понижении в должности, в том числе в государственном секторе, и разъяснить, как принятые на данный момент меры способствовали запрету такой дискриминации. Просьба предоставить информацию о действиях, предпринятых для обеспечения эффективного осуществления закона о правах и гарантиях лиц с ограниченными возможностями здоровья и Трудового кодекса в отношении 5-процентной квоты работников с инвалидностью. Просьба также указать процентную долю компаний, которые выполнили квоту по трудоустройству лиц с инвалидностью на сопоставимой основе за последние пять лет, и предоставить информацию о санкциях, предусмотренных для тех, кто не выполняет это требование.</w:t>
      </w:r>
    </w:p>
    <w:p w14:paraId="3BB6827A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справедливые и благоприятные условия труда (статья 7)</w:t>
      </w:r>
    </w:p>
    <w:p w14:paraId="63B867B2" w14:textId="77777777" w:rsidR="00AA2A81" w:rsidRPr="00B2496C" w:rsidRDefault="00AA2A81" w:rsidP="00AA2A81">
      <w:pPr>
        <w:pStyle w:val="SingleTxtG"/>
      </w:pPr>
      <w:r>
        <w:t>13.</w:t>
      </w:r>
      <w:r>
        <w:tab/>
      </w:r>
      <w:r w:rsidRPr="003316CF">
        <w:t>С учетом предыдущих</w:t>
      </w:r>
      <w:r>
        <w:t xml:space="preserve"> заключительных замечаний Комитета</w:t>
      </w:r>
      <w:r w:rsidRPr="00C950FF">
        <w:rPr>
          <w:rStyle w:val="a8"/>
        </w:rPr>
        <w:footnoteReference w:id="4"/>
      </w:r>
      <w:r>
        <w:t xml:space="preserve"> и информации, предоставленной государством-участником, просьба также предоставить информацию об обеспечении исполнения закона о минимальной заработной плате и о действующем механизме пересмотра и регулярной индексации минимальной заработной платы в соответствии со стоимостью жизни, с тем чтобы трудящиеся и их семьи могли вести достойную жизнь. Просьба ответить на сообщения о том, что во время пандемии COVID-19 медицинские работники получали недостаточную заработную плату и работали в ненадлежащих условиях, а также прокомментировать информацию о сохраняющихся препятствиях на пути к соблюдению принципа равной оплаты за труд равной ценности.</w:t>
      </w:r>
    </w:p>
    <w:p w14:paraId="346F0EA7" w14:textId="77777777" w:rsidR="00AA2A81" w:rsidRPr="00B2496C" w:rsidRDefault="00AA2A81" w:rsidP="00AA2A81">
      <w:pPr>
        <w:pStyle w:val="SingleTxtG"/>
      </w:pPr>
      <w:r>
        <w:t>14.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5"/>
      </w:r>
      <w:r>
        <w:t xml:space="preserve"> просьба сообщить о результатах работы межведомственной рабочей группы, созданной для расследования деятельности ненаблюдаемой экономики, и о ходе осуществления плана действий правительства, разработанного для сокращения ее масштабов. Просьба указать, предусмотрены ли в программе развития Кыргызстана на 2018–2022 годы какие-либо механизмы </w:t>
      </w:r>
      <w:r w:rsidRPr="00697265">
        <w:t>формализации</w:t>
      </w:r>
      <w:r>
        <w:t>, направленные на обеспечение равного доступа к официальному рынку труда для находящихся в неблагоприятном положении лиц и групп, включая молодежь в возрасте до 30 лет, лиц с инвалидностью, женщин и мигрантов. Просьба предоставить обновленные статистические данные (в разбивке по полу и возрасту) о числе лиц, занятых в неформальном секторе экономики, на ежегодной сопоставительной основе за последние пять лет, а также предоставить информацию о мерах, принятых для усиления защиты их трудовых прав.</w:t>
      </w:r>
    </w:p>
    <w:p w14:paraId="2391E13B" w14:textId="66868E4F" w:rsidR="00AA2A81" w:rsidRPr="00B2496C" w:rsidRDefault="00AA2A81" w:rsidP="00AA2A81">
      <w:pPr>
        <w:pStyle w:val="SingleTxtG"/>
        <w:rPr>
          <w:b/>
        </w:rPr>
      </w:pPr>
      <w:r>
        <w:t>15.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6"/>
      </w:r>
      <w:r>
        <w:t xml:space="preserve"> просьба сообщить о мерах, принятых для приведения условий труда трудящихся-мигрантов в соответствие с положениями статьи 7 Пакта, и о влиянии таких мер на борьбу с </w:t>
      </w:r>
      <w:r w:rsidR="00B058A0">
        <w:t>т</w:t>
      </w:r>
      <w:r>
        <w:t>рудовой эксплуатацией, злоупотреблениями и запугиванием. Просьба также сообщить об эффективности мер, принятых для смягчения воздействия пандемии COVID-19 на семьи кыргызских трудящихся-мигрантов, проживающие за рубежом и зависящие от их денежных переводов.</w:t>
      </w:r>
    </w:p>
    <w:p w14:paraId="2E7A4FA1" w14:textId="77777777" w:rsidR="00AA2A81" w:rsidRPr="00B2496C" w:rsidRDefault="00AA2A81" w:rsidP="00AA2A81">
      <w:pPr>
        <w:pStyle w:val="H23G"/>
      </w:pPr>
      <w:bookmarkStart w:id="0" w:name="_Toc518392836"/>
      <w:r>
        <w:tab/>
      </w:r>
      <w:r>
        <w:tab/>
      </w:r>
      <w:r>
        <w:rPr>
          <w:bCs/>
        </w:rPr>
        <w:t>Профсоюзные права (</w:t>
      </w:r>
      <w:r w:rsidRPr="00C74B32">
        <w:rPr>
          <w:bCs/>
        </w:rPr>
        <w:t>статья</w:t>
      </w:r>
      <w:r>
        <w:rPr>
          <w:bCs/>
        </w:rPr>
        <w:t xml:space="preserve"> 8)</w:t>
      </w:r>
      <w:bookmarkEnd w:id="0"/>
    </w:p>
    <w:p w14:paraId="254D99FF" w14:textId="0FE5299F" w:rsidR="00AA2A81" w:rsidRPr="00B2496C" w:rsidRDefault="00AA2A81" w:rsidP="00AA2A81">
      <w:pPr>
        <w:pStyle w:val="SingleTxtG"/>
      </w:pPr>
      <w:r>
        <w:t>16.</w:t>
      </w:r>
      <w:r>
        <w:tab/>
        <w:t xml:space="preserve">Просьба предоставить информацию о ходе разработки </w:t>
      </w:r>
      <w:r>
        <w:br/>
      </w:r>
      <w:r>
        <w:t>законопроекта № 6–8263/19 о внесении поправок в закон о профессиональных союзах и сообщить о действиях, предпринятых для обеспечения совместимости этого законопроекта с Пактом, а также о степени участия организаций трудящихся и гражданского общества в процессе его принятия. Просьба также указать, какие законы и практические меры были приняты для защиты членов профсоюзов от насилия и для обеспечения их свободной и эффективной деятельности.</w:t>
      </w:r>
    </w:p>
    <w:p w14:paraId="2D19A28E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 (статья 9)</w:t>
      </w:r>
    </w:p>
    <w:p w14:paraId="4B7DF009" w14:textId="77777777" w:rsidR="00AA2A81" w:rsidRPr="00B2496C" w:rsidRDefault="00AA2A81" w:rsidP="00AA2A81">
      <w:pPr>
        <w:pStyle w:val="SingleTxtG"/>
      </w:pPr>
      <w:r>
        <w:t>17.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7"/>
      </w:r>
      <w:r>
        <w:t xml:space="preserve"> и информации, предоставленной государством-участником, просьба перечислить имеющиеся механизмы, направленные на предотвращение выплаты пенсионерам пенсий ниже прожиточного минимума и обеспечение адекватного размера социальных выплат. Просьба сообщить о действиях, предпринятых для расширения охвата ежемесячным пособием для малоимущих семей с детьми и пособием по безработице большего числа домохозяйств, находящихся в уязвимом положении, и для предотвращения исключения работников неформального сектора экономики из числа получателей этих пособий. Кроме того, просьба предоставить информацию о пособиях по социальному обеспечению, доступных для лиц, работающих в неформальном секторе.</w:t>
      </w:r>
    </w:p>
    <w:p w14:paraId="396E69EE" w14:textId="77777777" w:rsidR="00AA2A81" w:rsidRPr="00B2496C" w:rsidRDefault="00AA2A81" w:rsidP="00AA2A81">
      <w:pPr>
        <w:pStyle w:val="SingleTxtG"/>
      </w:pPr>
      <w:r>
        <w:t>18.</w:t>
      </w:r>
      <w:r>
        <w:tab/>
        <w:t>С учетом информации, предоставленной государством-участником, просьба предоставить дополнительную информацию о результатах осуществления закона о государственных пособиях и о том, обеспечивает ли он достаточный уровень жизни получателей государственных пособий. Просьба предоставить дезагрегированные данные о доле населения, охваченного программами социальной помощи и социального страхования. Просьба также сообщить о действиях, предпринятых для обеспечения того, чтобы система социальной защиты охватывала обездоленных и маргинализированных лиц и аналогичные группы, включая молодежь, лиц с инвалидностью, трудящихся-мигрантов, малоимущее городское население, работников секс-индустрии, беженцев и просителей убежища.</w:t>
      </w:r>
    </w:p>
    <w:p w14:paraId="5BE28F13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Защита семьи и детей (статья 10)</w:t>
      </w:r>
    </w:p>
    <w:p w14:paraId="1D97ADE9" w14:textId="4B3AEDCA" w:rsidR="00AA2A81" w:rsidRPr="00B2496C" w:rsidRDefault="00AA2A81" w:rsidP="00AA2A81">
      <w:pPr>
        <w:pStyle w:val="SingleTxtG"/>
      </w:pPr>
      <w:r>
        <w:t>19.</w:t>
      </w:r>
      <w:r>
        <w:tab/>
        <w:t xml:space="preserve">Просьба предоставить подробную информацию о любых принятых или планируемых мерах по репатриации и реинтеграции семей, в том числе детей, иностранных боевиков-террористов, в особенности женщин и детей, де-факто содержащихся под стражей. Просьба также сообщить о действиях, предпринятых </w:t>
      </w:r>
      <w:r w:rsidR="00DD46B5">
        <w:br/>
      </w:r>
      <w:r>
        <w:t>для оказания социальной, психологической и образовательной поддержки репатриированным женщинам и детям.</w:t>
      </w:r>
    </w:p>
    <w:p w14:paraId="5EF78D99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достаточный жизненный уровень (статья 11)</w:t>
      </w:r>
    </w:p>
    <w:p w14:paraId="5A000B22" w14:textId="77777777" w:rsidR="00AA2A81" w:rsidRPr="00B2496C" w:rsidRDefault="00AA2A81" w:rsidP="00AA2A81">
      <w:pPr>
        <w:pStyle w:val="SingleTxtG"/>
        <w:rPr>
          <w:b/>
        </w:rPr>
      </w:pPr>
      <w:r>
        <w:t>20.</w:t>
      </w:r>
      <w:r>
        <w:tab/>
        <w:t>Просьба предоставить информацию о влиянии стратегии государства-участника по сокращению масштабов нищеты на снижение уровня бедности и сокращение числа лиц, живущих чуть выше черты бедности, а также о мерах, принятых для смягчения последствий пандемии COVID-19 в этой области.</w:t>
      </w:r>
    </w:p>
    <w:p w14:paraId="4EB80E69" w14:textId="77777777" w:rsidR="00AA2A81" w:rsidRPr="00B2496C" w:rsidRDefault="00AA2A81" w:rsidP="00AA2A81">
      <w:pPr>
        <w:pStyle w:val="SingleTxtG"/>
      </w:pPr>
      <w:r>
        <w:t>21.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8"/>
      </w:r>
      <w:r>
        <w:t xml:space="preserve"> и информации, предоставленной государством-участником, просьба предоставить дополнительную информацию и дезагрегированные статистические данные об осуществлении и результатах программы доступного жилья на 2015–2020 годы, чтобы убедиться, что </w:t>
      </w:r>
      <w:r>
        <w:lastRenderedPageBreak/>
        <w:t>она удовлетворяет потребности обездоленных и маргинализированных групп и приводит к сокращению числа бездомных.</w:t>
      </w:r>
    </w:p>
    <w:p w14:paraId="060DC40A" w14:textId="77777777" w:rsidR="00AA2A81" w:rsidRPr="00B2496C" w:rsidRDefault="00AA2A81" w:rsidP="00AA2A81">
      <w:pPr>
        <w:pStyle w:val="SingleTxtG"/>
      </w:pPr>
      <w:r>
        <w:t>22.</w:t>
      </w:r>
      <w:r>
        <w:tab/>
        <w:t xml:space="preserve">Просьба предоставить информацию о мерах, принятых для разработки комплексной жилищной политики, охватывающей различные формы домовладения, включая арендное жилье и жилье, приобретенное путем долевого строительства. Просьба проинформировать Комитет о действиях, предусмотренных для обеспечения права на достаточное жилище в случаях принудительного выселения, и об участии гражданского общества в процессе разработки жилищного законодательства и политики. Просьба также прокомментировать действующие или планируемые нормативные акты, направленные на защиту лесбиянок, геев, бисексуалов, трансгендеров и </w:t>
      </w:r>
      <w:r w:rsidRPr="00A251F7">
        <w:t xml:space="preserve">интерсексов </w:t>
      </w:r>
      <w:r>
        <w:t>от дискриминации со стороны частных арендодателей и на предотвращение принудительного выселения представителей этнических меньшинств. Просьба сообщить о действиях, предпринятых для поддержки внутренне перемещенных лиц, пострадавших в результате пограничного конфликта в апреле 2021 года, с точки зрения доступа к надлежащему жилью, образованию и воде.</w:t>
      </w:r>
    </w:p>
    <w:p w14:paraId="59266AB4" w14:textId="77777777" w:rsidR="00AA2A81" w:rsidRPr="00B2496C" w:rsidRDefault="00AA2A81" w:rsidP="00AA2A81">
      <w:pPr>
        <w:pStyle w:val="SingleTxtG"/>
      </w:pPr>
      <w:r>
        <w:t>23.</w:t>
      </w:r>
      <w:r>
        <w:tab/>
        <w:t>Просьба предоставить информацию об осуществлении и результатах программы продовольственной безопасности и питания на 2019–2023 годы и соответствующего плана действий в плане обеспечения того, чтобы все люди имели доступ к недорогому и достаточному продовольствию. Просьба также сообщить о мерах, принятых в целях:</w:t>
      </w:r>
    </w:p>
    <w:p w14:paraId="31D868A3" w14:textId="77777777" w:rsidR="00AA2A81" w:rsidRPr="00B2496C" w:rsidRDefault="00AA2A81" w:rsidP="00AA2A81">
      <w:pPr>
        <w:pStyle w:val="SingleTxtG"/>
      </w:pPr>
      <w:r>
        <w:tab/>
        <w:t>a)</w:t>
      </w:r>
      <w:r>
        <w:tab/>
        <w:t>обеспечения доступа к полноценному питанию для всех людей, находящиеся в уязвимом положении, включая малоимущее городское население и мигрантов;</w:t>
      </w:r>
    </w:p>
    <w:p w14:paraId="5633089C" w14:textId="77777777" w:rsidR="00AA2A81" w:rsidRPr="00B2496C" w:rsidRDefault="00AA2A81" w:rsidP="00AA2A81">
      <w:pPr>
        <w:pStyle w:val="SingleTxtG"/>
      </w:pPr>
      <w:r>
        <w:tab/>
        <w:t>b)</w:t>
      </w:r>
      <w:r>
        <w:tab/>
        <w:t>устранения риска отсутствия продовольственной безопасности в связи с ростом цен на продукты питания;</w:t>
      </w:r>
    </w:p>
    <w:p w14:paraId="7EDE28E0" w14:textId="77777777" w:rsidR="00AA2A81" w:rsidRPr="00B2496C" w:rsidRDefault="00AA2A81" w:rsidP="00AA2A81">
      <w:pPr>
        <w:pStyle w:val="SingleTxtG"/>
      </w:pPr>
      <w:r>
        <w:tab/>
        <w:t>c)</w:t>
      </w:r>
      <w:r>
        <w:tab/>
        <w:t>создания государственной системы распределения продуктов питания среди малообеспеченных лиц и жителей отдаленных регионов.</w:t>
      </w:r>
    </w:p>
    <w:p w14:paraId="2BD32245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физическое и психическое здоровье (статья 12)</w:t>
      </w:r>
    </w:p>
    <w:p w14:paraId="5DD68582" w14:textId="77777777" w:rsidR="00AA2A81" w:rsidRPr="00B2496C" w:rsidRDefault="00AA2A81" w:rsidP="00AA2A81">
      <w:pPr>
        <w:pStyle w:val="SingleTxtG"/>
      </w:pPr>
      <w:r>
        <w:t>24.</w:t>
      </w:r>
      <w:r>
        <w:tab/>
        <w:t>Просьба предоставить информацию, в том числе соответствующие статистические данные, об осуществлении и воздействии программы государственных гарантий и о принятии национальной программы «Доступная страна». Просьба также предоставить подробную информацию о действиях, предпринятых для увеличения объема финансовых и людских ресурсов, выделяемых из государственного бюджета в целях предоставления надлежащих услуг здравоохранения. Просьба сообщить Комитету о действиях, предпринятых для повышения качества инфраструктуры и оборудования, и указать, каким образом в условиях пандемии COVID-19 обеспечивается предоставление качественных средств индивидуальной защиты, качественных условий труда для медицинского персонала и достаточного потенциала медицинских учреждений.</w:t>
      </w:r>
    </w:p>
    <w:p w14:paraId="09CCC145" w14:textId="77777777" w:rsidR="00AA2A81" w:rsidRPr="00B2496C" w:rsidRDefault="00AA2A81" w:rsidP="00AA2A81">
      <w:pPr>
        <w:pStyle w:val="SingleTxtG"/>
      </w:pPr>
      <w:r>
        <w:t>25.</w:t>
      </w:r>
      <w:r>
        <w:tab/>
        <w:t>Просьба сообщить Комитету об осуществлении и результатах мер, принятых для ограничения практики неофициальной оплаты медицинского обслуживания и оплаты из собственных средств, а также о мерах, предусмотренных для борьбы с коррупцией и повышения прозрачности на всех уровнях системы здравоохранения.</w:t>
      </w:r>
    </w:p>
    <w:p w14:paraId="3E6EC6E7" w14:textId="77777777" w:rsidR="00AA3928" w:rsidRDefault="00AA2A81" w:rsidP="00AA2A81">
      <w:pPr>
        <w:pStyle w:val="SingleTxtG"/>
      </w:pPr>
      <w:r>
        <w:t>26.</w:t>
      </w:r>
      <w:r>
        <w:tab/>
        <w:t>С учетом предыдущих заключительных замечаний Комитета</w:t>
      </w:r>
      <w:r w:rsidRPr="00C950FF">
        <w:rPr>
          <w:rStyle w:val="a8"/>
        </w:rPr>
        <w:footnoteReference w:id="9"/>
      </w:r>
      <w:r>
        <w:t xml:space="preserve"> просьба предоставить информацию о внедрении и распространении руководства по предоставлению медико-социальной помощи трансгендерам, транссексуалам и гендерно неконформным лицам (2017 год) и руководства по работе с уязвимыми группами в области профилактики ВИЧ с целью обеспечения надлежащего доступа к медицинскому обслуживанию для лесбиянок, геев, бисексуалов, трансгендеров, интерсексов и ВИЧ-инфицированных лиц без дискриминации. Просьба сообщить о </w:t>
      </w:r>
      <w:r w:rsidR="00AA3928">
        <w:br/>
      </w:r>
    </w:p>
    <w:p w14:paraId="0F1F1CE8" w14:textId="0EAF6FD9" w:rsidR="00AA2A81" w:rsidRPr="00B2496C" w:rsidRDefault="00AA2A81" w:rsidP="00AA2A81">
      <w:pPr>
        <w:pStyle w:val="SingleTxtG"/>
      </w:pPr>
      <w:r>
        <w:t xml:space="preserve">влиянии статьи 143 Уголовного кодекса (о заражении венерической или неизлечимой инфекционной болезнью) на доступ ВИЧ-инфицированных людей к медицинскому </w:t>
      </w:r>
      <w:r>
        <w:lastRenderedPageBreak/>
        <w:t xml:space="preserve">обслуживанию и услугам по профилактике ВИЧ, а также предоставить информацию о действиях, предпринятых в целях обеспечения доступа к медицинскому обслуживанию для работников секс-индустрии. С учетом информации, предоставленной государством-участником, просьба предоставить дополнительную информацию о любых мерах, принятых в целях обеспечения доступа к медицинскому обслуживанию для беженцев, просителей убежища, возвращающихся мигрантов и представителей меньшинств, а также о психосоциальной поддержке общин в Баткенском и </w:t>
      </w:r>
      <w:proofErr w:type="spellStart"/>
      <w:r>
        <w:t>Лейлекском</w:t>
      </w:r>
      <w:proofErr w:type="spellEnd"/>
      <w:r>
        <w:t xml:space="preserve"> районах, пострадавших от пограничного конфликта.</w:t>
      </w:r>
    </w:p>
    <w:p w14:paraId="37A4A388" w14:textId="77777777" w:rsidR="00AA2A81" w:rsidRPr="00B2496C" w:rsidRDefault="00AA2A81" w:rsidP="00AA2A81">
      <w:pPr>
        <w:pStyle w:val="SingleTxtG"/>
        <w:rPr>
          <w:b/>
          <w:bCs/>
        </w:rPr>
      </w:pPr>
      <w:r>
        <w:t>27.</w:t>
      </w:r>
      <w:r>
        <w:tab/>
        <w:t>Просьба предоставить информацию о действиях, предпринятых для декриминализации употребления и хранения наркотиков. С учетом информации, предоставленной государством-участником, просьба указать бюджет, выделенный на программы снижения вреда, и перечислить действия, предпринятые для обеспечения оказания специализированных медицинских услуг, психологической поддержки и услуг реабилитации потребителям наркотиков, а также сообщить об участии гражданского общества в этом процессе. С учетом предыдущих заключительных замечаний Комитета</w:t>
      </w:r>
      <w:r w:rsidRPr="00C950FF">
        <w:rPr>
          <w:rStyle w:val="a8"/>
        </w:rPr>
        <w:footnoteReference w:id="10"/>
      </w:r>
      <w:r>
        <w:t xml:space="preserve"> просьба указать, какие действия были предприняты для обеспечения беспрепятственного доступа потребителей наркотиков к программам поддерживающей заместительной терапии метадоном.</w:t>
      </w:r>
    </w:p>
    <w:p w14:paraId="42227B89" w14:textId="77777777" w:rsidR="00AA2A81" w:rsidRPr="00B2496C" w:rsidRDefault="00AA2A81" w:rsidP="00AA2A81">
      <w:pPr>
        <w:pStyle w:val="SingleTxtG"/>
      </w:pPr>
      <w:r>
        <w:t>28.</w:t>
      </w:r>
      <w:r>
        <w:tab/>
        <w:t>Просьба сообщить Комитету об осуществлении и результатах законов, стратегий и программ, принятых для устранения негативных последствий высокого уровня промышленного загрязнения для здоровья и окружающей среды. Просьба также предоставить информацию о действиях, предпринятых в целях:</w:t>
      </w:r>
    </w:p>
    <w:p w14:paraId="3FEA1C86" w14:textId="77777777" w:rsidR="00AA2A81" w:rsidRPr="00B2496C" w:rsidRDefault="00AA2A81" w:rsidP="00AA2A81">
      <w:pPr>
        <w:pStyle w:val="SingleTxtG"/>
      </w:pPr>
      <w:r>
        <w:tab/>
        <w:t>a)</w:t>
      </w:r>
      <w:r>
        <w:tab/>
        <w:t>активизации сбора актуальных и точных экологических данных и показателей;</w:t>
      </w:r>
    </w:p>
    <w:p w14:paraId="13550DC9" w14:textId="77777777" w:rsidR="00AA2A81" w:rsidRPr="00B2496C" w:rsidRDefault="00AA2A81" w:rsidP="00AA2A81">
      <w:pPr>
        <w:pStyle w:val="SingleTxtG"/>
      </w:pPr>
      <w:r>
        <w:tab/>
        <w:t>b)</w:t>
      </w:r>
      <w:r>
        <w:tab/>
        <w:t>разработки комплексной экологической политики;</w:t>
      </w:r>
    </w:p>
    <w:p w14:paraId="40FE87F9" w14:textId="77777777" w:rsidR="00AA2A81" w:rsidRPr="00B2496C" w:rsidRDefault="00AA2A81" w:rsidP="00AA2A81">
      <w:pPr>
        <w:pStyle w:val="SingleTxtG"/>
      </w:pPr>
      <w:r>
        <w:tab/>
        <w:t>c)</w:t>
      </w:r>
      <w:r>
        <w:tab/>
        <w:t>решения проблемы увеличения объема выбросов загрязняющих веществ в атмосферу и связанного с этим воздействия;</w:t>
      </w:r>
    </w:p>
    <w:p w14:paraId="7FB33EE2" w14:textId="77777777" w:rsidR="00AA2A81" w:rsidRPr="00B2496C" w:rsidRDefault="00AA2A81" w:rsidP="00AA2A81">
      <w:pPr>
        <w:pStyle w:val="SingleTxtG"/>
      </w:pPr>
      <w:r>
        <w:tab/>
        <w:t>d)</w:t>
      </w:r>
      <w:r>
        <w:tab/>
        <w:t xml:space="preserve">оценки влияния проектов, реализованных с целью устранить последствия добычи урана и измельчения хвостов в районе </w:t>
      </w:r>
      <w:proofErr w:type="spellStart"/>
      <w:r>
        <w:t>Майли</w:t>
      </w:r>
      <w:proofErr w:type="spellEnd"/>
      <w:r>
        <w:t>-Сая.</w:t>
      </w:r>
    </w:p>
    <w:p w14:paraId="1A8065BB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Право на образование (статьи 13–14)</w:t>
      </w:r>
    </w:p>
    <w:p w14:paraId="4ACB73B3" w14:textId="248BB25A" w:rsidR="00AA2A81" w:rsidRPr="00B2496C" w:rsidRDefault="00AA2A81" w:rsidP="00AA2A81">
      <w:pPr>
        <w:pStyle w:val="SingleTxtG"/>
      </w:pPr>
      <w:r>
        <w:t>29.</w:t>
      </w:r>
      <w:r>
        <w:tab/>
        <w:t>Просьба предоставить информацию о действиях, предпринятых для увеличения доли государственного бюджета, выделяемой на образование, и о планируемых мерах по повышению качества образования. Просьба также предоставить информацию об осуществлении и результатах программы развития инклюзивного образования на 2019–2023 годы, направленной на обеспечение равного доступа к образованию без дискриминации для всех детей, включая детей с ограниченными возможностями, детей-беженцев, детей без гражданства, детей</w:t>
      </w:r>
      <w:r w:rsidRPr="00AA2A81">
        <w:t xml:space="preserve"> </w:t>
      </w:r>
      <w:r>
        <w:t>— просителей убежища, и детей, принадлежащих к группам меньшинств. Просьба предоставить информацию о влиянии на качество и доступ к образованию стратегий, принятых для перехода от очного к дистанционному обучению во время пандемии COVID-19, и о мерах, предусмотренных для обеспечения доступа к образованию детей, живущих в отдаленных районах и районах, затронутых конфликтами, и детей из семей, живущих в бедности.</w:t>
      </w:r>
    </w:p>
    <w:p w14:paraId="7A227FC7" w14:textId="77777777" w:rsidR="00AA2A81" w:rsidRPr="00B2496C" w:rsidRDefault="00AA2A81" w:rsidP="00AA2A81">
      <w:pPr>
        <w:pStyle w:val="H23G"/>
      </w:pPr>
      <w:r>
        <w:tab/>
      </w:r>
      <w:r>
        <w:tab/>
      </w:r>
      <w:r>
        <w:rPr>
          <w:bCs/>
        </w:rPr>
        <w:t>Культурные права (статья 15)</w:t>
      </w:r>
    </w:p>
    <w:p w14:paraId="188CE8C3" w14:textId="77777777" w:rsidR="00AA2A81" w:rsidRPr="00B2496C" w:rsidRDefault="00AA2A81" w:rsidP="00AA2A81">
      <w:pPr>
        <w:pStyle w:val="SingleTxtG"/>
      </w:pPr>
      <w:r>
        <w:t>30.</w:t>
      </w:r>
      <w:r>
        <w:tab/>
        <w:t xml:space="preserve">Просьба предоставить информацию об осуществлении и воздействии программы внедрения многоязычного образования на 2017–2030 годы, о выделенном на нее бюджете и о мерах, принятых для поощрения использования языков меньшинств в средствах массовой информации, культурной жизни и образовании, включая профессиональное и высшее образование. Просьба сообщить о ходе принятия законопроекта о государственном языке, который предусматривает использование кыргызского языка во всех сферах общественной жизни. Просьба также указать, были </w:t>
      </w:r>
      <w:r>
        <w:lastRenderedPageBreak/>
        <w:t>ли эффективны меры, принятые для устранения цифрового разрыва, связанного с географическим местоположением, полом и языком.</w:t>
      </w:r>
    </w:p>
    <w:p w14:paraId="4214D199" w14:textId="1B357867" w:rsidR="00381C24" w:rsidRPr="00AA2A81" w:rsidRDefault="00AA2A81" w:rsidP="00AA2A81">
      <w:pPr>
        <w:spacing w:before="240"/>
        <w:ind w:left="1134" w:right="1134"/>
        <w:jc w:val="center"/>
      </w:pPr>
      <w:r w:rsidRPr="00B2496C">
        <w:rPr>
          <w:u w:val="single"/>
        </w:rPr>
        <w:tab/>
      </w:r>
      <w:r w:rsidRPr="00B2496C">
        <w:rPr>
          <w:u w:val="single"/>
        </w:rPr>
        <w:tab/>
      </w:r>
      <w:r w:rsidRPr="00B2496C">
        <w:rPr>
          <w:u w:val="single"/>
        </w:rPr>
        <w:tab/>
      </w:r>
      <w:r w:rsidRPr="00B2496C">
        <w:rPr>
          <w:u w:val="single"/>
        </w:rPr>
        <w:tab/>
      </w:r>
    </w:p>
    <w:sectPr w:rsidR="00381C24" w:rsidRPr="00AA2A81" w:rsidSect="00AA2A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F004" w14:textId="77777777" w:rsidR="007113D3" w:rsidRPr="00A312BC" w:rsidRDefault="007113D3" w:rsidP="00A312BC"/>
  </w:endnote>
  <w:endnote w:type="continuationSeparator" w:id="0">
    <w:p w14:paraId="5932ECC5" w14:textId="77777777" w:rsidR="007113D3" w:rsidRPr="00A312BC" w:rsidRDefault="007113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1BA" w14:textId="33DA3CD7" w:rsidR="00AA2A81" w:rsidRPr="00AA2A81" w:rsidRDefault="00AA2A81">
    <w:pPr>
      <w:pStyle w:val="aa"/>
    </w:pPr>
    <w:r w:rsidRPr="00AA2A81">
      <w:rPr>
        <w:b/>
        <w:sz w:val="18"/>
      </w:rPr>
      <w:fldChar w:fldCharType="begin"/>
    </w:r>
    <w:r w:rsidRPr="00AA2A81">
      <w:rPr>
        <w:b/>
        <w:sz w:val="18"/>
      </w:rPr>
      <w:instrText xml:space="preserve"> PAGE  \* MERGEFORMAT </w:instrText>
    </w:r>
    <w:r w:rsidRPr="00AA2A81">
      <w:rPr>
        <w:b/>
        <w:sz w:val="18"/>
      </w:rPr>
      <w:fldChar w:fldCharType="separate"/>
    </w:r>
    <w:r w:rsidRPr="00AA2A81">
      <w:rPr>
        <w:b/>
        <w:noProof/>
        <w:sz w:val="18"/>
      </w:rPr>
      <w:t>2</w:t>
    </w:r>
    <w:r w:rsidRPr="00AA2A81">
      <w:rPr>
        <w:b/>
        <w:sz w:val="18"/>
      </w:rPr>
      <w:fldChar w:fldCharType="end"/>
    </w:r>
    <w:r>
      <w:rPr>
        <w:b/>
        <w:sz w:val="18"/>
      </w:rPr>
      <w:tab/>
    </w:r>
    <w:r>
      <w:t>GE.22-04923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2787" w14:textId="47DC9253" w:rsidR="00AA2A81" w:rsidRPr="00AA2A81" w:rsidRDefault="00AA2A81" w:rsidP="00AA2A81">
    <w:pPr>
      <w:pStyle w:val="aa"/>
      <w:tabs>
        <w:tab w:val="clear" w:pos="9639"/>
        <w:tab w:val="right" w:pos="9638"/>
      </w:tabs>
      <w:rPr>
        <w:b/>
        <w:sz w:val="18"/>
      </w:rPr>
    </w:pPr>
    <w:r>
      <w:t>GE.22-04923</w:t>
    </w:r>
    <w:r>
      <w:tab/>
    </w:r>
    <w:r w:rsidRPr="00AA2A81">
      <w:rPr>
        <w:b/>
        <w:sz w:val="18"/>
      </w:rPr>
      <w:fldChar w:fldCharType="begin"/>
    </w:r>
    <w:r w:rsidRPr="00AA2A81">
      <w:rPr>
        <w:b/>
        <w:sz w:val="18"/>
      </w:rPr>
      <w:instrText xml:space="preserve"> PAGE  \* MERGEFORMAT </w:instrText>
    </w:r>
    <w:r w:rsidRPr="00AA2A81">
      <w:rPr>
        <w:b/>
        <w:sz w:val="18"/>
      </w:rPr>
      <w:fldChar w:fldCharType="separate"/>
    </w:r>
    <w:r w:rsidRPr="00AA2A81">
      <w:rPr>
        <w:b/>
        <w:noProof/>
        <w:sz w:val="18"/>
      </w:rPr>
      <w:t>3</w:t>
    </w:r>
    <w:r w:rsidRPr="00AA2A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6951" w14:textId="4E858493" w:rsidR="00042B72" w:rsidRPr="00AA2A81" w:rsidRDefault="00AA2A81" w:rsidP="00AA2A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0EE220" wp14:editId="1E35F6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04923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BE80A0" wp14:editId="4C0624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210422  050522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6B80" w14:textId="77777777" w:rsidR="007113D3" w:rsidRPr="001075E9" w:rsidRDefault="007113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E46921" w14:textId="77777777" w:rsidR="007113D3" w:rsidRDefault="007113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C19F0D" w14:textId="77777777" w:rsidR="00AA2A81" w:rsidRPr="00B2496C" w:rsidRDefault="00AA2A81" w:rsidP="00AA2A81">
      <w:pPr>
        <w:pStyle w:val="af"/>
      </w:pPr>
      <w:r>
        <w:tab/>
      </w:r>
      <w:r w:rsidRPr="00AA2A81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семнадцатой сессии (7–11 марта 2022 года).</w:t>
      </w:r>
    </w:p>
  </w:footnote>
  <w:footnote w:id="2">
    <w:p w14:paraId="79FF667F" w14:textId="42FEFCF4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</w:r>
      <w:hyperlink r:id="rId1" w:history="1">
        <w:r w:rsidR="00DD46B5" w:rsidRPr="00C26114">
          <w:rPr>
            <w:rStyle w:val="a7"/>
          </w:rPr>
          <w:t>E/C.12/KG</w:t>
        </w:r>
        <w:r w:rsidR="00DD46B5" w:rsidRPr="00C26114">
          <w:rPr>
            <w:rStyle w:val="a7"/>
          </w:rPr>
          <w:t>Z</w:t>
        </w:r>
        <w:r w:rsidR="00DD46B5" w:rsidRPr="00C26114">
          <w:rPr>
            <w:rStyle w:val="a7"/>
          </w:rPr>
          <w:t>/CO/2-3</w:t>
        </w:r>
      </w:hyperlink>
      <w:r w:rsidRPr="00DD46B5">
        <w:rPr>
          <w:lang w:val="es-ES"/>
        </w:rPr>
        <w:t>,</w:t>
      </w:r>
      <w:r>
        <w:t xml:space="preserve"> п. 5.</w:t>
      </w:r>
    </w:p>
  </w:footnote>
  <w:footnote w:id="3">
    <w:p w14:paraId="560C1FDB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9.</w:t>
      </w:r>
    </w:p>
  </w:footnote>
  <w:footnote w:id="4">
    <w:p w14:paraId="2A2EE901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10.</w:t>
      </w:r>
    </w:p>
  </w:footnote>
  <w:footnote w:id="5">
    <w:p w14:paraId="64AD9A09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11.</w:t>
      </w:r>
    </w:p>
  </w:footnote>
  <w:footnote w:id="6">
    <w:p w14:paraId="72FB40D4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13.</w:t>
      </w:r>
    </w:p>
  </w:footnote>
  <w:footnote w:id="7">
    <w:p w14:paraId="2BF304FF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15.</w:t>
      </w:r>
    </w:p>
  </w:footnote>
  <w:footnote w:id="8">
    <w:p w14:paraId="25136768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19.</w:t>
      </w:r>
    </w:p>
  </w:footnote>
  <w:footnote w:id="9">
    <w:p w14:paraId="7472C02B" w14:textId="77777777" w:rsidR="00AA2A81" w:rsidRPr="00B2496C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22 a).</w:t>
      </w:r>
    </w:p>
  </w:footnote>
  <w:footnote w:id="10">
    <w:p w14:paraId="71432515" w14:textId="77777777" w:rsidR="00AA2A81" w:rsidRPr="00FE28CB" w:rsidRDefault="00AA2A81" w:rsidP="00AA2A81">
      <w:pPr>
        <w:pStyle w:val="af"/>
      </w:pPr>
      <w:r w:rsidRPr="00FE28CB">
        <w:tab/>
      </w:r>
      <w:r w:rsidRPr="00FE28CB">
        <w:rPr>
          <w:rStyle w:val="a8"/>
        </w:rPr>
        <w:footnoteRef/>
      </w:r>
      <w:r>
        <w:tab/>
        <w:t>Там же, п. 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6EF8" w14:textId="2B5FC153" w:rsidR="00AA2A81" w:rsidRPr="00AA2A81" w:rsidRDefault="00AA2A81">
    <w:pPr>
      <w:pStyle w:val="a5"/>
    </w:pPr>
    <w:fldSimple w:instr=" TITLE  \* MERGEFORMAT ">
      <w:r w:rsidR="008A2437">
        <w:t>E/C.12/KGZ/Q/4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384" w14:textId="6DED691B" w:rsidR="00AA2A81" w:rsidRPr="00AA2A81" w:rsidRDefault="00AA2A81" w:rsidP="00AA2A81">
    <w:pPr>
      <w:pStyle w:val="a5"/>
      <w:jc w:val="right"/>
    </w:pPr>
    <w:fldSimple w:instr=" TITLE  \* MERGEFORMAT ">
      <w:r w:rsidR="008A2437">
        <w:t>E/C.12/KGZ/Q/4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D3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4402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B1C31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13D3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A243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A2A81"/>
    <w:rsid w:val="00AA3928"/>
    <w:rsid w:val="00AB2DBD"/>
    <w:rsid w:val="00AB4B51"/>
    <w:rsid w:val="00AC3430"/>
    <w:rsid w:val="00B058A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46B5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A1F1D8"/>
  <w15:docId w15:val="{479311CF-5DD5-49EE-821E-B4294BC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AA2A8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DD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ru/E/C.12/KGZ/CO/2-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8</Pages>
  <Words>2849</Words>
  <Characters>20345</Characters>
  <Application>Microsoft Office Word</Application>
  <DocSecurity>0</DocSecurity>
  <Lines>356</Lines>
  <Paragraphs>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E/C.12/KGZ/Q/4</vt:lpstr>
      <vt:lpstr>A/</vt:lpstr>
      <vt:lpstr>A/</vt:lpstr>
    </vt:vector>
  </TitlesOfParts>
  <Company>DCM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E/C.12/KGZ/Q/4</dc:title>
  <dc:subject/>
  <dc:creator>Svetlana PROKOUDINA</dc:creator>
  <cp:keywords/>
  <cp:lastModifiedBy>Svetlana Prokoudina</cp:lastModifiedBy>
  <cp:revision>3</cp:revision>
  <cp:lastPrinted>2022-05-05T08:12:00Z</cp:lastPrinted>
  <dcterms:created xsi:type="dcterms:W3CDTF">2022-05-05T08:12:00Z</dcterms:created>
  <dcterms:modified xsi:type="dcterms:W3CDTF">2022-05-05T08:12:00Z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