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259"/>
        <w:gridCol w:w="2236"/>
        <w:gridCol w:w="3214"/>
        <w:gridCol w:w="2930"/>
      </w:tblGrid>
      <w:tr w:rsidR="00963CBA" w:rsidRPr="002C0BDF" w:rsidTr="00DD1051">
        <w:trPr>
          <w:trHeight w:val="851"/>
        </w:trPr>
        <w:tc>
          <w:tcPr>
            <w:tcW w:w="1259" w:type="dxa"/>
            <w:tcBorders>
              <w:top w:val="nil"/>
              <w:left w:val="nil"/>
              <w:bottom w:val="single" w:sz="4" w:space="0" w:color="auto"/>
              <w:right w:val="nil"/>
            </w:tcBorders>
            <w:shd w:val="clear" w:color="auto" w:fill="auto"/>
          </w:tcPr>
          <w:p w:rsidR="00446DE4" w:rsidRPr="008F12B7" w:rsidRDefault="00446DE4" w:rsidP="00DD1051">
            <w:pPr>
              <w:rPr>
                <w:lang w:val="en-US"/>
              </w:rPr>
            </w:pPr>
          </w:p>
        </w:tc>
        <w:tc>
          <w:tcPr>
            <w:tcW w:w="2236" w:type="dxa"/>
            <w:tcBorders>
              <w:top w:val="nil"/>
              <w:left w:val="nil"/>
              <w:bottom w:val="single" w:sz="4" w:space="0" w:color="auto"/>
              <w:right w:val="nil"/>
            </w:tcBorders>
            <w:shd w:val="clear" w:color="auto" w:fill="auto"/>
            <w:vAlign w:val="bottom"/>
          </w:tcPr>
          <w:p w:rsidR="00446DE4" w:rsidRPr="005C13BA" w:rsidRDefault="00BC0578" w:rsidP="00DD1051">
            <w:pPr>
              <w:spacing w:after="80" w:line="300" w:lineRule="exact"/>
              <w:rPr>
                <w:sz w:val="28"/>
                <w:szCs w:val="28"/>
              </w:rPr>
            </w:pPr>
            <w:r w:rsidRPr="005C13BA">
              <w:rPr>
                <w:sz w:val="28"/>
                <w:szCs w:val="28"/>
              </w:rPr>
              <w:t>United Nations</w:t>
            </w:r>
          </w:p>
        </w:tc>
        <w:tc>
          <w:tcPr>
            <w:tcW w:w="6144" w:type="dxa"/>
            <w:gridSpan w:val="2"/>
            <w:tcBorders>
              <w:top w:val="nil"/>
              <w:left w:val="nil"/>
              <w:bottom w:val="single" w:sz="4" w:space="0" w:color="auto"/>
              <w:right w:val="nil"/>
            </w:tcBorders>
            <w:shd w:val="clear" w:color="auto" w:fill="auto"/>
            <w:vAlign w:val="bottom"/>
          </w:tcPr>
          <w:p w:rsidR="00446DE4" w:rsidRPr="005C13BA" w:rsidRDefault="00DB0F0D" w:rsidP="00591483">
            <w:pPr>
              <w:suppressAutoHyphens w:val="0"/>
              <w:spacing w:after="20"/>
              <w:jc w:val="right"/>
            </w:pPr>
            <w:r w:rsidRPr="005C13BA">
              <w:rPr>
                <w:sz w:val="40"/>
                <w:szCs w:val="40"/>
              </w:rPr>
              <w:t>E</w:t>
            </w:r>
            <w:r w:rsidRPr="005C13BA">
              <w:t>/C.12/</w:t>
            </w:r>
            <w:r w:rsidR="00103155" w:rsidRPr="005C13BA">
              <w:t>SVN</w:t>
            </w:r>
            <w:r w:rsidR="0024165B" w:rsidRPr="005C13BA">
              <w:t>/</w:t>
            </w:r>
            <w:r w:rsidR="001F74B2" w:rsidRPr="005C13BA">
              <w:t>CO/</w:t>
            </w:r>
            <w:r w:rsidR="00103155" w:rsidRPr="005C13BA">
              <w:t>2</w:t>
            </w:r>
          </w:p>
        </w:tc>
      </w:tr>
      <w:tr w:rsidR="003107FA" w:rsidRPr="002C0BDF" w:rsidTr="00DD1051">
        <w:trPr>
          <w:trHeight w:val="2835"/>
        </w:trPr>
        <w:tc>
          <w:tcPr>
            <w:tcW w:w="1259" w:type="dxa"/>
            <w:tcBorders>
              <w:top w:val="single" w:sz="4" w:space="0" w:color="auto"/>
              <w:left w:val="nil"/>
              <w:bottom w:val="single" w:sz="12" w:space="0" w:color="auto"/>
              <w:right w:val="nil"/>
            </w:tcBorders>
            <w:shd w:val="clear" w:color="auto" w:fill="auto"/>
          </w:tcPr>
          <w:p w:rsidR="003107FA" w:rsidRPr="002C0BDF" w:rsidRDefault="00BC0578" w:rsidP="00DD1051">
            <w:pPr>
              <w:spacing w:before="120"/>
            </w:pPr>
            <w:r w:rsidRPr="002C0BDF">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450" w:type="dxa"/>
            <w:gridSpan w:val="2"/>
            <w:tcBorders>
              <w:top w:val="single" w:sz="4" w:space="0" w:color="auto"/>
              <w:left w:val="nil"/>
              <w:bottom w:val="single" w:sz="12" w:space="0" w:color="auto"/>
              <w:right w:val="nil"/>
            </w:tcBorders>
            <w:shd w:val="clear" w:color="auto" w:fill="auto"/>
          </w:tcPr>
          <w:p w:rsidR="003107FA" w:rsidRPr="005C13BA" w:rsidRDefault="00DB0F0D" w:rsidP="00DD1051">
            <w:pPr>
              <w:spacing w:before="240" w:line="260" w:lineRule="exact"/>
              <w:rPr>
                <w:b/>
                <w:sz w:val="36"/>
                <w:szCs w:val="36"/>
              </w:rPr>
            </w:pPr>
            <w:r w:rsidRPr="005C13BA">
              <w:rPr>
                <w:b/>
                <w:sz w:val="36"/>
                <w:szCs w:val="36"/>
              </w:rPr>
              <w:t>Economic and Social Council</w:t>
            </w:r>
          </w:p>
        </w:tc>
        <w:tc>
          <w:tcPr>
            <w:tcW w:w="2930" w:type="dxa"/>
            <w:tcBorders>
              <w:top w:val="single" w:sz="4" w:space="0" w:color="auto"/>
              <w:left w:val="nil"/>
              <w:bottom w:val="single" w:sz="12" w:space="0" w:color="auto"/>
              <w:right w:val="nil"/>
            </w:tcBorders>
            <w:shd w:val="clear" w:color="auto" w:fill="auto"/>
          </w:tcPr>
          <w:p w:rsidR="0024165B" w:rsidRPr="005C13BA" w:rsidRDefault="0024165B" w:rsidP="00DD1051">
            <w:pPr>
              <w:suppressAutoHyphens w:val="0"/>
              <w:spacing w:before="240" w:line="240" w:lineRule="exact"/>
            </w:pPr>
            <w:r w:rsidRPr="005C13BA">
              <w:t xml:space="preserve">Distr.: </w:t>
            </w:r>
            <w:r w:rsidR="00591483" w:rsidRPr="005C13BA">
              <w:t>General</w:t>
            </w:r>
          </w:p>
          <w:p w:rsidR="0024165B" w:rsidRPr="005C13BA" w:rsidRDefault="002354E7" w:rsidP="009F0378">
            <w:pPr>
              <w:suppressAutoHyphens w:val="0"/>
            </w:pPr>
            <w:r w:rsidRPr="005C13BA">
              <w:t>1</w:t>
            </w:r>
            <w:r w:rsidR="005C13BA" w:rsidRPr="005C13BA">
              <w:t>5</w:t>
            </w:r>
            <w:r w:rsidR="002A58EF" w:rsidRPr="005C13BA">
              <w:t xml:space="preserve"> </w:t>
            </w:r>
            <w:r w:rsidR="00815C4D" w:rsidRPr="005C13BA">
              <w:t>Dec</w:t>
            </w:r>
            <w:r w:rsidR="00103155" w:rsidRPr="005C13BA">
              <w:t>ember</w:t>
            </w:r>
            <w:r w:rsidR="00293AD0" w:rsidRPr="005C13BA">
              <w:t xml:space="preserve"> 2014</w:t>
            </w:r>
          </w:p>
          <w:p w:rsidR="0024165B" w:rsidRPr="005C13BA" w:rsidRDefault="0024165B" w:rsidP="00DD1051">
            <w:pPr>
              <w:suppressAutoHyphens w:val="0"/>
            </w:pPr>
          </w:p>
          <w:p w:rsidR="003107FA" w:rsidRPr="005C13BA" w:rsidRDefault="0024165B" w:rsidP="00A21ADA">
            <w:pPr>
              <w:suppressAutoHyphens w:val="0"/>
            </w:pPr>
            <w:r w:rsidRPr="005C13BA">
              <w:t xml:space="preserve">Original: </w:t>
            </w:r>
            <w:r w:rsidR="00A21ADA" w:rsidRPr="005C13BA">
              <w:t>English</w:t>
            </w:r>
          </w:p>
        </w:tc>
      </w:tr>
    </w:tbl>
    <w:p w:rsidR="00392CA1" w:rsidRPr="002C0BDF" w:rsidRDefault="00392CA1" w:rsidP="00392CA1">
      <w:pPr>
        <w:spacing w:before="120"/>
      </w:pPr>
      <w:r w:rsidRPr="002C0BDF">
        <w:rPr>
          <w:b/>
          <w:sz w:val="24"/>
          <w:szCs w:val="24"/>
        </w:rPr>
        <w:t>Committee on Economic, Social and Cultural Rights</w:t>
      </w:r>
      <w:r w:rsidR="00684508">
        <w:rPr>
          <w:noProof/>
          <w:lang w:eastAsia="zh-CN"/>
        </w:rPr>
        <w:pict>
          <v:shape id="_x0000_s1026" type="#_x0000_t75" style="position:absolute;margin-left:432.25pt;margin-top:632.1pt;width:50.25pt;height:50.25pt;z-index:1;mso-position-horizontal-relative:margin;mso-position-vertical-relative:margin" o:allowoverlap="f">
            <v:imagedata r:id="rId8" o:title="2&amp;Size=2 &amp;Lang=E"/>
            <w10:wrap anchorx="margin" anchory="margin"/>
          </v:shape>
        </w:pict>
      </w:r>
    </w:p>
    <w:p w:rsidR="00392CA1" w:rsidRPr="002C0BDF" w:rsidRDefault="00392CA1" w:rsidP="00D473AB">
      <w:pPr>
        <w:pStyle w:val="HChG"/>
      </w:pPr>
      <w:r w:rsidRPr="002C0BDF">
        <w:tab/>
      </w:r>
      <w:r w:rsidRPr="002C0BDF">
        <w:tab/>
        <w:t xml:space="preserve">Concluding observations on the </w:t>
      </w:r>
      <w:r w:rsidR="00103155" w:rsidRPr="002C0BDF">
        <w:t>second periodic report</w:t>
      </w:r>
      <w:r w:rsidRPr="002C0BDF">
        <w:t xml:space="preserve"> of </w:t>
      </w:r>
      <w:r w:rsidR="00103155" w:rsidRPr="002C0BDF">
        <w:t>Slovenia</w:t>
      </w:r>
      <w:r w:rsidRPr="002C0BDF">
        <w:rPr>
          <w:rStyle w:val="FootnoteReference"/>
          <w:b w:val="0"/>
          <w:bCs/>
          <w:sz w:val="20"/>
          <w:vertAlign w:val="baseline"/>
        </w:rPr>
        <w:footnoteReference w:customMarkFollows="1" w:id="2"/>
        <w:t>*</w:t>
      </w:r>
    </w:p>
    <w:p w:rsidR="002A58EF" w:rsidRPr="002C0BDF" w:rsidRDefault="002A58EF" w:rsidP="00291FF9">
      <w:pPr>
        <w:pStyle w:val="SingleTxtG"/>
        <w:numPr>
          <w:ilvl w:val="0"/>
          <w:numId w:val="17"/>
        </w:numPr>
        <w:tabs>
          <w:tab w:val="left" w:pos="1701"/>
        </w:tabs>
        <w:ind w:left="1134" w:firstLine="0"/>
      </w:pPr>
      <w:r w:rsidRPr="002C0BDF">
        <w:t>The Committee on Economic, Social and Cultural Rights considered the second</w:t>
      </w:r>
      <w:r w:rsidRPr="002C0BDF">
        <w:rPr>
          <w:lang w:val="en-US"/>
        </w:rPr>
        <w:t xml:space="preserve"> report of Slovenia</w:t>
      </w:r>
      <w:r w:rsidRPr="002C0BDF">
        <w:t xml:space="preserve"> on the implementation of the International Covenant on Economic, Social and Cultural Rights (E/C.12/SVN/2) at its 54</w:t>
      </w:r>
      <w:r w:rsidR="00FB7893" w:rsidRPr="002C0BDF">
        <w:t>th</w:t>
      </w:r>
      <w:r w:rsidRPr="002C0BDF">
        <w:t xml:space="preserve"> to 55</w:t>
      </w:r>
      <w:r w:rsidR="00FB7893" w:rsidRPr="002C0BDF">
        <w:t>th</w:t>
      </w:r>
      <w:r w:rsidRPr="002C0BDF">
        <w:t xml:space="preserve"> meetings (</w:t>
      </w:r>
      <w:r w:rsidR="00310F74" w:rsidRPr="002C0BDF">
        <w:t>see </w:t>
      </w:r>
      <w:r w:rsidRPr="002C0BDF">
        <w:t>E/C.12/2014/SR.54-55)</w:t>
      </w:r>
      <w:r w:rsidR="00310F74" w:rsidRPr="002C0BDF">
        <w:t>,</w:t>
      </w:r>
      <w:r w:rsidRPr="002C0BDF">
        <w:t xml:space="preserve"> held on 18 and 19 November 2014, and adopted, at its </w:t>
      </w:r>
      <w:r w:rsidR="00453EBC" w:rsidRPr="002C0BDF">
        <w:t>70th</w:t>
      </w:r>
      <w:r w:rsidR="00111672" w:rsidRPr="002C0BDF">
        <w:t> </w:t>
      </w:r>
      <w:r w:rsidRPr="002C0BDF">
        <w:rPr>
          <w:lang w:eastAsia="ko-KR"/>
        </w:rPr>
        <w:t>meeting</w:t>
      </w:r>
      <w:r w:rsidR="00291FF9" w:rsidRPr="002C0BDF">
        <w:rPr>
          <w:lang w:eastAsia="ko-KR"/>
        </w:rPr>
        <w:t>,</w:t>
      </w:r>
      <w:r w:rsidRPr="002C0BDF">
        <w:t xml:space="preserve"> held on </w:t>
      </w:r>
      <w:r w:rsidR="00453EBC" w:rsidRPr="002C0BDF">
        <w:t xml:space="preserve">28 </w:t>
      </w:r>
      <w:r w:rsidRPr="002C0BDF">
        <w:t>November 2014, the following concluding observations.</w:t>
      </w:r>
    </w:p>
    <w:p w:rsidR="00392CA1" w:rsidRPr="002C0BDF" w:rsidRDefault="00340F52" w:rsidP="00340F52">
      <w:pPr>
        <w:pStyle w:val="H1G"/>
      </w:pPr>
      <w:r w:rsidRPr="002C0BDF">
        <w:tab/>
        <w:t>A.</w:t>
      </w:r>
      <w:r w:rsidRPr="002C0BDF">
        <w:tab/>
      </w:r>
      <w:r w:rsidR="00392CA1" w:rsidRPr="002C0BDF">
        <w:t>Introduction</w:t>
      </w:r>
    </w:p>
    <w:p w:rsidR="002A58EF" w:rsidRPr="002C0BDF" w:rsidRDefault="002A58EF" w:rsidP="005F2598">
      <w:pPr>
        <w:pStyle w:val="SingleTxtG"/>
        <w:numPr>
          <w:ilvl w:val="0"/>
          <w:numId w:val="17"/>
        </w:numPr>
        <w:tabs>
          <w:tab w:val="left" w:pos="1701"/>
        </w:tabs>
        <w:ind w:left="1134" w:firstLine="0"/>
        <w:rPr>
          <w:color w:val="000000"/>
        </w:rPr>
      </w:pPr>
      <w:r w:rsidRPr="002C0BDF">
        <w:t xml:space="preserve">The Committee welcomes the second </w:t>
      </w:r>
      <w:r w:rsidR="00340F52" w:rsidRPr="002C0BDF">
        <w:t>periodic report</w:t>
      </w:r>
      <w:r w:rsidRPr="002C0BDF">
        <w:t xml:space="preserve"> submitted by the State party</w:t>
      </w:r>
      <w:r w:rsidR="00F91D6C" w:rsidRPr="002C0BDF">
        <w:t>,</w:t>
      </w:r>
      <w:r w:rsidR="0025362F" w:rsidRPr="002C0BDF">
        <w:t xml:space="preserve"> </w:t>
      </w:r>
      <w:r w:rsidRPr="002C0BDF">
        <w:t>the supplementary information provided in the replies t</w:t>
      </w:r>
      <w:r w:rsidR="00340F52" w:rsidRPr="002C0BDF">
        <w:t>o the list of issues (E/C.12/SVN/Q/2</w:t>
      </w:r>
      <w:r w:rsidRPr="002C0BDF">
        <w:t>/Add.1)</w:t>
      </w:r>
      <w:r w:rsidR="0025362F" w:rsidRPr="002C0BDF">
        <w:t>,</w:t>
      </w:r>
      <w:r w:rsidR="00F91D6C" w:rsidRPr="002C0BDF">
        <w:t xml:space="preserve"> the </w:t>
      </w:r>
      <w:r w:rsidR="0025362F" w:rsidRPr="002C0BDF">
        <w:t xml:space="preserve">State party’s </w:t>
      </w:r>
      <w:r w:rsidR="004E3116" w:rsidRPr="002C0BDF">
        <w:t>c</w:t>
      </w:r>
      <w:r w:rsidR="0025362F" w:rsidRPr="002C0BDF">
        <w:t>ore document (</w:t>
      </w:r>
      <w:r w:rsidR="007E7000" w:rsidRPr="002C0BDF">
        <w:t>HRI/CORE/SVN/</w:t>
      </w:r>
      <w:r w:rsidR="0025362F" w:rsidRPr="002C0BDF">
        <w:t>2014)</w:t>
      </w:r>
      <w:r w:rsidRPr="002C0BDF">
        <w:t xml:space="preserve"> </w:t>
      </w:r>
      <w:r w:rsidR="005F2598" w:rsidRPr="002C0BDF">
        <w:t>and</w:t>
      </w:r>
      <w:r w:rsidRPr="002C0BDF">
        <w:t xml:space="preserve"> </w:t>
      </w:r>
      <w:r w:rsidR="00A121B0" w:rsidRPr="002C0BDF">
        <w:t>the oral replies provided</w:t>
      </w:r>
      <w:r w:rsidRPr="002C0BDF">
        <w:t xml:space="preserve"> by the delegation. The Committee also welcomes the constructive dialogue held with the State party’s </w:t>
      </w:r>
      <w:r w:rsidR="00DB1154" w:rsidRPr="002C0BDF">
        <w:t xml:space="preserve">large, </w:t>
      </w:r>
      <w:r w:rsidR="0024676E" w:rsidRPr="002C0BDF">
        <w:t>high-level delegation.</w:t>
      </w:r>
    </w:p>
    <w:p w:rsidR="00392CA1" w:rsidRPr="002C0BDF" w:rsidRDefault="00392CA1" w:rsidP="00392CA1">
      <w:pPr>
        <w:pStyle w:val="H1G"/>
      </w:pPr>
      <w:r w:rsidRPr="002C0BDF">
        <w:tab/>
        <w:t>B.</w:t>
      </w:r>
      <w:r w:rsidRPr="002C0BDF">
        <w:tab/>
        <w:t>Positive aspects</w:t>
      </w:r>
    </w:p>
    <w:p w:rsidR="00E16825" w:rsidRPr="002C0BDF" w:rsidRDefault="00E16825" w:rsidP="00E16825">
      <w:pPr>
        <w:pStyle w:val="SingleTxtG"/>
        <w:numPr>
          <w:ilvl w:val="0"/>
          <w:numId w:val="17"/>
        </w:numPr>
        <w:tabs>
          <w:tab w:val="left" w:pos="1701"/>
        </w:tabs>
        <w:ind w:left="1134" w:firstLine="0"/>
      </w:pPr>
      <w:r w:rsidRPr="002C0BDF">
        <w:t>The Committee welcomes the State party’s ratification of:</w:t>
      </w:r>
    </w:p>
    <w:p w:rsidR="00E16825" w:rsidRPr="002C0BDF" w:rsidRDefault="00E72895" w:rsidP="00DB1154">
      <w:pPr>
        <w:pStyle w:val="SingleTxtG"/>
        <w:tabs>
          <w:tab w:val="left" w:pos="1701"/>
        </w:tabs>
        <w:ind w:firstLine="567"/>
      </w:pPr>
      <w:r w:rsidRPr="002C0BDF">
        <w:t>(a)</w:t>
      </w:r>
      <w:r w:rsidRPr="002C0BDF">
        <w:tab/>
      </w:r>
      <w:r w:rsidR="00E16825" w:rsidRPr="002C0BDF">
        <w:t xml:space="preserve">The Convention on the Rights of Persons with Disabilities and </w:t>
      </w:r>
      <w:r w:rsidR="00DB1154" w:rsidRPr="002C0BDF">
        <w:t xml:space="preserve">the </w:t>
      </w:r>
      <w:r w:rsidR="00E16825" w:rsidRPr="002C0BDF">
        <w:t>Optio</w:t>
      </w:r>
      <w:r w:rsidR="0023133B" w:rsidRPr="002C0BDF">
        <w:t xml:space="preserve">nal Protocol </w:t>
      </w:r>
      <w:r w:rsidR="00DB1154" w:rsidRPr="002C0BDF">
        <w:t xml:space="preserve">thereto, </w:t>
      </w:r>
      <w:r w:rsidR="0023133B" w:rsidRPr="002C0BDF">
        <w:t xml:space="preserve">in April 2008; </w:t>
      </w:r>
    </w:p>
    <w:p w:rsidR="00E16825" w:rsidRPr="002C0BDF" w:rsidRDefault="00E72895" w:rsidP="00DB1154">
      <w:pPr>
        <w:pStyle w:val="SingleTxtG"/>
        <w:tabs>
          <w:tab w:val="left" w:pos="1701"/>
        </w:tabs>
        <w:ind w:firstLine="567"/>
      </w:pPr>
      <w:r w:rsidRPr="002C0BDF">
        <w:t>(b)</w:t>
      </w:r>
      <w:r w:rsidRPr="002C0BDF">
        <w:tab/>
      </w:r>
      <w:r w:rsidR="00E16825" w:rsidRPr="002C0BDF">
        <w:t>The Optional Protocol to the Convention against Torture and other Cruel, Inhuman or Degrading Treatment or Punishment</w:t>
      </w:r>
      <w:r w:rsidR="00DB1154" w:rsidRPr="002C0BDF">
        <w:t>,</w:t>
      </w:r>
      <w:r w:rsidR="00E16825" w:rsidRPr="002C0BDF">
        <w:t xml:space="preserve"> in January 2007.</w:t>
      </w:r>
    </w:p>
    <w:p w:rsidR="00E16825" w:rsidRPr="002C0BDF" w:rsidRDefault="00E16825" w:rsidP="006A77D6">
      <w:pPr>
        <w:pStyle w:val="SingleTxtG"/>
        <w:numPr>
          <w:ilvl w:val="0"/>
          <w:numId w:val="17"/>
        </w:numPr>
        <w:tabs>
          <w:tab w:val="left" w:pos="1701"/>
        </w:tabs>
        <w:ind w:left="1134" w:firstLine="0"/>
      </w:pPr>
      <w:r w:rsidRPr="002C0BDF">
        <w:t xml:space="preserve">The Committee welcomes the following </w:t>
      </w:r>
      <w:r w:rsidR="00324DF8" w:rsidRPr="002C0BDF">
        <w:t xml:space="preserve">legislative and </w:t>
      </w:r>
      <w:r w:rsidRPr="002C0BDF">
        <w:t xml:space="preserve">policy </w:t>
      </w:r>
      <w:r w:rsidR="00324DF8" w:rsidRPr="002C0BDF">
        <w:t xml:space="preserve">measures </w:t>
      </w:r>
      <w:r w:rsidRPr="002C0BDF">
        <w:t>taken by the State party:</w:t>
      </w:r>
    </w:p>
    <w:p w:rsidR="00E16825" w:rsidRPr="002C0BDF" w:rsidRDefault="00E72895" w:rsidP="00FA5A0D">
      <w:pPr>
        <w:pStyle w:val="SingleTxtG"/>
        <w:tabs>
          <w:tab w:val="left" w:pos="1701"/>
        </w:tabs>
        <w:ind w:firstLine="567"/>
      </w:pPr>
      <w:r w:rsidRPr="002C0BDF">
        <w:t>(a)</w:t>
      </w:r>
      <w:r w:rsidRPr="002C0BDF">
        <w:tab/>
      </w:r>
      <w:r w:rsidR="00E16825" w:rsidRPr="002C0BDF">
        <w:t>The Minimum Wage Act in 2010;</w:t>
      </w:r>
    </w:p>
    <w:p w:rsidR="00E16825" w:rsidRPr="002C0BDF" w:rsidRDefault="00E72895" w:rsidP="00EF713D">
      <w:pPr>
        <w:pStyle w:val="SingleTxtG"/>
        <w:tabs>
          <w:tab w:val="left" w:pos="1701"/>
        </w:tabs>
        <w:ind w:firstLine="567"/>
      </w:pPr>
      <w:r w:rsidRPr="002C0BDF">
        <w:t>(b)</w:t>
      </w:r>
      <w:r w:rsidRPr="002C0BDF">
        <w:tab/>
      </w:r>
      <w:r w:rsidR="00E16825" w:rsidRPr="002C0BDF">
        <w:t>The Pension and Disability Insurance Act in 2010;</w:t>
      </w:r>
    </w:p>
    <w:p w:rsidR="00324DF8" w:rsidRPr="002C0BDF" w:rsidRDefault="00E72895" w:rsidP="00EF713D">
      <w:pPr>
        <w:pStyle w:val="SingleTxtG"/>
        <w:tabs>
          <w:tab w:val="left" w:pos="1701"/>
        </w:tabs>
        <w:ind w:firstLine="567"/>
      </w:pPr>
      <w:r w:rsidRPr="002C0BDF">
        <w:t>(c)</w:t>
      </w:r>
      <w:r w:rsidRPr="002C0BDF">
        <w:tab/>
      </w:r>
      <w:r w:rsidR="00324DF8" w:rsidRPr="002C0BDF">
        <w:t>Introducing provisions on equal pay for equal work or work of equal value in</w:t>
      </w:r>
      <w:r w:rsidR="002B354E" w:rsidRPr="002C0BDF">
        <w:t>to</w:t>
      </w:r>
      <w:r w:rsidR="00324DF8" w:rsidRPr="002C0BDF">
        <w:t xml:space="preserve"> the Employment Relationship</w:t>
      </w:r>
      <w:r w:rsidR="00AC2068" w:rsidRPr="002C0BDF">
        <w:t>s</w:t>
      </w:r>
      <w:r w:rsidR="00324DF8" w:rsidRPr="002C0BDF">
        <w:t xml:space="preserve"> Act;</w:t>
      </w:r>
    </w:p>
    <w:p w:rsidR="00324DF8" w:rsidRPr="002C0BDF" w:rsidRDefault="00E72895" w:rsidP="00FB7C1A">
      <w:pPr>
        <w:pStyle w:val="SingleTxtG"/>
        <w:tabs>
          <w:tab w:val="left" w:pos="1701"/>
        </w:tabs>
        <w:ind w:firstLine="567"/>
      </w:pPr>
      <w:r w:rsidRPr="002C0BDF">
        <w:t>(d)</w:t>
      </w:r>
      <w:r w:rsidRPr="002C0BDF">
        <w:tab/>
      </w:r>
      <w:r w:rsidR="00324DF8" w:rsidRPr="002C0BDF">
        <w:t xml:space="preserve">The National Programme </w:t>
      </w:r>
      <w:r w:rsidR="00AC2068" w:rsidRPr="002C0BDF">
        <w:t xml:space="preserve">of Measures </w:t>
      </w:r>
      <w:r w:rsidR="00324DF8" w:rsidRPr="002C0BDF">
        <w:t xml:space="preserve">for Roma People for the </w:t>
      </w:r>
      <w:r w:rsidR="00AC2068" w:rsidRPr="002C0BDF">
        <w:t xml:space="preserve">period </w:t>
      </w:r>
      <w:r w:rsidR="00324DF8" w:rsidRPr="002C0BDF">
        <w:t>2010</w:t>
      </w:r>
      <w:r w:rsidR="00AC2068" w:rsidRPr="002C0BDF">
        <w:t>–</w:t>
      </w:r>
      <w:r w:rsidR="00324DF8" w:rsidRPr="002C0BDF">
        <w:t>2015 and the Strategy for Education of Roma;</w:t>
      </w:r>
      <w:r w:rsidR="00324DF8" w:rsidRPr="002C0BDF">
        <w:rPr>
          <w:rStyle w:val="FootnoteReference"/>
        </w:rPr>
        <w:t xml:space="preserve"> </w:t>
      </w:r>
    </w:p>
    <w:p w:rsidR="00E16825" w:rsidRPr="002C0BDF" w:rsidRDefault="00E72895" w:rsidP="00AC2068">
      <w:pPr>
        <w:pStyle w:val="SingleTxtG"/>
        <w:tabs>
          <w:tab w:val="left" w:pos="1701"/>
        </w:tabs>
        <w:ind w:firstLine="567"/>
      </w:pPr>
      <w:r w:rsidRPr="002C0BDF">
        <w:t>(e)</w:t>
      </w:r>
      <w:r w:rsidRPr="002C0BDF">
        <w:tab/>
      </w:r>
      <w:r w:rsidR="00E16825" w:rsidRPr="002C0BDF">
        <w:t>The 2013</w:t>
      </w:r>
      <w:r w:rsidR="00AC2068" w:rsidRPr="002C0BDF">
        <w:t>–</w:t>
      </w:r>
      <w:r w:rsidR="00E16825" w:rsidRPr="002C0BDF">
        <w:t>2020 National Progr</w:t>
      </w:r>
      <w:r w:rsidR="005E13AC" w:rsidRPr="002C0BDF">
        <w:t>amme for Social Protection;</w:t>
      </w:r>
      <w:r w:rsidR="00324DF8" w:rsidRPr="002C0BDF">
        <w:t xml:space="preserve"> and</w:t>
      </w:r>
    </w:p>
    <w:p w:rsidR="005525F3" w:rsidRPr="002C0BDF" w:rsidRDefault="00E72895" w:rsidP="00CD3817">
      <w:pPr>
        <w:pStyle w:val="SingleTxtG"/>
        <w:tabs>
          <w:tab w:val="left" w:pos="1701"/>
        </w:tabs>
        <w:ind w:firstLine="567"/>
      </w:pPr>
      <w:r w:rsidRPr="002C0BDF">
        <w:t>(f)</w:t>
      </w:r>
      <w:r w:rsidRPr="002C0BDF">
        <w:tab/>
      </w:r>
      <w:r w:rsidR="005525F3" w:rsidRPr="002C0BDF">
        <w:t xml:space="preserve">The projects </w:t>
      </w:r>
      <w:r w:rsidR="00432B83" w:rsidRPr="002C0BDF">
        <w:t>“</w:t>
      </w:r>
      <w:r w:rsidR="005525F3" w:rsidRPr="002C0BDF">
        <w:t>Successful integration of Roma children into education</w:t>
      </w:r>
      <w:r w:rsidR="00432B83" w:rsidRPr="002C0BDF">
        <w:t>”</w:t>
      </w:r>
      <w:r w:rsidR="00CD3817" w:rsidRPr="002C0BDF">
        <w:t>,</w:t>
      </w:r>
      <w:r w:rsidR="005525F3" w:rsidRPr="002C0BDF">
        <w:t xml:space="preserve"> 2008</w:t>
      </w:r>
      <w:r w:rsidR="00432B83" w:rsidRPr="002C0BDF">
        <w:noBreakHyphen/>
      </w:r>
      <w:r w:rsidR="0023133B" w:rsidRPr="002C0BDF">
        <w:t>2011</w:t>
      </w:r>
      <w:r w:rsidR="00FB7C1A" w:rsidRPr="002C0BDF">
        <w:t xml:space="preserve"> and</w:t>
      </w:r>
      <w:r w:rsidR="0023133B" w:rsidRPr="002C0BDF">
        <w:t xml:space="preserve"> 2011</w:t>
      </w:r>
      <w:r w:rsidR="0023133B" w:rsidRPr="002C0BDF">
        <w:noBreakHyphen/>
      </w:r>
      <w:r w:rsidR="00FA5A0D" w:rsidRPr="002C0BDF">
        <w:t>2014, and “</w:t>
      </w:r>
      <w:r w:rsidR="005525F3" w:rsidRPr="002C0BDF">
        <w:t xml:space="preserve">Increasing the </w:t>
      </w:r>
      <w:r w:rsidR="00CD3817" w:rsidRPr="002C0BDF">
        <w:t>s</w:t>
      </w:r>
      <w:r w:rsidR="005525F3" w:rsidRPr="002C0BDF">
        <w:t xml:space="preserve">ocial and </w:t>
      </w:r>
      <w:r w:rsidR="00CD3817" w:rsidRPr="002C0BDF">
        <w:t>c</w:t>
      </w:r>
      <w:r w:rsidR="005525F3" w:rsidRPr="002C0BDF">
        <w:t xml:space="preserve">ultural </w:t>
      </w:r>
      <w:r w:rsidR="00CD3817" w:rsidRPr="002C0BDF">
        <w:t>c</w:t>
      </w:r>
      <w:r w:rsidR="005525F3" w:rsidRPr="002C0BDF">
        <w:t xml:space="preserve">apital in </w:t>
      </w:r>
      <w:r w:rsidR="00CD3817" w:rsidRPr="002C0BDF">
        <w:t>a</w:t>
      </w:r>
      <w:r w:rsidR="005525F3" w:rsidRPr="002C0BDF">
        <w:t xml:space="preserve">reas populated by members of the Roma </w:t>
      </w:r>
      <w:r w:rsidR="00CD3817" w:rsidRPr="002C0BDF">
        <w:t>c</w:t>
      </w:r>
      <w:r w:rsidR="005525F3" w:rsidRPr="002C0BDF">
        <w:t>ommunity</w:t>
      </w:r>
      <w:r w:rsidR="00FA5A0D" w:rsidRPr="002C0BDF">
        <w:t>”</w:t>
      </w:r>
      <w:r w:rsidR="00CD3817" w:rsidRPr="002C0BDF">
        <w:t>,</w:t>
      </w:r>
      <w:r w:rsidR="005525F3" w:rsidRPr="002C0BDF">
        <w:t xml:space="preserve"> 2010</w:t>
      </w:r>
      <w:r w:rsidR="00EF713D" w:rsidRPr="002C0BDF">
        <w:t>.</w:t>
      </w:r>
    </w:p>
    <w:p w:rsidR="00392CA1" w:rsidRPr="002C0BDF" w:rsidRDefault="00392CA1" w:rsidP="00392CA1">
      <w:pPr>
        <w:pStyle w:val="H1G"/>
      </w:pPr>
      <w:r w:rsidRPr="002C0BDF">
        <w:tab/>
        <w:t>C.</w:t>
      </w:r>
      <w:r w:rsidRPr="002C0BDF">
        <w:tab/>
        <w:t>Principal subjects of concern and recommendations</w:t>
      </w:r>
    </w:p>
    <w:p w:rsidR="009B7762" w:rsidRPr="002C0BDF" w:rsidRDefault="00254BD8" w:rsidP="00254BD8">
      <w:pPr>
        <w:pStyle w:val="H23G"/>
      </w:pPr>
      <w:r w:rsidRPr="002C0BDF">
        <w:tab/>
      </w:r>
      <w:r w:rsidRPr="002C0BDF">
        <w:tab/>
      </w:r>
      <w:r w:rsidR="00453EBC" w:rsidRPr="002C0BDF">
        <w:t xml:space="preserve">Domestic </w:t>
      </w:r>
      <w:r w:rsidR="00A121B0" w:rsidRPr="002C0BDF">
        <w:t>a</w:t>
      </w:r>
      <w:r w:rsidR="009B7762" w:rsidRPr="002C0BDF">
        <w:t xml:space="preserve">pplication of the Covenant </w:t>
      </w:r>
    </w:p>
    <w:p w:rsidR="009B7762" w:rsidRPr="002C0BDF" w:rsidRDefault="009B7762" w:rsidP="00825555">
      <w:pPr>
        <w:pStyle w:val="SingleTxtG"/>
        <w:numPr>
          <w:ilvl w:val="0"/>
          <w:numId w:val="17"/>
        </w:numPr>
        <w:tabs>
          <w:tab w:val="left" w:pos="1701"/>
        </w:tabs>
        <w:ind w:left="1134" w:firstLine="0"/>
      </w:pPr>
      <w:r w:rsidRPr="002C0BDF">
        <w:t>The Committee is concerned that</w:t>
      </w:r>
      <w:r w:rsidR="00CD3817" w:rsidRPr="002C0BDF">
        <w:t>,</w:t>
      </w:r>
      <w:r w:rsidRPr="002C0BDF">
        <w:t xml:space="preserve"> despite the fact that the Covenant has been fully incorporated into the State party’s domestic law, it has been invoked </w:t>
      </w:r>
      <w:r w:rsidR="00825555" w:rsidRPr="002C0BDF">
        <w:t xml:space="preserve">in </w:t>
      </w:r>
      <w:r w:rsidRPr="002C0BDF">
        <w:t xml:space="preserve">only </w:t>
      </w:r>
      <w:r w:rsidR="00346EC8" w:rsidRPr="002C0BDF">
        <w:t>a limited number of</w:t>
      </w:r>
      <w:r w:rsidR="005E13AC" w:rsidRPr="002C0BDF">
        <w:t xml:space="preserve"> case</w:t>
      </w:r>
      <w:r w:rsidR="00346EC8" w:rsidRPr="002C0BDF">
        <w:t>s</w:t>
      </w:r>
      <w:r w:rsidR="005E13AC" w:rsidRPr="002C0BDF">
        <w:t xml:space="preserve"> before national courts</w:t>
      </w:r>
      <w:r w:rsidR="00D473AB" w:rsidRPr="002C0BDF">
        <w:rPr>
          <w:rStyle w:val="FootnoteReference"/>
        </w:rPr>
        <w:t xml:space="preserve"> </w:t>
      </w:r>
      <w:r w:rsidRPr="002C0BDF">
        <w:t>(art.</w:t>
      </w:r>
      <w:r w:rsidR="00EF713D" w:rsidRPr="002C0BDF">
        <w:t> </w:t>
      </w:r>
      <w:r w:rsidRPr="002C0BDF">
        <w:t>2</w:t>
      </w:r>
      <w:r w:rsidR="005E516E" w:rsidRPr="002C0BDF">
        <w:t xml:space="preserve">, para. </w:t>
      </w:r>
      <w:r w:rsidRPr="002C0BDF">
        <w:t>1)</w:t>
      </w:r>
      <w:r w:rsidR="005E13AC" w:rsidRPr="002C0BDF">
        <w:t>.</w:t>
      </w:r>
    </w:p>
    <w:p w:rsidR="009B7762" w:rsidRPr="002C0BDF" w:rsidRDefault="009B7762" w:rsidP="00ED729D">
      <w:pPr>
        <w:pStyle w:val="SingleTxtG"/>
        <w:rPr>
          <w:b/>
        </w:rPr>
      </w:pPr>
      <w:r w:rsidRPr="002C0BDF">
        <w:rPr>
          <w:b/>
        </w:rPr>
        <w:t>The Committee recommends that the State party raise awareness among members of the judiciary</w:t>
      </w:r>
      <w:r w:rsidR="00324DF8" w:rsidRPr="002C0BDF">
        <w:rPr>
          <w:b/>
        </w:rPr>
        <w:t>, lawyers</w:t>
      </w:r>
      <w:r w:rsidRPr="002C0BDF">
        <w:rPr>
          <w:b/>
        </w:rPr>
        <w:t xml:space="preserve"> and the general public about the Covenant and the </w:t>
      </w:r>
      <w:proofErr w:type="spellStart"/>
      <w:r w:rsidRPr="002C0BDF">
        <w:rPr>
          <w:b/>
        </w:rPr>
        <w:t>justiciability</w:t>
      </w:r>
      <w:proofErr w:type="spellEnd"/>
      <w:r w:rsidRPr="002C0BDF">
        <w:rPr>
          <w:b/>
        </w:rPr>
        <w:t xml:space="preserve"> of economic, social and cultural rights. The Committee draws the State party’s attention to its general comme</w:t>
      </w:r>
      <w:r w:rsidR="00EF713D" w:rsidRPr="002C0BDF">
        <w:rPr>
          <w:b/>
        </w:rPr>
        <w:t>nt No. </w:t>
      </w:r>
      <w:r w:rsidRPr="002C0BDF">
        <w:rPr>
          <w:b/>
        </w:rPr>
        <w:t>9 (1998) on the domestic application of the Covenant</w:t>
      </w:r>
      <w:r w:rsidRPr="002C0BDF">
        <w:t xml:space="preserve">. </w:t>
      </w:r>
    </w:p>
    <w:p w:rsidR="00ED729D" w:rsidRPr="002C0BDF" w:rsidRDefault="00254BD8" w:rsidP="00254BD8">
      <w:pPr>
        <w:pStyle w:val="H23G"/>
      </w:pPr>
      <w:r w:rsidRPr="002C0BDF">
        <w:tab/>
      </w:r>
      <w:r w:rsidRPr="002C0BDF">
        <w:tab/>
      </w:r>
      <w:r w:rsidR="00ED729D" w:rsidRPr="002C0BDF">
        <w:t>Data collection</w:t>
      </w:r>
    </w:p>
    <w:p w:rsidR="00ED729D" w:rsidRPr="002C0BDF" w:rsidRDefault="004403E5" w:rsidP="00ED729D">
      <w:pPr>
        <w:pStyle w:val="SingleTxtG"/>
        <w:numPr>
          <w:ilvl w:val="0"/>
          <w:numId w:val="17"/>
        </w:numPr>
        <w:ind w:left="1134" w:firstLine="0"/>
      </w:pPr>
      <w:r w:rsidRPr="002C0BDF">
        <w:t xml:space="preserve">While taking note of the information provided during the dialogue about the legal prohibition on collecting </w:t>
      </w:r>
      <w:r w:rsidR="00EA5731" w:rsidRPr="002C0BDF">
        <w:t xml:space="preserve">disaggregated </w:t>
      </w:r>
      <w:r w:rsidRPr="002C0BDF">
        <w:t xml:space="preserve">data </w:t>
      </w:r>
      <w:r w:rsidR="002B354E" w:rsidRPr="002C0BDF">
        <w:t>on certain</w:t>
      </w:r>
      <w:r w:rsidRPr="002C0BDF">
        <w:t xml:space="preserve"> grounds, t</w:t>
      </w:r>
      <w:r w:rsidR="00ED729D" w:rsidRPr="002C0BDF">
        <w:t xml:space="preserve">he Committee is concerned about the absence of </w:t>
      </w:r>
      <w:r w:rsidR="00414C68" w:rsidRPr="002C0BDF">
        <w:t xml:space="preserve">sufficient </w:t>
      </w:r>
      <w:r w:rsidR="00ED729D" w:rsidRPr="002C0BDF">
        <w:t>disaggregated data on the effective realization of Covenant rights for disadvantaged and marginalized individuals and groups, in particular</w:t>
      </w:r>
      <w:r w:rsidR="00BD5154" w:rsidRPr="002C0BDF">
        <w:t xml:space="preserve"> </w:t>
      </w:r>
      <w:r w:rsidR="00324DF8" w:rsidRPr="002C0BDF">
        <w:t>for</w:t>
      </w:r>
      <w:r w:rsidR="00BD5154" w:rsidRPr="002C0BDF">
        <w:t xml:space="preserve"> </w:t>
      </w:r>
      <w:r w:rsidR="00ED729D" w:rsidRPr="002C0BDF">
        <w:t>Roma.</w:t>
      </w:r>
    </w:p>
    <w:p w:rsidR="000B6092" w:rsidRPr="002C0BDF" w:rsidRDefault="00ED729D" w:rsidP="00825555">
      <w:pPr>
        <w:pStyle w:val="SingleTxtG"/>
        <w:rPr>
          <w:b/>
          <w:bCs/>
        </w:rPr>
      </w:pPr>
      <w:r w:rsidRPr="002C0BDF">
        <w:rPr>
          <w:b/>
          <w:bCs/>
        </w:rPr>
        <w:t>The Committee recommends that the State party take measures to establish a system for the collection and monitoring of annual data on Covenant rights, disaggregated by</w:t>
      </w:r>
      <w:r w:rsidR="004403E5" w:rsidRPr="002C0BDF">
        <w:rPr>
          <w:b/>
          <w:bCs/>
        </w:rPr>
        <w:t xml:space="preserve"> the </w:t>
      </w:r>
      <w:r w:rsidR="00CD3817" w:rsidRPr="002C0BDF">
        <w:rPr>
          <w:b/>
          <w:bCs/>
        </w:rPr>
        <w:t xml:space="preserve">currently </w:t>
      </w:r>
      <w:r w:rsidR="004403E5" w:rsidRPr="002C0BDF">
        <w:rPr>
          <w:b/>
          <w:bCs/>
        </w:rPr>
        <w:t>prohibited grounds of discrimination</w:t>
      </w:r>
      <w:r w:rsidRPr="002C0BDF">
        <w:rPr>
          <w:b/>
          <w:bCs/>
        </w:rPr>
        <w:t xml:space="preserve">, </w:t>
      </w:r>
      <w:r w:rsidR="004403E5" w:rsidRPr="002C0BDF">
        <w:rPr>
          <w:b/>
          <w:bCs/>
        </w:rPr>
        <w:t xml:space="preserve">including race and </w:t>
      </w:r>
      <w:r w:rsidR="00A121B0" w:rsidRPr="002C0BDF">
        <w:rPr>
          <w:b/>
          <w:bCs/>
        </w:rPr>
        <w:t>language</w:t>
      </w:r>
      <w:r w:rsidR="004403E5" w:rsidRPr="002C0BDF">
        <w:rPr>
          <w:b/>
          <w:bCs/>
        </w:rPr>
        <w:t xml:space="preserve">, </w:t>
      </w:r>
      <w:r w:rsidRPr="002C0BDF">
        <w:rPr>
          <w:b/>
          <w:bCs/>
        </w:rPr>
        <w:t>and include such comprehensive annual data, on all the recommendations below, in its next periodic report.</w:t>
      </w:r>
    </w:p>
    <w:p w:rsidR="009B7762" w:rsidRPr="002C0BDF" w:rsidRDefault="00254BD8" w:rsidP="002C0BDF">
      <w:pPr>
        <w:pStyle w:val="H23G"/>
        <w:ind w:left="0" w:firstLine="0"/>
      </w:pPr>
      <w:r w:rsidRPr="002C0BDF">
        <w:tab/>
      </w:r>
      <w:r w:rsidRPr="002C0BDF">
        <w:tab/>
      </w:r>
      <w:r w:rsidR="009B7762" w:rsidRPr="002C0BDF">
        <w:t xml:space="preserve">Corruption </w:t>
      </w:r>
    </w:p>
    <w:p w:rsidR="009B7762" w:rsidRPr="002C0BDF" w:rsidRDefault="009B7762" w:rsidP="00A327D6">
      <w:pPr>
        <w:pStyle w:val="SingleTxtG"/>
        <w:numPr>
          <w:ilvl w:val="0"/>
          <w:numId w:val="17"/>
        </w:numPr>
        <w:tabs>
          <w:tab w:val="left" w:pos="1134"/>
        </w:tabs>
        <w:ind w:left="1134" w:firstLine="1"/>
      </w:pPr>
      <w:r w:rsidRPr="002C0BDF">
        <w:t xml:space="preserve">The Committee is concerned about corruption in the State party, the inadequate steps taken to address </w:t>
      </w:r>
      <w:r w:rsidR="00A327D6" w:rsidRPr="002C0BDF">
        <w:t>the matter</w:t>
      </w:r>
      <w:r w:rsidRPr="002C0BDF">
        <w:t>, and its adverse impact on the enjoyment of all human rights, including economic, socia</w:t>
      </w:r>
      <w:r w:rsidR="00ED729D" w:rsidRPr="002C0BDF">
        <w:t>l and cultural rights (art. 2</w:t>
      </w:r>
      <w:r w:rsidR="00A327D6" w:rsidRPr="002C0BDF">
        <w:t xml:space="preserve">, para. </w:t>
      </w:r>
      <w:r w:rsidRPr="002C0BDF">
        <w:t>1).</w:t>
      </w:r>
    </w:p>
    <w:p w:rsidR="009B7762" w:rsidRPr="002C0BDF" w:rsidRDefault="009B7762" w:rsidP="00A327D6">
      <w:pPr>
        <w:pStyle w:val="SingleTxtG"/>
        <w:rPr>
          <w:b/>
        </w:rPr>
      </w:pPr>
      <w:r w:rsidRPr="002C0BDF">
        <w:rPr>
          <w:b/>
        </w:rPr>
        <w:t xml:space="preserve">The State party should, as a matter of priority, address the root causes of corruption and adopt all necessary </w:t>
      </w:r>
      <w:r w:rsidR="00BC412E" w:rsidRPr="002C0BDF">
        <w:rPr>
          <w:b/>
        </w:rPr>
        <w:t xml:space="preserve">policy and </w:t>
      </w:r>
      <w:r w:rsidRPr="002C0BDF">
        <w:rPr>
          <w:b/>
        </w:rPr>
        <w:t xml:space="preserve">legislative measures to combat corruption and related impunity effectively and to ensure that public affairs are conducted, in law and in practice, in a transparent manner. The State party should also </w:t>
      </w:r>
      <w:r w:rsidR="00036E8C" w:rsidRPr="002C0BDF">
        <w:rPr>
          <w:b/>
        </w:rPr>
        <w:t>provide</w:t>
      </w:r>
      <w:r w:rsidRPr="002C0BDF">
        <w:rPr>
          <w:b/>
        </w:rPr>
        <w:t xml:space="preserve"> the Commission for the Prevention of Corruption </w:t>
      </w:r>
      <w:r w:rsidR="00036E8C" w:rsidRPr="002C0BDF">
        <w:rPr>
          <w:b/>
        </w:rPr>
        <w:t>with</w:t>
      </w:r>
      <w:r w:rsidRPr="002C0BDF">
        <w:rPr>
          <w:b/>
        </w:rPr>
        <w:t xml:space="preserve"> adequate resource</w:t>
      </w:r>
      <w:r w:rsidR="00036E8C" w:rsidRPr="002C0BDF">
        <w:rPr>
          <w:b/>
        </w:rPr>
        <w:t>s</w:t>
      </w:r>
      <w:r w:rsidRPr="002C0BDF">
        <w:rPr>
          <w:b/>
        </w:rPr>
        <w:t xml:space="preserve"> to ensure it </w:t>
      </w:r>
      <w:r w:rsidR="00A327D6" w:rsidRPr="002C0BDF">
        <w:rPr>
          <w:b/>
        </w:rPr>
        <w:t xml:space="preserve">operates </w:t>
      </w:r>
      <w:r w:rsidRPr="002C0BDF">
        <w:rPr>
          <w:b/>
        </w:rPr>
        <w:t>effectively</w:t>
      </w:r>
      <w:r w:rsidR="00036E8C" w:rsidRPr="002C0BDF">
        <w:rPr>
          <w:b/>
        </w:rPr>
        <w:t xml:space="preserve">, and </w:t>
      </w:r>
      <w:r w:rsidR="002B354E" w:rsidRPr="002C0BDF">
        <w:rPr>
          <w:b/>
        </w:rPr>
        <w:t>guarantee</w:t>
      </w:r>
      <w:r w:rsidR="00036E8C" w:rsidRPr="002C0BDF">
        <w:rPr>
          <w:b/>
        </w:rPr>
        <w:t xml:space="preserve"> protection of the human rights of those engaged in anti-corruption activities, in particular victims, whist</w:t>
      </w:r>
      <w:r w:rsidR="003727DA" w:rsidRPr="002C0BDF">
        <w:rPr>
          <w:b/>
        </w:rPr>
        <w:t>le</w:t>
      </w:r>
      <w:r w:rsidR="00036E8C" w:rsidRPr="002C0BDF">
        <w:rPr>
          <w:b/>
        </w:rPr>
        <w:t>-blowers, witnesses and their lawyers.</w:t>
      </w:r>
    </w:p>
    <w:p w:rsidR="009B7762" w:rsidRPr="002C0BDF" w:rsidRDefault="00FD0A87" w:rsidP="00FD0A87">
      <w:pPr>
        <w:pStyle w:val="H23G"/>
      </w:pPr>
      <w:r w:rsidRPr="002C0BDF">
        <w:tab/>
      </w:r>
      <w:r w:rsidRPr="002C0BDF">
        <w:tab/>
      </w:r>
      <w:r w:rsidR="009B7762" w:rsidRPr="002C0BDF">
        <w:t xml:space="preserve">Maximum available resources </w:t>
      </w:r>
    </w:p>
    <w:p w:rsidR="009B7762" w:rsidRPr="002C0BDF" w:rsidRDefault="009B7762" w:rsidP="00E243DE">
      <w:pPr>
        <w:pStyle w:val="SingleTxtG"/>
        <w:numPr>
          <w:ilvl w:val="0"/>
          <w:numId w:val="17"/>
        </w:numPr>
        <w:tabs>
          <w:tab w:val="left" w:pos="1701"/>
        </w:tabs>
        <w:ind w:left="1134" w:firstLine="0"/>
      </w:pPr>
      <w:r w:rsidRPr="002C0BDF">
        <w:t>The Committee is concerned that austerity measures taken by the State party</w:t>
      </w:r>
      <w:r w:rsidR="003727DA" w:rsidRPr="002C0BDF">
        <w:t>,</w:t>
      </w:r>
      <w:r w:rsidRPr="002C0BDF">
        <w:t xml:space="preserve"> such as the Fiscal Balance Act (201</w:t>
      </w:r>
      <w:r w:rsidR="003F56F2" w:rsidRPr="002C0BDF">
        <w:t>2)</w:t>
      </w:r>
      <w:r w:rsidR="003727DA" w:rsidRPr="002C0BDF">
        <w:t>,</w:t>
      </w:r>
      <w:r w:rsidR="003F56F2" w:rsidRPr="002C0BDF">
        <w:t xml:space="preserve"> </w:t>
      </w:r>
      <w:r w:rsidR="003727DA" w:rsidRPr="002C0BDF">
        <w:t xml:space="preserve">have </w:t>
      </w:r>
      <w:r w:rsidR="00BC412E" w:rsidRPr="002C0BDF">
        <w:t xml:space="preserve">impacted negatively </w:t>
      </w:r>
      <w:r w:rsidRPr="002C0BDF">
        <w:t>on the fulfilment and enjoyment of econom</w:t>
      </w:r>
      <w:r w:rsidR="0022264A" w:rsidRPr="002C0BDF">
        <w:t>ic, social and cultural rights.</w:t>
      </w:r>
      <w:r w:rsidR="00572BC0" w:rsidRPr="002C0BDF">
        <w:t xml:space="preserve"> The Committee is also concerned </w:t>
      </w:r>
      <w:r w:rsidR="00E243DE" w:rsidRPr="002C0BDF">
        <w:t xml:space="preserve">at </w:t>
      </w:r>
      <w:r w:rsidR="00572BC0" w:rsidRPr="002C0BDF">
        <w:t>the process of adopting the au</w:t>
      </w:r>
      <w:r w:rsidR="0022264A" w:rsidRPr="002C0BDF">
        <w:t>sterity measures aimed solely at</w:t>
      </w:r>
      <w:r w:rsidR="00572BC0" w:rsidRPr="002C0BDF">
        <w:t xml:space="preserve"> cut</w:t>
      </w:r>
      <w:r w:rsidR="0022264A" w:rsidRPr="002C0BDF">
        <w:t>ting</w:t>
      </w:r>
      <w:r w:rsidR="00572BC0" w:rsidRPr="002C0BDF">
        <w:t xml:space="preserve"> </w:t>
      </w:r>
      <w:r w:rsidR="00273998" w:rsidRPr="002C0BDF">
        <w:t>expenses</w:t>
      </w:r>
      <w:r w:rsidR="00572BC0" w:rsidRPr="002C0BDF">
        <w:t xml:space="preserve"> without carryi</w:t>
      </w:r>
      <w:r w:rsidR="00273998" w:rsidRPr="002C0BDF">
        <w:t>ng out the necessary reflection</w:t>
      </w:r>
      <w:r w:rsidR="00572BC0" w:rsidRPr="002C0BDF">
        <w:t xml:space="preserve"> on the adverse impact such cut</w:t>
      </w:r>
      <w:r w:rsidR="00273998" w:rsidRPr="002C0BDF">
        <w:t>s</w:t>
      </w:r>
      <w:r w:rsidR="00572BC0" w:rsidRPr="002C0BDF">
        <w:t xml:space="preserve"> may have on the enjoyment of </w:t>
      </w:r>
      <w:r w:rsidR="00700D6A" w:rsidRPr="002C0BDF">
        <w:t xml:space="preserve">the Covenant’s rights </w:t>
      </w:r>
      <w:r w:rsidR="00EF713D" w:rsidRPr="002C0BDF">
        <w:t>(art. </w:t>
      </w:r>
      <w:r w:rsidR="00ED729D" w:rsidRPr="002C0BDF">
        <w:t>2</w:t>
      </w:r>
      <w:r w:rsidR="005E516E" w:rsidRPr="002C0BDF">
        <w:t xml:space="preserve">, para. </w:t>
      </w:r>
      <w:r w:rsidR="00ED729D" w:rsidRPr="002C0BDF">
        <w:t>1)</w:t>
      </w:r>
      <w:r w:rsidR="00700D6A" w:rsidRPr="002C0BDF">
        <w:t>.</w:t>
      </w:r>
    </w:p>
    <w:p w:rsidR="009B51B6" w:rsidRPr="002C0BDF" w:rsidRDefault="0061340C" w:rsidP="005F2598">
      <w:pPr>
        <w:pStyle w:val="SingleTxtG"/>
        <w:rPr>
          <w:b/>
        </w:rPr>
      </w:pPr>
      <w:r w:rsidRPr="002C0BDF">
        <w:rPr>
          <w:b/>
        </w:rPr>
        <w:t xml:space="preserve">Taking into account </w:t>
      </w:r>
      <w:r w:rsidR="009B51B6" w:rsidRPr="002C0BDF">
        <w:rPr>
          <w:b/>
        </w:rPr>
        <w:t xml:space="preserve">the letter sent by the Committee’s Chairperson to all States parties </w:t>
      </w:r>
      <w:r w:rsidR="005F2598" w:rsidRPr="002C0BDF">
        <w:rPr>
          <w:b/>
        </w:rPr>
        <w:t xml:space="preserve">in </w:t>
      </w:r>
      <w:r w:rsidR="009B51B6" w:rsidRPr="002C0BDF">
        <w:rPr>
          <w:b/>
        </w:rPr>
        <w:t xml:space="preserve">2012 on austerity measures, </w:t>
      </w:r>
      <w:r w:rsidR="00E461B6" w:rsidRPr="002C0BDF">
        <w:rPr>
          <w:b/>
        </w:rPr>
        <w:t>t</w:t>
      </w:r>
      <w:r w:rsidR="009B7762" w:rsidRPr="002C0BDF">
        <w:rPr>
          <w:b/>
        </w:rPr>
        <w:t xml:space="preserve">he Committee recommends that the </w:t>
      </w:r>
      <w:r w:rsidR="002F2CC7" w:rsidRPr="002C0BDF">
        <w:rPr>
          <w:b/>
        </w:rPr>
        <w:t>S</w:t>
      </w:r>
      <w:r w:rsidR="009B7762" w:rsidRPr="002C0BDF">
        <w:rPr>
          <w:b/>
        </w:rPr>
        <w:t>tate party ensure that all the austerity measures adopted reflect the m</w:t>
      </w:r>
      <w:r w:rsidR="00700D6A" w:rsidRPr="002C0BDF">
        <w:rPr>
          <w:b/>
        </w:rPr>
        <w:t>inimum core content of all</w:t>
      </w:r>
      <w:r w:rsidR="009B7762" w:rsidRPr="002C0BDF">
        <w:rPr>
          <w:b/>
        </w:rPr>
        <w:t xml:space="preserve"> </w:t>
      </w:r>
      <w:r w:rsidR="00700D6A" w:rsidRPr="002C0BDF">
        <w:rPr>
          <w:b/>
        </w:rPr>
        <w:t xml:space="preserve">the </w:t>
      </w:r>
      <w:r w:rsidR="009B7762" w:rsidRPr="002C0BDF">
        <w:rPr>
          <w:b/>
        </w:rPr>
        <w:t>Covenant rights</w:t>
      </w:r>
      <w:r w:rsidR="00700D6A" w:rsidRPr="002C0BDF">
        <w:rPr>
          <w:b/>
        </w:rPr>
        <w:t>,</w:t>
      </w:r>
      <w:r w:rsidR="009B7762" w:rsidRPr="002C0BDF">
        <w:rPr>
          <w:b/>
        </w:rPr>
        <w:t xml:space="preserve"> and that</w:t>
      </w:r>
      <w:r w:rsidR="009B51B6" w:rsidRPr="002C0BDF">
        <w:rPr>
          <w:b/>
        </w:rPr>
        <w:t xml:space="preserve"> they are temporary, necessary and proportionate, and not discriminatory.</w:t>
      </w:r>
      <w:r w:rsidR="00273998" w:rsidRPr="002C0BDF">
        <w:rPr>
          <w:b/>
        </w:rPr>
        <w:t xml:space="preserve"> While taking note of the information provided by the State party’s delegation that such measures are temporary in </w:t>
      </w:r>
      <w:r w:rsidR="0022264A" w:rsidRPr="002C0BDF">
        <w:rPr>
          <w:b/>
        </w:rPr>
        <w:t>nature, the Committee urges</w:t>
      </w:r>
      <w:r w:rsidR="00273998" w:rsidRPr="002C0BDF">
        <w:rPr>
          <w:b/>
        </w:rPr>
        <w:t xml:space="preserve"> the State party </w:t>
      </w:r>
      <w:r w:rsidR="0022264A" w:rsidRPr="002C0BDF">
        <w:rPr>
          <w:b/>
        </w:rPr>
        <w:t xml:space="preserve">to </w:t>
      </w:r>
      <w:r w:rsidR="00700D6A" w:rsidRPr="002C0BDF">
        <w:rPr>
          <w:b/>
        </w:rPr>
        <w:t>repeal</w:t>
      </w:r>
      <w:r w:rsidR="00273998" w:rsidRPr="002C0BDF">
        <w:rPr>
          <w:b/>
        </w:rPr>
        <w:t xml:space="preserve"> </w:t>
      </w:r>
      <w:r w:rsidR="00B15E24" w:rsidRPr="002C0BDF">
        <w:rPr>
          <w:b/>
        </w:rPr>
        <w:t xml:space="preserve">the measures </w:t>
      </w:r>
      <w:r w:rsidR="00273998" w:rsidRPr="002C0BDF">
        <w:rPr>
          <w:b/>
        </w:rPr>
        <w:t>as soon as</w:t>
      </w:r>
      <w:r w:rsidR="003F56F2" w:rsidRPr="002C0BDF">
        <w:rPr>
          <w:b/>
        </w:rPr>
        <w:t xml:space="preserve"> </w:t>
      </w:r>
      <w:r w:rsidR="00324DF8" w:rsidRPr="002C0BDF">
        <w:rPr>
          <w:b/>
        </w:rPr>
        <w:t>possible</w:t>
      </w:r>
      <w:r w:rsidR="004F0468" w:rsidRPr="002C0BDF">
        <w:rPr>
          <w:b/>
        </w:rPr>
        <w:t xml:space="preserve">, and no later </w:t>
      </w:r>
      <w:r w:rsidR="00B15E24" w:rsidRPr="002C0BDF">
        <w:rPr>
          <w:b/>
        </w:rPr>
        <w:t>than when</w:t>
      </w:r>
      <w:r w:rsidR="00D472EC" w:rsidRPr="002C0BDF">
        <w:rPr>
          <w:b/>
        </w:rPr>
        <w:t xml:space="preserve"> economic growth has reached </w:t>
      </w:r>
      <w:r w:rsidR="00BC412E" w:rsidRPr="002C0BDF">
        <w:rPr>
          <w:b/>
        </w:rPr>
        <w:t>2.</w:t>
      </w:r>
      <w:r w:rsidR="00D472EC" w:rsidRPr="002C0BDF">
        <w:rPr>
          <w:b/>
        </w:rPr>
        <w:t>5 per cent in the State party</w:t>
      </w:r>
      <w:r w:rsidR="004F0468" w:rsidRPr="002C0BDF">
        <w:rPr>
          <w:b/>
        </w:rPr>
        <w:t>, as indicated during the dialogue.</w:t>
      </w:r>
      <w:r w:rsidR="00D473AB" w:rsidRPr="002C0BDF">
        <w:rPr>
          <w:b/>
        </w:rPr>
        <w:t xml:space="preserve"> </w:t>
      </w:r>
    </w:p>
    <w:p w:rsidR="00E16825" w:rsidRPr="002C0BDF" w:rsidRDefault="00FD0A87" w:rsidP="00FD0A87">
      <w:pPr>
        <w:pStyle w:val="H23G"/>
      </w:pPr>
      <w:r w:rsidRPr="002C0BDF">
        <w:tab/>
      </w:r>
      <w:r w:rsidRPr="002C0BDF">
        <w:tab/>
      </w:r>
      <w:r w:rsidR="00E16825" w:rsidRPr="002C0BDF">
        <w:t xml:space="preserve">National human rights institution </w:t>
      </w:r>
    </w:p>
    <w:p w:rsidR="00E16825" w:rsidRPr="002C0BDF" w:rsidRDefault="00E16825" w:rsidP="007E7101">
      <w:pPr>
        <w:pStyle w:val="SingleTxtG"/>
        <w:numPr>
          <w:ilvl w:val="0"/>
          <w:numId w:val="17"/>
        </w:numPr>
        <w:tabs>
          <w:tab w:val="left" w:pos="1701"/>
        </w:tabs>
        <w:ind w:left="1134" w:firstLine="0"/>
      </w:pPr>
      <w:r w:rsidRPr="002C0BDF">
        <w:t xml:space="preserve">The Committee is concerned that the </w:t>
      </w:r>
      <w:r w:rsidR="00E461B6" w:rsidRPr="002C0BDF">
        <w:t xml:space="preserve">Human Rights </w:t>
      </w:r>
      <w:r w:rsidRPr="002C0BDF">
        <w:t xml:space="preserve">Ombudsman does not fully comply with the </w:t>
      </w:r>
      <w:r w:rsidR="00926AB7" w:rsidRPr="002C0BDF">
        <w:t>P</w:t>
      </w:r>
      <w:r w:rsidRPr="002C0BDF">
        <w:t xml:space="preserve">rinciples relating to the </w:t>
      </w:r>
      <w:r w:rsidR="00926AB7" w:rsidRPr="002C0BDF">
        <w:t>S</w:t>
      </w:r>
      <w:r w:rsidRPr="002C0BDF">
        <w:t xml:space="preserve">tatus of </w:t>
      </w:r>
      <w:r w:rsidR="00926AB7" w:rsidRPr="002C0BDF">
        <w:t>N</w:t>
      </w:r>
      <w:r w:rsidRPr="002C0BDF">
        <w:t xml:space="preserve">ational </w:t>
      </w:r>
      <w:r w:rsidR="00926AB7" w:rsidRPr="002C0BDF">
        <w:t>I</w:t>
      </w:r>
      <w:r w:rsidRPr="002C0BDF">
        <w:t>nstitutions (Paris Principles).</w:t>
      </w:r>
      <w:r w:rsidR="00D473AB" w:rsidRPr="002C0BDF">
        <w:rPr>
          <w:rStyle w:val="FootnoteReference"/>
        </w:rPr>
        <w:t xml:space="preserve"> </w:t>
      </w:r>
      <w:r w:rsidR="0022264A" w:rsidRPr="002C0BDF">
        <w:t>T</w:t>
      </w:r>
      <w:r w:rsidRPr="002C0BDF">
        <w:t>he Comm</w:t>
      </w:r>
      <w:r w:rsidR="00940062" w:rsidRPr="002C0BDF">
        <w:t>ittee expresses its concern about the limited outreach of the Ombudsman</w:t>
      </w:r>
      <w:r w:rsidR="007E7101" w:rsidRPr="002C0BDF">
        <w:t>,</w:t>
      </w:r>
      <w:r w:rsidR="00940062" w:rsidRPr="002C0BDF">
        <w:t xml:space="preserve"> particularly to the groups </w:t>
      </w:r>
      <w:r w:rsidR="007E7101" w:rsidRPr="002C0BDF">
        <w:t xml:space="preserve">most </w:t>
      </w:r>
      <w:r w:rsidR="00940062" w:rsidRPr="002C0BDF">
        <w:t>vulne</w:t>
      </w:r>
      <w:r w:rsidR="00700D6A" w:rsidRPr="002C0BDF">
        <w:t xml:space="preserve">rable to </w:t>
      </w:r>
      <w:r w:rsidR="007E7101" w:rsidRPr="002C0BDF">
        <w:t xml:space="preserve">the </w:t>
      </w:r>
      <w:r w:rsidR="00700D6A" w:rsidRPr="002C0BDF">
        <w:t>violation</w:t>
      </w:r>
      <w:r w:rsidR="007E7101" w:rsidRPr="002C0BDF">
        <w:t xml:space="preserve"> of their rights</w:t>
      </w:r>
      <w:r w:rsidR="00700D6A" w:rsidRPr="002C0BDF">
        <w:t>, such as</w:t>
      </w:r>
      <w:r w:rsidR="00940062" w:rsidRPr="002C0BDF">
        <w:t xml:space="preserve"> Roma and </w:t>
      </w:r>
      <w:r w:rsidR="00284DCF" w:rsidRPr="002C0BDF">
        <w:t>migrant workers</w:t>
      </w:r>
      <w:r w:rsidR="00940062" w:rsidRPr="002C0BDF">
        <w:t>, that</w:t>
      </w:r>
      <w:r w:rsidRPr="002C0BDF">
        <w:t xml:space="preserve"> the Ombudsman is only mandated to monitor actions by </w:t>
      </w:r>
      <w:r w:rsidR="007E7101" w:rsidRPr="002C0BDF">
        <w:t>S</w:t>
      </w:r>
      <w:r w:rsidRPr="002C0BDF">
        <w:t>tate agents, and that its recommen</w:t>
      </w:r>
      <w:r w:rsidR="005E13AC" w:rsidRPr="002C0BDF">
        <w:t>dations are not legally binding</w:t>
      </w:r>
      <w:r w:rsidRPr="002C0BDF">
        <w:t xml:space="preserve"> </w:t>
      </w:r>
      <w:r w:rsidR="00EF713D" w:rsidRPr="002C0BDF">
        <w:t>(art. </w:t>
      </w:r>
      <w:r w:rsidR="00ED729D" w:rsidRPr="002C0BDF">
        <w:t>2</w:t>
      </w:r>
      <w:r w:rsidR="00F37BD4" w:rsidRPr="002C0BDF">
        <w:t xml:space="preserve">, para. </w:t>
      </w:r>
      <w:r w:rsidRPr="002C0BDF">
        <w:t>1)</w:t>
      </w:r>
      <w:r w:rsidR="005E13AC" w:rsidRPr="002C0BDF">
        <w:t>.</w:t>
      </w:r>
    </w:p>
    <w:p w:rsidR="00E16825" w:rsidRPr="002C0BDF" w:rsidRDefault="00854C4F" w:rsidP="006608B0">
      <w:pPr>
        <w:pStyle w:val="SingleTxtG"/>
        <w:rPr>
          <w:b/>
        </w:rPr>
      </w:pPr>
      <w:r w:rsidRPr="002C0BDF">
        <w:rPr>
          <w:b/>
        </w:rPr>
        <w:t>In l</w:t>
      </w:r>
      <w:r w:rsidR="00EF713D" w:rsidRPr="002C0BDF">
        <w:rPr>
          <w:b/>
        </w:rPr>
        <w:t>ight of its general comment No. </w:t>
      </w:r>
      <w:r w:rsidRPr="002C0BDF">
        <w:rPr>
          <w:b/>
        </w:rPr>
        <w:t>10 (1998) on the role of national human rights institutions in the protection of economic, social and cultural rights, t</w:t>
      </w:r>
      <w:r w:rsidR="00E16825" w:rsidRPr="002C0BDF">
        <w:rPr>
          <w:b/>
        </w:rPr>
        <w:t xml:space="preserve">he Committee recommends that the State party take </w:t>
      </w:r>
      <w:r w:rsidR="00700D6A" w:rsidRPr="002C0BDF">
        <w:rPr>
          <w:b/>
        </w:rPr>
        <w:t xml:space="preserve">urgent </w:t>
      </w:r>
      <w:r w:rsidR="00E16825" w:rsidRPr="002C0BDF">
        <w:rPr>
          <w:b/>
        </w:rPr>
        <w:t>measures to bring the Ombudsman</w:t>
      </w:r>
      <w:r w:rsidR="007E7101" w:rsidRPr="002C0BDF">
        <w:rPr>
          <w:b/>
        </w:rPr>
        <w:t>’s</w:t>
      </w:r>
      <w:r w:rsidR="00E16825" w:rsidRPr="002C0BDF">
        <w:rPr>
          <w:b/>
        </w:rPr>
        <w:t xml:space="preserve"> office in</w:t>
      </w:r>
      <w:r w:rsidR="007E7101" w:rsidRPr="002C0BDF">
        <w:rPr>
          <w:b/>
        </w:rPr>
        <w:t>to</w:t>
      </w:r>
      <w:r w:rsidR="00E16825" w:rsidRPr="002C0BDF">
        <w:rPr>
          <w:b/>
        </w:rPr>
        <w:t xml:space="preserve"> compliance with the Paris Principles. The Committee also requests the State party to </w:t>
      </w:r>
      <w:r w:rsidR="00940062" w:rsidRPr="002C0BDF">
        <w:rPr>
          <w:b/>
        </w:rPr>
        <w:t xml:space="preserve">strengthen the </w:t>
      </w:r>
      <w:r w:rsidR="00700D6A" w:rsidRPr="002C0BDF">
        <w:rPr>
          <w:b/>
        </w:rPr>
        <w:t xml:space="preserve">capacities of the </w:t>
      </w:r>
      <w:r w:rsidR="00940062" w:rsidRPr="002C0BDF">
        <w:rPr>
          <w:b/>
        </w:rPr>
        <w:t>Ombudsman with a view to expand</w:t>
      </w:r>
      <w:r w:rsidR="0022264A" w:rsidRPr="002C0BDF">
        <w:rPr>
          <w:b/>
        </w:rPr>
        <w:t>ing</w:t>
      </w:r>
      <w:r w:rsidR="00940062" w:rsidRPr="002C0BDF">
        <w:rPr>
          <w:b/>
        </w:rPr>
        <w:t xml:space="preserve"> its outreach, and to broaden</w:t>
      </w:r>
      <w:r w:rsidR="007E7101" w:rsidRPr="002C0BDF">
        <w:rPr>
          <w:b/>
        </w:rPr>
        <w:t>ing</w:t>
      </w:r>
      <w:r w:rsidR="00940062" w:rsidRPr="002C0BDF">
        <w:rPr>
          <w:b/>
        </w:rPr>
        <w:t xml:space="preserve"> its</w:t>
      </w:r>
      <w:r w:rsidR="00E16825" w:rsidRPr="002C0BDF">
        <w:rPr>
          <w:b/>
        </w:rPr>
        <w:t xml:space="preserve"> man</w:t>
      </w:r>
      <w:r w:rsidR="00940062" w:rsidRPr="002C0BDF">
        <w:rPr>
          <w:b/>
        </w:rPr>
        <w:t>date and powers</w:t>
      </w:r>
      <w:r w:rsidR="00E16825" w:rsidRPr="002C0BDF">
        <w:rPr>
          <w:b/>
        </w:rPr>
        <w:t xml:space="preserve"> so as to enable it to have </w:t>
      </w:r>
      <w:r w:rsidR="006608B0" w:rsidRPr="002C0BDF">
        <w:rPr>
          <w:b/>
        </w:rPr>
        <w:t xml:space="preserve">an </w:t>
      </w:r>
      <w:r w:rsidR="00E16825" w:rsidRPr="002C0BDF">
        <w:rPr>
          <w:b/>
        </w:rPr>
        <w:t>o</w:t>
      </w:r>
      <w:r w:rsidR="00700D6A" w:rsidRPr="002C0BDF">
        <w:rPr>
          <w:b/>
        </w:rPr>
        <w:t xml:space="preserve">versight function </w:t>
      </w:r>
      <w:r w:rsidR="006608B0" w:rsidRPr="002C0BDF">
        <w:rPr>
          <w:b/>
        </w:rPr>
        <w:t xml:space="preserve">for the </w:t>
      </w:r>
      <w:r w:rsidR="003F56F2" w:rsidRPr="002C0BDF">
        <w:rPr>
          <w:b/>
        </w:rPr>
        <w:t xml:space="preserve">actions of </w:t>
      </w:r>
      <w:r w:rsidR="00E16825" w:rsidRPr="002C0BDF">
        <w:rPr>
          <w:b/>
        </w:rPr>
        <w:t xml:space="preserve">private actors and </w:t>
      </w:r>
      <w:r w:rsidR="005214FB" w:rsidRPr="002C0BDF">
        <w:rPr>
          <w:b/>
        </w:rPr>
        <w:t xml:space="preserve">to </w:t>
      </w:r>
      <w:r w:rsidR="00E16825" w:rsidRPr="002C0BDF">
        <w:rPr>
          <w:b/>
        </w:rPr>
        <w:t>imp</w:t>
      </w:r>
      <w:r w:rsidR="00BA3AA6" w:rsidRPr="002C0BDF">
        <w:rPr>
          <w:b/>
        </w:rPr>
        <w:t>ose legally binding measures.</w:t>
      </w:r>
      <w:r w:rsidR="00D473AB" w:rsidRPr="002C0BDF">
        <w:rPr>
          <w:b/>
        </w:rPr>
        <w:t xml:space="preserve"> </w:t>
      </w:r>
    </w:p>
    <w:p w:rsidR="009B7762" w:rsidRPr="002C0BDF" w:rsidRDefault="00FD0A87" w:rsidP="00FD0A87">
      <w:pPr>
        <w:pStyle w:val="H23G"/>
      </w:pPr>
      <w:r w:rsidRPr="002C0BDF">
        <w:tab/>
      </w:r>
      <w:r w:rsidRPr="002C0BDF">
        <w:tab/>
      </w:r>
      <w:r w:rsidR="00E461B6" w:rsidRPr="002C0BDF">
        <w:t>Non-</w:t>
      </w:r>
      <w:r w:rsidR="009B7762" w:rsidRPr="002C0BDF">
        <w:t xml:space="preserve">discrimination </w:t>
      </w:r>
    </w:p>
    <w:p w:rsidR="009B7762" w:rsidRPr="002C0BDF" w:rsidRDefault="009B7762" w:rsidP="00FC3AC9">
      <w:pPr>
        <w:pStyle w:val="SingleTxtG"/>
        <w:numPr>
          <w:ilvl w:val="0"/>
          <w:numId w:val="17"/>
        </w:numPr>
        <w:tabs>
          <w:tab w:val="left" w:pos="1701"/>
        </w:tabs>
        <w:ind w:left="1134" w:firstLine="0"/>
      </w:pPr>
      <w:r w:rsidRPr="002C0BDF">
        <w:t xml:space="preserve">The Committee is concerned about the weak institutional framework for implementing anti-discrimination policies and legislation. </w:t>
      </w:r>
      <w:r w:rsidR="003F56F2" w:rsidRPr="002C0BDF">
        <w:t>In particular it</w:t>
      </w:r>
      <w:r w:rsidRPr="002C0BDF">
        <w:t xml:space="preserve"> notes with concern that existing mechanisms addressing discrimination in the State party, including the Office of the Advocate of the Principle of Equality, lack sufficient resources</w:t>
      </w:r>
      <w:r w:rsidR="007E7101" w:rsidRPr="002C0BDF">
        <w:t xml:space="preserve"> and</w:t>
      </w:r>
      <w:r w:rsidRPr="002C0BDF">
        <w:t xml:space="preserve"> enjoy limited mandates, and </w:t>
      </w:r>
      <w:r w:rsidR="007E7101" w:rsidRPr="002C0BDF">
        <w:t xml:space="preserve">that </w:t>
      </w:r>
      <w:r w:rsidRPr="002C0BDF">
        <w:t xml:space="preserve">their recommendations are not binding. The Committee is also concerned about the </w:t>
      </w:r>
      <w:r w:rsidR="00FC3AC9" w:rsidRPr="002C0BDF">
        <w:t xml:space="preserve">small </w:t>
      </w:r>
      <w:r w:rsidRPr="002C0BDF">
        <w:t xml:space="preserve">number of reported cases of discrimination </w:t>
      </w:r>
      <w:r w:rsidR="00FC3AC9" w:rsidRPr="002C0BDF">
        <w:t>and about</w:t>
      </w:r>
      <w:r w:rsidRPr="002C0BDF">
        <w:t xml:space="preserve"> the lack of effective remedy </w:t>
      </w:r>
      <w:r w:rsidR="00FC3AC9" w:rsidRPr="002C0BDF">
        <w:t xml:space="preserve">for </w:t>
      </w:r>
      <w:r w:rsidRPr="002C0BDF">
        <w:t xml:space="preserve">victims of discrimination </w:t>
      </w:r>
      <w:r w:rsidR="00EF713D" w:rsidRPr="002C0BDF">
        <w:t>(art. </w:t>
      </w:r>
      <w:r w:rsidR="00ED729D" w:rsidRPr="002C0BDF">
        <w:t>2</w:t>
      </w:r>
      <w:r w:rsidR="001C0D5B" w:rsidRPr="002C0BDF">
        <w:t xml:space="preserve">, para. </w:t>
      </w:r>
      <w:r w:rsidRPr="002C0BDF">
        <w:t>2)</w:t>
      </w:r>
      <w:r w:rsidR="005E13AC" w:rsidRPr="002C0BDF">
        <w:t>.</w:t>
      </w:r>
    </w:p>
    <w:p w:rsidR="009B7762" w:rsidRPr="002C0BDF" w:rsidRDefault="009B7762" w:rsidP="00FD0A87">
      <w:pPr>
        <w:pStyle w:val="SingleTxtG"/>
        <w:rPr>
          <w:b/>
          <w:szCs w:val="24"/>
        </w:rPr>
      </w:pPr>
      <w:r w:rsidRPr="002C0BDF">
        <w:rPr>
          <w:b/>
        </w:rPr>
        <w:t>Taking into account its general comment</w:t>
      </w:r>
      <w:r w:rsidR="00346EC8" w:rsidRPr="002C0BDF">
        <w:rPr>
          <w:b/>
        </w:rPr>
        <w:t>s</w:t>
      </w:r>
      <w:r w:rsidR="00EF713D" w:rsidRPr="002C0BDF">
        <w:rPr>
          <w:b/>
        </w:rPr>
        <w:t xml:space="preserve"> No. </w:t>
      </w:r>
      <w:r w:rsidRPr="002C0BDF">
        <w:rPr>
          <w:b/>
        </w:rPr>
        <w:t>20 (2009) on non-discrimination in economic, soci</w:t>
      </w:r>
      <w:r w:rsidR="00EF713D" w:rsidRPr="002C0BDF">
        <w:rPr>
          <w:b/>
        </w:rPr>
        <w:t>al and cultural rights, and No. </w:t>
      </w:r>
      <w:r w:rsidRPr="002C0BDF">
        <w:rPr>
          <w:b/>
        </w:rPr>
        <w:t>3 (1990) on the nature of States parties’ obligations,</w:t>
      </w:r>
      <w:r w:rsidR="0022264A" w:rsidRPr="002C0BDF">
        <w:rPr>
          <w:b/>
          <w:szCs w:val="24"/>
        </w:rPr>
        <w:t xml:space="preserve"> the Committee recommends</w:t>
      </w:r>
      <w:r w:rsidRPr="002C0BDF">
        <w:rPr>
          <w:b/>
          <w:szCs w:val="24"/>
        </w:rPr>
        <w:t xml:space="preserve"> that the State party:</w:t>
      </w:r>
    </w:p>
    <w:p w:rsidR="009B7762" w:rsidRPr="002C0BDF" w:rsidRDefault="009B7762" w:rsidP="00FD0A87">
      <w:pPr>
        <w:pStyle w:val="SingleTxtG"/>
        <w:ind w:firstLine="567"/>
        <w:rPr>
          <w:b/>
        </w:rPr>
      </w:pPr>
      <w:r w:rsidRPr="002C0BDF">
        <w:rPr>
          <w:b/>
        </w:rPr>
        <w:t>(a)</w:t>
      </w:r>
      <w:r w:rsidRPr="002C0BDF">
        <w:rPr>
          <w:b/>
        </w:rPr>
        <w:tab/>
        <w:t>Develop and adopt a comprehensive anti-discrimination strategy in collaboration with civil society;</w:t>
      </w:r>
    </w:p>
    <w:p w:rsidR="009B7762" w:rsidRPr="002C0BDF" w:rsidRDefault="009B7762" w:rsidP="00FC3AC9">
      <w:pPr>
        <w:pStyle w:val="SingleTxtG"/>
        <w:ind w:firstLine="567"/>
        <w:rPr>
          <w:b/>
        </w:rPr>
      </w:pPr>
      <w:r w:rsidRPr="002C0BDF">
        <w:rPr>
          <w:b/>
        </w:rPr>
        <w:t>(b)</w:t>
      </w:r>
      <w:r w:rsidRPr="002C0BDF">
        <w:rPr>
          <w:b/>
        </w:rPr>
        <w:tab/>
        <w:t xml:space="preserve">Ensure that anti-discrimination mechanisms are provided with </w:t>
      </w:r>
      <w:r w:rsidR="00FC3AC9" w:rsidRPr="002C0BDF">
        <w:rPr>
          <w:b/>
        </w:rPr>
        <w:t xml:space="preserve">a </w:t>
      </w:r>
      <w:r w:rsidRPr="002C0BDF">
        <w:rPr>
          <w:b/>
        </w:rPr>
        <w:t xml:space="preserve">broad mandate and the necessary resources </w:t>
      </w:r>
      <w:r w:rsidR="00FC3AC9" w:rsidRPr="002C0BDF">
        <w:rPr>
          <w:b/>
        </w:rPr>
        <w:t>to</w:t>
      </w:r>
      <w:r w:rsidR="0022264A" w:rsidRPr="002C0BDF">
        <w:rPr>
          <w:b/>
        </w:rPr>
        <w:t xml:space="preserve"> </w:t>
      </w:r>
      <w:r w:rsidR="00FC3AC9" w:rsidRPr="002C0BDF">
        <w:rPr>
          <w:b/>
        </w:rPr>
        <w:t>function effectively</w:t>
      </w:r>
      <w:r w:rsidRPr="002C0BDF">
        <w:rPr>
          <w:b/>
        </w:rPr>
        <w:t>;</w:t>
      </w:r>
    </w:p>
    <w:p w:rsidR="009B7762" w:rsidRPr="002C0BDF" w:rsidRDefault="009B7762" w:rsidP="00FC3AC9">
      <w:pPr>
        <w:pStyle w:val="SingleTxtG"/>
        <w:ind w:firstLine="567"/>
        <w:rPr>
          <w:b/>
          <w:bCs/>
          <w:lang w:eastAsia="en-GB"/>
        </w:rPr>
      </w:pPr>
      <w:r w:rsidRPr="002C0BDF">
        <w:rPr>
          <w:b/>
        </w:rPr>
        <w:t>(c)</w:t>
      </w:r>
      <w:r w:rsidRPr="002C0BDF">
        <w:rPr>
          <w:b/>
        </w:rPr>
        <w:tab/>
      </w:r>
      <w:r w:rsidRPr="002C0BDF">
        <w:rPr>
          <w:b/>
          <w:bCs/>
          <w:lang w:eastAsia="en-GB"/>
        </w:rPr>
        <w:t>Increase public awareness on the proh</w:t>
      </w:r>
      <w:r w:rsidR="00A630D0" w:rsidRPr="002C0BDF">
        <w:rPr>
          <w:b/>
          <w:bCs/>
          <w:lang w:eastAsia="en-GB"/>
        </w:rPr>
        <w:t>ibition of discrimination and</w:t>
      </w:r>
      <w:r w:rsidRPr="002C0BDF">
        <w:rPr>
          <w:b/>
          <w:bCs/>
          <w:lang w:eastAsia="en-GB"/>
        </w:rPr>
        <w:t xml:space="preserve"> avenues of redress; </w:t>
      </w:r>
    </w:p>
    <w:p w:rsidR="009B7762" w:rsidRPr="002C0BDF" w:rsidRDefault="009B7762" w:rsidP="00FC3AC9">
      <w:pPr>
        <w:pStyle w:val="SingleTxtG"/>
        <w:ind w:firstLine="567"/>
        <w:rPr>
          <w:b/>
          <w:bCs/>
          <w:lang w:eastAsia="en-GB"/>
        </w:rPr>
      </w:pPr>
      <w:r w:rsidRPr="002C0BDF">
        <w:rPr>
          <w:b/>
          <w:bCs/>
          <w:lang w:eastAsia="en-GB"/>
        </w:rPr>
        <w:t>(d)</w:t>
      </w:r>
      <w:r w:rsidRPr="002C0BDF">
        <w:rPr>
          <w:b/>
          <w:bCs/>
          <w:lang w:eastAsia="en-GB"/>
        </w:rPr>
        <w:tab/>
        <w:t>Provide remedies to victims of discrimination which are accessible, affordable, timely and effective.</w:t>
      </w:r>
    </w:p>
    <w:p w:rsidR="00E16825" w:rsidRPr="002C0BDF" w:rsidRDefault="00FD0A87" w:rsidP="00FD0A87">
      <w:pPr>
        <w:pStyle w:val="H23G"/>
      </w:pPr>
      <w:r w:rsidRPr="002C0BDF">
        <w:tab/>
      </w:r>
      <w:r w:rsidRPr="002C0BDF">
        <w:tab/>
      </w:r>
      <w:r w:rsidR="00E16825" w:rsidRPr="002C0BDF">
        <w:t>Social exclusion of</w:t>
      </w:r>
      <w:r w:rsidR="00FC3AC9" w:rsidRPr="002C0BDF">
        <w:t>,</w:t>
      </w:r>
      <w:r w:rsidR="00E16825" w:rsidRPr="002C0BDF">
        <w:t xml:space="preserve"> and discrimination against</w:t>
      </w:r>
      <w:r w:rsidR="00FC3AC9" w:rsidRPr="002C0BDF">
        <w:t>,</w:t>
      </w:r>
      <w:r w:rsidR="00E16825" w:rsidRPr="002C0BDF">
        <w:t xml:space="preserve"> Roma </w:t>
      </w:r>
    </w:p>
    <w:p w:rsidR="00E16825" w:rsidRPr="002C0BDF" w:rsidRDefault="00E16825" w:rsidP="00E14B7B">
      <w:pPr>
        <w:pStyle w:val="SingleTxtG"/>
        <w:numPr>
          <w:ilvl w:val="0"/>
          <w:numId w:val="17"/>
        </w:numPr>
        <w:tabs>
          <w:tab w:val="left" w:pos="1701"/>
        </w:tabs>
        <w:ind w:left="1134" w:firstLine="0"/>
      </w:pPr>
      <w:r w:rsidRPr="002C0BDF">
        <w:t xml:space="preserve">The Committee is concerned about the </w:t>
      </w:r>
      <w:r w:rsidR="00E461B6" w:rsidRPr="002C0BDF">
        <w:t>limited progress</w:t>
      </w:r>
      <w:r w:rsidRPr="002C0BDF">
        <w:t xml:space="preserve"> in alleviating the </w:t>
      </w:r>
      <w:r w:rsidR="00E461B6" w:rsidRPr="002C0BDF">
        <w:t xml:space="preserve">precarious </w:t>
      </w:r>
      <w:r w:rsidRPr="002C0BDF">
        <w:t>sit</w:t>
      </w:r>
      <w:r w:rsidR="005861A2" w:rsidRPr="002C0BDF">
        <w:t xml:space="preserve">uation of Roma communities </w:t>
      </w:r>
      <w:r w:rsidR="006919D5" w:rsidRPr="002C0BDF">
        <w:t>des</w:t>
      </w:r>
      <w:r w:rsidR="00A630D0" w:rsidRPr="002C0BDF">
        <w:t>pite some measures taken to that</w:t>
      </w:r>
      <w:r w:rsidR="006919D5" w:rsidRPr="002C0BDF">
        <w:t xml:space="preserve"> end. The Committee is particularly concerned that Roma communities</w:t>
      </w:r>
      <w:r w:rsidRPr="002C0BDF">
        <w:t xml:space="preserve"> </w:t>
      </w:r>
      <w:r w:rsidR="005861A2" w:rsidRPr="002C0BDF">
        <w:t xml:space="preserve">still encounter </w:t>
      </w:r>
      <w:r w:rsidR="006919D5" w:rsidRPr="002C0BDF">
        <w:t xml:space="preserve">multiple </w:t>
      </w:r>
      <w:r w:rsidR="00804C37" w:rsidRPr="002C0BDF">
        <w:t xml:space="preserve">forms of </w:t>
      </w:r>
      <w:r w:rsidR="005861A2" w:rsidRPr="002C0BDF">
        <w:t>discrim</w:t>
      </w:r>
      <w:r w:rsidR="00804C37" w:rsidRPr="002C0BDF">
        <w:t>ination in many areas covered under the Covenant, including</w:t>
      </w:r>
      <w:r w:rsidR="005861A2" w:rsidRPr="002C0BDF">
        <w:t xml:space="preserve"> access to </w:t>
      </w:r>
      <w:r w:rsidR="006B6A76" w:rsidRPr="002C0BDF">
        <w:t>employment,</w:t>
      </w:r>
      <w:r w:rsidR="003033A6" w:rsidRPr="002C0BDF">
        <w:t xml:space="preserve"> housing</w:t>
      </w:r>
      <w:r w:rsidR="006B6A76" w:rsidRPr="002C0BDF">
        <w:t xml:space="preserve"> and health</w:t>
      </w:r>
      <w:r w:rsidR="00A630D0" w:rsidRPr="002C0BDF">
        <w:t xml:space="preserve"> services</w:t>
      </w:r>
      <w:r w:rsidR="0045142C" w:rsidRPr="002C0BDF">
        <w:t xml:space="preserve"> </w:t>
      </w:r>
      <w:r w:rsidR="00867453" w:rsidRPr="002C0BDF">
        <w:t>(art. </w:t>
      </w:r>
      <w:r w:rsidR="0045142C" w:rsidRPr="002C0BDF">
        <w:t>2</w:t>
      </w:r>
      <w:r w:rsidR="00FC3AC9" w:rsidRPr="002C0BDF">
        <w:t xml:space="preserve">, para. </w:t>
      </w:r>
      <w:r w:rsidR="009B7762" w:rsidRPr="002C0BDF">
        <w:t>2</w:t>
      </w:r>
      <w:r w:rsidR="0045142C" w:rsidRPr="002C0BDF">
        <w:t>)</w:t>
      </w:r>
      <w:r w:rsidR="005E13AC" w:rsidRPr="002C0BDF">
        <w:t>.</w:t>
      </w:r>
    </w:p>
    <w:p w:rsidR="00BA3AA6" w:rsidRPr="002C0BDF" w:rsidRDefault="005861A2" w:rsidP="0081145B">
      <w:pPr>
        <w:pStyle w:val="SingleTxtG"/>
        <w:tabs>
          <w:tab w:val="left" w:pos="1701"/>
        </w:tabs>
        <w:rPr>
          <w:b/>
        </w:rPr>
      </w:pPr>
      <w:r w:rsidRPr="002C0BDF">
        <w:rPr>
          <w:b/>
        </w:rPr>
        <w:t xml:space="preserve">The Committee urges </w:t>
      </w:r>
      <w:r w:rsidR="00740661" w:rsidRPr="002C0BDF">
        <w:rPr>
          <w:b/>
        </w:rPr>
        <w:t xml:space="preserve">that </w:t>
      </w:r>
      <w:r w:rsidRPr="002C0BDF">
        <w:rPr>
          <w:b/>
        </w:rPr>
        <w:t>the S</w:t>
      </w:r>
      <w:r w:rsidR="00740661" w:rsidRPr="002C0BDF">
        <w:rPr>
          <w:b/>
        </w:rPr>
        <w:t>tate party</w:t>
      </w:r>
      <w:r w:rsidRPr="002C0BDF">
        <w:rPr>
          <w:b/>
        </w:rPr>
        <w:t xml:space="preserve"> adopt a holistic approach in addressing all forms of discrimination against Roma communities</w:t>
      </w:r>
      <w:r w:rsidR="00A630D0" w:rsidRPr="002C0BDF">
        <w:rPr>
          <w:b/>
        </w:rPr>
        <w:t xml:space="preserve">, </w:t>
      </w:r>
      <w:r w:rsidR="006919D5" w:rsidRPr="002C0BDF">
        <w:rPr>
          <w:b/>
        </w:rPr>
        <w:t xml:space="preserve">implement existing and adopt other effective measures </w:t>
      </w:r>
      <w:r w:rsidR="006919D5" w:rsidRPr="002C0BDF">
        <w:rPr>
          <w:b/>
          <w:bCs/>
        </w:rPr>
        <w:t xml:space="preserve">to overcome </w:t>
      </w:r>
      <w:r w:rsidR="00FC3AC9" w:rsidRPr="002C0BDF">
        <w:rPr>
          <w:b/>
          <w:bCs/>
        </w:rPr>
        <w:t xml:space="preserve">the </w:t>
      </w:r>
      <w:r w:rsidR="006919D5" w:rsidRPr="002C0BDF">
        <w:rPr>
          <w:b/>
          <w:bCs/>
        </w:rPr>
        <w:t xml:space="preserve">prevailing discrimination </w:t>
      </w:r>
      <w:r w:rsidR="00FC3AC9" w:rsidRPr="002C0BDF">
        <w:rPr>
          <w:b/>
          <w:bCs/>
        </w:rPr>
        <w:t xml:space="preserve">against </w:t>
      </w:r>
      <w:r w:rsidR="006919D5" w:rsidRPr="002C0BDF">
        <w:rPr>
          <w:b/>
          <w:bCs/>
        </w:rPr>
        <w:t>Roma in access to em</w:t>
      </w:r>
      <w:r w:rsidR="006B6A76" w:rsidRPr="002C0BDF">
        <w:rPr>
          <w:b/>
          <w:bCs/>
        </w:rPr>
        <w:t>ployment,</w:t>
      </w:r>
      <w:r w:rsidR="006919D5" w:rsidRPr="002C0BDF">
        <w:rPr>
          <w:b/>
          <w:bCs/>
        </w:rPr>
        <w:t xml:space="preserve"> housing</w:t>
      </w:r>
      <w:r w:rsidR="006B6A76" w:rsidRPr="002C0BDF">
        <w:rPr>
          <w:b/>
          <w:bCs/>
        </w:rPr>
        <w:t xml:space="preserve"> and health</w:t>
      </w:r>
      <w:r w:rsidR="00A630D0" w:rsidRPr="002C0BDF">
        <w:rPr>
          <w:b/>
          <w:bCs/>
        </w:rPr>
        <w:t xml:space="preserve"> services</w:t>
      </w:r>
      <w:r w:rsidR="006B6A76" w:rsidRPr="002C0BDF">
        <w:rPr>
          <w:b/>
          <w:bCs/>
        </w:rPr>
        <w:t>.</w:t>
      </w:r>
      <w:r w:rsidR="00D473AB" w:rsidRPr="002C0BDF">
        <w:rPr>
          <w:b/>
          <w:bCs/>
        </w:rPr>
        <w:t xml:space="preserve"> </w:t>
      </w:r>
    </w:p>
    <w:p w:rsidR="00E16825" w:rsidRPr="002C0BDF" w:rsidRDefault="00FD0A87" w:rsidP="00FD0A87">
      <w:pPr>
        <w:pStyle w:val="H23G"/>
      </w:pPr>
      <w:r w:rsidRPr="002C0BDF">
        <w:tab/>
      </w:r>
      <w:r w:rsidRPr="002C0BDF">
        <w:tab/>
      </w:r>
      <w:r w:rsidR="00E16825" w:rsidRPr="002C0BDF">
        <w:t xml:space="preserve">Discrimination on the grounds of sexual orientation and gender identity </w:t>
      </w:r>
    </w:p>
    <w:p w:rsidR="00E16825" w:rsidRPr="002C0BDF" w:rsidRDefault="00E16825" w:rsidP="00CF67F5">
      <w:pPr>
        <w:pStyle w:val="SingleTxtG"/>
        <w:numPr>
          <w:ilvl w:val="0"/>
          <w:numId w:val="17"/>
        </w:numPr>
        <w:tabs>
          <w:tab w:val="left" w:pos="1701"/>
        </w:tabs>
        <w:ind w:left="1134" w:firstLine="0"/>
      </w:pPr>
      <w:r w:rsidRPr="002C0BDF">
        <w:t xml:space="preserve">The Committee is concerned about the existence of several </w:t>
      </w:r>
      <w:r w:rsidR="00324DF8" w:rsidRPr="002C0BDF">
        <w:t xml:space="preserve">legal </w:t>
      </w:r>
      <w:r w:rsidRPr="002C0BDF">
        <w:t>provisions that are discrim</w:t>
      </w:r>
      <w:r w:rsidR="006B6A76" w:rsidRPr="002C0BDF">
        <w:t>inatory against same-sex partners</w:t>
      </w:r>
      <w:r w:rsidRPr="002C0BDF">
        <w:t xml:space="preserve"> and their families, in</w:t>
      </w:r>
      <w:r w:rsidR="007177CB" w:rsidRPr="002C0BDF">
        <w:t>cluding</w:t>
      </w:r>
      <w:r w:rsidRPr="002C0BDF">
        <w:t xml:space="preserve"> in the Health Care and Health Insurance Act, the Housing Act, the Code of Obligations, the Penal Code, and the Ma</w:t>
      </w:r>
      <w:r w:rsidR="005E13AC" w:rsidRPr="002C0BDF">
        <w:t>rriage and Family Relations Act</w:t>
      </w:r>
      <w:r w:rsidR="0024429A" w:rsidRPr="002C0BDF">
        <w:t>.</w:t>
      </w:r>
      <w:r w:rsidR="00D473AB" w:rsidRPr="002C0BDF">
        <w:rPr>
          <w:rStyle w:val="FootnoteReference"/>
        </w:rPr>
        <w:t xml:space="preserve"> </w:t>
      </w:r>
      <w:r w:rsidR="0024429A" w:rsidRPr="002C0BDF">
        <w:t>The Committee is particularly concern</w:t>
      </w:r>
      <w:r w:rsidR="00867453" w:rsidRPr="002C0BDF">
        <w:t xml:space="preserve">ed about </w:t>
      </w:r>
      <w:r w:rsidR="00CF67F5" w:rsidRPr="002C0BDF">
        <w:t xml:space="preserve">the retention </w:t>
      </w:r>
      <w:r w:rsidR="00867453" w:rsidRPr="002C0BDF">
        <w:t>of article </w:t>
      </w:r>
      <w:r w:rsidR="0024429A" w:rsidRPr="002C0BDF">
        <w:t>22 of the Registration of Same</w:t>
      </w:r>
      <w:r w:rsidR="00CF67F5" w:rsidRPr="002C0BDF">
        <w:t>-</w:t>
      </w:r>
      <w:r w:rsidR="0024429A" w:rsidRPr="002C0BDF">
        <w:t xml:space="preserve">Sex Partnerships Act, despite the decision by the Constitutional Court (2013) ruling that it violated the right to non-discrimination on the ground of sexual orientation </w:t>
      </w:r>
      <w:r w:rsidR="00867453" w:rsidRPr="002C0BDF">
        <w:t>(art. </w:t>
      </w:r>
      <w:r w:rsidR="0066200E" w:rsidRPr="002C0BDF">
        <w:t>2</w:t>
      </w:r>
      <w:r w:rsidR="00CF67F5" w:rsidRPr="002C0BDF">
        <w:t xml:space="preserve">, para. </w:t>
      </w:r>
      <w:r w:rsidR="00BA3AA6" w:rsidRPr="002C0BDF">
        <w:t>2)</w:t>
      </w:r>
      <w:r w:rsidR="005E13AC" w:rsidRPr="002C0BDF">
        <w:t>.</w:t>
      </w:r>
    </w:p>
    <w:p w:rsidR="00CA0366" w:rsidRPr="002C0BDF" w:rsidRDefault="00E16825" w:rsidP="00CF67F5">
      <w:pPr>
        <w:pStyle w:val="SingleTxtG"/>
        <w:tabs>
          <w:tab w:val="left" w:pos="1701"/>
        </w:tabs>
        <w:rPr>
          <w:b/>
        </w:rPr>
      </w:pPr>
      <w:r w:rsidRPr="002C0BDF">
        <w:rPr>
          <w:b/>
        </w:rPr>
        <w:t xml:space="preserve">The Committee recommends </w:t>
      </w:r>
      <w:r w:rsidR="00804C37" w:rsidRPr="002C0BDF">
        <w:rPr>
          <w:b/>
        </w:rPr>
        <w:t>that the State party</w:t>
      </w:r>
      <w:r w:rsidRPr="002C0BDF">
        <w:rPr>
          <w:b/>
        </w:rPr>
        <w:t xml:space="preserve"> bring all its legislation in</w:t>
      </w:r>
      <w:r w:rsidR="00CF67F5" w:rsidRPr="002C0BDF">
        <w:rPr>
          <w:b/>
        </w:rPr>
        <w:t>to</w:t>
      </w:r>
      <w:r w:rsidRPr="002C0BDF">
        <w:rPr>
          <w:b/>
        </w:rPr>
        <w:t xml:space="preserve"> </w:t>
      </w:r>
      <w:r w:rsidR="00CF67F5" w:rsidRPr="002C0BDF">
        <w:rPr>
          <w:b/>
        </w:rPr>
        <w:t xml:space="preserve">line </w:t>
      </w:r>
      <w:r w:rsidR="00804C37" w:rsidRPr="002C0BDF">
        <w:rPr>
          <w:b/>
        </w:rPr>
        <w:t xml:space="preserve">with </w:t>
      </w:r>
      <w:r w:rsidR="00867453" w:rsidRPr="002C0BDF">
        <w:rPr>
          <w:b/>
        </w:rPr>
        <w:t>article 2</w:t>
      </w:r>
      <w:r w:rsidR="00CF67F5" w:rsidRPr="002C0BDF">
        <w:rPr>
          <w:b/>
        </w:rPr>
        <w:t>,</w:t>
      </w:r>
      <w:r w:rsidR="00867453" w:rsidRPr="002C0BDF">
        <w:rPr>
          <w:b/>
        </w:rPr>
        <w:t xml:space="preserve"> paragraph </w:t>
      </w:r>
      <w:r w:rsidRPr="002C0BDF">
        <w:rPr>
          <w:b/>
        </w:rPr>
        <w:t>2</w:t>
      </w:r>
      <w:r w:rsidR="00CF67F5" w:rsidRPr="002C0BDF">
        <w:rPr>
          <w:b/>
        </w:rPr>
        <w:t>,</w:t>
      </w:r>
      <w:r w:rsidRPr="002C0BDF">
        <w:rPr>
          <w:b/>
        </w:rPr>
        <w:t xml:space="preserve"> of the Co</w:t>
      </w:r>
      <w:r w:rsidR="00867453" w:rsidRPr="002C0BDF">
        <w:rPr>
          <w:b/>
        </w:rPr>
        <w:t xml:space="preserve">venant </w:t>
      </w:r>
      <w:r w:rsidR="00CF67F5" w:rsidRPr="002C0BDF">
        <w:rPr>
          <w:b/>
        </w:rPr>
        <w:t>and</w:t>
      </w:r>
      <w:r w:rsidR="00867453" w:rsidRPr="002C0BDF">
        <w:rPr>
          <w:b/>
        </w:rPr>
        <w:t xml:space="preserve"> with article </w:t>
      </w:r>
      <w:r w:rsidRPr="002C0BDF">
        <w:rPr>
          <w:b/>
        </w:rPr>
        <w:t>14 of its Constitution</w:t>
      </w:r>
      <w:r w:rsidR="00CF67F5" w:rsidRPr="002C0BDF">
        <w:rPr>
          <w:b/>
        </w:rPr>
        <w:t>,</w:t>
      </w:r>
      <w:r w:rsidRPr="002C0BDF">
        <w:rPr>
          <w:b/>
        </w:rPr>
        <w:t xml:space="preserve"> which explicitly prohibit</w:t>
      </w:r>
      <w:r w:rsidR="00804C37" w:rsidRPr="002C0BDF">
        <w:rPr>
          <w:b/>
        </w:rPr>
        <w:t>s discrimination on the basis of</w:t>
      </w:r>
      <w:r w:rsidRPr="002C0BDF">
        <w:rPr>
          <w:b/>
        </w:rPr>
        <w:t xml:space="preserve"> sexual orientation. </w:t>
      </w:r>
      <w:r w:rsidR="009B3565" w:rsidRPr="002C0BDF">
        <w:rPr>
          <w:b/>
        </w:rPr>
        <w:t>The Committee further encourages the Sta</w:t>
      </w:r>
      <w:r w:rsidR="00CD5195" w:rsidRPr="002C0BDF">
        <w:rPr>
          <w:b/>
        </w:rPr>
        <w:t xml:space="preserve">te party </w:t>
      </w:r>
      <w:r w:rsidR="00CF67F5" w:rsidRPr="002C0BDF">
        <w:rPr>
          <w:b/>
        </w:rPr>
        <w:t xml:space="preserve">to </w:t>
      </w:r>
      <w:r w:rsidR="00CD5195" w:rsidRPr="002C0BDF">
        <w:rPr>
          <w:b/>
        </w:rPr>
        <w:t>exped</w:t>
      </w:r>
      <w:r w:rsidR="009B3565" w:rsidRPr="002C0BDF">
        <w:rPr>
          <w:b/>
        </w:rPr>
        <w:t xml:space="preserve">ite the adoption of the </w:t>
      </w:r>
      <w:r w:rsidR="00CD5195" w:rsidRPr="002C0BDF">
        <w:rPr>
          <w:b/>
        </w:rPr>
        <w:t>draft law on same-sex civil partnerships</w:t>
      </w:r>
      <w:r w:rsidR="006B6A76" w:rsidRPr="002C0BDF">
        <w:rPr>
          <w:b/>
        </w:rPr>
        <w:t xml:space="preserve">, as </w:t>
      </w:r>
      <w:r w:rsidR="00CF67F5" w:rsidRPr="002C0BDF">
        <w:rPr>
          <w:b/>
        </w:rPr>
        <w:t xml:space="preserve">announced </w:t>
      </w:r>
      <w:r w:rsidR="006B6A76" w:rsidRPr="002C0BDF">
        <w:rPr>
          <w:b/>
        </w:rPr>
        <w:t>by the State party’s delegation</w:t>
      </w:r>
      <w:r w:rsidR="00CD5195" w:rsidRPr="002C0BDF">
        <w:rPr>
          <w:b/>
        </w:rPr>
        <w:t>.</w:t>
      </w:r>
      <w:r w:rsidR="00D473AB" w:rsidRPr="002C0BDF">
        <w:rPr>
          <w:rStyle w:val="FootnoteReference"/>
          <w:b/>
        </w:rPr>
        <w:t xml:space="preserve"> </w:t>
      </w:r>
      <w:r w:rsidR="0024429A" w:rsidRPr="002C0BDF">
        <w:rPr>
          <w:b/>
        </w:rPr>
        <w:t>The Committee draws the State party’s atten</w:t>
      </w:r>
      <w:r w:rsidR="00867453" w:rsidRPr="002C0BDF">
        <w:rPr>
          <w:b/>
        </w:rPr>
        <w:t>tion to its general comment No. </w:t>
      </w:r>
      <w:r w:rsidR="0024429A" w:rsidRPr="002C0BDF">
        <w:rPr>
          <w:b/>
        </w:rPr>
        <w:t xml:space="preserve">20 (2009) on non-discrimination in economic, social and cultural life. </w:t>
      </w:r>
    </w:p>
    <w:p w:rsidR="00E16825" w:rsidRPr="002C0BDF" w:rsidRDefault="00FD0A87" w:rsidP="00CF67F5">
      <w:pPr>
        <w:pStyle w:val="H23G"/>
      </w:pPr>
      <w:r w:rsidRPr="002C0BDF">
        <w:tab/>
      </w:r>
      <w:r w:rsidRPr="002C0BDF">
        <w:tab/>
      </w:r>
      <w:r w:rsidR="003033A6" w:rsidRPr="002C0BDF">
        <w:t xml:space="preserve">The </w:t>
      </w:r>
      <w:r w:rsidR="00867453" w:rsidRPr="002C0BDF">
        <w:t>“</w:t>
      </w:r>
      <w:r w:rsidR="003033A6" w:rsidRPr="002C0BDF">
        <w:t>Erased</w:t>
      </w:r>
      <w:r w:rsidR="00867453" w:rsidRPr="002C0BDF">
        <w:t>”</w:t>
      </w:r>
      <w:r w:rsidR="003033A6" w:rsidRPr="002C0BDF">
        <w:t xml:space="preserve"> </w:t>
      </w:r>
    </w:p>
    <w:p w:rsidR="007A5436" w:rsidRPr="002C0BDF" w:rsidRDefault="00E4004C" w:rsidP="00C852F7">
      <w:pPr>
        <w:pStyle w:val="SingleTxtG"/>
        <w:numPr>
          <w:ilvl w:val="0"/>
          <w:numId w:val="17"/>
        </w:numPr>
        <w:tabs>
          <w:tab w:val="left" w:pos="1701"/>
        </w:tabs>
        <w:ind w:left="1134" w:firstLine="0"/>
      </w:pPr>
      <w:r w:rsidRPr="002C0BDF">
        <w:t>The</w:t>
      </w:r>
      <w:r w:rsidR="002B3C38" w:rsidRPr="002C0BDF">
        <w:t xml:space="preserve"> Committee is concerned that</w:t>
      </w:r>
      <w:r w:rsidR="00E508E8" w:rsidRPr="002C0BDF">
        <w:t>,</w:t>
      </w:r>
      <w:r w:rsidR="002B3C38" w:rsidRPr="002C0BDF">
        <w:t xml:space="preserve"> </w:t>
      </w:r>
      <w:r w:rsidR="007177CB" w:rsidRPr="002C0BDF">
        <w:t xml:space="preserve">by July 2013, with the expiration of the amended Act Regulating the Legal Status of Citizens of Former Yugoslavia Living in the Republic of Slovenia, </w:t>
      </w:r>
      <w:r w:rsidRPr="002C0BDF">
        <w:t>over 13,000</w:t>
      </w:r>
      <w:r w:rsidR="002B3C38" w:rsidRPr="002C0BDF">
        <w:t xml:space="preserve"> of the </w:t>
      </w:r>
      <w:r w:rsidR="002609C3" w:rsidRPr="002C0BDF">
        <w:t>“</w:t>
      </w:r>
      <w:r w:rsidR="00A92ACE" w:rsidRPr="002C0BDF">
        <w:t>e</w:t>
      </w:r>
      <w:r w:rsidRPr="002C0BDF">
        <w:t>rased</w:t>
      </w:r>
      <w:r w:rsidR="002609C3" w:rsidRPr="002C0BDF">
        <w:t>”</w:t>
      </w:r>
      <w:r w:rsidR="006B6A76" w:rsidRPr="002C0BDF">
        <w:t xml:space="preserve"> have not yet </w:t>
      </w:r>
      <w:r w:rsidR="00A545AD" w:rsidRPr="002C0BDF">
        <w:t xml:space="preserve">been able to </w:t>
      </w:r>
      <w:r w:rsidR="006B6A76" w:rsidRPr="002C0BDF">
        <w:t>restor</w:t>
      </w:r>
      <w:r w:rsidR="0024429A" w:rsidRPr="002C0BDF">
        <w:t>e</w:t>
      </w:r>
      <w:r w:rsidR="006B6A76" w:rsidRPr="002C0BDF">
        <w:t xml:space="preserve"> their permanent residence </w:t>
      </w:r>
      <w:r w:rsidR="00E508E8" w:rsidRPr="002C0BDF">
        <w:t xml:space="preserve">status </w:t>
      </w:r>
      <w:r w:rsidR="006B6A76" w:rsidRPr="002C0BDF">
        <w:t>in the State party</w:t>
      </w:r>
      <w:r w:rsidRPr="002C0BDF">
        <w:t>. The Committee is concerned that</w:t>
      </w:r>
      <w:r w:rsidR="00E508E8" w:rsidRPr="002C0BDF">
        <w:t>,</w:t>
      </w:r>
      <w:r w:rsidRPr="002C0BDF">
        <w:t xml:space="preserve"> </w:t>
      </w:r>
      <w:r w:rsidR="007177CB" w:rsidRPr="002C0BDF">
        <w:t xml:space="preserve">after the expiration of the amended Act, </w:t>
      </w:r>
      <w:r w:rsidRPr="002C0BDF">
        <w:t>ma</w:t>
      </w:r>
      <w:r w:rsidR="002B3C38" w:rsidRPr="002C0BDF">
        <w:t>ny such persons remained with no</w:t>
      </w:r>
      <w:r w:rsidRPr="002C0BDF">
        <w:t xml:space="preserve"> legal </w:t>
      </w:r>
      <w:r w:rsidR="00E508E8" w:rsidRPr="002C0BDF">
        <w:t>a</w:t>
      </w:r>
      <w:r w:rsidRPr="002C0BDF">
        <w:t xml:space="preserve">venues </w:t>
      </w:r>
      <w:r w:rsidR="00E508E8" w:rsidRPr="002C0BDF">
        <w:t xml:space="preserve">for </w:t>
      </w:r>
      <w:r w:rsidR="00F250E3" w:rsidRPr="002C0BDF">
        <w:t>restor</w:t>
      </w:r>
      <w:r w:rsidR="00E508E8" w:rsidRPr="002C0BDF">
        <w:t>ing</w:t>
      </w:r>
      <w:r w:rsidR="00F250E3" w:rsidRPr="002C0BDF">
        <w:t xml:space="preserve"> their </w:t>
      </w:r>
      <w:r w:rsidR="00804C37" w:rsidRPr="002C0BDF">
        <w:t xml:space="preserve">permanent </w:t>
      </w:r>
      <w:r w:rsidR="00F250E3" w:rsidRPr="002C0BDF">
        <w:t>residence</w:t>
      </w:r>
      <w:r w:rsidR="00E508E8" w:rsidRPr="002C0BDF">
        <w:t xml:space="preserve"> status</w:t>
      </w:r>
      <w:r w:rsidRPr="002C0BDF">
        <w:t>.</w:t>
      </w:r>
      <w:r w:rsidR="00D473AB" w:rsidRPr="002C0BDF">
        <w:rPr>
          <w:rStyle w:val="FootnoteReference"/>
        </w:rPr>
        <w:t xml:space="preserve"> </w:t>
      </w:r>
      <w:r w:rsidRPr="002C0BDF">
        <w:t xml:space="preserve">The Committee is further concerned that the </w:t>
      </w:r>
      <w:r w:rsidR="00346EC8" w:rsidRPr="002C0BDF">
        <w:t xml:space="preserve">(2013) </w:t>
      </w:r>
      <w:r w:rsidR="007A5436" w:rsidRPr="002C0BDF">
        <w:t xml:space="preserve">Act Regulating Compensation for Damage to Persons Erased from the Permanent Population </w:t>
      </w:r>
      <w:r w:rsidR="00E508E8" w:rsidRPr="002C0BDF">
        <w:t xml:space="preserve">Register </w:t>
      </w:r>
      <w:r w:rsidR="007A5436" w:rsidRPr="002C0BDF">
        <w:t xml:space="preserve">(Compensation Act) </w:t>
      </w:r>
      <w:r w:rsidR="00A92ACE" w:rsidRPr="002C0BDF">
        <w:t xml:space="preserve">excludes those who have not obtained legal status in the State party, and </w:t>
      </w:r>
      <w:r w:rsidR="007A5436" w:rsidRPr="002C0BDF">
        <w:t xml:space="preserve">provides for </w:t>
      </w:r>
      <w:r w:rsidR="00C852F7" w:rsidRPr="002C0BDF">
        <w:t xml:space="preserve">inadequate </w:t>
      </w:r>
      <w:r w:rsidR="007A5436" w:rsidRPr="002C0BDF">
        <w:t xml:space="preserve">financial compensation </w:t>
      </w:r>
      <w:r w:rsidR="005E13AC" w:rsidRPr="002C0BDF">
        <w:t>(art</w:t>
      </w:r>
      <w:r w:rsidR="007A5436" w:rsidRPr="002C0BDF">
        <w:t>.</w:t>
      </w:r>
      <w:r w:rsidR="00867453" w:rsidRPr="002C0BDF">
        <w:t> </w:t>
      </w:r>
      <w:r w:rsidR="005E13AC" w:rsidRPr="002C0BDF">
        <w:t>2</w:t>
      </w:r>
      <w:r w:rsidR="00E508E8" w:rsidRPr="002C0BDF">
        <w:t xml:space="preserve">, para. </w:t>
      </w:r>
      <w:r w:rsidR="005E13AC" w:rsidRPr="002C0BDF">
        <w:t>2)</w:t>
      </w:r>
      <w:r w:rsidR="002609C3" w:rsidRPr="002C0BDF">
        <w:t>.</w:t>
      </w:r>
    </w:p>
    <w:p w:rsidR="00E16825" w:rsidRPr="002C0BDF" w:rsidRDefault="007A5436" w:rsidP="00C852F7">
      <w:pPr>
        <w:pStyle w:val="SingleTxtG"/>
        <w:tabs>
          <w:tab w:val="left" w:pos="1701"/>
        </w:tabs>
      </w:pPr>
      <w:r w:rsidRPr="002C0BDF">
        <w:rPr>
          <w:b/>
        </w:rPr>
        <w:t xml:space="preserve">The Committee recommends that the State party </w:t>
      </w:r>
      <w:r w:rsidR="00C852F7" w:rsidRPr="002C0BDF">
        <w:rPr>
          <w:b/>
        </w:rPr>
        <w:t xml:space="preserve">step up </w:t>
      </w:r>
      <w:r w:rsidRPr="002C0BDF">
        <w:rPr>
          <w:b/>
        </w:rPr>
        <w:t xml:space="preserve">its efforts to </w:t>
      </w:r>
      <w:r w:rsidR="00BC412E" w:rsidRPr="002C0BDF">
        <w:rPr>
          <w:b/>
        </w:rPr>
        <w:t xml:space="preserve">restore the rights of the </w:t>
      </w:r>
      <w:r w:rsidR="002609C3" w:rsidRPr="002C0BDF">
        <w:rPr>
          <w:b/>
        </w:rPr>
        <w:t>“</w:t>
      </w:r>
      <w:r w:rsidR="00BC412E" w:rsidRPr="002C0BDF">
        <w:rPr>
          <w:b/>
        </w:rPr>
        <w:t>erased</w:t>
      </w:r>
      <w:r w:rsidR="002609C3" w:rsidRPr="002C0BDF">
        <w:rPr>
          <w:b/>
        </w:rPr>
        <w:t>”</w:t>
      </w:r>
      <w:r w:rsidR="00C852F7" w:rsidRPr="002C0BDF">
        <w:rPr>
          <w:b/>
        </w:rPr>
        <w:t>,</w:t>
      </w:r>
      <w:r w:rsidR="00BC412E" w:rsidRPr="002C0BDF">
        <w:rPr>
          <w:b/>
        </w:rPr>
        <w:t xml:space="preserve"> including by </w:t>
      </w:r>
      <w:r w:rsidRPr="002C0BDF">
        <w:rPr>
          <w:b/>
        </w:rPr>
        <w:t>regulat</w:t>
      </w:r>
      <w:r w:rsidR="00BC412E" w:rsidRPr="002C0BDF">
        <w:rPr>
          <w:b/>
        </w:rPr>
        <w:t>ing</w:t>
      </w:r>
      <w:r w:rsidRPr="002C0BDF">
        <w:rPr>
          <w:b/>
        </w:rPr>
        <w:t xml:space="preserve"> the</w:t>
      </w:r>
      <w:r w:rsidR="00BC412E" w:rsidRPr="002C0BDF">
        <w:rPr>
          <w:b/>
        </w:rPr>
        <w:t>ir</w:t>
      </w:r>
      <w:r w:rsidRPr="002C0BDF">
        <w:rPr>
          <w:b/>
        </w:rPr>
        <w:t xml:space="preserve"> legal status</w:t>
      </w:r>
      <w:r w:rsidR="00102A22" w:rsidRPr="002C0BDF">
        <w:rPr>
          <w:b/>
        </w:rPr>
        <w:t xml:space="preserve"> </w:t>
      </w:r>
      <w:r w:rsidRPr="002C0BDF">
        <w:rPr>
          <w:b/>
        </w:rPr>
        <w:t>and enabl</w:t>
      </w:r>
      <w:r w:rsidR="00102A22" w:rsidRPr="002C0BDF">
        <w:rPr>
          <w:b/>
        </w:rPr>
        <w:t>ing</w:t>
      </w:r>
      <w:r w:rsidRPr="002C0BDF">
        <w:rPr>
          <w:b/>
        </w:rPr>
        <w:t xml:space="preserve"> them to be reunited with their families. The State party is also encouraged to revise the Compensation Act with a view to</w:t>
      </w:r>
      <w:r w:rsidR="00A92ACE" w:rsidRPr="002C0BDF">
        <w:rPr>
          <w:b/>
        </w:rPr>
        <w:t xml:space="preserve"> ensuring that </w:t>
      </w:r>
      <w:r w:rsidR="00D251AA" w:rsidRPr="002C0BDF">
        <w:rPr>
          <w:b/>
        </w:rPr>
        <w:t>all</w:t>
      </w:r>
      <w:r w:rsidR="00D251AA" w:rsidRPr="002C0BDF">
        <w:rPr>
          <w:b/>
          <w:i/>
        </w:rPr>
        <w:t xml:space="preserve"> </w:t>
      </w:r>
      <w:r w:rsidR="002609C3" w:rsidRPr="002C0BDF">
        <w:rPr>
          <w:b/>
        </w:rPr>
        <w:t>“</w:t>
      </w:r>
      <w:r w:rsidR="00D251AA" w:rsidRPr="002C0BDF">
        <w:rPr>
          <w:b/>
        </w:rPr>
        <w:t>erased</w:t>
      </w:r>
      <w:r w:rsidR="002609C3" w:rsidRPr="002C0BDF">
        <w:rPr>
          <w:b/>
        </w:rPr>
        <w:t>”</w:t>
      </w:r>
      <w:r w:rsidR="00A92ACE" w:rsidRPr="002C0BDF">
        <w:rPr>
          <w:b/>
        </w:rPr>
        <w:t xml:space="preserve"> </w:t>
      </w:r>
      <w:r w:rsidR="00D251AA" w:rsidRPr="002C0BDF">
        <w:rPr>
          <w:b/>
        </w:rPr>
        <w:t xml:space="preserve">persons </w:t>
      </w:r>
      <w:r w:rsidR="00A92ACE" w:rsidRPr="002C0BDF">
        <w:rPr>
          <w:b/>
        </w:rPr>
        <w:t xml:space="preserve">can claim compensation under </w:t>
      </w:r>
      <w:r w:rsidR="00C852F7" w:rsidRPr="002C0BDF">
        <w:rPr>
          <w:b/>
        </w:rPr>
        <w:t xml:space="preserve">the </w:t>
      </w:r>
      <w:r w:rsidR="00A92ACE" w:rsidRPr="002C0BDF">
        <w:rPr>
          <w:b/>
        </w:rPr>
        <w:t xml:space="preserve">Act without discrimination, </w:t>
      </w:r>
      <w:r w:rsidR="0024429A" w:rsidRPr="002C0BDF">
        <w:rPr>
          <w:b/>
        </w:rPr>
        <w:t>and</w:t>
      </w:r>
      <w:r w:rsidRPr="002C0BDF">
        <w:rPr>
          <w:b/>
        </w:rPr>
        <w:t xml:space="preserve"> </w:t>
      </w:r>
      <w:r w:rsidR="00C852F7" w:rsidRPr="002C0BDF">
        <w:rPr>
          <w:b/>
        </w:rPr>
        <w:t xml:space="preserve">to </w:t>
      </w:r>
      <w:r w:rsidRPr="002C0BDF">
        <w:rPr>
          <w:b/>
        </w:rPr>
        <w:t>rais</w:t>
      </w:r>
      <w:r w:rsidR="00C852F7" w:rsidRPr="002C0BDF">
        <w:rPr>
          <w:b/>
        </w:rPr>
        <w:t>e</w:t>
      </w:r>
      <w:r w:rsidRPr="002C0BDF">
        <w:rPr>
          <w:b/>
        </w:rPr>
        <w:t xml:space="preserve"> the amount of compensation.</w:t>
      </w:r>
      <w:r w:rsidR="00D473AB" w:rsidRPr="002C0BDF">
        <w:rPr>
          <w:b/>
        </w:rPr>
        <w:t xml:space="preserve"> </w:t>
      </w:r>
    </w:p>
    <w:p w:rsidR="00E16825" w:rsidRPr="002C0BDF" w:rsidRDefault="00FD0A87" w:rsidP="00FD0A87">
      <w:pPr>
        <w:pStyle w:val="H23G"/>
      </w:pPr>
      <w:r w:rsidRPr="002C0BDF">
        <w:tab/>
      </w:r>
      <w:r w:rsidRPr="002C0BDF">
        <w:tab/>
      </w:r>
      <w:r w:rsidR="00E16825" w:rsidRPr="002C0BDF">
        <w:t xml:space="preserve">Equality between men and women </w:t>
      </w:r>
    </w:p>
    <w:p w:rsidR="002B0D5B" w:rsidRPr="002C0BDF" w:rsidRDefault="00640EB7" w:rsidP="0081145B">
      <w:pPr>
        <w:pStyle w:val="SingleTxtG"/>
        <w:numPr>
          <w:ilvl w:val="0"/>
          <w:numId w:val="17"/>
        </w:numPr>
        <w:tabs>
          <w:tab w:val="left" w:pos="1701"/>
        </w:tabs>
        <w:ind w:left="1134" w:firstLine="0"/>
      </w:pPr>
      <w:r w:rsidRPr="002C0BDF">
        <w:t xml:space="preserve">The Committee is </w:t>
      </w:r>
      <w:r w:rsidR="002B0D5B" w:rsidRPr="002C0BDF">
        <w:t>concerned that austerity measures</w:t>
      </w:r>
      <w:r w:rsidR="00DF7EC4" w:rsidRPr="002C0BDF">
        <w:t xml:space="preserve">, in particular the reduction in family allowance, </w:t>
      </w:r>
      <w:r w:rsidR="00E8726E" w:rsidRPr="002C0BDF">
        <w:t xml:space="preserve">have </w:t>
      </w:r>
      <w:r w:rsidR="002B0D5B" w:rsidRPr="002C0BDF">
        <w:t xml:space="preserve">had </w:t>
      </w:r>
      <w:r w:rsidR="00260676" w:rsidRPr="002C0BDF">
        <w:t xml:space="preserve">a </w:t>
      </w:r>
      <w:r w:rsidR="002B0D5B" w:rsidRPr="002C0BDF">
        <w:t>disproportionate effect on women, and that women</w:t>
      </w:r>
      <w:r w:rsidR="00C852F7" w:rsidRPr="002C0BDF">
        <w:t>, particularly those with higher education,</w:t>
      </w:r>
      <w:r w:rsidR="002B0D5B" w:rsidRPr="002C0BDF">
        <w:t xml:space="preserve"> are at </w:t>
      </w:r>
      <w:r w:rsidR="00757602" w:rsidRPr="002C0BDF">
        <w:t xml:space="preserve">a </w:t>
      </w:r>
      <w:r w:rsidR="00C852F7" w:rsidRPr="002C0BDF">
        <w:t xml:space="preserve">greater </w:t>
      </w:r>
      <w:r w:rsidR="002B0D5B" w:rsidRPr="002C0BDF">
        <w:t>risk of poverty and more likely to be unemployed. The Committee is further concerned about the weak institutional framewor</w:t>
      </w:r>
      <w:r w:rsidR="006F46AD" w:rsidRPr="002C0BDF">
        <w:t xml:space="preserve">k for the promotion of equality, and regrets the limited information provided on the implementation of the Equal Opportunities </w:t>
      </w:r>
      <w:r w:rsidR="004826DD" w:rsidRPr="002C0BDF">
        <w:t>Between Men and Women</w:t>
      </w:r>
      <w:r w:rsidR="00302797" w:rsidRPr="002C0BDF">
        <w:t xml:space="preserve"> </w:t>
      </w:r>
      <w:r w:rsidR="004826DD" w:rsidRPr="002C0BDF">
        <w:t xml:space="preserve">Act </w:t>
      </w:r>
      <w:r w:rsidR="00867453" w:rsidRPr="002C0BDF">
        <w:t>(arts. </w:t>
      </w:r>
      <w:r w:rsidR="00BA3AA6" w:rsidRPr="002C0BDF">
        <w:t>3 and</w:t>
      </w:r>
      <w:r w:rsidR="0081145B" w:rsidRPr="002C0BDF">
        <w:t> </w:t>
      </w:r>
      <w:r w:rsidR="00BA3AA6" w:rsidRPr="002C0BDF">
        <w:t>6)</w:t>
      </w:r>
      <w:r w:rsidR="00203274" w:rsidRPr="002C0BDF">
        <w:t>.</w:t>
      </w:r>
    </w:p>
    <w:p w:rsidR="004826DD" w:rsidRPr="002C0BDF" w:rsidRDefault="002C4AC3" w:rsidP="002C4AC3">
      <w:pPr>
        <w:pStyle w:val="SingleTxtG"/>
        <w:rPr>
          <w:b/>
        </w:rPr>
      </w:pPr>
      <w:r w:rsidRPr="002C0BDF">
        <w:rPr>
          <w:b/>
          <w:bCs/>
        </w:rPr>
        <w:t xml:space="preserve">Taking into account the </w:t>
      </w:r>
      <w:r w:rsidR="00867453" w:rsidRPr="002C0BDF">
        <w:rPr>
          <w:b/>
          <w:bCs/>
        </w:rPr>
        <w:t>Committee’s general comment No. </w:t>
      </w:r>
      <w:r w:rsidRPr="002C0BDF">
        <w:rPr>
          <w:b/>
          <w:bCs/>
        </w:rPr>
        <w:t>16 (2005) on the equal right</w:t>
      </w:r>
      <w:r w:rsidR="00D251AA" w:rsidRPr="002C0BDF">
        <w:rPr>
          <w:b/>
          <w:bCs/>
        </w:rPr>
        <w:t>s</w:t>
      </w:r>
      <w:r w:rsidRPr="002C0BDF">
        <w:rPr>
          <w:b/>
          <w:bCs/>
        </w:rPr>
        <w:t xml:space="preserve"> of men and women to the enjoyment of all economic, social and cultural rights, </w:t>
      </w:r>
      <w:r w:rsidRPr="002C0BDF">
        <w:rPr>
          <w:b/>
        </w:rPr>
        <w:t>t</w:t>
      </w:r>
      <w:r w:rsidR="002B0D5B" w:rsidRPr="002C0BDF">
        <w:rPr>
          <w:b/>
        </w:rPr>
        <w:t>he Committee recommends that the State party</w:t>
      </w:r>
      <w:r w:rsidR="00885032" w:rsidRPr="002C0BDF">
        <w:rPr>
          <w:b/>
        </w:rPr>
        <w:t>:</w:t>
      </w:r>
      <w:r w:rsidR="002B0D5B" w:rsidRPr="002C0BDF">
        <w:rPr>
          <w:b/>
        </w:rPr>
        <w:t xml:space="preserve"> </w:t>
      </w:r>
    </w:p>
    <w:p w:rsidR="004826DD" w:rsidRPr="002C0BDF" w:rsidRDefault="00E72895" w:rsidP="00BB63E6">
      <w:pPr>
        <w:pStyle w:val="SingleTxtG"/>
        <w:ind w:firstLine="567"/>
        <w:rPr>
          <w:b/>
        </w:rPr>
      </w:pPr>
      <w:r w:rsidRPr="002C0BDF">
        <w:rPr>
          <w:b/>
        </w:rPr>
        <w:t>(a)</w:t>
      </w:r>
      <w:r w:rsidRPr="002C0BDF">
        <w:rPr>
          <w:b/>
        </w:rPr>
        <w:tab/>
      </w:r>
      <w:r w:rsidR="004826DD" w:rsidRPr="002C0BDF">
        <w:rPr>
          <w:b/>
        </w:rPr>
        <w:t>I</w:t>
      </w:r>
      <w:r w:rsidR="002B0D5B" w:rsidRPr="002C0BDF">
        <w:rPr>
          <w:b/>
        </w:rPr>
        <w:t>ntegrate a gender perspective in</w:t>
      </w:r>
      <w:r w:rsidR="00BB63E6" w:rsidRPr="002C0BDF">
        <w:rPr>
          <w:b/>
        </w:rPr>
        <w:t>to</w:t>
      </w:r>
      <w:r w:rsidR="002B0D5B" w:rsidRPr="002C0BDF">
        <w:rPr>
          <w:b/>
        </w:rPr>
        <w:t xml:space="preserve"> all its austerity measures with a view to ensuring </w:t>
      </w:r>
      <w:r w:rsidR="00AB2E77" w:rsidRPr="002C0BDF">
        <w:rPr>
          <w:b/>
        </w:rPr>
        <w:t xml:space="preserve">respect </w:t>
      </w:r>
      <w:r w:rsidR="00BB63E6" w:rsidRPr="002C0BDF">
        <w:rPr>
          <w:b/>
        </w:rPr>
        <w:t xml:space="preserve">for </w:t>
      </w:r>
      <w:r w:rsidR="00AB2E77" w:rsidRPr="002C0BDF">
        <w:rPr>
          <w:b/>
        </w:rPr>
        <w:t>women’s rights under the Covenant</w:t>
      </w:r>
      <w:r w:rsidR="0066200E" w:rsidRPr="002C0BDF">
        <w:rPr>
          <w:b/>
        </w:rPr>
        <w:t xml:space="preserve"> u</w:t>
      </w:r>
      <w:r w:rsidR="002B3C38" w:rsidRPr="002C0BDF">
        <w:rPr>
          <w:b/>
        </w:rPr>
        <w:t>n</w:t>
      </w:r>
      <w:r w:rsidR="0066200E" w:rsidRPr="002C0BDF">
        <w:rPr>
          <w:b/>
        </w:rPr>
        <w:t>der</w:t>
      </w:r>
      <w:r w:rsidR="002B3C38" w:rsidRPr="002C0BDF">
        <w:rPr>
          <w:b/>
        </w:rPr>
        <w:t xml:space="preserve"> all circumstances</w:t>
      </w:r>
      <w:r w:rsidR="004826DD" w:rsidRPr="002C0BDF">
        <w:rPr>
          <w:b/>
        </w:rPr>
        <w:t>;</w:t>
      </w:r>
    </w:p>
    <w:p w:rsidR="004826DD" w:rsidRPr="002C0BDF" w:rsidRDefault="00E72895" w:rsidP="00867453">
      <w:pPr>
        <w:pStyle w:val="SingleTxtG"/>
        <w:ind w:firstLine="567"/>
        <w:rPr>
          <w:b/>
          <w:bCs/>
          <w:lang w:val="en-US"/>
        </w:rPr>
      </w:pPr>
      <w:r w:rsidRPr="002C0BDF">
        <w:rPr>
          <w:b/>
        </w:rPr>
        <w:t>(b)</w:t>
      </w:r>
      <w:r w:rsidRPr="002C0BDF">
        <w:rPr>
          <w:b/>
        </w:rPr>
        <w:tab/>
      </w:r>
      <w:r w:rsidR="004826DD" w:rsidRPr="002C0BDF">
        <w:rPr>
          <w:b/>
        </w:rPr>
        <w:t>T</w:t>
      </w:r>
      <w:r w:rsidR="00AB2E77" w:rsidRPr="002C0BDF">
        <w:rPr>
          <w:b/>
        </w:rPr>
        <w:t>ake effective measures to prevent women</w:t>
      </w:r>
      <w:r w:rsidR="00C57E56" w:rsidRPr="002C0BDF">
        <w:rPr>
          <w:b/>
        </w:rPr>
        <w:t>’s</w:t>
      </w:r>
      <w:r w:rsidR="00AB2E77" w:rsidRPr="002C0BDF">
        <w:rPr>
          <w:b/>
        </w:rPr>
        <w:t xml:space="preserve"> unemployment</w:t>
      </w:r>
      <w:r w:rsidR="00BB63E6" w:rsidRPr="002C0BDF">
        <w:rPr>
          <w:b/>
        </w:rPr>
        <w:t>,</w:t>
      </w:r>
      <w:r w:rsidR="00102A22" w:rsidRPr="002C0BDF">
        <w:rPr>
          <w:b/>
        </w:rPr>
        <w:t xml:space="preserve"> especially among those with higher education</w:t>
      </w:r>
      <w:r w:rsidR="00BB63E6" w:rsidRPr="002C0BDF">
        <w:rPr>
          <w:b/>
        </w:rPr>
        <w:t>,</w:t>
      </w:r>
      <w:r w:rsidR="00AB2E77" w:rsidRPr="002C0BDF">
        <w:rPr>
          <w:b/>
        </w:rPr>
        <w:t xml:space="preserve"> </w:t>
      </w:r>
      <w:r w:rsidR="00AB2E77" w:rsidRPr="002C0BDF">
        <w:rPr>
          <w:b/>
          <w:bCs/>
          <w:lang w:val="en-US"/>
        </w:rPr>
        <w:t>including by introducing temporary special measures with a specific target and timelin</w:t>
      </w:r>
      <w:r w:rsidR="004826DD" w:rsidRPr="002C0BDF">
        <w:rPr>
          <w:b/>
          <w:bCs/>
          <w:lang w:val="en-US"/>
        </w:rPr>
        <w:t>e;</w:t>
      </w:r>
    </w:p>
    <w:p w:rsidR="004826DD" w:rsidRPr="002C0BDF" w:rsidRDefault="00E72895" w:rsidP="000D6B52">
      <w:pPr>
        <w:pStyle w:val="SingleTxtG"/>
        <w:ind w:firstLine="567"/>
        <w:rPr>
          <w:b/>
          <w:bCs/>
          <w:lang w:val="en-US"/>
        </w:rPr>
      </w:pPr>
      <w:r w:rsidRPr="002C0BDF">
        <w:rPr>
          <w:b/>
          <w:bCs/>
          <w:lang w:val="en-US"/>
        </w:rPr>
        <w:t>(c)</w:t>
      </w:r>
      <w:r w:rsidRPr="002C0BDF">
        <w:rPr>
          <w:b/>
          <w:bCs/>
          <w:lang w:val="en-US"/>
        </w:rPr>
        <w:tab/>
      </w:r>
      <w:r w:rsidR="004826DD" w:rsidRPr="002C0BDF">
        <w:rPr>
          <w:b/>
          <w:bCs/>
          <w:lang w:val="en-US"/>
        </w:rPr>
        <w:t>S</w:t>
      </w:r>
      <w:r w:rsidR="00AB2E77" w:rsidRPr="002C0BDF">
        <w:rPr>
          <w:b/>
          <w:bCs/>
          <w:lang w:val="en-US"/>
        </w:rPr>
        <w:t>trengthen the resources allocated to the Equal Opportunities and European Co-ordination</w:t>
      </w:r>
      <w:r w:rsidR="000D6B52" w:rsidRPr="002C0BDF">
        <w:rPr>
          <w:b/>
          <w:bCs/>
          <w:lang w:val="en-US"/>
        </w:rPr>
        <w:t xml:space="preserve"> Service</w:t>
      </w:r>
      <w:r w:rsidR="00AB2E77" w:rsidRPr="002C0BDF">
        <w:rPr>
          <w:b/>
          <w:bCs/>
          <w:lang w:val="en-US"/>
        </w:rPr>
        <w:t>, and expedite the adoption of the na</w:t>
      </w:r>
      <w:r w:rsidR="004826DD" w:rsidRPr="002C0BDF">
        <w:rPr>
          <w:b/>
          <w:bCs/>
          <w:lang w:val="en-US"/>
        </w:rPr>
        <w:t xml:space="preserve">tional gender equality strategy; </w:t>
      </w:r>
    </w:p>
    <w:p w:rsidR="00E16825" w:rsidRPr="002C0BDF" w:rsidRDefault="00E72895" w:rsidP="00867453">
      <w:pPr>
        <w:pStyle w:val="SingleTxtG"/>
        <w:ind w:firstLine="567"/>
        <w:rPr>
          <w:b/>
          <w:bCs/>
        </w:rPr>
      </w:pPr>
      <w:r w:rsidRPr="002C0BDF">
        <w:rPr>
          <w:b/>
          <w:bCs/>
          <w:lang w:val="en-US"/>
        </w:rPr>
        <w:t>(d)</w:t>
      </w:r>
      <w:r w:rsidRPr="002C0BDF">
        <w:rPr>
          <w:b/>
          <w:bCs/>
          <w:lang w:val="en-US"/>
        </w:rPr>
        <w:tab/>
      </w:r>
      <w:r w:rsidR="004826DD" w:rsidRPr="002C0BDF">
        <w:rPr>
          <w:b/>
          <w:bCs/>
          <w:lang w:val="en-US"/>
        </w:rPr>
        <w:t xml:space="preserve">Effectively implement the Equal Opportunities </w:t>
      </w:r>
      <w:r w:rsidR="00885032" w:rsidRPr="002C0BDF">
        <w:rPr>
          <w:b/>
          <w:bCs/>
          <w:lang w:val="en-US"/>
        </w:rPr>
        <w:t>b</w:t>
      </w:r>
      <w:r w:rsidR="004826DD" w:rsidRPr="002C0BDF">
        <w:rPr>
          <w:b/>
          <w:bCs/>
          <w:lang w:val="en-US"/>
        </w:rPr>
        <w:t>etween Men and Women Act and provide information on such measures in its next periodic report.</w:t>
      </w:r>
      <w:r w:rsidR="00AB2E77" w:rsidRPr="002C0BDF">
        <w:rPr>
          <w:b/>
          <w:bCs/>
          <w:lang w:val="en-US"/>
        </w:rPr>
        <w:t xml:space="preserve"> </w:t>
      </w:r>
    </w:p>
    <w:p w:rsidR="00E16825" w:rsidRPr="002C0BDF" w:rsidRDefault="00FD0A87" w:rsidP="00FD0A87">
      <w:pPr>
        <w:pStyle w:val="H23G"/>
      </w:pPr>
      <w:r w:rsidRPr="002C0BDF">
        <w:tab/>
      </w:r>
      <w:r w:rsidRPr="002C0BDF">
        <w:tab/>
      </w:r>
      <w:r w:rsidR="00E16825" w:rsidRPr="002C0BDF">
        <w:t xml:space="preserve">Labour Inspectorate </w:t>
      </w:r>
    </w:p>
    <w:p w:rsidR="00CF407C" w:rsidRPr="002C0BDF" w:rsidRDefault="00CF407C" w:rsidP="00E16825">
      <w:pPr>
        <w:pStyle w:val="SingleTxtG"/>
        <w:numPr>
          <w:ilvl w:val="0"/>
          <w:numId w:val="17"/>
        </w:numPr>
        <w:tabs>
          <w:tab w:val="left" w:pos="1701"/>
        </w:tabs>
        <w:ind w:left="1134" w:firstLine="0"/>
      </w:pPr>
      <w:r w:rsidRPr="002C0BDF">
        <w:t xml:space="preserve">The Committee is concerned about the weak functioning </w:t>
      </w:r>
      <w:r w:rsidR="003F3E05" w:rsidRPr="002C0BDF">
        <w:t xml:space="preserve">and limited human resources </w:t>
      </w:r>
      <w:r w:rsidRPr="002C0BDF">
        <w:t>of the labour inspectorate in the Sta</w:t>
      </w:r>
      <w:r w:rsidR="00885032" w:rsidRPr="002C0BDF">
        <w:t>te party</w:t>
      </w:r>
      <w:r w:rsidR="003F3E05" w:rsidRPr="002C0BDF">
        <w:t>. The Committee is also</w:t>
      </w:r>
      <w:r w:rsidRPr="002C0BDF">
        <w:t xml:space="preserve"> concerned that labour law violations are on the rise and that access to justice </w:t>
      </w:r>
      <w:r w:rsidR="00885032" w:rsidRPr="002C0BDF">
        <w:t>in labour disputes</w:t>
      </w:r>
      <w:r w:rsidR="00A15B72" w:rsidRPr="002C0BDF">
        <w:t xml:space="preserve"> </w:t>
      </w:r>
      <w:r w:rsidR="00867453" w:rsidRPr="002C0BDF">
        <w:t>is limited (art. </w:t>
      </w:r>
      <w:r w:rsidRPr="002C0BDF">
        <w:t>7)</w:t>
      </w:r>
      <w:r w:rsidR="005E6992" w:rsidRPr="002C0BDF">
        <w:t>.</w:t>
      </w:r>
      <w:r w:rsidR="00BA3AA6" w:rsidRPr="002C0BDF">
        <w:t xml:space="preserve"> </w:t>
      </w:r>
    </w:p>
    <w:p w:rsidR="0066200E" w:rsidRPr="002C0BDF" w:rsidRDefault="00CF407C" w:rsidP="003966F8">
      <w:pPr>
        <w:pStyle w:val="SingleTxtG"/>
        <w:tabs>
          <w:tab w:val="left" w:pos="1701"/>
        </w:tabs>
        <w:rPr>
          <w:b/>
        </w:rPr>
      </w:pPr>
      <w:r w:rsidRPr="002C0BDF">
        <w:rPr>
          <w:b/>
        </w:rPr>
        <w:t xml:space="preserve">The Committee recommends </w:t>
      </w:r>
      <w:r w:rsidR="008362A7" w:rsidRPr="002C0BDF">
        <w:rPr>
          <w:b/>
        </w:rPr>
        <w:t xml:space="preserve">that </w:t>
      </w:r>
      <w:r w:rsidRPr="002C0BDF">
        <w:rPr>
          <w:b/>
        </w:rPr>
        <w:t>the State</w:t>
      </w:r>
      <w:r w:rsidR="008362A7" w:rsidRPr="002C0BDF">
        <w:rPr>
          <w:b/>
        </w:rPr>
        <w:t xml:space="preserve"> party</w:t>
      </w:r>
      <w:r w:rsidRPr="002C0BDF">
        <w:rPr>
          <w:b/>
        </w:rPr>
        <w:t xml:space="preserve"> strengthen the capacity of </w:t>
      </w:r>
      <w:r w:rsidR="00914D2C" w:rsidRPr="002C0BDF">
        <w:rPr>
          <w:b/>
        </w:rPr>
        <w:t xml:space="preserve">the </w:t>
      </w:r>
      <w:r w:rsidRPr="002C0BDF">
        <w:rPr>
          <w:b/>
        </w:rPr>
        <w:t>labour inspectorate</w:t>
      </w:r>
      <w:r w:rsidR="008362A7" w:rsidRPr="002C0BDF">
        <w:rPr>
          <w:b/>
        </w:rPr>
        <w:t xml:space="preserve"> with a view to ensuring</w:t>
      </w:r>
      <w:r w:rsidRPr="002C0BDF">
        <w:rPr>
          <w:b/>
        </w:rPr>
        <w:t xml:space="preserve"> that labour law violations are accounted for and </w:t>
      </w:r>
      <w:r w:rsidR="008362A7" w:rsidRPr="002C0BDF">
        <w:rPr>
          <w:b/>
        </w:rPr>
        <w:t xml:space="preserve">that </w:t>
      </w:r>
      <w:r w:rsidRPr="002C0BDF">
        <w:rPr>
          <w:b/>
        </w:rPr>
        <w:t xml:space="preserve">perpetrators </w:t>
      </w:r>
      <w:r w:rsidR="008362A7" w:rsidRPr="002C0BDF">
        <w:rPr>
          <w:b/>
        </w:rPr>
        <w:t xml:space="preserve">are </w:t>
      </w:r>
      <w:r w:rsidRPr="002C0BDF">
        <w:rPr>
          <w:b/>
        </w:rPr>
        <w:t>brought to justice. The Committee furthe</w:t>
      </w:r>
      <w:r w:rsidR="00957B47" w:rsidRPr="002C0BDF">
        <w:rPr>
          <w:b/>
        </w:rPr>
        <w:t xml:space="preserve">r recommends </w:t>
      </w:r>
      <w:r w:rsidR="00A15B72" w:rsidRPr="002C0BDF">
        <w:rPr>
          <w:b/>
        </w:rPr>
        <w:t>that the State party</w:t>
      </w:r>
      <w:r w:rsidR="008362A7" w:rsidRPr="002C0BDF">
        <w:rPr>
          <w:b/>
        </w:rPr>
        <w:t xml:space="preserve"> </w:t>
      </w:r>
      <w:r w:rsidRPr="002C0BDF">
        <w:rPr>
          <w:b/>
        </w:rPr>
        <w:t>withdraw</w:t>
      </w:r>
      <w:r w:rsidR="00957B47" w:rsidRPr="002C0BDF">
        <w:rPr>
          <w:b/>
        </w:rPr>
        <w:t xml:space="preserve"> any</w:t>
      </w:r>
      <w:r w:rsidR="008362A7" w:rsidRPr="002C0BDF">
        <w:rPr>
          <w:b/>
        </w:rPr>
        <w:t xml:space="preserve"> restrictions</w:t>
      </w:r>
      <w:r w:rsidRPr="002C0BDF">
        <w:rPr>
          <w:b/>
        </w:rPr>
        <w:t xml:space="preserve"> </w:t>
      </w:r>
      <w:r w:rsidR="00957B47" w:rsidRPr="002C0BDF">
        <w:rPr>
          <w:b/>
        </w:rPr>
        <w:t>that hinder</w:t>
      </w:r>
      <w:r w:rsidR="008362A7" w:rsidRPr="002C0BDF">
        <w:rPr>
          <w:b/>
        </w:rPr>
        <w:t xml:space="preserve"> employees’ access to justice</w:t>
      </w:r>
      <w:r w:rsidR="00957B47" w:rsidRPr="002C0BDF">
        <w:rPr>
          <w:b/>
        </w:rPr>
        <w:t xml:space="preserve"> in labour disputes</w:t>
      </w:r>
      <w:r w:rsidR="008362A7" w:rsidRPr="002C0BDF">
        <w:rPr>
          <w:b/>
        </w:rPr>
        <w:t>.</w:t>
      </w:r>
      <w:r w:rsidR="00D473AB" w:rsidRPr="002C0BDF">
        <w:rPr>
          <w:b/>
        </w:rPr>
        <w:t xml:space="preserve"> </w:t>
      </w:r>
    </w:p>
    <w:p w:rsidR="00E16825" w:rsidRPr="002C0BDF" w:rsidRDefault="00FD0A87" w:rsidP="00FD0A87">
      <w:pPr>
        <w:pStyle w:val="H23G"/>
      </w:pPr>
      <w:r w:rsidRPr="002C0BDF">
        <w:tab/>
      </w:r>
      <w:r w:rsidRPr="002C0BDF">
        <w:tab/>
      </w:r>
      <w:r w:rsidR="00E16825" w:rsidRPr="002C0BDF">
        <w:t xml:space="preserve">Unemployment </w:t>
      </w:r>
    </w:p>
    <w:p w:rsidR="00E16825" w:rsidRPr="002C0BDF" w:rsidRDefault="00EC664F" w:rsidP="00E16825">
      <w:pPr>
        <w:pStyle w:val="SingleTxtG"/>
        <w:numPr>
          <w:ilvl w:val="0"/>
          <w:numId w:val="17"/>
        </w:numPr>
        <w:tabs>
          <w:tab w:val="left" w:pos="1701"/>
        </w:tabs>
        <w:ind w:left="1134" w:firstLine="0"/>
      </w:pPr>
      <w:r w:rsidRPr="002C0BDF">
        <w:t xml:space="preserve">The Committee reiterates its </w:t>
      </w:r>
      <w:r w:rsidR="00346EC8" w:rsidRPr="002C0BDF">
        <w:t xml:space="preserve">previous </w:t>
      </w:r>
      <w:r w:rsidRPr="002C0BDF">
        <w:t xml:space="preserve">concern about the high levels of unemployment in the State party particularly affecting youth, persons with disabilities and persons belonging to ethnic minorities, as well as concerning the continuous job insecurity faced by short-term </w:t>
      </w:r>
      <w:r w:rsidR="00AB745D" w:rsidRPr="002C0BDF">
        <w:t xml:space="preserve">contract </w:t>
      </w:r>
      <w:r w:rsidR="0066200E" w:rsidRPr="002C0BDF">
        <w:t>workers</w:t>
      </w:r>
      <w:r w:rsidRPr="002C0BDF">
        <w:t xml:space="preserve"> </w:t>
      </w:r>
      <w:r w:rsidR="00DE4564" w:rsidRPr="002C0BDF">
        <w:t>(arts. </w:t>
      </w:r>
      <w:r w:rsidR="00BA3AA6" w:rsidRPr="002C0BDF">
        <w:t>6 and 7)</w:t>
      </w:r>
      <w:r w:rsidR="00CA0366" w:rsidRPr="002C0BDF">
        <w:t>.</w:t>
      </w:r>
    </w:p>
    <w:p w:rsidR="0012195D" w:rsidRPr="002C0BDF" w:rsidRDefault="00EC664F" w:rsidP="00E12FE6">
      <w:pPr>
        <w:pStyle w:val="SingleTxtG"/>
        <w:rPr>
          <w:b/>
        </w:rPr>
      </w:pPr>
      <w:r w:rsidRPr="002C0BDF">
        <w:rPr>
          <w:b/>
        </w:rPr>
        <w:t>The Committee</w:t>
      </w:r>
      <w:r w:rsidR="0012195D" w:rsidRPr="002C0BDF">
        <w:rPr>
          <w:b/>
        </w:rPr>
        <w:t xml:space="preserve">, in </w:t>
      </w:r>
      <w:r w:rsidR="00E8726E" w:rsidRPr="002C0BDF">
        <w:rPr>
          <w:b/>
        </w:rPr>
        <w:t xml:space="preserve">the </w:t>
      </w:r>
      <w:r w:rsidR="0012195D" w:rsidRPr="002C0BDF">
        <w:rPr>
          <w:b/>
        </w:rPr>
        <w:t>l</w:t>
      </w:r>
      <w:r w:rsidR="00DE4564" w:rsidRPr="002C0BDF">
        <w:rPr>
          <w:b/>
        </w:rPr>
        <w:t>ight of its general comment No. </w:t>
      </w:r>
      <w:r w:rsidR="0012195D" w:rsidRPr="002C0BDF">
        <w:rPr>
          <w:b/>
        </w:rPr>
        <w:t xml:space="preserve">18 (2005) on the right to work, </w:t>
      </w:r>
      <w:r w:rsidR="00FF4B01" w:rsidRPr="002C0BDF">
        <w:rPr>
          <w:b/>
        </w:rPr>
        <w:t>recommends that the State party</w:t>
      </w:r>
      <w:r w:rsidR="001309F2" w:rsidRPr="002C0BDF">
        <w:rPr>
          <w:b/>
        </w:rPr>
        <w:t>:</w:t>
      </w:r>
      <w:r w:rsidR="00FF4B01" w:rsidRPr="002C0BDF">
        <w:rPr>
          <w:b/>
        </w:rPr>
        <w:t xml:space="preserve"> </w:t>
      </w:r>
    </w:p>
    <w:p w:rsidR="0012195D" w:rsidRPr="002C0BDF" w:rsidRDefault="00E72895" w:rsidP="00B63D6A">
      <w:pPr>
        <w:pStyle w:val="SingleTxtG"/>
        <w:ind w:firstLine="567"/>
        <w:rPr>
          <w:b/>
        </w:rPr>
      </w:pPr>
      <w:r w:rsidRPr="002C0BDF">
        <w:rPr>
          <w:b/>
        </w:rPr>
        <w:t>(a)</w:t>
      </w:r>
      <w:r w:rsidRPr="002C0BDF">
        <w:rPr>
          <w:b/>
        </w:rPr>
        <w:tab/>
      </w:r>
      <w:r w:rsidR="001309F2" w:rsidRPr="002C0BDF">
        <w:rPr>
          <w:b/>
        </w:rPr>
        <w:t>P</w:t>
      </w:r>
      <w:r w:rsidR="0012195D" w:rsidRPr="002C0BDF">
        <w:rPr>
          <w:b/>
        </w:rPr>
        <w:t>ay</w:t>
      </w:r>
      <w:r w:rsidR="001309F2" w:rsidRPr="002C0BDF">
        <w:rPr>
          <w:b/>
        </w:rPr>
        <w:t xml:space="preserve"> </w:t>
      </w:r>
      <w:r w:rsidR="0012195D" w:rsidRPr="002C0BDF">
        <w:rPr>
          <w:b/>
        </w:rPr>
        <w:t>particular attention to</w:t>
      </w:r>
      <w:r w:rsidR="00FF4B01" w:rsidRPr="002C0BDF">
        <w:rPr>
          <w:b/>
        </w:rPr>
        <w:t xml:space="preserve"> groups </w:t>
      </w:r>
      <w:r w:rsidR="00B63D6A" w:rsidRPr="002C0BDF">
        <w:rPr>
          <w:b/>
        </w:rPr>
        <w:t xml:space="preserve">especially </w:t>
      </w:r>
      <w:r w:rsidR="001309F2" w:rsidRPr="002C0BDF">
        <w:rPr>
          <w:b/>
        </w:rPr>
        <w:t>vulnerable to unemploy</w:t>
      </w:r>
      <w:r w:rsidR="0012195D" w:rsidRPr="002C0BDF">
        <w:rPr>
          <w:b/>
        </w:rPr>
        <w:t>men</w:t>
      </w:r>
      <w:r w:rsidR="001309F2" w:rsidRPr="002C0BDF">
        <w:rPr>
          <w:b/>
        </w:rPr>
        <w:t>t</w:t>
      </w:r>
      <w:r w:rsidR="0012195D" w:rsidRPr="002C0BDF">
        <w:rPr>
          <w:b/>
        </w:rPr>
        <w:t xml:space="preserve">, </w:t>
      </w:r>
      <w:r w:rsidR="00FF4B01" w:rsidRPr="002C0BDF">
        <w:rPr>
          <w:b/>
        </w:rPr>
        <w:t>and to that end</w:t>
      </w:r>
      <w:r w:rsidR="00B63D6A" w:rsidRPr="002C0BDF">
        <w:rPr>
          <w:b/>
        </w:rPr>
        <w:t>,</w:t>
      </w:r>
      <w:r w:rsidR="00FF4B01" w:rsidRPr="002C0BDF">
        <w:rPr>
          <w:b/>
        </w:rPr>
        <w:t xml:space="preserve"> consider adopting </w:t>
      </w:r>
      <w:r w:rsidR="00CA1988" w:rsidRPr="002C0BDF">
        <w:rPr>
          <w:b/>
        </w:rPr>
        <w:t xml:space="preserve">both </w:t>
      </w:r>
      <w:r w:rsidR="00FF4B01" w:rsidRPr="002C0BDF">
        <w:rPr>
          <w:b/>
        </w:rPr>
        <w:t>temporary special measure</w:t>
      </w:r>
      <w:r w:rsidR="0012195D" w:rsidRPr="002C0BDF">
        <w:rPr>
          <w:b/>
        </w:rPr>
        <w:t xml:space="preserve">s </w:t>
      </w:r>
      <w:r w:rsidR="00CA1988" w:rsidRPr="002C0BDF">
        <w:rPr>
          <w:b/>
        </w:rPr>
        <w:t xml:space="preserve">and long-term comprehensive strategies </w:t>
      </w:r>
      <w:r w:rsidR="0012195D" w:rsidRPr="002C0BDF">
        <w:rPr>
          <w:b/>
        </w:rPr>
        <w:t>to prevent their unemployment;</w:t>
      </w:r>
    </w:p>
    <w:p w:rsidR="001309F2" w:rsidRPr="002C0BDF" w:rsidRDefault="00E72895" w:rsidP="002C142F">
      <w:pPr>
        <w:pStyle w:val="SingleTxtG"/>
        <w:ind w:firstLine="567"/>
        <w:rPr>
          <w:b/>
        </w:rPr>
      </w:pPr>
      <w:r w:rsidRPr="002C0BDF">
        <w:rPr>
          <w:b/>
        </w:rPr>
        <w:t>(b)</w:t>
      </w:r>
      <w:r w:rsidRPr="002C0BDF">
        <w:rPr>
          <w:b/>
        </w:rPr>
        <w:tab/>
      </w:r>
      <w:r w:rsidR="00885032" w:rsidRPr="002C0BDF">
        <w:rPr>
          <w:b/>
        </w:rPr>
        <w:t xml:space="preserve">With respect to </w:t>
      </w:r>
      <w:r w:rsidR="00B63D6A" w:rsidRPr="002C0BDF">
        <w:rPr>
          <w:b/>
        </w:rPr>
        <w:t xml:space="preserve">employment for </w:t>
      </w:r>
      <w:r w:rsidR="00885032" w:rsidRPr="002C0BDF">
        <w:rPr>
          <w:b/>
        </w:rPr>
        <w:t>p</w:t>
      </w:r>
      <w:r w:rsidR="0012195D" w:rsidRPr="002C0BDF">
        <w:rPr>
          <w:b/>
        </w:rPr>
        <w:t>ersons wi</w:t>
      </w:r>
      <w:r w:rsidR="001309F2" w:rsidRPr="002C0BDF">
        <w:rPr>
          <w:b/>
        </w:rPr>
        <w:t>t</w:t>
      </w:r>
      <w:r w:rsidR="0012195D" w:rsidRPr="002C0BDF">
        <w:rPr>
          <w:b/>
        </w:rPr>
        <w:t>h disabilities</w:t>
      </w:r>
      <w:r w:rsidR="001309F2" w:rsidRPr="002C0BDF">
        <w:rPr>
          <w:b/>
        </w:rPr>
        <w:t>, consider</w:t>
      </w:r>
      <w:r w:rsidR="0012195D" w:rsidRPr="002C0BDF">
        <w:rPr>
          <w:b/>
        </w:rPr>
        <w:t xml:space="preserve"> </w:t>
      </w:r>
      <w:r w:rsidR="001309F2" w:rsidRPr="002C0BDF">
        <w:rPr>
          <w:b/>
        </w:rPr>
        <w:t>raising</w:t>
      </w:r>
      <w:r w:rsidR="0012195D" w:rsidRPr="002C0BDF">
        <w:rPr>
          <w:b/>
        </w:rPr>
        <w:t xml:space="preserve"> </w:t>
      </w:r>
      <w:r w:rsidR="00B63D6A" w:rsidRPr="002C0BDF">
        <w:rPr>
          <w:b/>
        </w:rPr>
        <w:t xml:space="preserve">the </w:t>
      </w:r>
      <w:r w:rsidR="0012195D" w:rsidRPr="002C0BDF">
        <w:rPr>
          <w:b/>
        </w:rPr>
        <w:t>employment quota in public administration and information</w:t>
      </w:r>
      <w:r w:rsidR="0087535A" w:rsidRPr="002C0BDF">
        <w:rPr>
          <w:b/>
        </w:rPr>
        <w:t xml:space="preserve"> services</w:t>
      </w:r>
      <w:r w:rsidR="00834B8E" w:rsidRPr="002C0BDF">
        <w:rPr>
          <w:b/>
        </w:rPr>
        <w:t>;</w:t>
      </w:r>
      <w:r w:rsidR="0012195D" w:rsidRPr="002C0BDF">
        <w:rPr>
          <w:b/>
        </w:rPr>
        <w:t xml:space="preserve"> </w:t>
      </w:r>
      <w:r w:rsidR="00E8726E" w:rsidRPr="002C0BDF">
        <w:rPr>
          <w:b/>
        </w:rPr>
        <w:t xml:space="preserve">and </w:t>
      </w:r>
      <w:r w:rsidR="0012195D" w:rsidRPr="002C0BDF">
        <w:rPr>
          <w:b/>
        </w:rPr>
        <w:t>ensure that all such qu</w:t>
      </w:r>
      <w:r w:rsidR="001309F2" w:rsidRPr="002C0BDF">
        <w:rPr>
          <w:b/>
        </w:rPr>
        <w:t xml:space="preserve">otas are </w:t>
      </w:r>
      <w:r w:rsidR="0081145B" w:rsidRPr="002C0BDF">
        <w:rPr>
          <w:b/>
        </w:rPr>
        <w:t xml:space="preserve">met </w:t>
      </w:r>
      <w:r w:rsidR="001309F2" w:rsidRPr="002C0BDF">
        <w:rPr>
          <w:b/>
        </w:rPr>
        <w:t xml:space="preserve">by employers; </w:t>
      </w:r>
    </w:p>
    <w:p w:rsidR="00EC664F" w:rsidRPr="002C0BDF" w:rsidRDefault="00E72895" w:rsidP="008838AC">
      <w:pPr>
        <w:pStyle w:val="SingleTxtG"/>
        <w:ind w:firstLine="567"/>
        <w:rPr>
          <w:b/>
        </w:rPr>
      </w:pPr>
      <w:r w:rsidRPr="002C0BDF">
        <w:rPr>
          <w:b/>
        </w:rPr>
        <w:t>(c)</w:t>
      </w:r>
      <w:r w:rsidRPr="002C0BDF">
        <w:rPr>
          <w:b/>
        </w:rPr>
        <w:tab/>
      </w:r>
      <w:r w:rsidR="001309F2" w:rsidRPr="002C0BDF">
        <w:rPr>
          <w:b/>
        </w:rPr>
        <w:t>T</w:t>
      </w:r>
      <w:r w:rsidR="00C40303" w:rsidRPr="002C0BDF">
        <w:rPr>
          <w:b/>
        </w:rPr>
        <w:t>ake effective measures aimed at reducing employers’ recourse to short</w:t>
      </w:r>
      <w:r w:rsidR="00B63D6A" w:rsidRPr="002C0BDF">
        <w:rPr>
          <w:b/>
        </w:rPr>
        <w:t>-</w:t>
      </w:r>
      <w:r w:rsidR="00C40303" w:rsidRPr="002C0BDF">
        <w:rPr>
          <w:b/>
        </w:rPr>
        <w:t>term contracts</w:t>
      </w:r>
      <w:r w:rsidR="00B63D6A" w:rsidRPr="002C0BDF">
        <w:rPr>
          <w:b/>
        </w:rPr>
        <w:t>,</w:t>
      </w:r>
      <w:r w:rsidR="00C40303" w:rsidRPr="002C0BDF">
        <w:rPr>
          <w:b/>
        </w:rPr>
        <w:t xml:space="preserve"> with a view to increasing job stability</w:t>
      </w:r>
      <w:r w:rsidR="00B63D6A" w:rsidRPr="002C0BDF">
        <w:rPr>
          <w:b/>
        </w:rPr>
        <w:t>,</w:t>
      </w:r>
      <w:r w:rsidR="001309F2" w:rsidRPr="002C0BDF">
        <w:rPr>
          <w:b/>
        </w:rPr>
        <w:t xml:space="preserve"> particularly among the youth</w:t>
      </w:r>
      <w:r w:rsidR="00C40303" w:rsidRPr="002C0BDF">
        <w:rPr>
          <w:b/>
        </w:rPr>
        <w:t>.</w:t>
      </w:r>
    </w:p>
    <w:p w:rsidR="00E16825" w:rsidRPr="002C0BDF" w:rsidRDefault="00FD0A87" w:rsidP="00FD0A87">
      <w:pPr>
        <w:pStyle w:val="H23G"/>
      </w:pPr>
      <w:r w:rsidRPr="002C0BDF">
        <w:tab/>
      </w:r>
      <w:r w:rsidRPr="002C0BDF">
        <w:tab/>
      </w:r>
      <w:r w:rsidR="00E16825" w:rsidRPr="002C0BDF">
        <w:t>Migran</w:t>
      </w:r>
      <w:r w:rsidR="005D383B" w:rsidRPr="002C0BDF">
        <w:t>t workers</w:t>
      </w:r>
      <w:r w:rsidR="00E16825" w:rsidRPr="002C0BDF">
        <w:t xml:space="preserve"> </w:t>
      </w:r>
    </w:p>
    <w:p w:rsidR="00E16825" w:rsidRPr="002C0BDF" w:rsidRDefault="000004DD" w:rsidP="00B63D6A">
      <w:pPr>
        <w:pStyle w:val="SingleTxtG"/>
        <w:numPr>
          <w:ilvl w:val="0"/>
          <w:numId w:val="17"/>
        </w:numPr>
        <w:tabs>
          <w:tab w:val="left" w:pos="1701"/>
        </w:tabs>
        <w:ind w:left="1134" w:firstLine="0"/>
      </w:pPr>
      <w:r w:rsidRPr="002C0BDF">
        <w:t>The Committee is concerned about the working conditions of migrant wo</w:t>
      </w:r>
      <w:r w:rsidR="007274FD" w:rsidRPr="002C0BDF">
        <w:t>rkers</w:t>
      </w:r>
      <w:r w:rsidR="00B63D6A" w:rsidRPr="002C0BDF">
        <w:t>,</w:t>
      </w:r>
      <w:r w:rsidRPr="002C0BDF">
        <w:t xml:space="preserve"> </w:t>
      </w:r>
      <w:r w:rsidR="00B63D6A" w:rsidRPr="002C0BDF">
        <w:t xml:space="preserve">which </w:t>
      </w:r>
      <w:r w:rsidRPr="002C0BDF">
        <w:t>are characteri</w:t>
      </w:r>
      <w:r w:rsidR="00B63D6A" w:rsidRPr="002C0BDF">
        <w:t>z</w:t>
      </w:r>
      <w:r w:rsidRPr="002C0BDF">
        <w:t>ed by low income and unlawfu</w:t>
      </w:r>
      <w:r w:rsidR="00885032" w:rsidRPr="002C0BDF">
        <w:t>l deductions, wage arrears, extra</w:t>
      </w:r>
      <w:r w:rsidRPr="002C0BDF">
        <w:t xml:space="preserve"> working hours</w:t>
      </w:r>
      <w:r w:rsidR="00DA2B90" w:rsidRPr="002C0BDF">
        <w:t xml:space="preserve"> with</w:t>
      </w:r>
      <w:r w:rsidR="00885032" w:rsidRPr="002C0BDF">
        <w:t>out</w:t>
      </w:r>
      <w:r w:rsidR="00DA2B90" w:rsidRPr="002C0BDF">
        <w:t xml:space="preserve"> compensation</w:t>
      </w:r>
      <w:r w:rsidRPr="002C0BDF">
        <w:t>, short-term contracts</w:t>
      </w:r>
      <w:r w:rsidR="007274FD" w:rsidRPr="002C0BDF">
        <w:t xml:space="preserve"> and subcontracting</w:t>
      </w:r>
      <w:r w:rsidRPr="002C0BDF">
        <w:t xml:space="preserve">, </w:t>
      </w:r>
      <w:r w:rsidR="007274FD" w:rsidRPr="002C0BDF">
        <w:t xml:space="preserve">lack of </w:t>
      </w:r>
      <w:r w:rsidR="00DA2B90" w:rsidRPr="002C0BDF">
        <w:t xml:space="preserve">social </w:t>
      </w:r>
      <w:r w:rsidR="007274FD" w:rsidRPr="002C0BDF">
        <w:t>benefits</w:t>
      </w:r>
      <w:r w:rsidR="00DA2B90" w:rsidRPr="002C0BDF">
        <w:t xml:space="preserve"> </w:t>
      </w:r>
      <w:r w:rsidR="00324DF8" w:rsidRPr="002C0BDF">
        <w:t>for workers</w:t>
      </w:r>
      <w:r w:rsidR="00DA2B90" w:rsidRPr="002C0BDF">
        <w:t xml:space="preserve"> in the informal economy</w:t>
      </w:r>
      <w:r w:rsidRPr="002C0BDF">
        <w:t>, and limited access to justice</w:t>
      </w:r>
      <w:r w:rsidR="005D383B" w:rsidRPr="002C0BDF">
        <w:t xml:space="preserve"> </w:t>
      </w:r>
      <w:r w:rsidR="00FF5A04" w:rsidRPr="002C0BDF">
        <w:t>(arts. </w:t>
      </w:r>
      <w:r w:rsidR="005D383B" w:rsidRPr="002C0BDF">
        <w:t>7</w:t>
      </w:r>
      <w:r w:rsidR="00CA0366" w:rsidRPr="002C0BDF">
        <w:t xml:space="preserve"> and</w:t>
      </w:r>
      <w:r w:rsidR="005D383B" w:rsidRPr="002C0BDF">
        <w:t xml:space="preserve"> 9</w:t>
      </w:r>
      <w:r w:rsidR="00CA0366" w:rsidRPr="002C0BDF">
        <w:t>)</w:t>
      </w:r>
      <w:r w:rsidR="00203274" w:rsidRPr="002C0BDF">
        <w:t>.</w:t>
      </w:r>
    </w:p>
    <w:p w:rsidR="009134E3" w:rsidRPr="002C0BDF" w:rsidRDefault="00260676" w:rsidP="00B63D6A">
      <w:pPr>
        <w:pStyle w:val="SingleTxtG"/>
        <w:tabs>
          <w:tab w:val="left" w:pos="1701"/>
        </w:tabs>
        <w:rPr>
          <w:b/>
        </w:rPr>
      </w:pPr>
      <w:r w:rsidRPr="002C0BDF">
        <w:rPr>
          <w:b/>
        </w:rPr>
        <w:t xml:space="preserve">The Committee </w:t>
      </w:r>
      <w:r w:rsidR="005D383B" w:rsidRPr="002C0BDF">
        <w:rPr>
          <w:b/>
        </w:rPr>
        <w:t>urges the</w:t>
      </w:r>
      <w:r w:rsidRPr="002C0BDF">
        <w:rPr>
          <w:b/>
        </w:rPr>
        <w:t xml:space="preserve"> State party to take effective measures to ensure t</w:t>
      </w:r>
      <w:r w:rsidR="00885032" w:rsidRPr="002C0BDF">
        <w:rPr>
          <w:b/>
        </w:rPr>
        <w:t>hat all migrant workers</w:t>
      </w:r>
      <w:r w:rsidRPr="002C0BDF">
        <w:rPr>
          <w:b/>
        </w:rPr>
        <w:t xml:space="preserve"> enjoy </w:t>
      </w:r>
      <w:r w:rsidR="00B63D6A" w:rsidRPr="002C0BDF">
        <w:rPr>
          <w:b/>
        </w:rPr>
        <w:t xml:space="preserve">the </w:t>
      </w:r>
      <w:r w:rsidR="0066200E" w:rsidRPr="002C0BDF">
        <w:rPr>
          <w:b/>
        </w:rPr>
        <w:t xml:space="preserve">protection of </w:t>
      </w:r>
      <w:r w:rsidRPr="002C0BDF">
        <w:rPr>
          <w:b/>
        </w:rPr>
        <w:t>l</w:t>
      </w:r>
      <w:r w:rsidR="005D383B" w:rsidRPr="002C0BDF">
        <w:rPr>
          <w:b/>
        </w:rPr>
        <w:t xml:space="preserve">abour laws and can access justice to remedy </w:t>
      </w:r>
      <w:r w:rsidR="00B63D6A" w:rsidRPr="002C0BDF">
        <w:rPr>
          <w:b/>
        </w:rPr>
        <w:t xml:space="preserve">violations of </w:t>
      </w:r>
      <w:r w:rsidR="005D383B" w:rsidRPr="002C0BDF">
        <w:rPr>
          <w:b/>
        </w:rPr>
        <w:t>their rights.</w:t>
      </w:r>
      <w:r w:rsidR="00DA2B90" w:rsidRPr="002C0BDF">
        <w:rPr>
          <w:b/>
        </w:rPr>
        <w:t xml:space="preserve"> The Committee </w:t>
      </w:r>
      <w:r w:rsidR="004A6AD8" w:rsidRPr="002C0BDF">
        <w:rPr>
          <w:b/>
        </w:rPr>
        <w:t>further recommends that the State party bring those employers violating migrants’ labour rights to justice, prosecute them and impose commensurate sanctions, if convicted.</w:t>
      </w:r>
    </w:p>
    <w:p w:rsidR="00E16825" w:rsidRPr="002C0BDF" w:rsidRDefault="00FD0A87" w:rsidP="00FD0A87">
      <w:pPr>
        <w:pStyle w:val="H23G"/>
      </w:pPr>
      <w:r w:rsidRPr="002C0BDF">
        <w:tab/>
      </w:r>
      <w:r w:rsidRPr="002C0BDF">
        <w:tab/>
      </w:r>
      <w:r w:rsidR="00885032" w:rsidRPr="002C0BDF">
        <w:t>Social security</w:t>
      </w:r>
    </w:p>
    <w:p w:rsidR="00E16825" w:rsidRPr="002C0BDF" w:rsidRDefault="0093174E" w:rsidP="006F4C13">
      <w:pPr>
        <w:pStyle w:val="SingleTxtG"/>
        <w:numPr>
          <w:ilvl w:val="0"/>
          <w:numId w:val="17"/>
        </w:numPr>
        <w:tabs>
          <w:tab w:val="left" w:pos="1701"/>
        </w:tabs>
        <w:ind w:left="1134" w:firstLine="0"/>
      </w:pPr>
      <w:r w:rsidRPr="002C0BDF">
        <w:t>T</w:t>
      </w:r>
      <w:r w:rsidR="00067DD3" w:rsidRPr="002C0BDF">
        <w:t>h</w:t>
      </w:r>
      <w:r w:rsidRPr="002C0BDF">
        <w:t>e Committee is</w:t>
      </w:r>
      <w:r w:rsidR="00067DD3" w:rsidRPr="002C0BDF">
        <w:t xml:space="preserve"> concerned that </w:t>
      </w:r>
      <w:r w:rsidR="002B0962" w:rsidRPr="002C0BDF">
        <w:t xml:space="preserve">some </w:t>
      </w:r>
      <w:r w:rsidR="00067DD3" w:rsidRPr="002C0BDF">
        <w:t>social security</w:t>
      </w:r>
      <w:r w:rsidRPr="002C0BDF">
        <w:t xml:space="preserve"> </w:t>
      </w:r>
      <w:r w:rsidR="00067DD3" w:rsidRPr="002C0BDF">
        <w:t xml:space="preserve">benefits are </w:t>
      </w:r>
      <w:r w:rsidR="002B0962" w:rsidRPr="002C0BDF">
        <w:t xml:space="preserve">calculated </w:t>
      </w:r>
      <w:r w:rsidR="00067DD3" w:rsidRPr="002C0BDF">
        <w:t xml:space="preserve">on the basis of </w:t>
      </w:r>
      <w:r w:rsidR="00B63D6A" w:rsidRPr="002C0BDF">
        <w:t xml:space="preserve">a </w:t>
      </w:r>
      <w:r w:rsidR="00067DD3" w:rsidRPr="002C0BDF">
        <w:t xml:space="preserve">minimum income in the State party that is far below the actual minimum cost of living. </w:t>
      </w:r>
      <w:r w:rsidR="004B4FF6" w:rsidRPr="002C0BDF">
        <w:t xml:space="preserve">The Committee </w:t>
      </w:r>
      <w:r w:rsidR="00940161" w:rsidRPr="002C0BDF">
        <w:t xml:space="preserve">is </w:t>
      </w:r>
      <w:r w:rsidR="00067DD3" w:rsidRPr="002C0BDF">
        <w:t xml:space="preserve">further </w:t>
      </w:r>
      <w:r w:rsidR="00940161" w:rsidRPr="002C0BDF">
        <w:t>concerned that measures taken t</w:t>
      </w:r>
      <w:r w:rsidR="00111D89" w:rsidRPr="002C0BDF">
        <w:t>o address the economic crisis</w:t>
      </w:r>
      <w:r w:rsidR="00940161" w:rsidRPr="002C0BDF">
        <w:t xml:space="preserve"> in the State party have resulted in reducing </w:t>
      </w:r>
      <w:r w:rsidR="002B0962" w:rsidRPr="002C0BDF">
        <w:t xml:space="preserve">coverage and </w:t>
      </w:r>
      <w:r w:rsidR="006F4C13" w:rsidRPr="002C0BDF">
        <w:t xml:space="preserve">the </w:t>
      </w:r>
      <w:r w:rsidR="002B0962" w:rsidRPr="002C0BDF">
        <w:t xml:space="preserve">amount of </w:t>
      </w:r>
      <w:r w:rsidR="00940161" w:rsidRPr="002C0BDF">
        <w:t>health</w:t>
      </w:r>
      <w:r w:rsidR="006F4C13" w:rsidRPr="002C0BDF">
        <w:t xml:space="preserve"> </w:t>
      </w:r>
      <w:r w:rsidR="00940161" w:rsidRPr="002C0BDF">
        <w:t>care</w:t>
      </w:r>
      <w:r w:rsidR="00C57E56" w:rsidRPr="002C0BDF">
        <w:t xml:space="preserve">, </w:t>
      </w:r>
      <w:r w:rsidR="00940161" w:rsidRPr="002C0BDF">
        <w:t xml:space="preserve">pension </w:t>
      </w:r>
      <w:r w:rsidR="00C57E56" w:rsidRPr="002C0BDF">
        <w:t xml:space="preserve">and unemployment </w:t>
      </w:r>
      <w:r w:rsidR="00940161" w:rsidRPr="002C0BDF">
        <w:t>benefits</w:t>
      </w:r>
      <w:r w:rsidR="002B0962" w:rsidRPr="002C0BDF">
        <w:t>.</w:t>
      </w:r>
      <w:r w:rsidR="00111D89" w:rsidRPr="002C0BDF">
        <w:t xml:space="preserve"> </w:t>
      </w:r>
      <w:r w:rsidR="00067DD3" w:rsidRPr="002C0BDF">
        <w:t>Such measures</w:t>
      </w:r>
      <w:r w:rsidR="00111D89" w:rsidRPr="002C0BDF">
        <w:t xml:space="preserve"> also introduced stricter eligibility conditions for social assistance benefit, </w:t>
      </w:r>
      <w:r w:rsidR="00940161" w:rsidRPr="002C0BDF">
        <w:t>disproportionate</w:t>
      </w:r>
      <w:r w:rsidR="006F4C13" w:rsidRPr="002C0BDF">
        <w:t>ly</w:t>
      </w:r>
      <w:r w:rsidR="00940161" w:rsidRPr="002C0BDF">
        <w:t xml:space="preserve"> </w:t>
      </w:r>
      <w:r w:rsidR="006F4C13" w:rsidRPr="002C0BDF">
        <w:t>a</w:t>
      </w:r>
      <w:r w:rsidR="00940161" w:rsidRPr="002C0BDF">
        <w:t>ffect</w:t>
      </w:r>
      <w:r w:rsidR="006F4C13" w:rsidRPr="002C0BDF">
        <w:t>ing</w:t>
      </w:r>
      <w:r w:rsidR="00940161" w:rsidRPr="002C0BDF">
        <w:t xml:space="preserve"> marginalized groups and individuals, including</w:t>
      </w:r>
      <w:r w:rsidR="00FE64EF" w:rsidRPr="002C0BDF">
        <w:t xml:space="preserve"> unemployed persons, persons wit</w:t>
      </w:r>
      <w:r w:rsidR="00111D89" w:rsidRPr="002C0BDF">
        <w:t xml:space="preserve">h disability, and older </w:t>
      </w:r>
      <w:r w:rsidR="00CA0366" w:rsidRPr="002C0BDF">
        <w:t xml:space="preserve">persons </w:t>
      </w:r>
      <w:r w:rsidR="00111D89" w:rsidRPr="002C0BDF">
        <w:t>(art</w:t>
      </w:r>
      <w:r w:rsidR="00012061" w:rsidRPr="002C0BDF">
        <w:t>s</w:t>
      </w:r>
      <w:r w:rsidR="00AD630A" w:rsidRPr="002C0BDF">
        <w:t>. </w:t>
      </w:r>
      <w:r w:rsidR="00012061" w:rsidRPr="002C0BDF">
        <w:t xml:space="preserve">2 and </w:t>
      </w:r>
      <w:r w:rsidR="00111D89" w:rsidRPr="002C0BDF">
        <w:t>9)</w:t>
      </w:r>
      <w:r w:rsidR="009B6650" w:rsidRPr="002C0BDF">
        <w:t>.</w:t>
      </w:r>
      <w:r w:rsidR="00111D89" w:rsidRPr="002C0BDF">
        <w:t xml:space="preserve"> </w:t>
      </w:r>
    </w:p>
    <w:p w:rsidR="00367119" w:rsidRPr="002C0BDF" w:rsidRDefault="00AF78E8" w:rsidP="00A14799">
      <w:pPr>
        <w:pStyle w:val="SingleTxtG"/>
        <w:tabs>
          <w:tab w:val="left" w:pos="1701"/>
        </w:tabs>
        <w:rPr>
          <w:b/>
        </w:rPr>
      </w:pPr>
      <w:r w:rsidRPr="002C0BDF">
        <w:rPr>
          <w:b/>
        </w:rPr>
        <w:t>Re</w:t>
      </w:r>
      <w:r w:rsidR="00AD630A" w:rsidRPr="002C0BDF">
        <w:rPr>
          <w:b/>
        </w:rPr>
        <w:t>calling its general comment No. </w:t>
      </w:r>
      <w:r w:rsidRPr="002C0BDF">
        <w:rPr>
          <w:b/>
        </w:rPr>
        <w:t>19 (2008) on the right to social security, t</w:t>
      </w:r>
      <w:r w:rsidR="00FE64EF" w:rsidRPr="002C0BDF">
        <w:rPr>
          <w:b/>
        </w:rPr>
        <w:t>he Committee recommends that the State</w:t>
      </w:r>
      <w:r w:rsidR="0074211F" w:rsidRPr="002C0BDF">
        <w:rPr>
          <w:b/>
        </w:rPr>
        <w:t xml:space="preserve"> party</w:t>
      </w:r>
      <w:r w:rsidR="00367119" w:rsidRPr="002C0BDF">
        <w:rPr>
          <w:b/>
        </w:rPr>
        <w:t>:</w:t>
      </w:r>
      <w:r w:rsidR="0074211F" w:rsidRPr="002C0BDF">
        <w:rPr>
          <w:b/>
        </w:rPr>
        <w:t xml:space="preserve"> </w:t>
      </w:r>
    </w:p>
    <w:p w:rsidR="00367119" w:rsidRPr="002C0BDF" w:rsidRDefault="00E72895" w:rsidP="006F4C13">
      <w:pPr>
        <w:pStyle w:val="SingleTxtG"/>
        <w:ind w:firstLine="567"/>
        <w:rPr>
          <w:b/>
        </w:rPr>
      </w:pPr>
      <w:r w:rsidRPr="002C0BDF">
        <w:rPr>
          <w:b/>
        </w:rPr>
        <w:t>(a)</w:t>
      </w:r>
      <w:r w:rsidRPr="002C0BDF">
        <w:rPr>
          <w:b/>
        </w:rPr>
        <w:tab/>
      </w:r>
      <w:r w:rsidR="00367119" w:rsidRPr="002C0BDF">
        <w:rPr>
          <w:b/>
        </w:rPr>
        <w:t>R</w:t>
      </w:r>
      <w:r w:rsidR="0074211F" w:rsidRPr="002C0BDF">
        <w:rPr>
          <w:b/>
        </w:rPr>
        <w:t xml:space="preserve">evise the eligibility conditions </w:t>
      </w:r>
      <w:r w:rsidR="00A07D94" w:rsidRPr="002C0BDF">
        <w:rPr>
          <w:b/>
        </w:rPr>
        <w:t xml:space="preserve">and </w:t>
      </w:r>
      <w:r w:rsidR="006F4C13" w:rsidRPr="002C0BDF">
        <w:rPr>
          <w:b/>
        </w:rPr>
        <w:t>rates</w:t>
      </w:r>
      <w:r w:rsidR="00A07D94" w:rsidRPr="002C0BDF">
        <w:rPr>
          <w:b/>
        </w:rPr>
        <w:t xml:space="preserve"> </w:t>
      </w:r>
      <w:r w:rsidR="0074211F" w:rsidRPr="002C0BDF">
        <w:rPr>
          <w:b/>
        </w:rPr>
        <w:t>for</w:t>
      </w:r>
      <w:r w:rsidR="00FE64EF" w:rsidRPr="002C0BDF">
        <w:rPr>
          <w:b/>
        </w:rPr>
        <w:t xml:space="preserve"> social security benefits</w:t>
      </w:r>
      <w:r w:rsidR="002B0962" w:rsidRPr="002C0BDF">
        <w:rPr>
          <w:b/>
        </w:rPr>
        <w:t>, including social assistance</w:t>
      </w:r>
      <w:r w:rsidR="00A07D94" w:rsidRPr="002C0BDF">
        <w:rPr>
          <w:b/>
        </w:rPr>
        <w:t>,</w:t>
      </w:r>
      <w:r w:rsidR="00CA424D" w:rsidRPr="002C0BDF">
        <w:rPr>
          <w:b/>
        </w:rPr>
        <w:t xml:space="preserve"> while taking into account the actual cost of living in the State party, and</w:t>
      </w:r>
      <w:r w:rsidR="00FE64EF" w:rsidRPr="002C0BDF">
        <w:rPr>
          <w:b/>
        </w:rPr>
        <w:t xml:space="preserve"> paying particular attention to unemployed persons, persons with disability, and older persons</w:t>
      </w:r>
      <w:r w:rsidR="00367119" w:rsidRPr="002C0BDF">
        <w:rPr>
          <w:b/>
        </w:rPr>
        <w:t>;</w:t>
      </w:r>
      <w:r w:rsidR="00CA0366" w:rsidRPr="002C0BDF">
        <w:rPr>
          <w:b/>
        </w:rPr>
        <w:t xml:space="preserve"> </w:t>
      </w:r>
    </w:p>
    <w:p w:rsidR="00CA0366" w:rsidRPr="002C0BDF" w:rsidRDefault="00E72895" w:rsidP="006F4C13">
      <w:pPr>
        <w:pStyle w:val="SingleTxtG"/>
        <w:ind w:firstLine="567"/>
        <w:rPr>
          <w:b/>
        </w:rPr>
      </w:pPr>
      <w:r w:rsidRPr="002C0BDF">
        <w:rPr>
          <w:b/>
        </w:rPr>
        <w:t>(b)</w:t>
      </w:r>
      <w:r w:rsidRPr="002C0BDF">
        <w:rPr>
          <w:b/>
        </w:rPr>
        <w:tab/>
      </w:r>
      <w:r w:rsidR="00367119" w:rsidRPr="002C0BDF">
        <w:rPr>
          <w:b/>
        </w:rPr>
        <w:t>R</w:t>
      </w:r>
      <w:r w:rsidR="00285700" w:rsidRPr="002C0BDF">
        <w:rPr>
          <w:b/>
        </w:rPr>
        <w:t xml:space="preserve">atify </w:t>
      </w:r>
      <w:r w:rsidR="006F4C13" w:rsidRPr="002C0BDF">
        <w:rPr>
          <w:b/>
        </w:rPr>
        <w:t xml:space="preserve">International Labour Organization Convention No. 118 (1962) concerning </w:t>
      </w:r>
      <w:r w:rsidR="00285700" w:rsidRPr="002C0BDF">
        <w:rPr>
          <w:b/>
        </w:rPr>
        <w:t>Equality of Treatment (Social Security).</w:t>
      </w:r>
    </w:p>
    <w:p w:rsidR="00E16825" w:rsidRPr="002C0BDF" w:rsidRDefault="00FD0A87" w:rsidP="00FD0A87">
      <w:pPr>
        <w:pStyle w:val="H23G"/>
      </w:pPr>
      <w:r w:rsidRPr="002C0BDF">
        <w:tab/>
      </w:r>
      <w:r w:rsidRPr="002C0BDF">
        <w:tab/>
      </w:r>
      <w:r w:rsidR="00E16825" w:rsidRPr="002C0BDF">
        <w:t>Domestic violence</w:t>
      </w:r>
    </w:p>
    <w:p w:rsidR="00E16825" w:rsidRPr="002C0BDF" w:rsidRDefault="00AF78E8" w:rsidP="006F4C13">
      <w:pPr>
        <w:pStyle w:val="SingleTxtG"/>
        <w:numPr>
          <w:ilvl w:val="0"/>
          <w:numId w:val="17"/>
        </w:numPr>
        <w:tabs>
          <w:tab w:val="left" w:pos="1701"/>
        </w:tabs>
        <w:ind w:left="1134" w:firstLine="0"/>
      </w:pPr>
      <w:r w:rsidRPr="002C0BDF">
        <w:t xml:space="preserve">The Committee is concerned about the high prevalence of domestic violence in the State party, despite the implementation of the National Programme of Family </w:t>
      </w:r>
      <w:r w:rsidR="001D343B" w:rsidRPr="002C0BDF">
        <w:t>Violence Prevention (2009</w:t>
      </w:r>
      <w:r w:rsidR="006F4C13" w:rsidRPr="002C0BDF">
        <w:t>–</w:t>
      </w:r>
      <w:r w:rsidR="001D343B" w:rsidRPr="002C0BDF">
        <w:t>2014)</w:t>
      </w:r>
      <w:r w:rsidR="00E51D32" w:rsidRPr="002C0BDF">
        <w:t xml:space="preserve"> and </w:t>
      </w:r>
      <w:r w:rsidR="005636EB" w:rsidRPr="002C0BDF">
        <w:t xml:space="preserve">the </w:t>
      </w:r>
      <w:r w:rsidR="00E51D32" w:rsidRPr="002C0BDF">
        <w:t>adoption of some other measures</w:t>
      </w:r>
      <w:r w:rsidR="001D343B" w:rsidRPr="002C0BDF">
        <w:t xml:space="preserve">. The Committee also expresses its concern at </w:t>
      </w:r>
      <w:r w:rsidR="00E51D32" w:rsidRPr="002C0BDF">
        <w:t>the limited effectiveness</w:t>
      </w:r>
      <w:r w:rsidR="00E956AF" w:rsidRPr="002C0BDF">
        <w:t xml:space="preserve"> of </w:t>
      </w:r>
      <w:r w:rsidR="001D343B" w:rsidRPr="002C0BDF">
        <w:t>protection mechanism</w:t>
      </w:r>
      <w:r w:rsidR="00775A90" w:rsidRPr="002C0BDF">
        <w:t>s</w:t>
      </w:r>
      <w:r w:rsidR="001D343B" w:rsidRPr="002C0BDF">
        <w:t xml:space="preserve"> for victims of domestic violence, including </w:t>
      </w:r>
      <w:r w:rsidR="005636EB" w:rsidRPr="002C0BDF">
        <w:t>the lack of</w:t>
      </w:r>
      <w:r w:rsidR="00E51D32" w:rsidRPr="002C0BDF">
        <w:t xml:space="preserve"> enforcement of </w:t>
      </w:r>
      <w:r w:rsidR="00E956AF" w:rsidRPr="002C0BDF">
        <w:t>restraining orders issued against alleged perpetrato</w:t>
      </w:r>
      <w:r w:rsidR="005636EB" w:rsidRPr="002C0BDF">
        <w:t>rs</w:t>
      </w:r>
      <w:r w:rsidR="001D343B" w:rsidRPr="002C0BDF">
        <w:t xml:space="preserve">, </w:t>
      </w:r>
      <w:r w:rsidR="006F4C13" w:rsidRPr="002C0BDF">
        <w:t>and at</w:t>
      </w:r>
      <w:r w:rsidR="001D343B" w:rsidRPr="002C0BDF">
        <w:t xml:space="preserve"> the lenient sanctions imposed by courts against such perpetrators </w:t>
      </w:r>
      <w:r w:rsidR="00E72895" w:rsidRPr="002C0BDF">
        <w:t>(art. </w:t>
      </w:r>
      <w:r w:rsidR="00BA3AA6" w:rsidRPr="002C0BDF">
        <w:t>10)</w:t>
      </w:r>
      <w:r w:rsidR="001D343B" w:rsidRPr="002C0BDF">
        <w:t>.</w:t>
      </w:r>
    </w:p>
    <w:p w:rsidR="00E16825" w:rsidRPr="002C0BDF" w:rsidRDefault="00AF78E8" w:rsidP="002C142F">
      <w:pPr>
        <w:pStyle w:val="SingleTxtG"/>
        <w:tabs>
          <w:tab w:val="left" w:pos="1701"/>
        </w:tabs>
      </w:pPr>
      <w:r w:rsidRPr="002C0BDF">
        <w:rPr>
          <w:rFonts w:eastAsia="SimSun"/>
          <w:b/>
          <w:szCs w:val="18"/>
          <w:lang w:eastAsia="zh-CN"/>
        </w:rPr>
        <w:t xml:space="preserve">The Committee urges </w:t>
      </w:r>
      <w:r w:rsidR="00CB58B9" w:rsidRPr="002C0BDF">
        <w:rPr>
          <w:rFonts w:eastAsia="SimSun"/>
          <w:b/>
          <w:szCs w:val="18"/>
          <w:lang w:eastAsia="zh-CN"/>
        </w:rPr>
        <w:t>the State party</w:t>
      </w:r>
      <w:r w:rsidRPr="002C0BDF">
        <w:rPr>
          <w:rFonts w:eastAsia="SimSun"/>
          <w:b/>
          <w:szCs w:val="18"/>
          <w:lang w:eastAsia="zh-CN"/>
        </w:rPr>
        <w:t xml:space="preserve"> </w:t>
      </w:r>
      <w:r w:rsidR="001844A5" w:rsidRPr="002C0BDF">
        <w:rPr>
          <w:rFonts w:eastAsia="SimSun"/>
          <w:b/>
          <w:szCs w:val="18"/>
          <w:lang w:eastAsia="zh-CN"/>
        </w:rPr>
        <w:t xml:space="preserve">to </w:t>
      </w:r>
      <w:r w:rsidRPr="002C0BDF">
        <w:rPr>
          <w:rFonts w:eastAsia="SimSun"/>
          <w:b/>
          <w:szCs w:val="18"/>
          <w:lang w:eastAsia="zh-CN"/>
        </w:rPr>
        <w:t>take all effective measures</w:t>
      </w:r>
      <w:r w:rsidR="00BA6974" w:rsidRPr="002C0BDF">
        <w:rPr>
          <w:rFonts w:eastAsia="SimSun"/>
          <w:b/>
          <w:szCs w:val="18"/>
          <w:lang w:eastAsia="zh-CN"/>
        </w:rPr>
        <w:t>, including</w:t>
      </w:r>
      <w:r w:rsidR="00E956AF" w:rsidRPr="002C0BDF">
        <w:rPr>
          <w:rFonts w:eastAsia="SimSun"/>
          <w:b/>
          <w:szCs w:val="18"/>
          <w:lang w:eastAsia="zh-CN"/>
        </w:rPr>
        <w:t xml:space="preserve"> </w:t>
      </w:r>
      <w:r w:rsidR="00BA6974" w:rsidRPr="002C0BDF">
        <w:rPr>
          <w:rFonts w:eastAsia="SimSun"/>
          <w:b/>
          <w:szCs w:val="18"/>
          <w:lang w:eastAsia="zh-CN"/>
        </w:rPr>
        <w:t>by introducing the necessary amendments</w:t>
      </w:r>
      <w:r w:rsidR="00E956AF" w:rsidRPr="002C0BDF">
        <w:rPr>
          <w:rFonts w:eastAsia="SimSun"/>
          <w:b/>
          <w:szCs w:val="18"/>
          <w:lang w:eastAsia="zh-CN"/>
        </w:rPr>
        <w:t xml:space="preserve"> </w:t>
      </w:r>
      <w:r w:rsidR="00BA6974" w:rsidRPr="002C0BDF">
        <w:rPr>
          <w:rFonts w:eastAsia="SimSun"/>
          <w:b/>
          <w:szCs w:val="18"/>
          <w:lang w:eastAsia="zh-CN"/>
        </w:rPr>
        <w:t xml:space="preserve">to </w:t>
      </w:r>
      <w:r w:rsidR="00E956AF" w:rsidRPr="002C0BDF">
        <w:rPr>
          <w:rFonts w:eastAsia="SimSun"/>
          <w:b/>
          <w:szCs w:val="18"/>
          <w:lang w:eastAsia="zh-CN"/>
        </w:rPr>
        <w:t xml:space="preserve">the Family Violence Prevention Act, </w:t>
      </w:r>
      <w:r w:rsidRPr="002C0BDF">
        <w:rPr>
          <w:rFonts w:eastAsia="SimSun"/>
          <w:b/>
          <w:szCs w:val="18"/>
          <w:lang w:eastAsia="zh-CN"/>
        </w:rPr>
        <w:t>to prevent incidents of domestic violence</w:t>
      </w:r>
      <w:r w:rsidR="001D343B" w:rsidRPr="002C0BDF">
        <w:rPr>
          <w:rFonts w:eastAsia="SimSun"/>
          <w:b/>
          <w:szCs w:val="18"/>
          <w:lang w:eastAsia="zh-CN"/>
        </w:rPr>
        <w:t>. The State party should ensure that protection</w:t>
      </w:r>
      <w:r w:rsidR="00D5256B" w:rsidRPr="002C0BDF">
        <w:rPr>
          <w:rFonts w:eastAsia="SimSun"/>
          <w:b/>
          <w:szCs w:val="18"/>
          <w:lang w:eastAsia="zh-CN"/>
        </w:rPr>
        <w:t xml:space="preserve"> mechanism</w:t>
      </w:r>
      <w:r w:rsidR="00775A90" w:rsidRPr="002C0BDF">
        <w:rPr>
          <w:rFonts w:eastAsia="SimSun"/>
          <w:b/>
          <w:szCs w:val="18"/>
          <w:lang w:eastAsia="zh-CN"/>
        </w:rPr>
        <w:t>s</w:t>
      </w:r>
      <w:r w:rsidR="00322791" w:rsidRPr="002C0BDF">
        <w:rPr>
          <w:rFonts w:eastAsia="SimSun"/>
          <w:b/>
          <w:szCs w:val="18"/>
          <w:lang w:eastAsia="zh-CN"/>
        </w:rPr>
        <w:t xml:space="preserve"> available to victims of violence are</w:t>
      </w:r>
      <w:r w:rsidR="001D343B" w:rsidRPr="002C0BDF">
        <w:rPr>
          <w:rFonts w:eastAsia="SimSun"/>
          <w:b/>
          <w:szCs w:val="18"/>
          <w:lang w:eastAsia="zh-CN"/>
        </w:rPr>
        <w:t xml:space="preserve"> effectively implemented, including enforcement of restraining orders, </w:t>
      </w:r>
      <w:r w:rsidRPr="002C0BDF">
        <w:rPr>
          <w:rFonts w:eastAsia="SimSun"/>
          <w:b/>
          <w:szCs w:val="18"/>
          <w:lang w:eastAsia="zh-CN"/>
        </w:rPr>
        <w:t xml:space="preserve">adequate access to shelters for immediate physical protection, </w:t>
      </w:r>
      <w:r w:rsidR="00322791" w:rsidRPr="002C0BDF">
        <w:rPr>
          <w:rFonts w:eastAsia="SimSun"/>
          <w:b/>
          <w:szCs w:val="18"/>
          <w:lang w:eastAsia="zh-CN"/>
        </w:rPr>
        <w:t xml:space="preserve">provision of </w:t>
      </w:r>
      <w:r w:rsidRPr="002C0BDF">
        <w:rPr>
          <w:rFonts w:eastAsia="SimSun"/>
          <w:b/>
          <w:szCs w:val="18"/>
          <w:lang w:eastAsia="zh-CN"/>
        </w:rPr>
        <w:t>legal aid and</w:t>
      </w:r>
      <w:r w:rsidR="005636EB" w:rsidRPr="002C0BDF">
        <w:rPr>
          <w:rFonts w:eastAsia="SimSun"/>
          <w:b/>
          <w:szCs w:val="18"/>
          <w:lang w:eastAsia="zh-CN"/>
        </w:rPr>
        <w:t xml:space="preserve"> medical services, </w:t>
      </w:r>
      <w:r w:rsidR="002C142F" w:rsidRPr="002C0BDF">
        <w:rPr>
          <w:rFonts w:eastAsia="SimSun"/>
          <w:b/>
          <w:szCs w:val="18"/>
          <w:lang w:eastAsia="zh-CN"/>
        </w:rPr>
        <w:t>and</w:t>
      </w:r>
      <w:r w:rsidRPr="002C0BDF">
        <w:rPr>
          <w:rFonts w:eastAsia="SimSun"/>
          <w:b/>
          <w:szCs w:val="18"/>
          <w:lang w:eastAsia="zh-CN"/>
        </w:rPr>
        <w:t xml:space="preserve"> remedies and compensation. The Committ</w:t>
      </w:r>
      <w:r w:rsidR="00E956AF" w:rsidRPr="002C0BDF">
        <w:rPr>
          <w:rFonts w:eastAsia="SimSun"/>
          <w:b/>
          <w:szCs w:val="18"/>
          <w:lang w:eastAsia="zh-CN"/>
        </w:rPr>
        <w:t xml:space="preserve">ee also urges the State party to </w:t>
      </w:r>
      <w:r w:rsidR="006F4C13" w:rsidRPr="002C0BDF">
        <w:rPr>
          <w:rFonts w:eastAsia="SimSun"/>
          <w:b/>
          <w:szCs w:val="18"/>
          <w:lang w:eastAsia="zh-CN"/>
        </w:rPr>
        <w:t xml:space="preserve">step up </w:t>
      </w:r>
      <w:r w:rsidR="00E956AF" w:rsidRPr="002C0BDF">
        <w:rPr>
          <w:rFonts w:eastAsia="SimSun"/>
          <w:b/>
          <w:szCs w:val="18"/>
          <w:lang w:eastAsia="zh-CN"/>
        </w:rPr>
        <w:t>it</w:t>
      </w:r>
      <w:r w:rsidR="00322791" w:rsidRPr="002C0BDF">
        <w:rPr>
          <w:rFonts w:eastAsia="SimSun"/>
          <w:b/>
          <w:szCs w:val="18"/>
          <w:lang w:eastAsia="zh-CN"/>
        </w:rPr>
        <w:t>s</w:t>
      </w:r>
      <w:r w:rsidRPr="002C0BDF">
        <w:rPr>
          <w:rFonts w:eastAsia="SimSun"/>
          <w:b/>
          <w:szCs w:val="18"/>
          <w:lang w:eastAsia="zh-CN"/>
        </w:rPr>
        <w:t xml:space="preserve"> public awareness</w:t>
      </w:r>
      <w:r w:rsidR="00E956AF" w:rsidRPr="002C0BDF">
        <w:rPr>
          <w:rFonts w:eastAsia="SimSun"/>
          <w:b/>
          <w:szCs w:val="18"/>
          <w:lang w:eastAsia="zh-CN"/>
        </w:rPr>
        <w:t xml:space="preserve"> measures</w:t>
      </w:r>
      <w:r w:rsidRPr="002C0BDF">
        <w:rPr>
          <w:rFonts w:eastAsia="SimSun"/>
          <w:b/>
          <w:szCs w:val="18"/>
          <w:lang w:eastAsia="zh-CN"/>
        </w:rPr>
        <w:t>, and to provide training to law enforcement officials and judges on the serious and crimi</w:t>
      </w:r>
      <w:r w:rsidR="001D343B" w:rsidRPr="002C0BDF">
        <w:rPr>
          <w:rFonts w:eastAsia="SimSun"/>
          <w:b/>
          <w:szCs w:val="18"/>
          <w:lang w:eastAsia="zh-CN"/>
        </w:rPr>
        <w:t>nal nature of domestic violence, also with a view to imposing commensurate sanctions against perpetrators.</w:t>
      </w:r>
    </w:p>
    <w:p w:rsidR="009D3CD8" w:rsidRPr="002C0BDF" w:rsidRDefault="00FD0A87" w:rsidP="00FD0A87">
      <w:pPr>
        <w:pStyle w:val="H23G"/>
      </w:pPr>
      <w:r w:rsidRPr="002C0BDF">
        <w:tab/>
      </w:r>
      <w:r w:rsidRPr="002C0BDF">
        <w:tab/>
      </w:r>
      <w:r w:rsidR="009D3CD8" w:rsidRPr="002C0BDF">
        <w:t>Standard of living</w:t>
      </w:r>
    </w:p>
    <w:p w:rsidR="009D3CD8" w:rsidRPr="002C0BDF" w:rsidRDefault="009D3CD8" w:rsidP="006F4C13">
      <w:pPr>
        <w:pStyle w:val="SingleTxtG"/>
        <w:numPr>
          <w:ilvl w:val="0"/>
          <w:numId w:val="17"/>
        </w:numPr>
        <w:ind w:left="1134" w:firstLine="1"/>
      </w:pPr>
      <w:r w:rsidRPr="002C0BDF">
        <w:rPr>
          <w:rFonts w:eastAsia="SimSun"/>
          <w:lang w:eastAsia="zh-CN"/>
        </w:rPr>
        <w:t xml:space="preserve">The Committee is concerned about the increasing </w:t>
      </w:r>
      <w:r w:rsidR="00067DD3" w:rsidRPr="002C0BDF">
        <w:rPr>
          <w:rFonts w:eastAsia="SimSun"/>
          <w:lang w:eastAsia="zh-CN"/>
        </w:rPr>
        <w:t>risk</w:t>
      </w:r>
      <w:r w:rsidRPr="002C0BDF">
        <w:rPr>
          <w:rFonts w:eastAsia="SimSun"/>
          <w:lang w:eastAsia="zh-CN"/>
        </w:rPr>
        <w:t xml:space="preserve"> of poverty in the State party, </w:t>
      </w:r>
      <w:r w:rsidR="003B27BC" w:rsidRPr="002C0BDF">
        <w:rPr>
          <w:rFonts w:eastAsia="SimSun"/>
          <w:lang w:eastAsia="zh-CN"/>
        </w:rPr>
        <w:t>faced by especially disadvantaged and marginalized groups such as older persons, including</w:t>
      </w:r>
      <w:r w:rsidRPr="002C0BDF">
        <w:t xml:space="preserve"> pensioners</w:t>
      </w:r>
      <w:r w:rsidR="00327C15" w:rsidRPr="002C0BDF">
        <w:t>,</w:t>
      </w:r>
      <w:r w:rsidRPr="002C0BDF">
        <w:t xml:space="preserve"> women, persons with disa</w:t>
      </w:r>
      <w:r w:rsidR="00E7234B" w:rsidRPr="002C0BDF">
        <w:t>bilities, Roma,</w:t>
      </w:r>
      <w:r w:rsidR="00C82D67" w:rsidRPr="002C0BDF">
        <w:t xml:space="preserve"> </w:t>
      </w:r>
      <w:r w:rsidR="00322791" w:rsidRPr="002C0BDF">
        <w:t>single-parent</w:t>
      </w:r>
      <w:r w:rsidR="00C82D67" w:rsidRPr="002C0BDF">
        <w:t xml:space="preserve"> families</w:t>
      </w:r>
      <w:r w:rsidR="00E7234B" w:rsidRPr="002C0BDF">
        <w:t xml:space="preserve"> and families with only one employed parent</w:t>
      </w:r>
      <w:r w:rsidR="00C82D67" w:rsidRPr="002C0BDF">
        <w:t xml:space="preserve">. The Committee is also concerned at regional disparities in </w:t>
      </w:r>
      <w:r w:rsidR="003B27BC" w:rsidRPr="002C0BDF">
        <w:t>poverty levels</w:t>
      </w:r>
      <w:r w:rsidR="00E7234B" w:rsidRPr="002C0BDF">
        <w:t xml:space="preserve">, with </w:t>
      </w:r>
      <w:r w:rsidR="000D6B52" w:rsidRPr="002C0BDF">
        <w:t xml:space="preserve">the </w:t>
      </w:r>
      <w:r w:rsidR="00E7234B" w:rsidRPr="002C0BDF">
        <w:t>east</w:t>
      </w:r>
      <w:r w:rsidR="000D6B52" w:rsidRPr="002C0BDF">
        <w:t>ern</w:t>
      </w:r>
      <w:r w:rsidR="00E7234B" w:rsidRPr="002C0BDF">
        <w:t xml:space="preserve"> and south-east</w:t>
      </w:r>
      <w:r w:rsidR="000D6B52" w:rsidRPr="002C0BDF">
        <w:t>ern</w:t>
      </w:r>
      <w:r w:rsidR="00E7234B" w:rsidRPr="002C0BDF">
        <w:t xml:space="preserve"> regions being most affected by poverty</w:t>
      </w:r>
      <w:r w:rsidR="00E72895" w:rsidRPr="002C0BDF">
        <w:t xml:space="preserve"> (art. </w:t>
      </w:r>
      <w:r w:rsidRPr="002C0BDF">
        <w:t>11).</w:t>
      </w:r>
    </w:p>
    <w:p w:rsidR="009D3CD8" w:rsidRPr="002C0BDF" w:rsidRDefault="00C82D67" w:rsidP="00A2369C">
      <w:pPr>
        <w:pStyle w:val="SingleTxtG"/>
        <w:rPr>
          <w:b/>
        </w:rPr>
      </w:pPr>
      <w:r w:rsidRPr="002C0BDF">
        <w:rPr>
          <w:b/>
        </w:rPr>
        <w:t>While drawing attention to its statement on poverty and the International Covenant on Economic, Social and Cultural Rights (2001), the Committee recommends that the State party address the increasing</w:t>
      </w:r>
      <w:r w:rsidR="009D3CD8" w:rsidRPr="002C0BDF">
        <w:rPr>
          <w:b/>
        </w:rPr>
        <w:t xml:space="preserve"> </w:t>
      </w:r>
      <w:r w:rsidR="00061002" w:rsidRPr="002C0BDF">
        <w:rPr>
          <w:b/>
        </w:rPr>
        <w:t xml:space="preserve">risk of </w:t>
      </w:r>
      <w:r w:rsidR="009D3CD8" w:rsidRPr="002C0BDF">
        <w:rPr>
          <w:b/>
        </w:rPr>
        <w:t xml:space="preserve">poverty faced in particular by members of </w:t>
      </w:r>
      <w:r w:rsidR="00061002" w:rsidRPr="002C0BDF">
        <w:rPr>
          <w:b/>
        </w:rPr>
        <w:t xml:space="preserve">disadvantaged and </w:t>
      </w:r>
      <w:r w:rsidR="009D3CD8" w:rsidRPr="002C0BDF">
        <w:rPr>
          <w:b/>
        </w:rPr>
        <w:t>marginaliz</w:t>
      </w:r>
      <w:r w:rsidRPr="002C0BDF">
        <w:rPr>
          <w:b/>
        </w:rPr>
        <w:t>ed groups, and</w:t>
      </w:r>
      <w:r w:rsidR="009D3CD8" w:rsidRPr="002C0BDF">
        <w:rPr>
          <w:b/>
        </w:rPr>
        <w:t xml:space="preserve"> </w:t>
      </w:r>
      <w:r w:rsidR="00CA4FAA" w:rsidRPr="002C0BDF">
        <w:rPr>
          <w:b/>
        </w:rPr>
        <w:t>effectively implement</w:t>
      </w:r>
      <w:r w:rsidR="00C309CA" w:rsidRPr="002C0BDF">
        <w:rPr>
          <w:b/>
        </w:rPr>
        <w:t xml:space="preserve"> </w:t>
      </w:r>
      <w:r w:rsidR="006F4C13" w:rsidRPr="002C0BDF">
        <w:rPr>
          <w:b/>
        </w:rPr>
        <w:t xml:space="preserve">a </w:t>
      </w:r>
      <w:r w:rsidR="00C309CA" w:rsidRPr="002C0BDF">
        <w:rPr>
          <w:b/>
        </w:rPr>
        <w:t>social protection</w:t>
      </w:r>
      <w:r w:rsidR="00CA4FAA" w:rsidRPr="002C0BDF">
        <w:rPr>
          <w:b/>
        </w:rPr>
        <w:t xml:space="preserve"> strategy</w:t>
      </w:r>
      <w:r w:rsidR="00C309CA" w:rsidRPr="002C0BDF">
        <w:rPr>
          <w:b/>
        </w:rPr>
        <w:t xml:space="preserve"> with the aim</w:t>
      </w:r>
      <w:r w:rsidRPr="002C0BDF">
        <w:rPr>
          <w:b/>
        </w:rPr>
        <w:t xml:space="preserve"> </w:t>
      </w:r>
      <w:r w:rsidR="00A2369C" w:rsidRPr="002C0BDF">
        <w:rPr>
          <w:b/>
        </w:rPr>
        <w:t xml:space="preserve">of </w:t>
      </w:r>
      <w:r w:rsidR="00CA4FAA" w:rsidRPr="002C0BDF">
        <w:rPr>
          <w:b/>
        </w:rPr>
        <w:t xml:space="preserve">better </w:t>
      </w:r>
      <w:r w:rsidRPr="002C0BDF">
        <w:rPr>
          <w:b/>
        </w:rPr>
        <w:t>address</w:t>
      </w:r>
      <w:r w:rsidR="00D5256B" w:rsidRPr="002C0BDF">
        <w:rPr>
          <w:b/>
        </w:rPr>
        <w:t>ing</w:t>
      </w:r>
      <w:r w:rsidRPr="002C0BDF">
        <w:rPr>
          <w:b/>
        </w:rPr>
        <w:t xml:space="preserve"> the regional disparities </w:t>
      </w:r>
      <w:r w:rsidR="008C2F21" w:rsidRPr="002C0BDF">
        <w:rPr>
          <w:b/>
        </w:rPr>
        <w:t xml:space="preserve">in poverty levels </w:t>
      </w:r>
      <w:r w:rsidRPr="002C0BDF">
        <w:rPr>
          <w:b/>
        </w:rPr>
        <w:t>that affect th</w:t>
      </w:r>
      <w:r w:rsidR="00C309CA" w:rsidRPr="002C0BDF">
        <w:rPr>
          <w:b/>
        </w:rPr>
        <w:t xml:space="preserve">e equal enjoyment of the Covenant’s </w:t>
      </w:r>
      <w:r w:rsidRPr="002C0BDF">
        <w:rPr>
          <w:b/>
        </w:rPr>
        <w:t>rights</w:t>
      </w:r>
      <w:r w:rsidR="00CA4FAA" w:rsidRPr="002C0BDF">
        <w:rPr>
          <w:b/>
        </w:rPr>
        <w:t>.</w:t>
      </w:r>
      <w:r w:rsidR="009D3CD8" w:rsidRPr="002C0BDF">
        <w:rPr>
          <w:b/>
        </w:rPr>
        <w:t xml:space="preserve"> </w:t>
      </w:r>
    </w:p>
    <w:p w:rsidR="00541FF7" w:rsidRPr="002C0BDF" w:rsidRDefault="00FD0A87" w:rsidP="00A2369C">
      <w:pPr>
        <w:pStyle w:val="H23G"/>
      </w:pPr>
      <w:r w:rsidRPr="002C0BDF">
        <w:tab/>
      </w:r>
      <w:r w:rsidRPr="002C0BDF">
        <w:tab/>
      </w:r>
      <w:r w:rsidR="00775A90" w:rsidRPr="002C0BDF">
        <w:t xml:space="preserve">Adequate </w:t>
      </w:r>
      <w:r w:rsidR="00A2369C" w:rsidRPr="002C0BDF">
        <w:t>h</w:t>
      </w:r>
      <w:r w:rsidR="00775A90" w:rsidRPr="002C0BDF">
        <w:t>ousing</w:t>
      </w:r>
      <w:r w:rsidR="0028193C" w:rsidRPr="002C0BDF">
        <w:t xml:space="preserve"> for Roma</w:t>
      </w:r>
      <w:r w:rsidR="00775A90" w:rsidRPr="002C0BDF">
        <w:t xml:space="preserve"> </w:t>
      </w:r>
    </w:p>
    <w:p w:rsidR="00541FF7" w:rsidRPr="002C0BDF" w:rsidRDefault="00541FF7" w:rsidP="004E33C2">
      <w:pPr>
        <w:pStyle w:val="SingleTxtG"/>
        <w:numPr>
          <w:ilvl w:val="0"/>
          <w:numId w:val="17"/>
        </w:numPr>
        <w:tabs>
          <w:tab w:val="left" w:pos="1701"/>
        </w:tabs>
        <w:ind w:left="1134" w:firstLine="0"/>
      </w:pPr>
      <w:r w:rsidRPr="002C0BDF">
        <w:t xml:space="preserve">The Committee is concerned that only </w:t>
      </w:r>
      <w:r w:rsidR="00061002" w:rsidRPr="002C0BDF">
        <w:t xml:space="preserve">about </w:t>
      </w:r>
      <w:r w:rsidRPr="002C0BDF">
        <w:t xml:space="preserve">one third of Roma settlements are legalized, </w:t>
      </w:r>
      <w:r w:rsidR="004E33C2" w:rsidRPr="002C0BDF">
        <w:t>meaning</w:t>
      </w:r>
      <w:r w:rsidR="00061002" w:rsidRPr="002C0BDF">
        <w:t xml:space="preserve"> that </w:t>
      </w:r>
      <w:r w:rsidR="00327C15" w:rsidRPr="002C0BDF">
        <w:t>the majority of Roma who live</w:t>
      </w:r>
      <w:r w:rsidR="00061002" w:rsidRPr="002C0BDF">
        <w:t xml:space="preserve"> in informal settlements are vulnerable to</w:t>
      </w:r>
      <w:r w:rsidRPr="002C0BDF">
        <w:t xml:space="preserve"> forced eviction, including in </w:t>
      </w:r>
      <w:proofErr w:type="spellStart"/>
      <w:r w:rsidRPr="002C0BDF">
        <w:t>Trata</w:t>
      </w:r>
      <w:proofErr w:type="spellEnd"/>
      <w:r w:rsidRPr="002C0BDF">
        <w:t xml:space="preserve"> </w:t>
      </w:r>
      <w:proofErr w:type="spellStart"/>
      <w:r w:rsidRPr="002C0BDF">
        <w:t>pri</w:t>
      </w:r>
      <w:proofErr w:type="spellEnd"/>
      <w:r w:rsidRPr="002C0BDF">
        <w:t xml:space="preserve"> </w:t>
      </w:r>
      <w:proofErr w:type="spellStart"/>
      <w:r w:rsidRPr="002C0BDF">
        <w:t>b</w:t>
      </w:r>
      <w:r w:rsidR="00775A90" w:rsidRPr="002C0BDF">
        <w:t>e</w:t>
      </w:r>
      <w:r w:rsidRPr="002C0BDF">
        <w:t>tonarni</w:t>
      </w:r>
      <w:proofErr w:type="spellEnd"/>
      <w:r w:rsidRPr="002C0BDF">
        <w:t xml:space="preserve">, </w:t>
      </w:r>
      <w:proofErr w:type="spellStart"/>
      <w:r w:rsidRPr="002C0BDF">
        <w:t>Mestni</w:t>
      </w:r>
      <w:proofErr w:type="spellEnd"/>
      <w:r w:rsidRPr="002C0BDF">
        <w:t xml:space="preserve"> </w:t>
      </w:r>
      <w:r w:rsidR="00775A90" w:rsidRPr="002C0BDF">
        <w:t>L</w:t>
      </w:r>
      <w:r w:rsidRPr="002C0BDF">
        <w:t xml:space="preserve">og, </w:t>
      </w:r>
      <w:proofErr w:type="spellStart"/>
      <w:r w:rsidRPr="002C0BDF">
        <w:t>Loke</w:t>
      </w:r>
      <w:proofErr w:type="spellEnd"/>
      <w:r w:rsidRPr="002C0BDF">
        <w:t xml:space="preserve"> and </w:t>
      </w:r>
      <w:proofErr w:type="spellStart"/>
      <w:r w:rsidRPr="002C0BDF">
        <w:t>Dobruska</w:t>
      </w:r>
      <w:proofErr w:type="spellEnd"/>
      <w:r w:rsidRPr="002C0BDF">
        <w:t xml:space="preserve"> settlements. The Committee is further concerned that </w:t>
      </w:r>
      <w:r w:rsidR="00061002" w:rsidRPr="002C0BDF">
        <w:t>Roma</w:t>
      </w:r>
      <w:r w:rsidRPr="002C0BDF">
        <w:t xml:space="preserve"> living in i</w:t>
      </w:r>
      <w:r w:rsidR="00061002" w:rsidRPr="002C0BDF">
        <w:t>nformal</w:t>
      </w:r>
      <w:r w:rsidRPr="002C0BDF">
        <w:t xml:space="preserve"> settlements cannot obtain access to </w:t>
      </w:r>
      <w:r w:rsidR="00061002" w:rsidRPr="002C0BDF">
        <w:t>basic services such as water, electricity and sanitation</w:t>
      </w:r>
      <w:r w:rsidR="00D251AA" w:rsidRPr="002C0BDF">
        <w:t>.</w:t>
      </w:r>
      <w:r w:rsidRPr="002C0BDF">
        <w:t xml:space="preserve"> </w:t>
      </w:r>
      <w:r w:rsidR="005253B2" w:rsidRPr="002C0BDF">
        <w:t xml:space="preserve">In addition the Committee expresses its concern that most Roma live in segregated areas </w:t>
      </w:r>
      <w:r w:rsidR="00C001A9" w:rsidRPr="002C0BDF">
        <w:t>characteri</w:t>
      </w:r>
      <w:r w:rsidR="004E33C2" w:rsidRPr="002C0BDF">
        <w:t>z</w:t>
      </w:r>
      <w:r w:rsidR="00C001A9" w:rsidRPr="002C0BDF">
        <w:t xml:space="preserve">ed by </w:t>
      </w:r>
      <w:r w:rsidR="00061002" w:rsidRPr="002C0BDF">
        <w:t>substandard housing</w:t>
      </w:r>
      <w:r w:rsidR="00C001A9" w:rsidRPr="002C0BDF">
        <w:t xml:space="preserve">, </w:t>
      </w:r>
      <w:r w:rsidR="005253B2" w:rsidRPr="002C0BDF">
        <w:t xml:space="preserve">and encounter discrimination </w:t>
      </w:r>
      <w:r w:rsidR="00C001A9" w:rsidRPr="002C0BDF">
        <w:t>when trying to buy</w:t>
      </w:r>
      <w:r w:rsidR="005E13AC" w:rsidRPr="002C0BDF">
        <w:t xml:space="preserve"> or rent housing in other areas</w:t>
      </w:r>
      <w:r w:rsidR="00C001A9" w:rsidRPr="002C0BDF">
        <w:t xml:space="preserve"> </w:t>
      </w:r>
      <w:r w:rsidR="00E72895" w:rsidRPr="002C0BDF">
        <w:t>(arts. </w:t>
      </w:r>
      <w:r w:rsidRPr="002C0BDF">
        <w:t>2</w:t>
      </w:r>
      <w:r w:rsidR="004E33C2" w:rsidRPr="002C0BDF">
        <w:t xml:space="preserve">, para. </w:t>
      </w:r>
      <w:r w:rsidRPr="002C0BDF">
        <w:t>2, 11 and 12)</w:t>
      </w:r>
      <w:r w:rsidR="005E13AC" w:rsidRPr="002C0BDF">
        <w:t>.</w:t>
      </w:r>
    </w:p>
    <w:p w:rsidR="00C001A9" w:rsidRPr="002C0BDF" w:rsidRDefault="00541FF7" w:rsidP="00541FF7">
      <w:pPr>
        <w:pStyle w:val="SingleTxtG"/>
        <w:rPr>
          <w:b/>
        </w:rPr>
      </w:pPr>
      <w:r w:rsidRPr="002C0BDF">
        <w:rPr>
          <w:b/>
        </w:rPr>
        <w:t>The Committee recommends that the State party, while taking into account its general comment</w:t>
      </w:r>
      <w:r w:rsidR="00E72895" w:rsidRPr="002C0BDF">
        <w:rPr>
          <w:b/>
        </w:rPr>
        <w:t xml:space="preserve"> No. </w:t>
      </w:r>
      <w:r w:rsidRPr="002C0BDF">
        <w:rPr>
          <w:b/>
        </w:rPr>
        <w:t>4 (1991) on the right to adequate housing</w:t>
      </w:r>
      <w:r w:rsidR="00D73CEE" w:rsidRPr="002C0BDF">
        <w:rPr>
          <w:b/>
        </w:rPr>
        <w:t>:</w:t>
      </w:r>
      <w:r w:rsidR="00446FD6" w:rsidRPr="002C0BDF">
        <w:rPr>
          <w:b/>
        </w:rPr>
        <w:t xml:space="preserve"> </w:t>
      </w:r>
    </w:p>
    <w:p w:rsidR="00C001A9" w:rsidRPr="002C0BDF" w:rsidRDefault="00E72895" w:rsidP="00E72895">
      <w:pPr>
        <w:pStyle w:val="SingleTxtG"/>
        <w:ind w:firstLine="567"/>
        <w:rPr>
          <w:b/>
        </w:rPr>
      </w:pPr>
      <w:r w:rsidRPr="002C0BDF">
        <w:rPr>
          <w:b/>
        </w:rPr>
        <w:t>(a)</w:t>
      </w:r>
      <w:r w:rsidRPr="002C0BDF">
        <w:rPr>
          <w:b/>
        </w:rPr>
        <w:tab/>
      </w:r>
      <w:r w:rsidR="00C001A9" w:rsidRPr="002C0BDF">
        <w:rPr>
          <w:b/>
        </w:rPr>
        <w:t>P</w:t>
      </w:r>
      <w:r w:rsidR="00541FF7" w:rsidRPr="002C0BDF">
        <w:rPr>
          <w:b/>
        </w:rPr>
        <w:t>rioritize the legalization of Roma settlements,</w:t>
      </w:r>
      <w:r w:rsidR="006306CE" w:rsidRPr="002C0BDF">
        <w:rPr>
          <w:b/>
        </w:rPr>
        <w:t xml:space="preserve"> or work out</w:t>
      </w:r>
      <w:r w:rsidR="00541FF7" w:rsidRPr="002C0BDF">
        <w:rPr>
          <w:b/>
        </w:rPr>
        <w:t xml:space="preserve"> other solutions in </w:t>
      </w:r>
      <w:r w:rsidR="007C6846" w:rsidRPr="002C0BDF">
        <w:rPr>
          <w:b/>
        </w:rPr>
        <w:t xml:space="preserve">genuine </w:t>
      </w:r>
      <w:r w:rsidR="00541FF7" w:rsidRPr="002C0BDF">
        <w:rPr>
          <w:b/>
        </w:rPr>
        <w:t xml:space="preserve">consultation with the </w:t>
      </w:r>
      <w:r w:rsidR="006306CE" w:rsidRPr="002C0BDF">
        <w:rPr>
          <w:b/>
        </w:rPr>
        <w:t>Roma</w:t>
      </w:r>
      <w:r w:rsidR="00C001A9" w:rsidRPr="002C0BDF">
        <w:rPr>
          <w:b/>
        </w:rPr>
        <w:t xml:space="preserve"> communities</w:t>
      </w:r>
      <w:r w:rsidR="00701E96" w:rsidRPr="002C0BDF">
        <w:rPr>
          <w:b/>
        </w:rPr>
        <w:t xml:space="preserve"> concerned</w:t>
      </w:r>
      <w:r w:rsidR="00C001A9" w:rsidRPr="002C0BDF">
        <w:rPr>
          <w:b/>
        </w:rPr>
        <w:t>;</w:t>
      </w:r>
    </w:p>
    <w:p w:rsidR="00FA6AF4" w:rsidRPr="002C0BDF" w:rsidRDefault="00E72895" w:rsidP="00701E96">
      <w:pPr>
        <w:pStyle w:val="SingleTxtG"/>
        <w:ind w:firstLine="567"/>
        <w:rPr>
          <w:b/>
        </w:rPr>
      </w:pPr>
      <w:r w:rsidRPr="002C0BDF">
        <w:rPr>
          <w:b/>
        </w:rPr>
        <w:t>(b)</w:t>
      </w:r>
      <w:r w:rsidRPr="002C0BDF">
        <w:rPr>
          <w:b/>
        </w:rPr>
        <w:tab/>
      </w:r>
      <w:r w:rsidR="006306CE" w:rsidRPr="002C0BDF">
        <w:rPr>
          <w:b/>
        </w:rPr>
        <w:t>P</w:t>
      </w:r>
      <w:r w:rsidR="00D73CEE" w:rsidRPr="002C0BDF">
        <w:rPr>
          <w:b/>
        </w:rPr>
        <w:t xml:space="preserve">ursue </w:t>
      </w:r>
      <w:r w:rsidR="006306CE" w:rsidRPr="002C0BDF">
        <w:rPr>
          <w:b/>
        </w:rPr>
        <w:t xml:space="preserve">its </w:t>
      </w:r>
      <w:r w:rsidR="00D73CEE" w:rsidRPr="002C0BDF">
        <w:rPr>
          <w:b/>
        </w:rPr>
        <w:t>commitment</w:t>
      </w:r>
      <w:r w:rsidR="00701E96" w:rsidRPr="002C0BDF">
        <w:rPr>
          <w:b/>
        </w:rPr>
        <w:t>,</w:t>
      </w:r>
      <w:r w:rsidR="00D73CEE" w:rsidRPr="002C0BDF">
        <w:rPr>
          <w:b/>
        </w:rPr>
        <w:t xml:space="preserve"> as indicated during the dialogue</w:t>
      </w:r>
      <w:r w:rsidR="00327C15" w:rsidRPr="002C0BDF">
        <w:rPr>
          <w:b/>
        </w:rPr>
        <w:t>,</w:t>
      </w:r>
      <w:r w:rsidR="00D73CEE" w:rsidRPr="002C0BDF">
        <w:rPr>
          <w:b/>
        </w:rPr>
        <w:t xml:space="preserve"> not to </w:t>
      </w:r>
      <w:r w:rsidR="00FA6AF4" w:rsidRPr="002C0BDF">
        <w:rPr>
          <w:b/>
        </w:rPr>
        <w:t>carry out forced evictions</w:t>
      </w:r>
      <w:r w:rsidR="00D73CEE" w:rsidRPr="002C0BDF">
        <w:rPr>
          <w:b/>
        </w:rPr>
        <w:t xml:space="preserve"> of Roma</w:t>
      </w:r>
      <w:r w:rsidR="00FA6AF4" w:rsidRPr="002C0BDF">
        <w:rPr>
          <w:b/>
        </w:rPr>
        <w:t xml:space="preserve">, </w:t>
      </w:r>
      <w:r w:rsidR="006306CE" w:rsidRPr="002C0BDF">
        <w:rPr>
          <w:b/>
        </w:rPr>
        <w:t xml:space="preserve">and enact legislation </w:t>
      </w:r>
      <w:r w:rsidR="00327C15" w:rsidRPr="002C0BDF">
        <w:rPr>
          <w:b/>
        </w:rPr>
        <w:t>governing</w:t>
      </w:r>
      <w:r w:rsidR="006306CE" w:rsidRPr="002C0BDF">
        <w:rPr>
          <w:b/>
        </w:rPr>
        <w:t xml:space="preserve"> forced evictions </w:t>
      </w:r>
      <w:r w:rsidR="00327C15" w:rsidRPr="002C0BDF">
        <w:rPr>
          <w:b/>
        </w:rPr>
        <w:t>which</w:t>
      </w:r>
      <w:r w:rsidR="006306CE" w:rsidRPr="002C0BDF">
        <w:rPr>
          <w:b/>
        </w:rPr>
        <w:t xml:space="preserve"> compl</w:t>
      </w:r>
      <w:r w:rsidR="00327C15" w:rsidRPr="002C0BDF">
        <w:rPr>
          <w:b/>
        </w:rPr>
        <w:t>ies</w:t>
      </w:r>
      <w:r w:rsidR="006306CE" w:rsidRPr="002C0BDF">
        <w:rPr>
          <w:b/>
        </w:rPr>
        <w:t xml:space="preserve"> with international standards and</w:t>
      </w:r>
      <w:r w:rsidR="00102A22" w:rsidRPr="002C0BDF">
        <w:rPr>
          <w:b/>
        </w:rPr>
        <w:t xml:space="preserve"> </w:t>
      </w:r>
      <w:r w:rsidR="00701E96" w:rsidRPr="002C0BDF">
        <w:rPr>
          <w:b/>
        </w:rPr>
        <w:t>is</w:t>
      </w:r>
      <w:r w:rsidR="006306CE" w:rsidRPr="002C0BDF">
        <w:rPr>
          <w:b/>
        </w:rPr>
        <w:t xml:space="preserve"> in</w:t>
      </w:r>
      <w:r w:rsidR="00102A22" w:rsidRPr="002C0BDF">
        <w:rPr>
          <w:b/>
        </w:rPr>
        <w:t xml:space="preserve"> </w:t>
      </w:r>
      <w:r w:rsidR="006306CE" w:rsidRPr="002C0BDF">
        <w:rPr>
          <w:b/>
        </w:rPr>
        <w:t>line with the Committee’s general comment No.</w:t>
      </w:r>
      <w:r w:rsidRPr="002C0BDF">
        <w:rPr>
          <w:b/>
        </w:rPr>
        <w:t> </w:t>
      </w:r>
      <w:r w:rsidR="006306CE" w:rsidRPr="002C0BDF">
        <w:rPr>
          <w:b/>
        </w:rPr>
        <w:t>7(1997) on forced evictions</w:t>
      </w:r>
      <w:r w:rsidR="00FA6AF4" w:rsidRPr="002C0BDF">
        <w:rPr>
          <w:b/>
        </w:rPr>
        <w:t>;</w:t>
      </w:r>
      <w:r w:rsidR="0051579C" w:rsidRPr="002C0BDF">
        <w:rPr>
          <w:b/>
        </w:rPr>
        <w:t xml:space="preserve"> </w:t>
      </w:r>
    </w:p>
    <w:p w:rsidR="00541FF7" w:rsidRPr="002C0BDF" w:rsidRDefault="00E72895" w:rsidP="00B80410">
      <w:pPr>
        <w:pStyle w:val="SingleTxtG"/>
        <w:ind w:firstLine="567"/>
        <w:rPr>
          <w:b/>
        </w:rPr>
      </w:pPr>
      <w:r w:rsidRPr="002C0BDF">
        <w:rPr>
          <w:b/>
        </w:rPr>
        <w:t>(c)</w:t>
      </w:r>
      <w:r w:rsidRPr="002C0BDF">
        <w:rPr>
          <w:b/>
        </w:rPr>
        <w:tab/>
      </w:r>
      <w:r w:rsidR="0051579C" w:rsidRPr="002C0BDF">
        <w:rPr>
          <w:b/>
        </w:rPr>
        <w:t xml:space="preserve">Ensure </w:t>
      </w:r>
      <w:r w:rsidR="00541FF7" w:rsidRPr="002C0BDF">
        <w:rPr>
          <w:b/>
        </w:rPr>
        <w:t xml:space="preserve">that Roma communities in </w:t>
      </w:r>
      <w:r w:rsidR="006306CE" w:rsidRPr="002C0BDF">
        <w:rPr>
          <w:b/>
        </w:rPr>
        <w:t xml:space="preserve">informal </w:t>
      </w:r>
      <w:r w:rsidR="00541FF7" w:rsidRPr="002C0BDF">
        <w:rPr>
          <w:b/>
        </w:rPr>
        <w:t>settlements enjoy access to basic services, such as wat</w:t>
      </w:r>
      <w:r w:rsidR="0051579C" w:rsidRPr="002C0BDF">
        <w:rPr>
          <w:b/>
        </w:rPr>
        <w:t>er, electricity and sanitation</w:t>
      </w:r>
      <w:r w:rsidR="00D251AA" w:rsidRPr="002C0BDF">
        <w:rPr>
          <w:b/>
        </w:rPr>
        <w:t>, in accordance</w:t>
      </w:r>
      <w:r w:rsidR="008838AC" w:rsidRPr="002C0BDF">
        <w:rPr>
          <w:b/>
        </w:rPr>
        <w:t>, inter alia,</w:t>
      </w:r>
      <w:r w:rsidR="00D251AA" w:rsidRPr="002C0BDF">
        <w:rPr>
          <w:b/>
        </w:rPr>
        <w:t xml:space="preserve"> with </w:t>
      </w:r>
      <w:r w:rsidR="00521E2D" w:rsidRPr="002C0BDF">
        <w:rPr>
          <w:b/>
        </w:rPr>
        <w:t>the recommendations set forth by the Governmental Commission on Roma</w:t>
      </w:r>
      <w:r w:rsidR="00D473AB" w:rsidRPr="002C0BDF">
        <w:rPr>
          <w:b/>
        </w:rPr>
        <w:t xml:space="preserve"> </w:t>
      </w:r>
      <w:r w:rsidR="00346EC8" w:rsidRPr="002C0BDF">
        <w:rPr>
          <w:b/>
        </w:rPr>
        <w:t xml:space="preserve">in </w:t>
      </w:r>
      <w:r w:rsidR="00521E2D" w:rsidRPr="002C0BDF">
        <w:rPr>
          <w:b/>
        </w:rPr>
        <w:t>2011</w:t>
      </w:r>
      <w:r w:rsidR="00F46563" w:rsidRPr="002C0BDF">
        <w:rPr>
          <w:b/>
        </w:rPr>
        <w:t>,</w:t>
      </w:r>
      <w:r w:rsidR="00521E2D" w:rsidRPr="002C0BDF">
        <w:rPr>
          <w:b/>
        </w:rPr>
        <w:t xml:space="preserve"> </w:t>
      </w:r>
      <w:r w:rsidR="00F46563" w:rsidRPr="002C0BDF">
        <w:rPr>
          <w:b/>
        </w:rPr>
        <w:t xml:space="preserve">which </w:t>
      </w:r>
      <w:r w:rsidR="00521E2D" w:rsidRPr="002C0BDF">
        <w:rPr>
          <w:b/>
        </w:rPr>
        <w:t>requested municipalities to provide water to Roma;</w:t>
      </w:r>
    </w:p>
    <w:p w:rsidR="00DF7EC4" w:rsidRPr="002C0BDF" w:rsidRDefault="00E72895" w:rsidP="00F46563">
      <w:pPr>
        <w:pStyle w:val="SingleTxtG"/>
        <w:ind w:firstLine="567"/>
        <w:rPr>
          <w:b/>
        </w:rPr>
      </w:pPr>
      <w:r w:rsidRPr="002C0BDF">
        <w:rPr>
          <w:b/>
        </w:rPr>
        <w:t>(d)</w:t>
      </w:r>
      <w:r w:rsidRPr="002C0BDF">
        <w:rPr>
          <w:b/>
        </w:rPr>
        <w:tab/>
      </w:r>
      <w:r w:rsidR="00C001A9" w:rsidRPr="002C0BDF">
        <w:rPr>
          <w:b/>
        </w:rPr>
        <w:t>Take effective measures to end segre</w:t>
      </w:r>
      <w:r w:rsidR="00DF7EC4" w:rsidRPr="002C0BDF">
        <w:rPr>
          <w:b/>
        </w:rPr>
        <w:t>gation of Roma communities</w:t>
      </w:r>
      <w:r w:rsidR="009A24ED" w:rsidRPr="002C0BDF">
        <w:rPr>
          <w:b/>
        </w:rPr>
        <w:t xml:space="preserve">, and prevent acts </w:t>
      </w:r>
      <w:r w:rsidR="00C001A9" w:rsidRPr="002C0BDF">
        <w:rPr>
          <w:b/>
        </w:rPr>
        <w:t xml:space="preserve">of discrimination </w:t>
      </w:r>
      <w:r w:rsidR="00446FD6" w:rsidRPr="002C0BDF">
        <w:rPr>
          <w:b/>
        </w:rPr>
        <w:t xml:space="preserve">against Roma attempting to buy or rent housing outside their segregated areas, </w:t>
      </w:r>
    </w:p>
    <w:p w:rsidR="00C001A9" w:rsidRPr="002C0BDF" w:rsidRDefault="00E72895" w:rsidP="00E72895">
      <w:pPr>
        <w:pStyle w:val="SingleTxtG"/>
        <w:ind w:firstLine="567"/>
        <w:rPr>
          <w:b/>
        </w:rPr>
      </w:pPr>
      <w:r w:rsidRPr="002C0BDF">
        <w:rPr>
          <w:b/>
        </w:rPr>
        <w:t>(e)</w:t>
      </w:r>
      <w:r w:rsidRPr="002C0BDF">
        <w:rPr>
          <w:b/>
        </w:rPr>
        <w:tab/>
      </w:r>
      <w:r w:rsidR="00DF7EC4" w:rsidRPr="002C0BDF">
        <w:rPr>
          <w:b/>
        </w:rPr>
        <w:t>F</w:t>
      </w:r>
      <w:r w:rsidR="00446FD6" w:rsidRPr="002C0BDF">
        <w:rPr>
          <w:b/>
        </w:rPr>
        <w:t xml:space="preserve">acilitate </w:t>
      </w:r>
      <w:r w:rsidR="0051579C" w:rsidRPr="002C0BDF">
        <w:rPr>
          <w:b/>
        </w:rPr>
        <w:t xml:space="preserve">access </w:t>
      </w:r>
      <w:r w:rsidR="00446FD6" w:rsidRPr="002C0BDF">
        <w:rPr>
          <w:b/>
        </w:rPr>
        <w:t>to social housing</w:t>
      </w:r>
      <w:r w:rsidR="00203274" w:rsidRPr="002C0BDF">
        <w:rPr>
          <w:b/>
        </w:rPr>
        <w:t xml:space="preserve"> for </w:t>
      </w:r>
      <w:r w:rsidR="0051579C" w:rsidRPr="002C0BDF">
        <w:rPr>
          <w:b/>
        </w:rPr>
        <w:t>Roma</w:t>
      </w:r>
      <w:r w:rsidR="00446FD6" w:rsidRPr="002C0BDF">
        <w:rPr>
          <w:b/>
        </w:rPr>
        <w:t>.</w:t>
      </w:r>
      <w:r w:rsidR="00D473AB" w:rsidRPr="002C0BDF">
        <w:rPr>
          <w:b/>
        </w:rPr>
        <w:t xml:space="preserve"> </w:t>
      </w:r>
    </w:p>
    <w:p w:rsidR="00E16825" w:rsidRPr="002C0BDF" w:rsidRDefault="00FD0A87" w:rsidP="00FD0A87">
      <w:pPr>
        <w:pStyle w:val="H23G"/>
      </w:pPr>
      <w:r w:rsidRPr="002C0BDF">
        <w:tab/>
      </w:r>
      <w:r w:rsidRPr="002C0BDF">
        <w:tab/>
      </w:r>
      <w:r w:rsidR="00E16825" w:rsidRPr="002C0BDF">
        <w:t xml:space="preserve">Access to </w:t>
      </w:r>
      <w:r w:rsidR="00690887" w:rsidRPr="002C0BDF">
        <w:t xml:space="preserve">social </w:t>
      </w:r>
      <w:r w:rsidR="00E16825" w:rsidRPr="002C0BDF">
        <w:t>housing</w:t>
      </w:r>
      <w:r w:rsidR="006306CE" w:rsidRPr="002C0BDF">
        <w:t xml:space="preserve"> and housing for persons with disabilities</w:t>
      </w:r>
      <w:r w:rsidR="00E16825" w:rsidRPr="002C0BDF">
        <w:t xml:space="preserve"> </w:t>
      </w:r>
    </w:p>
    <w:p w:rsidR="00690887" w:rsidRPr="002C0BDF" w:rsidRDefault="00EF44C3" w:rsidP="000D1BA3">
      <w:pPr>
        <w:pStyle w:val="SingleTxtG"/>
        <w:numPr>
          <w:ilvl w:val="0"/>
          <w:numId w:val="17"/>
        </w:numPr>
        <w:tabs>
          <w:tab w:val="left" w:pos="1701"/>
        </w:tabs>
        <w:ind w:left="1134" w:firstLine="0"/>
      </w:pPr>
      <w:r w:rsidRPr="002C0BDF">
        <w:t>The Committee is concerned that</w:t>
      </w:r>
      <w:r w:rsidR="00F46563" w:rsidRPr="002C0BDF">
        <w:t>,</w:t>
      </w:r>
      <w:r w:rsidRPr="002C0BDF">
        <w:t xml:space="preserve"> under the Housing Act, </w:t>
      </w:r>
      <w:r w:rsidR="000D1BA3" w:rsidRPr="002C0BDF">
        <w:t>citizens</w:t>
      </w:r>
      <w:r w:rsidR="00521E2D" w:rsidRPr="002C0BDF">
        <w:t xml:space="preserve"> of</w:t>
      </w:r>
      <w:r w:rsidR="00847BE5" w:rsidRPr="002C0BDF">
        <w:t xml:space="preserve"> no</w:t>
      </w:r>
      <w:r w:rsidR="00D5256B" w:rsidRPr="002C0BDF">
        <w:t>n-European countries are</w:t>
      </w:r>
      <w:r w:rsidR="00EA32A0" w:rsidRPr="002C0BDF">
        <w:t xml:space="preserve"> not eligible</w:t>
      </w:r>
      <w:r w:rsidR="00102A22" w:rsidRPr="002C0BDF">
        <w:t xml:space="preserve"> </w:t>
      </w:r>
      <w:r w:rsidR="00690887" w:rsidRPr="002C0BDF">
        <w:t>to</w:t>
      </w:r>
      <w:r w:rsidR="00EA32A0" w:rsidRPr="002C0BDF">
        <w:t xml:space="preserve"> access</w:t>
      </w:r>
      <w:r w:rsidR="00690887" w:rsidRPr="002C0BDF">
        <w:t xml:space="preserve"> social housing in the State party</w:t>
      </w:r>
      <w:r w:rsidR="000D1BA3" w:rsidRPr="002C0BDF">
        <w:t xml:space="preserve">, and that in practice </w:t>
      </w:r>
      <w:r w:rsidR="00A646F9" w:rsidRPr="002C0BDF">
        <w:t xml:space="preserve">refugees </w:t>
      </w:r>
      <w:r w:rsidR="000D1BA3" w:rsidRPr="002C0BDF">
        <w:t>do not enjoy access to social housing</w:t>
      </w:r>
      <w:r w:rsidR="005D2B8A" w:rsidRPr="002C0BDF">
        <w:t>.</w:t>
      </w:r>
      <w:r w:rsidR="005E13AC" w:rsidRPr="002C0BDF">
        <w:t xml:space="preserve"> </w:t>
      </w:r>
      <w:r w:rsidR="005D2B8A" w:rsidRPr="002C0BDF">
        <w:t>The Committee also expresses its concern that</w:t>
      </w:r>
      <w:r w:rsidR="008A0E79" w:rsidRPr="002C0BDF">
        <w:t>,</w:t>
      </w:r>
      <w:r w:rsidR="005D2B8A" w:rsidRPr="002C0BDF">
        <w:t xml:space="preserve"> </w:t>
      </w:r>
      <w:r w:rsidR="00A646F9" w:rsidRPr="002C0BDF">
        <w:t xml:space="preserve">owing </w:t>
      </w:r>
      <w:r w:rsidR="005D2B8A" w:rsidRPr="002C0BDF">
        <w:t xml:space="preserve">to insufficient accessible housing available for persons with disabilities, they are often placed in institutions </w:t>
      </w:r>
      <w:r w:rsidR="00690887" w:rsidRPr="002C0BDF">
        <w:t>(arts</w:t>
      </w:r>
      <w:r w:rsidR="00E72895" w:rsidRPr="002C0BDF">
        <w:t>. </w:t>
      </w:r>
      <w:r w:rsidR="00690887" w:rsidRPr="002C0BDF">
        <w:t>2</w:t>
      </w:r>
      <w:r w:rsidR="008A0E79" w:rsidRPr="002C0BDF">
        <w:t xml:space="preserve">, para. </w:t>
      </w:r>
      <w:r w:rsidR="00690887" w:rsidRPr="002C0BDF">
        <w:t>2</w:t>
      </w:r>
      <w:r w:rsidR="008A0E79" w:rsidRPr="002C0BDF">
        <w:t>,</w:t>
      </w:r>
      <w:r w:rsidR="00690887" w:rsidRPr="002C0BDF">
        <w:t xml:space="preserve"> and 11)</w:t>
      </w:r>
      <w:r w:rsidR="005E13AC" w:rsidRPr="002C0BDF">
        <w:t>.</w:t>
      </w:r>
    </w:p>
    <w:p w:rsidR="00E16825" w:rsidRPr="002C0BDF" w:rsidRDefault="00EF44C3" w:rsidP="008A0E79">
      <w:pPr>
        <w:pStyle w:val="SingleTxtG"/>
        <w:tabs>
          <w:tab w:val="left" w:pos="1701"/>
        </w:tabs>
        <w:rPr>
          <w:b/>
        </w:rPr>
      </w:pPr>
      <w:r w:rsidRPr="002C0BDF">
        <w:rPr>
          <w:b/>
        </w:rPr>
        <w:t xml:space="preserve">The </w:t>
      </w:r>
      <w:r w:rsidR="00F839D9" w:rsidRPr="002C0BDF">
        <w:rPr>
          <w:b/>
        </w:rPr>
        <w:t>Committee urges</w:t>
      </w:r>
      <w:r w:rsidR="00521E2D" w:rsidRPr="002C0BDF">
        <w:rPr>
          <w:b/>
        </w:rPr>
        <w:t xml:space="preserve"> the State party</w:t>
      </w:r>
      <w:r w:rsidR="00A56837" w:rsidRPr="002C0BDF">
        <w:rPr>
          <w:b/>
        </w:rPr>
        <w:t xml:space="preserve"> </w:t>
      </w:r>
      <w:r w:rsidR="00322791" w:rsidRPr="002C0BDF">
        <w:rPr>
          <w:b/>
        </w:rPr>
        <w:t xml:space="preserve">to </w:t>
      </w:r>
      <w:r w:rsidR="005D2B8A" w:rsidRPr="002C0BDF">
        <w:rPr>
          <w:b/>
        </w:rPr>
        <w:t xml:space="preserve">repeal any discriminatory provisions from the Housing Act, and </w:t>
      </w:r>
      <w:r w:rsidR="00A56837" w:rsidRPr="002C0BDF">
        <w:rPr>
          <w:b/>
        </w:rPr>
        <w:t>expedite the process of adopting a</w:t>
      </w:r>
      <w:r w:rsidRPr="002C0BDF">
        <w:rPr>
          <w:b/>
        </w:rPr>
        <w:t xml:space="preserve"> housing policy </w:t>
      </w:r>
      <w:r w:rsidR="00F839D9" w:rsidRPr="002C0BDF">
        <w:rPr>
          <w:b/>
        </w:rPr>
        <w:t>that addresses</w:t>
      </w:r>
      <w:r w:rsidR="005D2B8A" w:rsidRPr="002C0BDF">
        <w:rPr>
          <w:b/>
        </w:rPr>
        <w:t xml:space="preserve">, </w:t>
      </w:r>
      <w:r w:rsidR="008A0E79" w:rsidRPr="002C0BDF">
        <w:rPr>
          <w:b/>
        </w:rPr>
        <w:t>inter alia</w:t>
      </w:r>
      <w:r w:rsidR="005D2B8A" w:rsidRPr="002C0BDF">
        <w:rPr>
          <w:b/>
        </w:rPr>
        <w:t>,</w:t>
      </w:r>
      <w:r w:rsidR="00F839D9" w:rsidRPr="002C0BDF">
        <w:rPr>
          <w:b/>
        </w:rPr>
        <w:t xml:space="preserve"> </w:t>
      </w:r>
      <w:r w:rsidR="005D2B8A" w:rsidRPr="002C0BDF">
        <w:rPr>
          <w:b/>
        </w:rPr>
        <w:t>access to social housing by all residents without discrimination</w:t>
      </w:r>
      <w:r w:rsidR="008A0E79" w:rsidRPr="002C0BDF">
        <w:rPr>
          <w:b/>
        </w:rPr>
        <w:t xml:space="preserve"> and</w:t>
      </w:r>
      <w:r w:rsidR="005D2B8A" w:rsidRPr="002C0BDF">
        <w:rPr>
          <w:b/>
        </w:rPr>
        <w:t xml:space="preserve"> the special housing needs of persons with disabilities.</w:t>
      </w:r>
      <w:r w:rsidR="005D2B8A" w:rsidRPr="002C0BDF" w:rsidDel="005D2B8A">
        <w:rPr>
          <w:b/>
        </w:rPr>
        <w:t xml:space="preserve"> </w:t>
      </w:r>
      <w:r w:rsidR="00834B8E" w:rsidRPr="002C0BDF">
        <w:rPr>
          <w:b/>
        </w:rPr>
        <w:t xml:space="preserve">The </w:t>
      </w:r>
      <w:r w:rsidR="00A56837" w:rsidRPr="002C0BDF">
        <w:rPr>
          <w:b/>
        </w:rPr>
        <w:t xml:space="preserve">State party should also adopt and implement regulations </w:t>
      </w:r>
      <w:r w:rsidR="00D251AA" w:rsidRPr="002C0BDF">
        <w:rPr>
          <w:b/>
        </w:rPr>
        <w:t>under</w:t>
      </w:r>
      <w:r w:rsidR="00A56837" w:rsidRPr="002C0BDF">
        <w:rPr>
          <w:b/>
        </w:rPr>
        <w:t xml:space="preserve"> the Equalisation of Opportunities for Persons with Disabilities Act, which also aim to facilitate housing to persons with disabilities</w:t>
      </w:r>
      <w:r w:rsidR="00F839D9" w:rsidRPr="002C0BDF">
        <w:rPr>
          <w:b/>
        </w:rPr>
        <w:t>.</w:t>
      </w:r>
    </w:p>
    <w:p w:rsidR="00176269" w:rsidRPr="002C0BDF" w:rsidRDefault="00FD0A87" w:rsidP="00FD0A87">
      <w:pPr>
        <w:pStyle w:val="H23G"/>
      </w:pPr>
      <w:r w:rsidRPr="002C0BDF">
        <w:tab/>
      </w:r>
      <w:r w:rsidRPr="002C0BDF">
        <w:tab/>
      </w:r>
      <w:r w:rsidR="00176269" w:rsidRPr="002C0BDF">
        <w:t xml:space="preserve">Health insurance system </w:t>
      </w:r>
    </w:p>
    <w:p w:rsidR="00176269" w:rsidRPr="002C0BDF" w:rsidRDefault="00176269" w:rsidP="000C4A6F">
      <w:pPr>
        <w:pStyle w:val="SingleTxtG"/>
        <w:numPr>
          <w:ilvl w:val="0"/>
          <w:numId w:val="17"/>
        </w:numPr>
        <w:tabs>
          <w:tab w:val="left" w:pos="1701"/>
        </w:tabs>
        <w:ind w:left="1134" w:firstLine="0"/>
      </w:pPr>
      <w:r w:rsidRPr="002C0BDF">
        <w:t xml:space="preserve">The Committee is concerned that the Fiscal Balance Act has had </w:t>
      </w:r>
      <w:r w:rsidR="006956A5" w:rsidRPr="002C0BDF">
        <w:t xml:space="preserve">a </w:t>
      </w:r>
      <w:r w:rsidRPr="002C0BDF">
        <w:t xml:space="preserve">negative impact on the State party’s health insurance system. </w:t>
      </w:r>
      <w:r w:rsidR="006956A5" w:rsidRPr="002C0BDF">
        <w:t>I</w:t>
      </w:r>
      <w:r w:rsidRPr="002C0BDF">
        <w:t xml:space="preserve">t </w:t>
      </w:r>
      <w:r w:rsidR="006956A5" w:rsidRPr="002C0BDF">
        <w:t xml:space="preserve">has </w:t>
      </w:r>
      <w:r w:rsidRPr="002C0BDF">
        <w:t xml:space="preserve">resulted </w:t>
      </w:r>
      <w:r w:rsidR="002354E7" w:rsidRPr="002C0BDF">
        <w:t xml:space="preserve">inter alia </w:t>
      </w:r>
      <w:r w:rsidRPr="002C0BDF">
        <w:t>in</w:t>
      </w:r>
      <w:r w:rsidR="0070392E" w:rsidRPr="002C0BDF">
        <w:t xml:space="preserve"> limiting health</w:t>
      </w:r>
      <w:r w:rsidR="002354E7" w:rsidRPr="002C0BDF">
        <w:t>-</w:t>
      </w:r>
      <w:r w:rsidR="0070392E" w:rsidRPr="002C0BDF">
        <w:t>care coverage;</w:t>
      </w:r>
      <w:r w:rsidRPr="002C0BDF">
        <w:t xml:space="preserve"> </w:t>
      </w:r>
      <w:r w:rsidR="002354E7" w:rsidRPr="002C0BDF">
        <w:t xml:space="preserve">in </w:t>
      </w:r>
      <w:r w:rsidRPr="002C0BDF">
        <w:t>add</w:t>
      </w:r>
      <w:r w:rsidR="00EB31B3" w:rsidRPr="002C0BDF">
        <w:t>itional health payments</w:t>
      </w:r>
      <w:r w:rsidR="0070392E" w:rsidRPr="002C0BDF">
        <w:t>;</w:t>
      </w:r>
      <w:r w:rsidRPr="002C0BDF">
        <w:t xml:space="preserve"> </w:t>
      </w:r>
      <w:r w:rsidR="002354E7" w:rsidRPr="002C0BDF">
        <w:t xml:space="preserve">in </w:t>
      </w:r>
      <w:r w:rsidRPr="002C0BDF">
        <w:t xml:space="preserve">restricting employment in the health </w:t>
      </w:r>
      <w:r w:rsidR="0070392E" w:rsidRPr="002C0BDF">
        <w:t>sector despite increasing needs; and</w:t>
      </w:r>
      <w:r w:rsidRPr="002C0BDF">
        <w:t xml:space="preserve"> </w:t>
      </w:r>
      <w:r w:rsidR="002354E7" w:rsidRPr="002C0BDF">
        <w:t xml:space="preserve">in </w:t>
      </w:r>
      <w:r w:rsidRPr="002C0BDF">
        <w:t xml:space="preserve">reduced compensation during temporary absence from work. The Committee is also concerned that individuals who do not possess citizenship or residence status in the State party are excluded from the </w:t>
      </w:r>
      <w:r w:rsidR="005D2B8A" w:rsidRPr="002C0BDF">
        <w:t>basic</w:t>
      </w:r>
      <w:r w:rsidRPr="002C0BDF">
        <w:t xml:space="preserve"> health insurance</w:t>
      </w:r>
      <w:r w:rsidR="005E13AC" w:rsidRPr="002C0BDF">
        <w:t xml:space="preserve"> </w:t>
      </w:r>
      <w:r w:rsidR="00E87AE1" w:rsidRPr="002C0BDF">
        <w:t>(</w:t>
      </w:r>
      <w:r w:rsidR="00E72895" w:rsidRPr="002C0BDF">
        <w:t>arts. </w:t>
      </w:r>
      <w:r w:rsidR="00E87AE1" w:rsidRPr="002C0BDF">
        <w:t>9 and 12)</w:t>
      </w:r>
      <w:r w:rsidR="005E13AC" w:rsidRPr="002C0BDF">
        <w:t>.</w:t>
      </w:r>
    </w:p>
    <w:p w:rsidR="00CA0366" w:rsidRPr="002C0BDF" w:rsidRDefault="00176269" w:rsidP="00176269">
      <w:pPr>
        <w:pStyle w:val="SingleTxtG"/>
        <w:tabs>
          <w:tab w:val="left" w:pos="1701"/>
        </w:tabs>
        <w:rPr>
          <w:b/>
        </w:rPr>
      </w:pPr>
      <w:r w:rsidRPr="002C0BDF">
        <w:rPr>
          <w:b/>
        </w:rPr>
        <w:t xml:space="preserve">The Committee urges the State party </w:t>
      </w:r>
      <w:r w:rsidR="00E07864" w:rsidRPr="002C0BDF">
        <w:rPr>
          <w:b/>
        </w:rPr>
        <w:t xml:space="preserve">to </w:t>
      </w:r>
      <w:r w:rsidRPr="002C0BDF">
        <w:rPr>
          <w:b/>
        </w:rPr>
        <w:t xml:space="preserve">reform its health insurance system with a view to increasing the proportion of essential rights and services covered by the basic health insurance, and ensuring that all residents in the State party have access to </w:t>
      </w:r>
      <w:r w:rsidR="005D2B8A" w:rsidRPr="002C0BDF">
        <w:rPr>
          <w:b/>
        </w:rPr>
        <w:t xml:space="preserve">basic </w:t>
      </w:r>
      <w:r w:rsidRPr="002C0BDF">
        <w:rPr>
          <w:b/>
        </w:rPr>
        <w:t xml:space="preserve">health insurance without discrimination. </w:t>
      </w:r>
    </w:p>
    <w:p w:rsidR="00E15BE7" w:rsidRPr="002C0BDF" w:rsidRDefault="00FD0A87" w:rsidP="00FD0A87">
      <w:pPr>
        <w:pStyle w:val="H23G"/>
      </w:pPr>
      <w:r w:rsidRPr="002C0BDF">
        <w:tab/>
      </w:r>
      <w:r w:rsidRPr="002C0BDF">
        <w:tab/>
      </w:r>
      <w:r w:rsidR="00E15BE7" w:rsidRPr="002C0BDF">
        <w:t xml:space="preserve">Access to health </w:t>
      </w:r>
      <w:r w:rsidR="00366CDF" w:rsidRPr="002C0BDF">
        <w:t>services</w:t>
      </w:r>
    </w:p>
    <w:p w:rsidR="00E15BE7" w:rsidRPr="002C0BDF" w:rsidRDefault="00E15BE7" w:rsidP="00A313C2">
      <w:pPr>
        <w:pStyle w:val="SingleTxtG"/>
        <w:numPr>
          <w:ilvl w:val="0"/>
          <w:numId w:val="17"/>
        </w:numPr>
        <w:tabs>
          <w:tab w:val="left" w:pos="1701"/>
        </w:tabs>
        <w:ind w:left="1134" w:firstLine="0"/>
      </w:pPr>
      <w:r w:rsidRPr="002C0BDF">
        <w:t>The Committee is concerned that regional disparities in access to health</w:t>
      </w:r>
      <w:r w:rsidR="002354E7" w:rsidRPr="002C0BDF">
        <w:t>-</w:t>
      </w:r>
      <w:r w:rsidRPr="002C0BDF">
        <w:t xml:space="preserve">care services persist, </w:t>
      </w:r>
      <w:r w:rsidR="003C65C9" w:rsidRPr="002C0BDF">
        <w:rPr>
          <w:rFonts w:ascii="AGaramondPro-Regular" w:hAnsi="AGaramondPro-Regular" w:cs="AGaramondPro-Regular"/>
          <w:lang w:eastAsia="en-GB"/>
        </w:rPr>
        <w:t>particularly the inadequate number</w:t>
      </w:r>
      <w:r w:rsidR="00A313C2" w:rsidRPr="002C0BDF">
        <w:rPr>
          <w:rFonts w:ascii="AGaramondPro-Regular" w:hAnsi="AGaramondPro-Regular" w:cs="AGaramondPro-Regular"/>
          <w:lang w:eastAsia="en-GB"/>
        </w:rPr>
        <w:t>s</w:t>
      </w:r>
      <w:r w:rsidR="003C65C9" w:rsidRPr="002C0BDF">
        <w:rPr>
          <w:rFonts w:ascii="AGaramondPro-Regular" w:hAnsi="AGaramondPro-Regular" w:cs="AGaramondPro-Regular"/>
          <w:lang w:eastAsia="en-GB"/>
        </w:rPr>
        <w:t xml:space="preserve"> of primary health</w:t>
      </w:r>
      <w:r w:rsidR="00A313C2" w:rsidRPr="002C0BDF">
        <w:rPr>
          <w:rFonts w:ascii="AGaramondPro-Regular" w:hAnsi="AGaramondPro-Regular" w:cs="AGaramondPro-Regular"/>
          <w:lang w:eastAsia="en-GB"/>
        </w:rPr>
        <w:t>-</w:t>
      </w:r>
      <w:r w:rsidR="003C65C9" w:rsidRPr="002C0BDF">
        <w:rPr>
          <w:rFonts w:ascii="AGaramondPro-Regular" w:hAnsi="AGaramondPro-Regular" w:cs="AGaramondPro-Regular"/>
          <w:lang w:eastAsia="en-GB"/>
        </w:rPr>
        <w:t xml:space="preserve">care </w:t>
      </w:r>
      <w:r w:rsidR="00A313C2" w:rsidRPr="002C0BDF">
        <w:rPr>
          <w:rFonts w:ascii="AGaramondPro-Regular" w:hAnsi="AGaramondPro-Regular" w:cs="AGaramondPro-Regular"/>
          <w:lang w:eastAsia="en-GB"/>
        </w:rPr>
        <w:t xml:space="preserve">experts </w:t>
      </w:r>
      <w:r w:rsidR="003C65C9" w:rsidRPr="002C0BDF">
        <w:rPr>
          <w:rFonts w:ascii="AGaramondPro-Regular" w:hAnsi="AGaramondPro-Regular" w:cs="AGaramondPro-Regular"/>
          <w:lang w:eastAsia="en-GB"/>
        </w:rPr>
        <w:t xml:space="preserve">in some of the remote rural areas, </w:t>
      </w:r>
      <w:r w:rsidRPr="002C0BDF">
        <w:t xml:space="preserve">and that measures taken to </w:t>
      </w:r>
      <w:r w:rsidR="005E13AC" w:rsidRPr="002C0BDF">
        <w:t>that end were not comprehensive</w:t>
      </w:r>
      <w:r w:rsidR="00E72895" w:rsidRPr="002C0BDF">
        <w:t xml:space="preserve"> (arts. </w:t>
      </w:r>
      <w:r w:rsidRPr="002C0BDF">
        <w:t>2</w:t>
      </w:r>
      <w:r w:rsidR="002354E7" w:rsidRPr="002C0BDF">
        <w:t xml:space="preserve">, para. </w:t>
      </w:r>
      <w:r w:rsidRPr="002C0BDF">
        <w:t>2</w:t>
      </w:r>
      <w:r w:rsidR="002354E7" w:rsidRPr="002C0BDF">
        <w:t>,</w:t>
      </w:r>
      <w:r w:rsidRPr="002C0BDF">
        <w:t xml:space="preserve"> and 12)</w:t>
      </w:r>
      <w:r w:rsidR="005E13AC" w:rsidRPr="002C0BDF">
        <w:t>.</w:t>
      </w:r>
    </w:p>
    <w:p w:rsidR="00E15BE7" w:rsidRPr="002C0BDF" w:rsidRDefault="00E15BE7" w:rsidP="006E0478">
      <w:pPr>
        <w:pStyle w:val="SingleTxtG"/>
        <w:tabs>
          <w:tab w:val="left" w:pos="1701"/>
        </w:tabs>
        <w:rPr>
          <w:b/>
        </w:rPr>
      </w:pPr>
      <w:r w:rsidRPr="002C0BDF">
        <w:rPr>
          <w:b/>
        </w:rPr>
        <w:t>While the Committee takes note of the information provided by the St</w:t>
      </w:r>
      <w:r w:rsidR="00D5256B" w:rsidRPr="002C0BDF">
        <w:rPr>
          <w:b/>
        </w:rPr>
        <w:t>ate party’s delegation that some</w:t>
      </w:r>
      <w:r w:rsidRPr="002C0BDF">
        <w:rPr>
          <w:b/>
        </w:rPr>
        <w:t xml:space="preserve"> measures are anticipated to </w:t>
      </w:r>
      <w:r w:rsidR="000D6B52" w:rsidRPr="002C0BDF">
        <w:rPr>
          <w:b/>
        </w:rPr>
        <w:t>reduce</w:t>
      </w:r>
      <w:r w:rsidRPr="002C0BDF">
        <w:rPr>
          <w:b/>
        </w:rPr>
        <w:t xml:space="preserve"> regional disparities in access to health</w:t>
      </w:r>
      <w:r w:rsidR="00E51D32" w:rsidRPr="002C0BDF">
        <w:rPr>
          <w:b/>
        </w:rPr>
        <w:t xml:space="preserve"> </w:t>
      </w:r>
      <w:r w:rsidR="00E93BB3" w:rsidRPr="002C0BDF">
        <w:rPr>
          <w:b/>
        </w:rPr>
        <w:t>services</w:t>
      </w:r>
      <w:r w:rsidR="006E0478" w:rsidRPr="002C0BDF">
        <w:rPr>
          <w:b/>
        </w:rPr>
        <w:t>,</w:t>
      </w:r>
      <w:r w:rsidR="00E93BB3" w:rsidRPr="002C0BDF">
        <w:rPr>
          <w:b/>
        </w:rPr>
        <w:t xml:space="preserve"> </w:t>
      </w:r>
      <w:r w:rsidR="00E51D32" w:rsidRPr="002C0BDF">
        <w:rPr>
          <w:b/>
        </w:rPr>
        <w:t>including the development of a new health strategy</w:t>
      </w:r>
      <w:r w:rsidR="00EB31B3" w:rsidRPr="002C0BDF">
        <w:rPr>
          <w:b/>
        </w:rPr>
        <w:t xml:space="preserve">, it urges </w:t>
      </w:r>
      <w:r w:rsidRPr="002C0BDF">
        <w:rPr>
          <w:b/>
        </w:rPr>
        <w:t xml:space="preserve">the State party </w:t>
      </w:r>
      <w:r w:rsidR="00EB31B3" w:rsidRPr="002C0BDF">
        <w:rPr>
          <w:b/>
        </w:rPr>
        <w:t xml:space="preserve">to </w:t>
      </w:r>
      <w:r w:rsidR="00A313C2" w:rsidRPr="002C0BDF">
        <w:rPr>
          <w:b/>
        </w:rPr>
        <w:t xml:space="preserve">step up </w:t>
      </w:r>
      <w:r w:rsidRPr="002C0BDF">
        <w:rPr>
          <w:b/>
        </w:rPr>
        <w:t xml:space="preserve">its efforts to provide equal access </w:t>
      </w:r>
      <w:r w:rsidR="00E51D32" w:rsidRPr="002C0BDF">
        <w:rPr>
          <w:b/>
        </w:rPr>
        <w:t xml:space="preserve">to </w:t>
      </w:r>
      <w:r w:rsidRPr="002C0BDF">
        <w:rPr>
          <w:b/>
        </w:rPr>
        <w:t>quality health</w:t>
      </w:r>
      <w:r w:rsidR="006E0478" w:rsidRPr="002C0BDF">
        <w:rPr>
          <w:b/>
        </w:rPr>
        <w:t>-</w:t>
      </w:r>
      <w:r w:rsidRPr="002C0BDF">
        <w:rPr>
          <w:b/>
        </w:rPr>
        <w:t xml:space="preserve">care services to all persons in the State party and report on </w:t>
      </w:r>
      <w:r w:rsidR="006E0478" w:rsidRPr="002C0BDF">
        <w:rPr>
          <w:b/>
        </w:rPr>
        <w:t>those efforts</w:t>
      </w:r>
      <w:r w:rsidRPr="002C0BDF">
        <w:rPr>
          <w:b/>
        </w:rPr>
        <w:t xml:space="preserve"> in its next periodic report. </w:t>
      </w:r>
    </w:p>
    <w:p w:rsidR="00E16825" w:rsidRPr="002C0BDF" w:rsidRDefault="00FD0A87" w:rsidP="00FD0A87">
      <w:pPr>
        <w:pStyle w:val="H23G"/>
      </w:pPr>
      <w:r w:rsidRPr="002C0BDF">
        <w:tab/>
      </w:r>
      <w:r w:rsidRPr="002C0BDF">
        <w:tab/>
      </w:r>
      <w:r w:rsidR="00E16825" w:rsidRPr="002C0BDF">
        <w:t xml:space="preserve">Mental health </w:t>
      </w:r>
    </w:p>
    <w:p w:rsidR="006C0A62" w:rsidRPr="002C0BDF" w:rsidRDefault="004A29CE" w:rsidP="003C65C9">
      <w:pPr>
        <w:pStyle w:val="SingleTxtG"/>
        <w:numPr>
          <w:ilvl w:val="0"/>
          <w:numId w:val="17"/>
        </w:numPr>
        <w:ind w:left="1134" w:firstLine="0"/>
      </w:pPr>
      <w:r w:rsidRPr="002C0BDF">
        <w:t xml:space="preserve">The Committee </w:t>
      </w:r>
      <w:r w:rsidR="006E1AD0" w:rsidRPr="002C0BDF">
        <w:t xml:space="preserve">expresses its concern about the shortage of child and </w:t>
      </w:r>
      <w:r w:rsidR="006C0A62" w:rsidRPr="002C0BDF">
        <w:t xml:space="preserve">adolescent </w:t>
      </w:r>
      <w:r w:rsidR="006E1AD0" w:rsidRPr="002C0BDF">
        <w:t>psychiatrists</w:t>
      </w:r>
      <w:r w:rsidR="006C0A62" w:rsidRPr="002C0BDF">
        <w:t>. The Committee is further concern</w:t>
      </w:r>
      <w:r w:rsidR="00EB31B3" w:rsidRPr="002C0BDF">
        <w:t>ed</w:t>
      </w:r>
      <w:r w:rsidR="006C0A62" w:rsidRPr="002C0BDF">
        <w:t xml:space="preserve"> that</w:t>
      </w:r>
      <w:r w:rsidR="006E0478" w:rsidRPr="002C0BDF">
        <w:t>,</w:t>
      </w:r>
      <w:r w:rsidR="006C0A62" w:rsidRPr="002C0BDF">
        <w:t xml:space="preserve"> despite the adoption </w:t>
      </w:r>
      <w:r w:rsidR="00DF7EC4" w:rsidRPr="002C0BDF">
        <w:t>of the Mental Health Act</w:t>
      </w:r>
      <w:r w:rsidR="006C0A62" w:rsidRPr="002C0BDF">
        <w:t xml:space="preserve"> in 2008, a related na</w:t>
      </w:r>
      <w:r w:rsidR="005E13AC" w:rsidRPr="002C0BDF">
        <w:t>tional strategy is still absent</w:t>
      </w:r>
      <w:r w:rsidR="00E87AE1" w:rsidRPr="002C0BDF">
        <w:t xml:space="preserve"> </w:t>
      </w:r>
      <w:r w:rsidR="00E72895" w:rsidRPr="002C0BDF">
        <w:t>(art. </w:t>
      </w:r>
      <w:r w:rsidR="00E87AE1" w:rsidRPr="002C0BDF">
        <w:t>12)</w:t>
      </w:r>
      <w:r w:rsidR="005E13AC" w:rsidRPr="002C0BDF">
        <w:t>.</w:t>
      </w:r>
    </w:p>
    <w:p w:rsidR="000B6092" w:rsidRPr="002C0BDF" w:rsidRDefault="000C6AD1" w:rsidP="002C0BDF">
      <w:pPr>
        <w:pStyle w:val="SingleTxtG"/>
        <w:rPr>
          <w:b/>
        </w:rPr>
      </w:pPr>
      <w:r w:rsidRPr="002C0BDF">
        <w:rPr>
          <w:rFonts w:eastAsia="SimSun"/>
          <w:b/>
          <w:lang w:val="en-US" w:eastAsia="zh-CN"/>
        </w:rPr>
        <w:t xml:space="preserve">In </w:t>
      </w:r>
      <w:r w:rsidR="000C4A6F" w:rsidRPr="002C0BDF">
        <w:rPr>
          <w:rFonts w:eastAsia="SimSun"/>
          <w:b/>
          <w:lang w:val="en-US" w:eastAsia="zh-CN"/>
        </w:rPr>
        <w:t xml:space="preserve">the </w:t>
      </w:r>
      <w:r w:rsidRPr="002C0BDF">
        <w:rPr>
          <w:rFonts w:eastAsia="SimSun"/>
          <w:b/>
          <w:lang w:val="en-US" w:eastAsia="zh-CN"/>
        </w:rPr>
        <w:t xml:space="preserve">light of its general comment No. 14 (2000) on the right to the highest attainable standard of health, </w:t>
      </w:r>
      <w:r w:rsidRPr="002C0BDF">
        <w:rPr>
          <w:b/>
        </w:rPr>
        <w:t>t</w:t>
      </w:r>
      <w:r w:rsidR="006C0A62" w:rsidRPr="002C0BDF">
        <w:rPr>
          <w:b/>
        </w:rPr>
        <w:t xml:space="preserve">he Committee recommends </w:t>
      </w:r>
      <w:r w:rsidR="00EB31B3" w:rsidRPr="002C0BDF">
        <w:rPr>
          <w:b/>
        </w:rPr>
        <w:t xml:space="preserve">that </w:t>
      </w:r>
      <w:r w:rsidR="006C0A62" w:rsidRPr="002C0BDF">
        <w:rPr>
          <w:b/>
        </w:rPr>
        <w:t>the State party</w:t>
      </w:r>
      <w:r w:rsidR="00270D79" w:rsidRPr="002C0BDF">
        <w:rPr>
          <w:b/>
        </w:rPr>
        <w:t>:</w:t>
      </w:r>
      <w:r w:rsidR="006C0A62" w:rsidRPr="002C0BDF">
        <w:rPr>
          <w:b/>
        </w:rPr>
        <w:t xml:space="preserve"> </w:t>
      </w:r>
    </w:p>
    <w:p w:rsidR="00E72895" w:rsidRPr="002C0BDF" w:rsidRDefault="000B6092" w:rsidP="002C0BDF">
      <w:pPr>
        <w:pStyle w:val="SingleTxtG"/>
        <w:ind w:firstLine="567"/>
        <w:rPr>
          <w:b/>
        </w:rPr>
      </w:pPr>
      <w:r w:rsidRPr="002C0BDF">
        <w:rPr>
          <w:rFonts w:eastAsia="SimSun"/>
          <w:b/>
          <w:lang w:val="en-US" w:eastAsia="zh-CN"/>
        </w:rPr>
        <w:t>(a)</w:t>
      </w:r>
      <w:r w:rsidRPr="002C0BDF">
        <w:rPr>
          <w:rFonts w:eastAsia="SimSun"/>
          <w:b/>
          <w:lang w:val="en-US" w:eastAsia="zh-CN"/>
        </w:rPr>
        <w:tab/>
      </w:r>
      <w:r w:rsidR="006C0A62" w:rsidRPr="002C0BDF">
        <w:rPr>
          <w:b/>
        </w:rPr>
        <w:t>Ensure that all children and adolescents have effective access to psychiatrists across the St</w:t>
      </w:r>
      <w:r w:rsidR="00EB31B3" w:rsidRPr="002C0BDF">
        <w:rPr>
          <w:b/>
        </w:rPr>
        <w:t>ate party</w:t>
      </w:r>
      <w:r w:rsidR="006C0A62" w:rsidRPr="002C0BDF">
        <w:rPr>
          <w:b/>
        </w:rPr>
        <w:t>;</w:t>
      </w:r>
      <w:r w:rsidR="00E02A9F" w:rsidRPr="002C0BDF">
        <w:rPr>
          <w:b/>
        </w:rPr>
        <w:t xml:space="preserve"> </w:t>
      </w:r>
    </w:p>
    <w:p w:rsidR="00E16825" w:rsidRPr="002C0BDF" w:rsidRDefault="000B6092" w:rsidP="00E72895">
      <w:pPr>
        <w:pStyle w:val="SingleTxtG"/>
        <w:ind w:firstLine="567"/>
        <w:rPr>
          <w:b/>
        </w:rPr>
      </w:pPr>
      <w:r w:rsidRPr="002C0BDF">
        <w:rPr>
          <w:b/>
        </w:rPr>
        <w:t>(b)</w:t>
      </w:r>
      <w:r w:rsidRPr="002C0BDF">
        <w:rPr>
          <w:b/>
        </w:rPr>
        <w:tab/>
      </w:r>
      <w:r w:rsidR="006C0A62" w:rsidRPr="002C0BDF">
        <w:rPr>
          <w:b/>
        </w:rPr>
        <w:t>Expedite the adoption of the National Mental Health Programme, and provide it with the necessary resources to ensure its effective implementation</w:t>
      </w:r>
      <w:r w:rsidR="00EB31B3" w:rsidRPr="002C0BDF">
        <w:rPr>
          <w:b/>
        </w:rPr>
        <w:t>.</w:t>
      </w:r>
      <w:r w:rsidR="00D473AB" w:rsidRPr="002C0BDF">
        <w:rPr>
          <w:b/>
        </w:rPr>
        <w:t xml:space="preserve"> </w:t>
      </w:r>
    </w:p>
    <w:p w:rsidR="009B6650" w:rsidRPr="002C0BDF" w:rsidRDefault="00FD0A87" w:rsidP="00FD0A87">
      <w:pPr>
        <w:pStyle w:val="H23G"/>
      </w:pPr>
      <w:r w:rsidRPr="002C0BDF">
        <w:tab/>
      </w:r>
      <w:r w:rsidRPr="002C0BDF">
        <w:tab/>
      </w:r>
      <w:r w:rsidR="009B6650" w:rsidRPr="002C0BDF">
        <w:t>Access to education</w:t>
      </w:r>
      <w:r w:rsidR="00D473AB" w:rsidRPr="002C0BDF">
        <w:t xml:space="preserve"> </w:t>
      </w:r>
    </w:p>
    <w:p w:rsidR="009B6650" w:rsidRPr="002C0BDF" w:rsidRDefault="009B6650" w:rsidP="006E0478">
      <w:pPr>
        <w:pStyle w:val="SingleTxtG"/>
        <w:numPr>
          <w:ilvl w:val="0"/>
          <w:numId w:val="17"/>
        </w:numPr>
        <w:tabs>
          <w:tab w:val="left" w:pos="1134"/>
        </w:tabs>
        <w:ind w:left="1134" w:firstLine="0"/>
      </w:pPr>
      <w:r w:rsidRPr="002C0BDF">
        <w:t xml:space="preserve">The Committee </w:t>
      </w:r>
      <w:r w:rsidR="00064821" w:rsidRPr="002C0BDF">
        <w:t>notes with concern</w:t>
      </w:r>
      <w:r w:rsidRPr="002C0BDF">
        <w:t xml:space="preserve"> the regional disparities in access to education, including tertiary education, with the eastern region of the State party being most affected by limited access to education (arts</w:t>
      </w:r>
      <w:r w:rsidR="00E72895" w:rsidRPr="002C0BDF">
        <w:t>. </w:t>
      </w:r>
      <w:r w:rsidRPr="002C0BDF">
        <w:t>2</w:t>
      </w:r>
      <w:r w:rsidR="000C4A6F" w:rsidRPr="002C0BDF">
        <w:t xml:space="preserve">, para. </w:t>
      </w:r>
      <w:r w:rsidRPr="002C0BDF">
        <w:t>2</w:t>
      </w:r>
      <w:r w:rsidR="000C4A6F" w:rsidRPr="002C0BDF">
        <w:t>,</w:t>
      </w:r>
      <w:r w:rsidRPr="002C0BDF">
        <w:t xml:space="preserve"> and 13).</w:t>
      </w:r>
    </w:p>
    <w:p w:rsidR="00CA0366" w:rsidRPr="002C0BDF" w:rsidRDefault="009B6650" w:rsidP="00CD2295">
      <w:pPr>
        <w:pStyle w:val="SingleTxtG"/>
        <w:tabs>
          <w:tab w:val="left" w:pos="1701"/>
        </w:tabs>
        <w:rPr>
          <w:b/>
        </w:rPr>
      </w:pPr>
      <w:r w:rsidRPr="002C0BDF">
        <w:rPr>
          <w:b/>
        </w:rPr>
        <w:t xml:space="preserve">The Committee recommends that the State party ensure equal access to quality education to all students in the State party without discrimination. To </w:t>
      </w:r>
      <w:r w:rsidR="006E0478" w:rsidRPr="002C0BDF">
        <w:rPr>
          <w:b/>
        </w:rPr>
        <w:t xml:space="preserve">that </w:t>
      </w:r>
      <w:r w:rsidRPr="002C0BDF">
        <w:rPr>
          <w:b/>
        </w:rPr>
        <w:t xml:space="preserve">end, it should </w:t>
      </w:r>
      <w:r w:rsidR="00B27DEA" w:rsidRPr="002C0BDF">
        <w:rPr>
          <w:b/>
        </w:rPr>
        <w:t>enhance</w:t>
      </w:r>
      <w:r w:rsidRPr="002C0BDF">
        <w:rPr>
          <w:b/>
        </w:rPr>
        <w:t xml:space="preserve"> access to education</w:t>
      </w:r>
      <w:r w:rsidR="006E0478" w:rsidRPr="002C0BDF">
        <w:rPr>
          <w:b/>
        </w:rPr>
        <w:t>,</w:t>
      </w:r>
      <w:r w:rsidRPr="002C0BDF">
        <w:rPr>
          <w:b/>
        </w:rPr>
        <w:t xml:space="preserve"> including tertiary education in the eastern region, by</w:t>
      </w:r>
      <w:r w:rsidR="000C4A6F" w:rsidRPr="002C0BDF">
        <w:rPr>
          <w:b/>
        </w:rPr>
        <w:t>, inter alia,</w:t>
      </w:r>
      <w:r w:rsidRPr="002C0BDF">
        <w:rPr>
          <w:b/>
        </w:rPr>
        <w:t xml:space="preserve"> adopting temporary special measures.</w:t>
      </w:r>
    </w:p>
    <w:p w:rsidR="00E16825" w:rsidRPr="002C0BDF" w:rsidRDefault="00FD0A87" w:rsidP="00FD0A87">
      <w:pPr>
        <w:pStyle w:val="H23G"/>
      </w:pPr>
      <w:r w:rsidRPr="002C0BDF">
        <w:tab/>
      </w:r>
      <w:r w:rsidRPr="002C0BDF">
        <w:tab/>
      </w:r>
      <w:r w:rsidR="00532A39" w:rsidRPr="002C0BDF">
        <w:t>Access to education by Roma</w:t>
      </w:r>
      <w:r w:rsidR="000F357E" w:rsidRPr="002C0BDF">
        <w:t xml:space="preserve"> </w:t>
      </w:r>
    </w:p>
    <w:p w:rsidR="00907BB0" w:rsidRPr="002C0BDF" w:rsidRDefault="00CD1E39" w:rsidP="006E0478">
      <w:pPr>
        <w:pStyle w:val="SingleTxtG"/>
        <w:numPr>
          <w:ilvl w:val="0"/>
          <w:numId w:val="17"/>
        </w:numPr>
        <w:tabs>
          <w:tab w:val="left" w:pos="1134"/>
        </w:tabs>
        <w:ind w:left="1134" w:firstLine="1"/>
      </w:pPr>
      <w:r w:rsidRPr="002C0BDF">
        <w:t>The Committee expresses its concern that</w:t>
      </w:r>
      <w:r w:rsidR="00907BB0" w:rsidRPr="002C0BDF">
        <w:t>,</w:t>
      </w:r>
      <w:r w:rsidRPr="002C0BDF">
        <w:t xml:space="preserve"> despite some measures taken to integrate Roma children in</w:t>
      </w:r>
      <w:r w:rsidR="006E0478" w:rsidRPr="002C0BDF">
        <w:t>to</w:t>
      </w:r>
      <w:r w:rsidRPr="002C0BDF">
        <w:t xml:space="preserve"> mainstream education </w:t>
      </w:r>
      <w:r w:rsidR="006E0478" w:rsidRPr="002C0BDF">
        <w:t>and</w:t>
      </w:r>
      <w:r w:rsidRPr="002C0BDF">
        <w:t xml:space="preserve"> the adoption of the Strategy of Education of Roma </w:t>
      </w:r>
      <w:r w:rsidR="001C2A42" w:rsidRPr="002C0BDF">
        <w:t>(</w:t>
      </w:r>
      <w:r w:rsidR="00907BB0" w:rsidRPr="002C0BDF">
        <w:t>2011):</w:t>
      </w:r>
    </w:p>
    <w:p w:rsidR="00907BB0" w:rsidRPr="002C0BDF" w:rsidRDefault="00E72895" w:rsidP="00F00544">
      <w:pPr>
        <w:pStyle w:val="SingleTxtG"/>
        <w:ind w:firstLine="567"/>
      </w:pPr>
      <w:r w:rsidRPr="002C0BDF">
        <w:t>(a)</w:t>
      </w:r>
      <w:r w:rsidRPr="002C0BDF">
        <w:tab/>
      </w:r>
      <w:r w:rsidR="00CD1E39" w:rsidRPr="002C0BDF">
        <w:t xml:space="preserve">Roma children are rarely enrolled in preschool educational institutions; </w:t>
      </w:r>
    </w:p>
    <w:p w:rsidR="00907BB0" w:rsidRPr="002C0BDF" w:rsidRDefault="00E72895" w:rsidP="00E72895">
      <w:pPr>
        <w:pStyle w:val="SingleTxtG"/>
        <w:ind w:firstLine="567"/>
      </w:pPr>
      <w:r w:rsidRPr="002C0BDF">
        <w:t>(b)</w:t>
      </w:r>
      <w:r w:rsidRPr="002C0BDF">
        <w:tab/>
      </w:r>
      <w:r w:rsidR="00907BB0" w:rsidRPr="002C0BDF">
        <w:t>T</w:t>
      </w:r>
      <w:r w:rsidR="00CD1E39" w:rsidRPr="002C0BDF">
        <w:t>he majority of Roma children in primary and secondary school are enrolled in classes for children with special needs</w:t>
      </w:r>
      <w:r w:rsidR="00907BB0" w:rsidRPr="002C0BDF">
        <w:t>;</w:t>
      </w:r>
    </w:p>
    <w:p w:rsidR="00907BB0" w:rsidRPr="002C0BDF" w:rsidRDefault="00E72895" w:rsidP="006E0478">
      <w:pPr>
        <w:pStyle w:val="SingleTxtG"/>
        <w:ind w:firstLine="567"/>
      </w:pPr>
      <w:r w:rsidRPr="002C0BDF">
        <w:t>(c)</w:t>
      </w:r>
      <w:r w:rsidRPr="002C0BDF">
        <w:tab/>
      </w:r>
      <w:r w:rsidR="00907BB0" w:rsidRPr="002C0BDF">
        <w:t>Roma children achieve</w:t>
      </w:r>
      <w:r w:rsidR="00CD1E39" w:rsidRPr="002C0BDF">
        <w:t xml:space="preserve"> l</w:t>
      </w:r>
      <w:r w:rsidR="00907BB0" w:rsidRPr="002C0BDF">
        <w:t>ow school performance</w:t>
      </w:r>
      <w:r w:rsidR="00CD1E39" w:rsidRPr="002C0BDF">
        <w:t xml:space="preserve"> </w:t>
      </w:r>
      <w:r w:rsidR="001C2A42" w:rsidRPr="002C0BDF">
        <w:t>even at primary</w:t>
      </w:r>
      <w:r w:rsidR="00CD1E39" w:rsidRPr="002C0BDF">
        <w:t xml:space="preserve"> leve</w:t>
      </w:r>
      <w:r w:rsidR="00907BB0" w:rsidRPr="002C0BDF">
        <w:t>l;</w:t>
      </w:r>
      <w:r w:rsidR="00CD1E39" w:rsidRPr="002C0BDF">
        <w:t xml:space="preserve"> </w:t>
      </w:r>
    </w:p>
    <w:p w:rsidR="00E16825" w:rsidRPr="002C0BDF" w:rsidRDefault="00E72895" w:rsidP="00E72895">
      <w:pPr>
        <w:pStyle w:val="SingleTxtG"/>
        <w:ind w:firstLine="567"/>
      </w:pPr>
      <w:r w:rsidRPr="002C0BDF">
        <w:t>(d)</w:t>
      </w:r>
      <w:r w:rsidRPr="002C0BDF">
        <w:tab/>
      </w:r>
      <w:r w:rsidR="00907BB0" w:rsidRPr="002C0BDF">
        <w:t>Roma S</w:t>
      </w:r>
      <w:r w:rsidR="00CD1E39" w:rsidRPr="002C0BDF">
        <w:t xml:space="preserve">chool drop-out </w:t>
      </w:r>
      <w:r w:rsidR="00907BB0" w:rsidRPr="002C0BDF">
        <w:t xml:space="preserve">rate </w:t>
      </w:r>
      <w:r w:rsidR="00CD1E39" w:rsidRPr="002C0BDF">
        <w:t>at all school levels</w:t>
      </w:r>
      <w:r w:rsidR="00907BB0" w:rsidRPr="002C0BDF">
        <w:t xml:space="preserve"> remains high</w:t>
      </w:r>
      <w:r w:rsidRPr="002C0BDF">
        <w:t xml:space="preserve"> (art. </w:t>
      </w:r>
      <w:r w:rsidR="000F357E" w:rsidRPr="002C0BDF">
        <w:t>13)</w:t>
      </w:r>
      <w:r w:rsidR="005E13AC" w:rsidRPr="002C0BDF">
        <w:t>.</w:t>
      </w:r>
    </w:p>
    <w:p w:rsidR="00E16825" w:rsidRPr="002C0BDF" w:rsidRDefault="001C2A42" w:rsidP="00CD2295">
      <w:pPr>
        <w:pStyle w:val="SingleTxtG"/>
        <w:tabs>
          <w:tab w:val="left" w:pos="1134"/>
        </w:tabs>
        <w:rPr>
          <w:b/>
        </w:rPr>
      </w:pPr>
      <w:r w:rsidRPr="002C0BDF">
        <w:rPr>
          <w:b/>
          <w:bCs/>
        </w:rPr>
        <w:t xml:space="preserve">The Committee </w:t>
      </w:r>
      <w:r w:rsidR="00A11B58" w:rsidRPr="002C0BDF">
        <w:rPr>
          <w:b/>
          <w:bCs/>
        </w:rPr>
        <w:t xml:space="preserve">urges </w:t>
      </w:r>
      <w:r w:rsidR="000F357E" w:rsidRPr="002C0BDF">
        <w:rPr>
          <w:b/>
          <w:bCs/>
        </w:rPr>
        <w:t>the</w:t>
      </w:r>
      <w:r w:rsidRPr="002C0BDF">
        <w:rPr>
          <w:b/>
          <w:bCs/>
        </w:rPr>
        <w:t xml:space="preserve"> S</w:t>
      </w:r>
      <w:r w:rsidR="000F357E" w:rsidRPr="002C0BDF">
        <w:rPr>
          <w:b/>
          <w:bCs/>
        </w:rPr>
        <w:t>tate party</w:t>
      </w:r>
      <w:r w:rsidRPr="002C0BDF">
        <w:rPr>
          <w:b/>
          <w:bCs/>
        </w:rPr>
        <w:t xml:space="preserve"> </w:t>
      </w:r>
      <w:r w:rsidR="00A11B58" w:rsidRPr="002C0BDF">
        <w:rPr>
          <w:b/>
          <w:bCs/>
        </w:rPr>
        <w:t xml:space="preserve">to </w:t>
      </w:r>
      <w:r w:rsidR="000F357E" w:rsidRPr="002C0BDF">
        <w:rPr>
          <w:b/>
          <w:bCs/>
        </w:rPr>
        <w:t>strengthen</w:t>
      </w:r>
      <w:r w:rsidRPr="002C0BDF">
        <w:rPr>
          <w:b/>
          <w:bCs/>
        </w:rPr>
        <w:t xml:space="preserve"> the implementation of</w:t>
      </w:r>
      <w:r w:rsidR="00F00544" w:rsidRPr="002C0BDF">
        <w:rPr>
          <w:b/>
          <w:bCs/>
        </w:rPr>
        <w:t>,</w:t>
      </w:r>
      <w:r w:rsidRPr="002C0BDF">
        <w:rPr>
          <w:b/>
          <w:bCs/>
        </w:rPr>
        <w:t xml:space="preserve"> </w:t>
      </w:r>
      <w:r w:rsidR="00EB31B3" w:rsidRPr="002C0BDF">
        <w:rPr>
          <w:b/>
          <w:bCs/>
        </w:rPr>
        <w:t xml:space="preserve">and </w:t>
      </w:r>
      <w:r w:rsidR="000F357E" w:rsidRPr="002C0BDF">
        <w:rPr>
          <w:b/>
          <w:bCs/>
        </w:rPr>
        <w:t>resources allocated to</w:t>
      </w:r>
      <w:r w:rsidR="00F00544" w:rsidRPr="002C0BDF">
        <w:rPr>
          <w:b/>
          <w:bCs/>
        </w:rPr>
        <w:t>,</w:t>
      </w:r>
      <w:r w:rsidR="000F357E" w:rsidRPr="002C0BDF">
        <w:rPr>
          <w:b/>
          <w:bCs/>
        </w:rPr>
        <w:t xml:space="preserve"> </w:t>
      </w:r>
      <w:r w:rsidRPr="002C0BDF">
        <w:rPr>
          <w:b/>
          <w:bCs/>
        </w:rPr>
        <w:t>existing measures</w:t>
      </w:r>
      <w:r w:rsidR="000F357E" w:rsidRPr="002C0BDF">
        <w:rPr>
          <w:b/>
          <w:bCs/>
        </w:rPr>
        <w:t>,</w:t>
      </w:r>
      <w:r w:rsidRPr="002C0BDF">
        <w:rPr>
          <w:b/>
          <w:bCs/>
        </w:rPr>
        <w:t xml:space="preserve"> and adopt other effective and adequately resourced me</w:t>
      </w:r>
      <w:r w:rsidR="000F357E" w:rsidRPr="002C0BDF">
        <w:rPr>
          <w:b/>
          <w:bCs/>
        </w:rPr>
        <w:t>asures aimed</w:t>
      </w:r>
      <w:r w:rsidRPr="002C0BDF">
        <w:rPr>
          <w:b/>
          <w:bCs/>
        </w:rPr>
        <w:t xml:space="preserve"> at integrating Roma children in</w:t>
      </w:r>
      <w:r w:rsidR="00F00544" w:rsidRPr="002C0BDF">
        <w:rPr>
          <w:b/>
          <w:bCs/>
        </w:rPr>
        <w:t>to</w:t>
      </w:r>
      <w:r w:rsidRPr="002C0BDF">
        <w:rPr>
          <w:b/>
          <w:bCs/>
        </w:rPr>
        <w:t xml:space="preserve"> preschool institutions; ending school segregation; and</w:t>
      </w:r>
      <w:r w:rsidR="000F357E" w:rsidRPr="002C0BDF">
        <w:rPr>
          <w:b/>
          <w:bCs/>
        </w:rPr>
        <w:t xml:space="preserve"> reducing </w:t>
      </w:r>
      <w:r w:rsidR="00A11B58" w:rsidRPr="002C0BDF">
        <w:rPr>
          <w:b/>
          <w:bCs/>
        </w:rPr>
        <w:t>school dropout</w:t>
      </w:r>
      <w:r w:rsidR="000D6B52" w:rsidRPr="002C0BDF">
        <w:rPr>
          <w:b/>
          <w:bCs/>
        </w:rPr>
        <w:t>,</w:t>
      </w:r>
      <w:r w:rsidR="00A11B58" w:rsidRPr="002C0BDF">
        <w:rPr>
          <w:b/>
          <w:bCs/>
        </w:rPr>
        <w:t xml:space="preserve"> </w:t>
      </w:r>
      <w:r w:rsidR="000D6B52" w:rsidRPr="002C0BDF">
        <w:rPr>
          <w:b/>
          <w:bCs/>
        </w:rPr>
        <w:t>including</w:t>
      </w:r>
      <w:r w:rsidR="00A11B58" w:rsidRPr="002C0BDF">
        <w:rPr>
          <w:b/>
          <w:bCs/>
        </w:rPr>
        <w:t xml:space="preserve"> through</w:t>
      </w:r>
      <w:r w:rsidR="000F357E" w:rsidRPr="002C0BDF">
        <w:rPr>
          <w:b/>
          <w:bCs/>
        </w:rPr>
        <w:t xml:space="preserve"> enhancing access </w:t>
      </w:r>
      <w:r w:rsidR="00F00544" w:rsidRPr="002C0BDF">
        <w:rPr>
          <w:b/>
          <w:bCs/>
        </w:rPr>
        <w:t xml:space="preserve">to, </w:t>
      </w:r>
      <w:r w:rsidR="000F357E" w:rsidRPr="002C0BDF">
        <w:rPr>
          <w:b/>
          <w:bCs/>
        </w:rPr>
        <w:t xml:space="preserve">and </w:t>
      </w:r>
      <w:r w:rsidR="00F00544" w:rsidRPr="002C0BDF">
        <w:rPr>
          <w:b/>
          <w:bCs/>
        </w:rPr>
        <w:t xml:space="preserve">the </w:t>
      </w:r>
      <w:r w:rsidR="000F357E" w:rsidRPr="002C0BDF">
        <w:rPr>
          <w:b/>
          <w:bCs/>
        </w:rPr>
        <w:t>quality of</w:t>
      </w:r>
      <w:r w:rsidR="00F00544" w:rsidRPr="002C0BDF">
        <w:rPr>
          <w:b/>
          <w:bCs/>
        </w:rPr>
        <w:t>,</w:t>
      </w:r>
      <w:r w:rsidR="000F357E" w:rsidRPr="002C0BDF">
        <w:rPr>
          <w:b/>
          <w:bCs/>
        </w:rPr>
        <w:t xml:space="preserve"> education for Roma.</w:t>
      </w:r>
      <w:r w:rsidR="00D473AB" w:rsidRPr="002C0BDF">
        <w:rPr>
          <w:b/>
          <w:bCs/>
        </w:rPr>
        <w:t xml:space="preserve"> </w:t>
      </w:r>
    </w:p>
    <w:p w:rsidR="00E16825" w:rsidRPr="002C0BDF" w:rsidRDefault="00FD0A87" w:rsidP="00FD0A87">
      <w:pPr>
        <w:pStyle w:val="H23G"/>
      </w:pPr>
      <w:r w:rsidRPr="002C0BDF">
        <w:tab/>
      </w:r>
      <w:r w:rsidRPr="002C0BDF">
        <w:tab/>
      </w:r>
      <w:r w:rsidR="00532A39" w:rsidRPr="002C0BDF">
        <w:t>R</w:t>
      </w:r>
      <w:r w:rsidR="00E16825" w:rsidRPr="002C0BDF">
        <w:t>ights of nationa</w:t>
      </w:r>
      <w:r w:rsidR="00611FC6" w:rsidRPr="002C0BDF">
        <w:t xml:space="preserve">l or ethnic minorities </w:t>
      </w:r>
    </w:p>
    <w:p w:rsidR="00532A39" w:rsidRPr="002C0BDF" w:rsidRDefault="00F441CF" w:rsidP="00F00544">
      <w:pPr>
        <w:pStyle w:val="SingleTxtG"/>
        <w:numPr>
          <w:ilvl w:val="0"/>
          <w:numId w:val="17"/>
        </w:numPr>
        <w:tabs>
          <w:tab w:val="left" w:pos="1701"/>
        </w:tabs>
        <w:spacing w:after="100"/>
        <w:ind w:left="1134" w:firstLine="1"/>
      </w:pPr>
      <w:r w:rsidRPr="002C0BDF">
        <w:t>The Committee regrets the</w:t>
      </w:r>
      <w:r w:rsidR="00532A39" w:rsidRPr="002C0BDF">
        <w:t xml:space="preserve"> l</w:t>
      </w:r>
      <w:r w:rsidR="00EB31B3" w:rsidRPr="002C0BDF">
        <w:t>ack of information on the situation</w:t>
      </w:r>
      <w:r w:rsidR="00532A39" w:rsidRPr="002C0BDF">
        <w:t xml:space="preserve"> of </w:t>
      </w:r>
      <w:r w:rsidR="00251F0D" w:rsidRPr="002C0BDF">
        <w:t xml:space="preserve">national and </w:t>
      </w:r>
      <w:r w:rsidR="00532A39" w:rsidRPr="002C0BDF">
        <w:t xml:space="preserve">ethnic minorities in the State party </w:t>
      </w:r>
      <w:r w:rsidR="00F00544" w:rsidRPr="002C0BDF">
        <w:t>and on</w:t>
      </w:r>
      <w:r w:rsidR="00532A39" w:rsidRPr="002C0BDF">
        <w:t xml:space="preserve"> their </w:t>
      </w:r>
      <w:r w:rsidR="00611FC6" w:rsidRPr="002C0BDF">
        <w:t xml:space="preserve">actual </w:t>
      </w:r>
      <w:r w:rsidR="00532A39" w:rsidRPr="002C0BDF">
        <w:t>enjoyment of rights u</w:t>
      </w:r>
      <w:r w:rsidR="00203274" w:rsidRPr="002C0BDF">
        <w:t>nder article </w:t>
      </w:r>
      <w:r w:rsidR="005E13AC" w:rsidRPr="002C0BDF">
        <w:t>15 of the Covenant</w:t>
      </w:r>
      <w:r w:rsidR="00E72895" w:rsidRPr="002C0BDF">
        <w:t xml:space="preserve"> (art. </w:t>
      </w:r>
      <w:r w:rsidR="00611FC6" w:rsidRPr="002C0BDF">
        <w:t>15)</w:t>
      </w:r>
      <w:r w:rsidR="005E13AC" w:rsidRPr="002C0BDF">
        <w:t>.</w:t>
      </w:r>
    </w:p>
    <w:p w:rsidR="00392CA1" w:rsidRPr="002C0BDF" w:rsidRDefault="00611FC6" w:rsidP="00F00544">
      <w:pPr>
        <w:pStyle w:val="SingleTxtG"/>
        <w:spacing w:after="100"/>
        <w:rPr>
          <w:b/>
        </w:rPr>
      </w:pPr>
      <w:r w:rsidRPr="002C0BDF">
        <w:rPr>
          <w:b/>
        </w:rPr>
        <w:t xml:space="preserve">The Committee recommends that the State party take effective measures to ensure enjoyment of the right to take part in cultural life, including by minorities, and to report </w:t>
      </w:r>
      <w:r w:rsidR="00F00544" w:rsidRPr="002C0BDF">
        <w:rPr>
          <w:b/>
        </w:rPr>
        <w:t xml:space="preserve">on such measures </w:t>
      </w:r>
      <w:r w:rsidRPr="002C0BDF">
        <w:rPr>
          <w:b/>
        </w:rPr>
        <w:t xml:space="preserve">in its next periodic report. </w:t>
      </w:r>
      <w:r w:rsidR="009B0136" w:rsidRPr="002C0BDF">
        <w:rPr>
          <w:b/>
        </w:rPr>
        <w:t xml:space="preserve">In </w:t>
      </w:r>
      <w:r w:rsidR="00F00544" w:rsidRPr="002C0BDF">
        <w:rPr>
          <w:b/>
        </w:rPr>
        <w:t xml:space="preserve">that </w:t>
      </w:r>
      <w:r w:rsidR="009B0136" w:rsidRPr="002C0BDF">
        <w:rPr>
          <w:b/>
        </w:rPr>
        <w:t>regard, the Committee draws the attention of the State p</w:t>
      </w:r>
      <w:r w:rsidR="00E72895" w:rsidRPr="002C0BDF">
        <w:rPr>
          <w:b/>
        </w:rPr>
        <w:t>arty to its general comment No. </w:t>
      </w:r>
      <w:r w:rsidR="009B0136" w:rsidRPr="002C0BDF">
        <w:rPr>
          <w:b/>
        </w:rPr>
        <w:t>21 (2009) on the right of everyone</w:t>
      </w:r>
      <w:r w:rsidR="00CD1E39" w:rsidRPr="002C0BDF">
        <w:rPr>
          <w:b/>
        </w:rPr>
        <w:t xml:space="preserve"> to take part in cultural life.</w:t>
      </w:r>
    </w:p>
    <w:p w:rsidR="00E04FFD" w:rsidRPr="002C0BDF" w:rsidRDefault="001F3FDF" w:rsidP="00FD0A87">
      <w:pPr>
        <w:pStyle w:val="H1G"/>
      </w:pPr>
      <w:r w:rsidRPr="002C0BDF">
        <w:tab/>
      </w:r>
      <w:r w:rsidR="00303272" w:rsidRPr="002C0BDF">
        <w:t>D.</w:t>
      </w:r>
      <w:r w:rsidR="00303272" w:rsidRPr="002C0BDF">
        <w:tab/>
        <w:t>Other recommendations</w:t>
      </w:r>
    </w:p>
    <w:p w:rsidR="00BC412E" w:rsidRPr="002C0BDF" w:rsidRDefault="00BC412E" w:rsidP="00203274">
      <w:pPr>
        <w:pStyle w:val="SingleTxtG"/>
        <w:numPr>
          <w:ilvl w:val="0"/>
          <w:numId w:val="17"/>
        </w:numPr>
        <w:spacing w:after="100"/>
        <w:ind w:left="1134" w:right="1138" w:firstLine="0"/>
        <w:rPr>
          <w:b/>
          <w:bCs/>
        </w:rPr>
      </w:pPr>
      <w:r w:rsidRPr="002C0BDF">
        <w:rPr>
          <w:b/>
          <w:bCs/>
        </w:rPr>
        <w:t>The Committee recommends that the State party expand its dialogue and cooperation with civil society organizations working in the area of promotion and protection of economic, social and cultural rights. The Committee also encourages the State party to consult with civil society organizations on the implementation of the Committee’s recommendations and the preparation of the next periodic report.</w:t>
      </w:r>
    </w:p>
    <w:p w:rsidR="008433D0" w:rsidRPr="002C0BDF" w:rsidRDefault="008433D0" w:rsidP="00203274">
      <w:pPr>
        <w:pStyle w:val="SingleTxtG"/>
        <w:numPr>
          <w:ilvl w:val="0"/>
          <w:numId w:val="17"/>
        </w:numPr>
        <w:tabs>
          <w:tab w:val="left" w:pos="851"/>
        </w:tabs>
        <w:spacing w:after="100"/>
        <w:ind w:left="1134" w:firstLine="0"/>
        <w:rPr>
          <w:b/>
          <w:bCs/>
          <w:lang w:val="en-US"/>
        </w:rPr>
      </w:pPr>
      <w:r w:rsidRPr="002C0BDF">
        <w:rPr>
          <w:b/>
          <w:bCs/>
          <w:lang w:val="en-US"/>
        </w:rPr>
        <w:t>The Committee, while acknowledging the contribution of the State party to official development assistance, encourages the State party to gradually increase its official development assistance with a view to achieving the international commitment of 0.7</w:t>
      </w:r>
      <w:r w:rsidR="00E72895" w:rsidRPr="002C0BDF">
        <w:rPr>
          <w:b/>
          <w:bCs/>
          <w:lang w:val="en-US"/>
        </w:rPr>
        <w:t> </w:t>
      </w:r>
      <w:r w:rsidRPr="002C0BDF">
        <w:rPr>
          <w:b/>
          <w:bCs/>
          <w:lang w:val="en-US"/>
        </w:rPr>
        <w:t>per cent of its gross national product (GNP) and to pursue a human rights-based approach in its development cooperation policy, fully incorporating the rights contained in the Covenant.</w:t>
      </w:r>
    </w:p>
    <w:p w:rsidR="00A94236" w:rsidRPr="002C0BDF" w:rsidRDefault="00055AEC" w:rsidP="00203274">
      <w:pPr>
        <w:pStyle w:val="SingleTxtG"/>
        <w:numPr>
          <w:ilvl w:val="0"/>
          <w:numId w:val="17"/>
        </w:numPr>
        <w:spacing w:after="100"/>
        <w:ind w:left="1134" w:firstLine="0"/>
        <w:rPr>
          <w:b/>
        </w:rPr>
      </w:pPr>
      <w:r w:rsidRPr="002C0BDF">
        <w:rPr>
          <w:b/>
        </w:rPr>
        <w:t xml:space="preserve">The </w:t>
      </w:r>
      <w:r w:rsidRPr="002C0BDF">
        <w:rPr>
          <w:b/>
          <w:lang w:val="en-US"/>
        </w:rPr>
        <w:t>Committee</w:t>
      </w:r>
      <w:r w:rsidRPr="002C0BDF">
        <w:rPr>
          <w:b/>
        </w:rPr>
        <w:t xml:space="preserve"> encourages the State party to </w:t>
      </w:r>
      <w:r w:rsidR="00064821" w:rsidRPr="002C0BDF">
        <w:rPr>
          <w:b/>
        </w:rPr>
        <w:t>expedite its efforts</w:t>
      </w:r>
      <w:r w:rsidRPr="002C0BDF">
        <w:rPr>
          <w:b/>
        </w:rPr>
        <w:t xml:space="preserve"> </w:t>
      </w:r>
      <w:r w:rsidR="00064821" w:rsidRPr="002C0BDF">
        <w:rPr>
          <w:b/>
        </w:rPr>
        <w:t>in</w:t>
      </w:r>
      <w:r w:rsidRPr="002C0BDF">
        <w:rPr>
          <w:b/>
        </w:rPr>
        <w:t xml:space="preserve"> ratifying the Optional Protocol to the International Covenant on Economic, Social and Cultural Rights</w:t>
      </w:r>
      <w:r w:rsidR="00064821" w:rsidRPr="002C0BDF">
        <w:rPr>
          <w:b/>
        </w:rPr>
        <w:t xml:space="preserve"> as indicated during the </w:t>
      </w:r>
      <w:r w:rsidR="00930913" w:rsidRPr="002C0BDF">
        <w:rPr>
          <w:b/>
        </w:rPr>
        <w:t>dialogue</w:t>
      </w:r>
      <w:r w:rsidR="00064821" w:rsidRPr="002C0BDF">
        <w:rPr>
          <w:b/>
        </w:rPr>
        <w:t>, and to consider</w:t>
      </w:r>
      <w:r w:rsidRPr="002C0BDF">
        <w:rPr>
          <w:b/>
        </w:rPr>
        <w:t xml:space="preserve"> </w:t>
      </w:r>
      <w:r w:rsidR="00064821" w:rsidRPr="002C0BDF">
        <w:rPr>
          <w:b/>
        </w:rPr>
        <w:t xml:space="preserve">ratifying </w:t>
      </w:r>
      <w:r w:rsidR="00A94236" w:rsidRPr="002C0BDF">
        <w:rPr>
          <w:b/>
        </w:rPr>
        <w:t>the International Convention on the Protection of the Rights of All Migrant Workers and Members of Their Families</w:t>
      </w:r>
      <w:r w:rsidR="00930913" w:rsidRPr="002C0BDF">
        <w:rPr>
          <w:b/>
        </w:rPr>
        <w:t>,</w:t>
      </w:r>
      <w:r w:rsidR="00A94236" w:rsidRPr="002C0BDF">
        <w:rPr>
          <w:b/>
        </w:rPr>
        <w:t xml:space="preserve"> and the </w:t>
      </w:r>
      <w:r w:rsidRPr="002C0BDF">
        <w:rPr>
          <w:b/>
        </w:rPr>
        <w:t>International Convention for the Protection of All Persons from Enforced Disappearance.</w:t>
      </w:r>
    </w:p>
    <w:p w:rsidR="00532A39" w:rsidRPr="002C0BDF" w:rsidRDefault="00E16825" w:rsidP="00203274">
      <w:pPr>
        <w:pStyle w:val="SingleTxtG"/>
        <w:numPr>
          <w:ilvl w:val="0"/>
          <w:numId w:val="17"/>
        </w:numPr>
        <w:tabs>
          <w:tab w:val="left" w:pos="1701"/>
        </w:tabs>
        <w:spacing w:after="100"/>
        <w:ind w:left="1134" w:firstLine="0"/>
        <w:rPr>
          <w:b/>
        </w:rPr>
      </w:pPr>
      <w:r w:rsidRPr="002C0BDF">
        <w:rPr>
          <w:b/>
        </w:rPr>
        <w:t xml:space="preserve">The Committee requests the State party to disseminate the present concluding observations widely at all levels of society, particularly among parliamentarians, public officials, judicial authorities and civil society organizations, and to inform the Committee in its next periodic report on the steps taken to implement them. </w:t>
      </w:r>
    </w:p>
    <w:p w:rsidR="00E16825" w:rsidRPr="002C0BDF" w:rsidRDefault="00E16825" w:rsidP="00203274">
      <w:pPr>
        <w:pStyle w:val="SingleTxtG"/>
        <w:numPr>
          <w:ilvl w:val="0"/>
          <w:numId w:val="17"/>
        </w:numPr>
        <w:tabs>
          <w:tab w:val="left" w:pos="1701"/>
        </w:tabs>
        <w:spacing w:after="100"/>
        <w:ind w:left="1134" w:firstLine="0"/>
        <w:rPr>
          <w:b/>
        </w:rPr>
      </w:pPr>
      <w:r w:rsidRPr="002C0BDF">
        <w:rPr>
          <w:b/>
        </w:rPr>
        <w:t>The Committee requests the State party to submit its third periodic report</w:t>
      </w:r>
      <w:r w:rsidR="00B11374" w:rsidRPr="002C0BDF">
        <w:rPr>
          <w:b/>
        </w:rPr>
        <w:t>,</w:t>
      </w:r>
      <w:r w:rsidRPr="002C0BDF">
        <w:rPr>
          <w:b/>
        </w:rPr>
        <w:t xml:space="preserve"> in accordance with the guidelines adopted by the Committee in 2008 (E/C.12/2008/2), by 30 November 2019.</w:t>
      </w:r>
    </w:p>
    <w:p w:rsidR="00E16825" w:rsidRPr="003860BF" w:rsidRDefault="003860BF" w:rsidP="00203274">
      <w:pPr>
        <w:ind w:left="1134" w:right="1134"/>
        <w:jc w:val="center"/>
        <w:rPr>
          <w:u w:val="single"/>
        </w:rPr>
      </w:pPr>
      <w:r>
        <w:rPr>
          <w:u w:val="single"/>
        </w:rPr>
        <w:tab/>
      </w:r>
      <w:r>
        <w:rPr>
          <w:u w:val="single"/>
        </w:rPr>
        <w:tab/>
      </w:r>
      <w:r>
        <w:rPr>
          <w:u w:val="single"/>
        </w:rPr>
        <w:tab/>
      </w:r>
    </w:p>
    <w:sectPr w:rsidR="00E16825" w:rsidRPr="003860BF" w:rsidSect="00D473AB">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3C8B" w:rsidRDefault="00433C8B"/>
  </w:endnote>
  <w:endnote w:type="continuationSeparator" w:id="0">
    <w:p w:rsidR="00433C8B" w:rsidRDefault="00433C8B"/>
  </w:endnote>
  <w:endnote w:type="continuationNotice" w:id="1">
    <w:p w:rsidR="00433C8B" w:rsidRDefault="00433C8B"/>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GaramondPro-Regular">
    <w:altName w:val="Times New Roman"/>
    <w:panose1 w:val="00000000000000000000"/>
    <w:charset w:val="EE"/>
    <w:family w:val="roman"/>
    <w:notTrueType/>
    <w:pitch w:val="default"/>
    <w:sig w:usb0="00000005" w:usb1="00000000" w:usb2="00000000" w:usb3="00000000" w:csb0="00000002"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478" w:rsidRPr="0024165B" w:rsidRDefault="006E0478" w:rsidP="0024165B">
    <w:pPr>
      <w:pStyle w:val="Footer"/>
      <w:tabs>
        <w:tab w:val="right" w:pos="9598"/>
      </w:tabs>
    </w:pPr>
    <w:r w:rsidRPr="0024165B">
      <w:rPr>
        <w:b/>
        <w:sz w:val="18"/>
      </w:rPr>
      <w:fldChar w:fldCharType="begin"/>
    </w:r>
    <w:r w:rsidRPr="0024165B">
      <w:rPr>
        <w:b/>
        <w:sz w:val="18"/>
      </w:rPr>
      <w:instrText xml:space="preserve"> PAGE  \* MERGEFORMAT </w:instrText>
    </w:r>
    <w:r w:rsidRPr="0024165B">
      <w:rPr>
        <w:b/>
        <w:sz w:val="18"/>
      </w:rPr>
      <w:fldChar w:fldCharType="separate"/>
    </w:r>
    <w:r w:rsidR="00B573F8">
      <w:rPr>
        <w:b/>
        <w:noProof/>
        <w:sz w:val="18"/>
      </w:rPr>
      <w:t>8</w:t>
    </w:r>
    <w:r w:rsidRPr="0024165B">
      <w:rPr>
        <w:b/>
        <w:sz w:val="18"/>
      </w:rPr>
      <w:fldChar w:fldCharType="end"/>
    </w:r>
    <w:r>
      <w:rPr>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478" w:rsidRPr="0024165B" w:rsidRDefault="006E0478" w:rsidP="0024165B">
    <w:pPr>
      <w:pStyle w:val="Footer"/>
      <w:tabs>
        <w:tab w:val="right" w:pos="9598"/>
      </w:tabs>
      <w:rPr>
        <w:b/>
        <w:sz w:val="18"/>
      </w:rPr>
    </w:pPr>
    <w:r>
      <w:tab/>
    </w:r>
    <w:r w:rsidRPr="0024165B">
      <w:rPr>
        <w:b/>
        <w:sz w:val="18"/>
      </w:rPr>
      <w:fldChar w:fldCharType="begin"/>
    </w:r>
    <w:r w:rsidRPr="0024165B">
      <w:rPr>
        <w:b/>
        <w:sz w:val="18"/>
      </w:rPr>
      <w:instrText xml:space="preserve"> PAGE  \* MERGEFORMAT </w:instrText>
    </w:r>
    <w:r w:rsidRPr="0024165B">
      <w:rPr>
        <w:b/>
        <w:sz w:val="18"/>
      </w:rPr>
      <w:fldChar w:fldCharType="separate"/>
    </w:r>
    <w:r w:rsidR="00B573F8">
      <w:rPr>
        <w:b/>
        <w:noProof/>
        <w:sz w:val="18"/>
      </w:rPr>
      <w:t>9</w:t>
    </w:r>
    <w:r w:rsidRPr="0024165B">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478" w:rsidRPr="00AF344C" w:rsidRDefault="00684508" w:rsidP="001D1861">
    <w:r>
      <w:rPr>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37.3pt;margin-top:646.25pt;width:73.25pt;height:18.15pt;z-index:1;mso-position-horizontal-relative:margin;mso-position-vertical-relative:margin">
          <v:imagedata r:id="rId1" o:title="recycle_English"/>
          <w10:wrap anchorx="margin" anchory="margin"/>
        </v:shape>
      </w:pict>
    </w:r>
    <w:r w:rsidR="006E0478" w:rsidRPr="00AF344C">
      <w:t>GE.14</w:t>
    </w:r>
    <w:r w:rsidR="006E0478">
      <w:t>-</w:t>
    </w:r>
    <w:r w:rsidR="008828DB">
      <w:t>24318</w:t>
    </w:r>
    <w:r w:rsidR="003D3B00">
      <w:t xml:space="preserve">  (E)</w:t>
    </w:r>
    <w:r>
      <w:br/>
    </w:r>
    <w:r w:rsidRPr="00684508">
      <w:rPr>
        <w:rFonts w:ascii="C39T30Lfz" w:hAnsi="C39T30Lfz"/>
        <w:sz w:val="56"/>
      </w:rPr>
      <w:t></w:t>
    </w:r>
    <w:r w:rsidRPr="00684508">
      <w:rPr>
        <w:rFonts w:ascii="C39T30Lfz" w:hAnsi="C39T30Lfz"/>
        <w:sz w:val="56"/>
      </w:rPr>
      <w:t></w:t>
    </w:r>
    <w:r w:rsidRPr="00684508">
      <w:rPr>
        <w:rFonts w:ascii="C39T30Lfz" w:hAnsi="C39T30Lfz"/>
        <w:sz w:val="56"/>
      </w:rPr>
      <w:t></w:t>
    </w:r>
    <w:r w:rsidRPr="00684508">
      <w:rPr>
        <w:rFonts w:ascii="C39T30Lfz" w:hAnsi="C39T30Lfz"/>
        <w:sz w:val="56"/>
      </w:rPr>
      <w:t></w:t>
    </w:r>
    <w:r w:rsidRPr="00684508">
      <w:rPr>
        <w:rFonts w:ascii="C39T30Lfz" w:hAnsi="C39T30Lfz"/>
        <w:sz w:val="56"/>
      </w:rPr>
      <w:t></w:t>
    </w:r>
    <w:r w:rsidRPr="00684508">
      <w:rPr>
        <w:rFonts w:ascii="C39T30Lfz" w:hAnsi="C39T30Lfz"/>
        <w:sz w:val="56"/>
      </w:rPr>
      <w:t></w:t>
    </w:r>
    <w:r w:rsidRPr="00684508">
      <w:rPr>
        <w:rFonts w:ascii="C39T30Lfz" w:hAnsi="C39T30Lfz"/>
        <w:sz w:val="56"/>
      </w:rPr>
      <w:t></w:t>
    </w:r>
    <w:r w:rsidRPr="00684508">
      <w:rPr>
        <w:rFonts w:ascii="C39T30Lfz" w:hAnsi="C39T30Lfz"/>
        <w:sz w:val="56"/>
      </w:rPr>
      <w:t></w:t>
    </w:r>
    <w:r w:rsidRPr="00684508">
      <w:rPr>
        <w:rFonts w:ascii="C39T30Lfz" w:hAnsi="C39T30Lfz"/>
        <w:sz w:val="56"/>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3C8B" w:rsidRPr="000B175B" w:rsidRDefault="00433C8B" w:rsidP="000B175B">
      <w:pPr>
        <w:tabs>
          <w:tab w:val="right" w:pos="2155"/>
        </w:tabs>
        <w:spacing w:after="80"/>
        <w:ind w:left="680"/>
        <w:rPr>
          <w:u w:val="single"/>
        </w:rPr>
      </w:pPr>
      <w:r>
        <w:rPr>
          <w:u w:val="single"/>
        </w:rPr>
        <w:tab/>
      </w:r>
    </w:p>
  </w:footnote>
  <w:footnote w:type="continuationSeparator" w:id="0">
    <w:p w:rsidR="00433C8B" w:rsidRPr="00FC68B7" w:rsidRDefault="00433C8B" w:rsidP="00FC68B7">
      <w:pPr>
        <w:tabs>
          <w:tab w:val="left" w:pos="2155"/>
        </w:tabs>
        <w:spacing w:after="80"/>
        <w:ind w:left="680"/>
        <w:rPr>
          <w:u w:val="single"/>
        </w:rPr>
      </w:pPr>
      <w:r>
        <w:rPr>
          <w:u w:val="single"/>
        </w:rPr>
        <w:tab/>
      </w:r>
    </w:p>
  </w:footnote>
  <w:footnote w:type="continuationNotice" w:id="1">
    <w:p w:rsidR="00433C8B" w:rsidRDefault="00433C8B"/>
  </w:footnote>
  <w:footnote w:id="2">
    <w:p w:rsidR="006E0478" w:rsidRDefault="006E0478" w:rsidP="00AC2068">
      <w:pPr>
        <w:pStyle w:val="FootnoteText"/>
        <w:ind w:left="567" w:hanging="567"/>
      </w:pPr>
      <w:r>
        <w:rPr>
          <w:sz w:val="20"/>
        </w:rPr>
        <w:tab/>
      </w:r>
      <w:r>
        <w:rPr>
          <w:sz w:val="20"/>
        </w:rPr>
        <w:tab/>
      </w:r>
      <w:r w:rsidRPr="00D473AB">
        <w:rPr>
          <w:rStyle w:val="FootnoteReference"/>
          <w:sz w:val="20"/>
          <w:vertAlign w:val="baseline"/>
        </w:rPr>
        <w:t>*</w:t>
      </w:r>
      <w:r>
        <w:rPr>
          <w:sz w:val="20"/>
        </w:rPr>
        <w:tab/>
      </w:r>
      <w:r w:rsidRPr="00C969E1">
        <w:t>Adopted by the Committee at its fifty-third session (10</w:t>
      </w:r>
      <w:r>
        <w:t>–</w:t>
      </w:r>
      <w:r w:rsidRPr="00C969E1">
        <w:t>28 November 2014)</w:t>
      </w:r>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478" w:rsidRPr="00DB0C7E" w:rsidRDefault="006E0478" w:rsidP="00DB0C7E">
    <w:pPr>
      <w:pStyle w:val="Header"/>
    </w:pPr>
    <w:r>
      <w:t>E/</w:t>
    </w:r>
    <w:r w:rsidRPr="008F12B7">
      <w:t>C.12/</w:t>
    </w:r>
    <w:r>
      <w:t>SVN/CO/2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478" w:rsidRPr="0024165B" w:rsidRDefault="006E0478" w:rsidP="00197939">
    <w:pPr>
      <w:pStyle w:val="Header"/>
      <w:jc w:val="right"/>
    </w:pPr>
    <w:r w:rsidRPr="003860BF">
      <w:t>E/C.12/SVN/CO/2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2821C2"/>
    <w:multiLevelType w:val="hybridMultilevel"/>
    <w:tmpl w:val="4552CB50"/>
    <w:lvl w:ilvl="0" w:tplc="DBA4A408">
      <w:start w:val="1"/>
      <w:numFmt w:val="lowerLetter"/>
      <w:lvlText w:val="(%1)"/>
      <w:lvlJc w:val="left"/>
      <w:pPr>
        <w:ind w:left="2049" w:hanging="360"/>
      </w:pPr>
      <w:rPr>
        <w:rFonts w:hint="default"/>
      </w:rPr>
    </w:lvl>
    <w:lvl w:ilvl="1" w:tplc="08090019" w:tentative="1">
      <w:start w:val="1"/>
      <w:numFmt w:val="lowerLetter"/>
      <w:lvlText w:val="%2."/>
      <w:lvlJc w:val="left"/>
      <w:pPr>
        <w:ind w:left="2769" w:hanging="360"/>
      </w:pPr>
    </w:lvl>
    <w:lvl w:ilvl="2" w:tplc="0809001B" w:tentative="1">
      <w:start w:val="1"/>
      <w:numFmt w:val="lowerRoman"/>
      <w:lvlText w:val="%3."/>
      <w:lvlJc w:val="right"/>
      <w:pPr>
        <w:ind w:left="3489" w:hanging="180"/>
      </w:pPr>
    </w:lvl>
    <w:lvl w:ilvl="3" w:tplc="0809000F" w:tentative="1">
      <w:start w:val="1"/>
      <w:numFmt w:val="decimal"/>
      <w:lvlText w:val="%4."/>
      <w:lvlJc w:val="left"/>
      <w:pPr>
        <w:ind w:left="4209" w:hanging="360"/>
      </w:pPr>
    </w:lvl>
    <w:lvl w:ilvl="4" w:tplc="08090019" w:tentative="1">
      <w:start w:val="1"/>
      <w:numFmt w:val="lowerLetter"/>
      <w:lvlText w:val="%5."/>
      <w:lvlJc w:val="left"/>
      <w:pPr>
        <w:ind w:left="4929" w:hanging="360"/>
      </w:pPr>
    </w:lvl>
    <w:lvl w:ilvl="5" w:tplc="0809001B" w:tentative="1">
      <w:start w:val="1"/>
      <w:numFmt w:val="lowerRoman"/>
      <w:lvlText w:val="%6."/>
      <w:lvlJc w:val="right"/>
      <w:pPr>
        <w:ind w:left="5649" w:hanging="180"/>
      </w:pPr>
    </w:lvl>
    <w:lvl w:ilvl="6" w:tplc="0809000F" w:tentative="1">
      <w:start w:val="1"/>
      <w:numFmt w:val="decimal"/>
      <w:lvlText w:val="%7."/>
      <w:lvlJc w:val="left"/>
      <w:pPr>
        <w:ind w:left="6369" w:hanging="360"/>
      </w:pPr>
    </w:lvl>
    <w:lvl w:ilvl="7" w:tplc="08090019" w:tentative="1">
      <w:start w:val="1"/>
      <w:numFmt w:val="lowerLetter"/>
      <w:lvlText w:val="%8."/>
      <w:lvlJc w:val="left"/>
      <w:pPr>
        <w:ind w:left="7089" w:hanging="360"/>
      </w:pPr>
    </w:lvl>
    <w:lvl w:ilvl="8" w:tplc="0809001B" w:tentative="1">
      <w:start w:val="1"/>
      <w:numFmt w:val="lowerRoman"/>
      <w:lvlText w:val="%9."/>
      <w:lvlJc w:val="right"/>
      <w:pPr>
        <w:ind w:left="7809" w:hanging="180"/>
      </w:pPr>
    </w:lvl>
  </w:abstractNum>
  <w:abstractNum w:abstractNumId="11">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14D582D"/>
    <w:multiLevelType w:val="hybridMultilevel"/>
    <w:tmpl w:val="12801B10"/>
    <w:lvl w:ilvl="0" w:tplc="C6A654AE">
      <w:start w:val="1"/>
      <w:numFmt w:val="lowerLetter"/>
      <w:lvlText w:val="(%1)"/>
      <w:lvlJc w:val="left"/>
      <w:pPr>
        <w:ind w:left="2826" w:hanging="1125"/>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4">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BE53307"/>
    <w:multiLevelType w:val="hybridMultilevel"/>
    <w:tmpl w:val="865877C6"/>
    <w:lvl w:ilvl="0" w:tplc="5578373E">
      <w:start w:val="1"/>
      <w:numFmt w:val="decimal"/>
      <w:lvlText w:val="%1."/>
      <w:lvlJc w:val="left"/>
      <w:pPr>
        <w:ind w:left="1495" w:hanging="360"/>
      </w:pPr>
      <w:rPr>
        <w:b w:val="0"/>
        <w:color w:val="auto"/>
      </w:rPr>
    </w:lvl>
    <w:lvl w:ilvl="1" w:tplc="04090019">
      <w:start w:val="1"/>
      <w:numFmt w:val="lowerLetter"/>
      <w:lvlText w:val="%2."/>
      <w:lvlJc w:val="left"/>
      <w:pPr>
        <w:ind w:left="2574" w:hanging="360"/>
      </w:pPr>
    </w:lvl>
    <w:lvl w:ilvl="2" w:tplc="0409001B">
      <w:start w:val="1"/>
      <w:numFmt w:val="lowerRoman"/>
      <w:lvlText w:val="%3."/>
      <w:lvlJc w:val="right"/>
      <w:pPr>
        <w:ind w:left="3294" w:hanging="180"/>
      </w:pPr>
    </w:lvl>
    <w:lvl w:ilvl="3" w:tplc="CE46FFCC">
      <w:start w:val="1"/>
      <w:numFmt w:val="lowerLetter"/>
      <w:lvlText w:val="(%4)"/>
      <w:lvlJc w:val="left"/>
      <w:pPr>
        <w:ind w:left="4779" w:hanging="1125"/>
      </w:pPr>
      <w:rPr>
        <w:rFonts w:hint="default"/>
      </w:r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7">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5887082"/>
    <w:multiLevelType w:val="hybridMultilevel"/>
    <w:tmpl w:val="E4BA50F8"/>
    <w:lvl w:ilvl="0" w:tplc="CE46FFCC">
      <w:start w:val="1"/>
      <w:numFmt w:val="lowerLetter"/>
      <w:lvlText w:val="(%1)"/>
      <w:lvlJc w:val="left"/>
      <w:pPr>
        <w:ind w:left="2421" w:hanging="360"/>
      </w:pPr>
      <w:rPr>
        <w:rFonts w:hint="default"/>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CE46FFCC">
      <w:start w:val="1"/>
      <w:numFmt w:val="lowerLetter"/>
      <w:lvlText w:val="(%4)"/>
      <w:lvlJc w:val="left"/>
      <w:pPr>
        <w:ind w:left="4581" w:hanging="360"/>
      </w:pPr>
      <w:rPr>
        <w:rFonts w:hint="default"/>
      </w:r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9">
    <w:nsid w:val="3B991499"/>
    <w:multiLevelType w:val="hybridMultilevel"/>
    <w:tmpl w:val="2968E630"/>
    <w:lvl w:ilvl="0" w:tplc="5578373E">
      <w:start w:val="1"/>
      <w:numFmt w:val="decimal"/>
      <w:lvlText w:val="%1."/>
      <w:lvlJc w:val="left"/>
      <w:pPr>
        <w:ind w:left="1495" w:hanging="360"/>
      </w:pPr>
      <w:rPr>
        <w:b w:val="0"/>
        <w:color w:val="auto"/>
      </w:rPr>
    </w:lvl>
    <w:lvl w:ilvl="1" w:tplc="04090019">
      <w:start w:val="1"/>
      <w:numFmt w:val="lowerLetter"/>
      <w:lvlText w:val="%2."/>
      <w:lvlJc w:val="left"/>
      <w:pPr>
        <w:ind w:left="2574" w:hanging="360"/>
      </w:pPr>
    </w:lvl>
    <w:lvl w:ilvl="2" w:tplc="0409001B">
      <w:start w:val="1"/>
      <w:numFmt w:val="lowerRoman"/>
      <w:lvlText w:val="%3."/>
      <w:lvlJc w:val="right"/>
      <w:pPr>
        <w:ind w:left="3294" w:hanging="180"/>
      </w:pPr>
    </w:lvl>
    <w:lvl w:ilvl="3" w:tplc="5450F1D4">
      <w:start w:val="1"/>
      <w:numFmt w:val="lowerLetter"/>
      <w:lvlText w:val="(%4)"/>
      <w:lvlJc w:val="left"/>
      <w:pPr>
        <w:ind w:left="4779" w:hanging="1125"/>
      </w:pPr>
      <w:rPr>
        <w:rFonts w:hint="default"/>
      </w:r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0">
    <w:nsid w:val="482036A4"/>
    <w:multiLevelType w:val="hybridMultilevel"/>
    <w:tmpl w:val="E9248F66"/>
    <w:lvl w:ilvl="0" w:tplc="CE46FFCC">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CE46FFCC">
      <w:start w:val="1"/>
      <w:numFmt w:val="lowerLetter"/>
      <w:lvlText w:val="(%4)"/>
      <w:lvlJc w:val="left"/>
      <w:pPr>
        <w:ind w:left="4014" w:hanging="360"/>
      </w:pPr>
      <w:rPr>
        <w:rFonts w:hint="default"/>
      </w:r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1">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nsid w:val="7B570BF1"/>
    <w:multiLevelType w:val="hybridMultilevel"/>
    <w:tmpl w:val="2A185974"/>
    <w:lvl w:ilvl="0" w:tplc="50AEA014">
      <w:start w:val="1"/>
      <w:numFmt w:val="decimal"/>
      <w:lvlText w:val="%1."/>
      <w:lvlJc w:val="left"/>
      <w:pPr>
        <w:ind w:left="1711" w:hanging="576"/>
      </w:pPr>
      <w:rPr>
        <w:b w:val="0"/>
        <w:i w:val="0"/>
        <w:color w:val="auto"/>
        <w:sz w:val="20"/>
        <w:szCs w:val="20"/>
        <w:lang w:val="en-GB"/>
      </w:rPr>
    </w:lvl>
    <w:lvl w:ilvl="1" w:tplc="08090019">
      <w:start w:val="1"/>
      <w:numFmt w:val="lowerLetter"/>
      <w:lvlText w:val="%2."/>
      <w:lvlJc w:val="left"/>
      <w:pPr>
        <w:ind w:left="2214" w:hanging="360"/>
      </w:pPr>
    </w:lvl>
    <w:lvl w:ilvl="2" w:tplc="0809001B">
      <w:start w:val="1"/>
      <w:numFmt w:val="lowerRoman"/>
      <w:lvlText w:val="%3."/>
      <w:lvlJc w:val="right"/>
      <w:pPr>
        <w:ind w:left="2934" w:hanging="180"/>
      </w:pPr>
    </w:lvl>
    <w:lvl w:ilvl="3" w:tplc="0809000F">
      <w:start w:val="1"/>
      <w:numFmt w:val="decimal"/>
      <w:lvlText w:val="%4."/>
      <w:lvlJc w:val="left"/>
      <w:pPr>
        <w:ind w:left="3654" w:hanging="360"/>
      </w:pPr>
    </w:lvl>
    <w:lvl w:ilvl="4" w:tplc="08090019">
      <w:start w:val="1"/>
      <w:numFmt w:val="lowerLetter"/>
      <w:lvlText w:val="%5."/>
      <w:lvlJc w:val="left"/>
      <w:pPr>
        <w:ind w:left="4374" w:hanging="360"/>
      </w:pPr>
    </w:lvl>
    <w:lvl w:ilvl="5" w:tplc="0809001B">
      <w:start w:val="1"/>
      <w:numFmt w:val="lowerRoman"/>
      <w:lvlText w:val="%6."/>
      <w:lvlJc w:val="right"/>
      <w:pPr>
        <w:ind w:left="5094" w:hanging="180"/>
      </w:pPr>
    </w:lvl>
    <w:lvl w:ilvl="6" w:tplc="0809000F">
      <w:start w:val="1"/>
      <w:numFmt w:val="decimal"/>
      <w:lvlText w:val="%7."/>
      <w:lvlJc w:val="left"/>
      <w:pPr>
        <w:ind w:left="5814" w:hanging="360"/>
      </w:pPr>
    </w:lvl>
    <w:lvl w:ilvl="7" w:tplc="08090019">
      <w:start w:val="1"/>
      <w:numFmt w:val="lowerLetter"/>
      <w:lvlText w:val="%8."/>
      <w:lvlJc w:val="left"/>
      <w:pPr>
        <w:ind w:left="6534" w:hanging="360"/>
      </w:pPr>
    </w:lvl>
    <w:lvl w:ilvl="8" w:tplc="0809001B">
      <w:start w:val="1"/>
      <w:numFmt w:val="lowerRoman"/>
      <w:lvlText w:val="%9."/>
      <w:lvlJc w:val="right"/>
      <w:pPr>
        <w:ind w:left="7254" w:hanging="180"/>
      </w:pPr>
    </w:lvl>
  </w:abstractNum>
  <w:abstractNum w:abstractNumId="23">
    <w:nsid w:val="7D660334"/>
    <w:multiLevelType w:val="hybridMultilevel"/>
    <w:tmpl w:val="3EF8F95C"/>
    <w:lvl w:ilvl="0" w:tplc="CE46FFCC">
      <w:start w:val="1"/>
      <w:numFmt w:val="lowerLetter"/>
      <w:lvlText w:val="(%1)"/>
      <w:lvlJc w:val="left"/>
      <w:pPr>
        <w:ind w:left="2421" w:hanging="360"/>
      </w:pPr>
      <w:rPr>
        <w:rFonts w:hint="default"/>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CE46FFCC">
      <w:start w:val="1"/>
      <w:numFmt w:val="lowerLetter"/>
      <w:lvlText w:val="(%4)"/>
      <w:lvlJc w:val="left"/>
      <w:pPr>
        <w:ind w:left="4581" w:hanging="360"/>
      </w:pPr>
      <w:rPr>
        <w:rFonts w:hint="default"/>
      </w:r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24">
    <w:nsid w:val="7F5F2DE2"/>
    <w:multiLevelType w:val="hybridMultilevel"/>
    <w:tmpl w:val="E8CC6262"/>
    <w:lvl w:ilvl="0" w:tplc="CE46FFCC">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CE46FFCC">
      <w:start w:val="1"/>
      <w:numFmt w:val="lowerLetter"/>
      <w:lvlText w:val="(%4)"/>
      <w:lvlJc w:val="left"/>
      <w:pPr>
        <w:ind w:left="4014" w:hanging="360"/>
      </w:pPr>
      <w:rPr>
        <w:rFonts w:hint="default"/>
      </w:r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7"/>
  </w:num>
  <w:num w:numId="12">
    <w:abstractNumId w:val="15"/>
  </w:num>
  <w:num w:numId="13">
    <w:abstractNumId w:val="11"/>
  </w:num>
  <w:num w:numId="14">
    <w:abstractNumId w:val="21"/>
  </w:num>
  <w:num w:numId="15">
    <w:abstractNumId w:val="14"/>
  </w:num>
  <w:num w:numId="16">
    <w:abstractNumId w:val="12"/>
  </w:num>
  <w:num w:numId="17">
    <w:abstractNumId w:val="19"/>
  </w:num>
  <w:num w:numId="18">
    <w:abstractNumId w:val="10"/>
  </w:num>
  <w:num w:numId="19">
    <w:abstractNumId w:val="13"/>
  </w:num>
  <w:num w:numId="20">
    <w:abstractNumId w:val="16"/>
  </w:num>
  <w:num w:numId="21">
    <w:abstractNumId w:val="23"/>
  </w:num>
  <w:num w:numId="22">
    <w:abstractNumId w:val="24"/>
  </w:num>
  <w:num w:numId="23">
    <w:abstractNumId w:val="18"/>
  </w:num>
  <w:num w:numId="24">
    <w:abstractNumId w:val="20"/>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CH" w:vendorID="64" w:dllVersion="131078" w:nlCheck="1" w:checkStyle="1"/>
  <w:proofState w:spelling="clean" w:grammar="clean"/>
  <w:attachedTemplate r:id="rId1"/>
  <w:stylePaneFormatFilter w:val="3001"/>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fillcolor="white">
      <v:fill color="white"/>
    </o:shapedefaults>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42A93"/>
    <w:rsid w:val="000004DD"/>
    <w:rsid w:val="00003796"/>
    <w:rsid w:val="00003A63"/>
    <w:rsid w:val="00012061"/>
    <w:rsid w:val="00013DE0"/>
    <w:rsid w:val="00014165"/>
    <w:rsid w:val="000165A5"/>
    <w:rsid w:val="00016AA6"/>
    <w:rsid w:val="000225D6"/>
    <w:rsid w:val="00030B99"/>
    <w:rsid w:val="00032DEC"/>
    <w:rsid w:val="00033B4E"/>
    <w:rsid w:val="00036E8C"/>
    <w:rsid w:val="000411BC"/>
    <w:rsid w:val="00043CFF"/>
    <w:rsid w:val="0004569D"/>
    <w:rsid w:val="00050DEF"/>
    <w:rsid w:val="00050F6B"/>
    <w:rsid w:val="00053E57"/>
    <w:rsid w:val="00055AEC"/>
    <w:rsid w:val="00061002"/>
    <w:rsid w:val="0006257C"/>
    <w:rsid w:val="00063837"/>
    <w:rsid w:val="00064821"/>
    <w:rsid w:val="000665BB"/>
    <w:rsid w:val="000671D0"/>
    <w:rsid w:val="00067DD3"/>
    <w:rsid w:val="00070AF8"/>
    <w:rsid w:val="000719EF"/>
    <w:rsid w:val="00072079"/>
    <w:rsid w:val="0007220C"/>
    <w:rsid w:val="000726E8"/>
    <w:rsid w:val="00072C8C"/>
    <w:rsid w:val="000733FB"/>
    <w:rsid w:val="00073DFC"/>
    <w:rsid w:val="00080A3E"/>
    <w:rsid w:val="00083B37"/>
    <w:rsid w:val="000870C2"/>
    <w:rsid w:val="000931C0"/>
    <w:rsid w:val="000966FE"/>
    <w:rsid w:val="000A039C"/>
    <w:rsid w:val="000A2266"/>
    <w:rsid w:val="000A2D00"/>
    <w:rsid w:val="000A727B"/>
    <w:rsid w:val="000B175B"/>
    <w:rsid w:val="000B25AE"/>
    <w:rsid w:val="000B2993"/>
    <w:rsid w:val="000B3A0F"/>
    <w:rsid w:val="000B595D"/>
    <w:rsid w:val="000B6092"/>
    <w:rsid w:val="000B7C86"/>
    <w:rsid w:val="000C2969"/>
    <w:rsid w:val="000C3162"/>
    <w:rsid w:val="000C4A6F"/>
    <w:rsid w:val="000C4C55"/>
    <w:rsid w:val="000C6AD1"/>
    <w:rsid w:val="000C6ADC"/>
    <w:rsid w:val="000D1BA3"/>
    <w:rsid w:val="000D38A1"/>
    <w:rsid w:val="000D3A8B"/>
    <w:rsid w:val="000D6B52"/>
    <w:rsid w:val="000D71CC"/>
    <w:rsid w:val="000E0415"/>
    <w:rsid w:val="000E09D1"/>
    <w:rsid w:val="000F0A63"/>
    <w:rsid w:val="000F1234"/>
    <w:rsid w:val="000F357E"/>
    <w:rsid w:val="000F4847"/>
    <w:rsid w:val="00102A22"/>
    <w:rsid w:val="00103155"/>
    <w:rsid w:val="00111672"/>
    <w:rsid w:val="00111D89"/>
    <w:rsid w:val="00120C6D"/>
    <w:rsid w:val="0012195D"/>
    <w:rsid w:val="00123ABC"/>
    <w:rsid w:val="0013026A"/>
    <w:rsid w:val="001309F2"/>
    <w:rsid w:val="0013158A"/>
    <w:rsid w:val="001329FF"/>
    <w:rsid w:val="00140AD9"/>
    <w:rsid w:val="001417D3"/>
    <w:rsid w:val="001433D3"/>
    <w:rsid w:val="001443CA"/>
    <w:rsid w:val="001474D1"/>
    <w:rsid w:val="001536DE"/>
    <w:rsid w:val="00160F88"/>
    <w:rsid w:val="0016262D"/>
    <w:rsid w:val="00162B54"/>
    <w:rsid w:val="00162E46"/>
    <w:rsid w:val="00164424"/>
    <w:rsid w:val="001663A7"/>
    <w:rsid w:val="00170924"/>
    <w:rsid w:val="0017168F"/>
    <w:rsid w:val="00173234"/>
    <w:rsid w:val="001744DB"/>
    <w:rsid w:val="00176269"/>
    <w:rsid w:val="00181DBC"/>
    <w:rsid w:val="001824B8"/>
    <w:rsid w:val="00183058"/>
    <w:rsid w:val="001836C4"/>
    <w:rsid w:val="001844A5"/>
    <w:rsid w:val="0018516B"/>
    <w:rsid w:val="00187ED5"/>
    <w:rsid w:val="00191D5A"/>
    <w:rsid w:val="00192722"/>
    <w:rsid w:val="001937A7"/>
    <w:rsid w:val="00194BC8"/>
    <w:rsid w:val="00197939"/>
    <w:rsid w:val="001A119D"/>
    <w:rsid w:val="001A5F06"/>
    <w:rsid w:val="001B02DA"/>
    <w:rsid w:val="001B194C"/>
    <w:rsid w:val="001B4B04"/>
    <w:rsid w:val="001B4BE0"/>
    <w:rsid w:val="001C0D5B"/>
    <w:rsid w:val="001C18D6"/>
    <w:rsid w:val="001C2A42"/>
    <w:rsid w:val="001C39A2"/>
    <w:rsid w:val="001C4184"/>
    <w:rsid w:val="001C580D"/>
    <w:rsid w:val="001C6663"/>
    <w:rsid w:val="001C7895"/>
    <w:rsid w:val="001D0070"/>
    <w:rsid w:val="001D1861"/>
    <w:rsid w:val="001D26DF"/>
    <w:rsid w:val="001D343B"/>
    <w:rsid w:val="001D760B"/>
    <w:rsid w:val="001E4749"/>
    <w:rsid w:val="001E48CB"/>
    <w:rsid w:val="001E6B82"/>
    <w:rsid w:val="001F3FDF"/>
    <w:rsid w:val="001F74B2"/>
    <w:rsid w:val="00201353"/>
    <w:rsid w:val="00202AF1"/>
    <w:rsid w:val="00203274"/>
    <w:rsid w:val="00204081"/>
    <w:rsid w:val="00205E77"/>
    <w:rsid w:val="00211E0B"/>
    <w:rsid w:val="00212706"/>
    <w:rsid w:val="0022264A"/>
    <w:rsid w:val="002248BC"/>
    <w:rsid w:val="002267E3"/>
    <w:rsid w:val="0023133B"/>
    <w:rsid w:val="00234408"/>
    <w:rsid w:val="002354E7"/>
    <w:rsid w:val="00236502"/>
    <w:rsid w:val="00240874"/>
    <w:rsid w:val="0024165B"/>
    <w:rsid w:val="00242A93"/>
    <w:rsid w:val="002433E5"/>
    <w:rsid w:val="002433E9"/>
    <w:rsid w:val="002441C2"/>
    <w:rsid w:val="0024429A"/>
    <w:rsid w:val="0024676E"/>
    <w:rsid w:val="00246FD4"/>
    <w:rsid w:val="00251BD6"/>
    <w:rsid w:val="00251F0D"/>
    <w:rsid w:val="0025362F"/>
    <w:rsid w:val="00254278"/>
    <w:rsid w:val="00254BD8"/>
    <w:rsid w:val="00257B5D"/>
    <w:rsid w:val="00257D7B"/>
    <w:rsid w:val="00260676"/>
    <w:rsid w:val="002609C3"/>
    <w:rsid w:val="00263CBF"/>
    <w:rsid w:val="00270D79"/>
    <w:rsid w:val="00271CD7"/>
    <w:rsid w:val="00272ED2"/>
    <w:rsid w:val="00273998"/>
    <w:rsid w:val="0028193C"/>
    <w:rsid w:val="002836DC"/>
    <w:rsid w:val="00283F4B"/>
    <w:rsid w:val="00284DCF"/>
    <w:rsid w:val="00285700"/>
    <w:rsid w:val="00291FF9"/>
    <w:rsid w:val="00293AD0"/>
    <w:rsid w:val="002A1991"/>
    <w:rsid w:val="002A28AD"/>
    <w:rsid w:val="002A2989"/>
    <w:rsid w:val="002A58EF"/>
    <w:rsid w:val="002A66E8"/>
    <w:rsid w:val="002B0962"/>
    <w:rsid w:val="002B0D5B"/>
    <w:rsid w:val="002B354E"/>
    <w:rsid w:val="002B3C38"/>
    <w:rsid w:val="002B4AAC"/>
    <w:rsid w:val="002C0BDF"/>
    <w:rsid w:val="002C142F"/>
    <w:rsid w:val="002C1690"/>
    <w:rsid w:val="002C365F"/>
    <w:rsid w:val="002C4AC3"/>
    <w:rsid w:val="002C6FC6"/>
    <w:rsid w:val="002D2172"/>
    <w:rsid w:val="002D272F"/>
    <w:rsid w:val="002D317E"/>
    <w:rsid w:val="002D6604"/>
    <w:rsid w:val="002E0CED"/>
    <w:rsid w:val="002E0EBC"/>
    <w:rsid w:val="002E416E"/>
    <w:rsid w:val="002E4711"/>
    <w:rsid w:val="002E4DA6"/>
    <w:rsid w:val="002E4E19"/>
    <w:rsid w:val="002E540D"/>
    <w:rsid w:val="002F2CC7"/>
    <w:rsid w:val="002F3320"/>
    <w:rsid w:val="002F6E5E"/>
    <w:rsid w:val="002F7F6E"/>
    <w:rsid w:val="00302797"/>
    <w:rsid w:val="00303272"/>
    <w:rsid w:val="003033A6"/>
    <w:rsid w:val="003107FA"/>
    <w:rsid w:val="00310F74"/>
    <w:rsid w:val="00312127"/>
    <w:rsid w:val="0031221E"/>
    <w:rsid w:val="00313BB7"/>
    <w:rsid w:val="00314A4A"/>
    <w:rsid w:val="003157F3"/>
    <w:rsid w:val="00315D28"/>
    <w:rsid w:val="00322791"/>
    <w:rsid w:val="003229D8"/>
    <w:rsid w:val="00323254"/>
    <w:rsid w:val="00324DF8"/>
    <w:rsid w:val="003278A7"/>
    <w:rsid w:val="00327C15"/>
    <w:rsid w:val="00332CD3"/>
    <w:rsid w:val="003335E1"/>
    <w:rsid w:val="00340F52"/>
    <w:rsid w:val="003423AE"/>
    <w:rsid w:val="003423B1"/>
    <w:rsid w:val="00346EC8"/>
    <w:rsid w:val="00347403"/>
    <w:rsid w:val="00351568"/>
    <w:rsid w:val="00351747"/>
    <w:rsid w:val="00351984"/>
    <w:rsid w:val="00365CFD"/>
    <w:rsid w:val="00366600"/>
    <w:rsid w:val="00366CDF"/>
    <w:rsid w:val="00366F97"/>
    <w:rsid w:val="00367119"/>
    <w:rsid w:val="003702D0"/>
    <w:rsid w:val="003710F6"/>
    <w:rsid w:val="0037157F"/>
    <w:rsid w:val="00371B04"/>
    <w:rsid w:val="003727DA"/>
    <w:rsid w:val="00376BF6"/>
    <w:rsid w:val="00380AF2"/>
    <w:rsid w:val="00383D96"/>
    <w:rsid w:val="0038448E"/>
    <w:rsid w:val="00386014"/>
    <w:rsid w:val="003860BF"/>
    <w:rsid w:val="00391FA4"/>
    <w:rsid w:val="0039277A"/>
    <w:rsid w:val="00392CA1"/>
    <w:rsid w:val="003945A7"/>
    <w:rsid w:val="0039474F"/>
    <w:rsid w:val="003954EE"/>
    <w:rsid w:val="003966F8"/>
    <w:rsid w:val="00396D66"/>
    <w:rsid w:val="003972E0"/>
    <w:rsid w:val="003A3758"/>
    <w:rsid w:val="003A565B"/>
    <w:rsid w:val="003A7BA3"/>
    <w:rsid w:val="003B1581"/>
    <w:rsid w:val="003B27BC"/>
    <w:rsid w:val="003C2CC4"/>
    <w:rsid w:val="003C65C9"/>
    <w:rsid w:val="003D3B00"/>
    <w:rsid w:val="003D4B23"/>
    <w:rsid w:val="003D675F"/>
    <w:rsid w:val="003E26D7"/>
    <w:rsid w:val="003E4D19"/>
    <w:rsid w:val="003E52F9"/>
    <w:rsid w:val="003E7D32"/>
    <w:rsid w:val="003F111F"/>
    <w:rsid w:val="003F3E05"/>
    <w:rsid w:val="003F56F2"/>
    <w:rsid w:val="0041099C"/>
    <w:rsid w:val="00414C2D"/>
    <w:rsid w:val="00414C68"/>
    <w:rsid w:val="0041518E"/>
    <w:rsid w:val="004170E9"/>
    <w:rsid w:val="0042444F"/>
    <w:rsid w:val="00427401"/>
    <w:rsid w:val="004325CB"/>
    <w:rsid w:val="00432B83"/>
    <w:rsid w:val="00433C8B"/>
    <w:rsid w:val="004403E5"/>
    <w:rsid w:val="004424A3"/>
    <w:rsid w:val="00442DE5"/>
    <w:rsid w:val="004464E0"/>
    <w:rsid w:val="00446DE4"/>
    <w:rsid w:val="00446FD6"/>
    <w:rsid w:val="004474BB"/>
    <w:rsid w:val="004478B2"/>
    <w:rsid w:val="00450DB9"/>
    <w:rsid w:val="0045142C"/>
    <w:rsid w:val="00452E3C"/>
    <w:rsid w:val="00453EBC"/>
    <w:rsid w:val="0045514A"/>
    <w:rsid w:val="00457830"/>
    <w:rsid w:val="00462C22"/>
    <w:rsid w:val="0047184B"/>
    <w:rsid w:val="00474099"/>
    <w:rsid w:val="0047411B"/>
    <w:rsid w:val="00474E68"/>
    <w:rsid w:val="004769AE"/>
    <w:rsid w:val="00477210"/>
    <w:rsid w:val="00477CDA"/>
    <w:rsid w:val="00477CE1"/>
    <w:rsid w:val="00477F15"/>
    <w:rsid w:val="00480DD8"/>
    <w:rsid w:val="004826DD"/>
    <w:rsid w:val="004864BA"/>
    <w:rsid w:val="00490D53"/>
    <w:rsid w:val="004920A1"/>
    <w:rsid w:val="004A1A66"/>
    <w:rsid w:val="004A29CE"/>
    <w:rsid w:val="004A41CA"/>
    <w:rsid w:val="004A48FD"/>
    <w:rsid w:val="004A6AD8"/>
    <w:rsid w:val="004B3D50"/>
    <w:rsid w:val="004B4777"/>
    <w:rsid w:val="004B4FF6"/>
    <w:rsid w:val="004B7FC9"/>
    <w:rsid w:val="004C0E88"/>
    <w:rsid w:val="004C2022"/>
    <w:rsid w:val="004C2D3F"/>
    <w:rsid w:val="004D2615"/>
    <w:rsid w:val="004D2A5D"/>
    <w:rsid w:val="004D6867"/>
    <w:rsid w:val="004E233C"/>
    <w:rsid w:val="004E2A15"/>
    <w:rsid w:val="004E3116"/>
    <w:rsid w:val="004E33C2"/>
    <w:rsid w:val="004F0468"/>
    <w:rsid w:val="004F62C7"/>
    <w:rsid w:val="004F7390"/>
    <w:rsid w:val="00507518"/>
    <w:rsid w:val="0051579C"/>
    <w:rsid w:val="005214FB"/>
    <w:rsid w:val="00521E2D"/>
    <w:rsid w:val="005253B2"/>
    <w:rsid w:val="00526E25"/>
    <w:rsid w:val="00527FBC"/>
    <w:rsid w:val="005303BC"/>
    <w:rsid w:val="00531EC8"/>
    <w:rsid w:val="00532A39"/>
    <w:rsid w:val="00532B60"/>
    <w:rsid w:val="00535A35"/>
    <w:rsid w:val="00540E79"/>
    <w:rsid w:val="00541FF7"/>
    <w:rsid w:val="005420F2"/>
    <w:rsid w:val="00542D8C"/>
    <w:rsid w:val="00547756"/>
    <w:rsid w:val="005478D3"/>
    <w:rsid w:val="005525F3"/>
    <w:rsid w:val="00553D18"/>
    <w:rsid w:val="00561C31"/>
    <w:rsid w:val="00563174"/>
    <w:rsid w:val="005636EB"/>
    <w:rsid w:val="00566DC2"/>
    <w:rsid w:val="0056745C"/>
    <w:rsid w:val="00567874"/>
    <w:rsid w:val="00572BC0"/>
    <w:rsid w:val="005763F6"/>
    <w:rsid w:val="00577346"/>
    <w:rsid w:val="005861A2"/>
    <w:rsid w:val="0059008F"/>
    <w:rsid w:val="00591483"/>
    <w:rsid w:val="00597B2E"/>
    <w:rsid w:val="005A1ED0"/>
    <w:rsid w:val="005A208D"/>
    <w:rsid w:val="005A3885"/>
    <w:rsid w:val="005A6D3F"/>
    <w:rsid w:val="005B3DB3"/>
    <w:rsid w:val="005B5D93"/>
    <w:rsid w:val="005C13BA"/>
    <w:rsid w:val="005C2F60"/>
    <w:rsid w:val="005C43D7"/>
    <w:rsid w:val="005D2B8A"/>
    <w:rsid w:val="005D383B"/>
    <w:rsid w:val="005D47F8"/>
    <w:rsid w:val="005D6719"/>
    <w:rsid w:val="005D7A78"/>
    <w:rsid w:val="005E13AC"/>
    <w:rsid w:val="005E4AB3"/>
    <w:rsid w:val="005E516E"/>
    <w:rsid w:val="005E6992"/>
    <w:rsid w:val="005F0D1D"/>
    <w:rsid w:val="005F2598"/>
    <w:rsid w:val="005F25A7"/>
    <w:rsid w:val="005F3A18"/>
    <w:rsid w:val="005F4C7C"/>
    <w:rsid w:val="005F68E8"/>
    <w:rsid w:val="00603032"/>
    <w:rsid w:val="00606FD4"/>
    <w:rsid w:val="00607F9B"/>
    <w:rsid w:val="00611958"/>
    <w:rsid w:val="00611FC4"/>
    <w:rsid w:val="00611FC6"/>
    <w:rsid w:val="0061340C"/>
    <w:rsid w:val="0061628C"/>
    <w:rsid w:val="006176FB"/>
    <w:rsid w:val="00622AA7"/>
    <w:rsid w:val="00623E1A"/>
    <w:rsid w:val="0062439B"/>
    <w:rsid w:val="00624E97"/>
    <w:rsid w:val="00627ED0"/>
    <w:rsid w:val="006306CE"/>
    <w:rsid w:val="00630BA0"/>
    <w:rsid w:val="00637580"/>
    <w:rsid w:val="00640B26"/>
    <w:rsid w:val="00640EB7"/>
    <w:rsid w:val="0065089B"/>
    <w:rsid w:val="00652599"/>
    <w:rsid w:val="00654158"/>
    <w:rsid w:val="006608B0"/>
    <w:rsid w:val="0066200E"/>
    <w:rsid w:val="00662121"/>
    <w:rsid w:val="0066474E"/>
    <w:rsid w:val="00665595"/>
    <w:rsid w:val="0066575D"/>
    <w:rsid w:val="00681F90"/>
    <w:rsid w:val="00684508"/>
    <w:rsid w:val="00690673"/>
    <w:rsid w:val="00690887"/>
    <w:rsid w:val="006919D5"/>
    <w:rsid w:val="00693038"/>
    <w:rsid w:val="006956A5"/>
    <w:rsid w:val="006962A4"/>
    <w:rsid w:val="00696E37"/>
    <w:rsid w:val="00697F2A"/>
    <w:rsid w:val="00697FC0"/>
    <w:rsid w:val="006A1EA7"/>
    <w:rsid w:val="006A3215"/>
    <w:rsid w:val="006A7392"/>
    <w:rsid w:val="006A77D6"/>
    <w:rsid w:val="006A7BBB"/>
    <w:rsid w:val="006B5BCF"/>
    <w:rsid w:val="006B6A76"/>
    <w:rsid w:val="006C0A62"/>
    <w:rsid w:val="006C533C"/>
    <w:rsid w:val="006D054B"/>
    <w:rsid w:val="006D45EC"/>
    <w:rsid w:val="006D6CD0"/>
    <w:rsid w:val="006E0478"/>
    <w:rsid w:val="006E0A73"/>
    <w:rsid w:val="006E1AD0"/>
    <w:rsid w:val="006E2762"/>
    <w:rsid w:val="006E564B"/>
    <w:rsid w:val="006F0162"/>
    <w:rsid w:val="006F2455"/>
    <w:rsid w:val="006F38A8"/>
    <w:rsid w:val="006F46AD"/>
    <w:rsid w:val="006F4C13"/>
    <w:rsid w:val="007005CE"/>
    <w:rsid w:val="00700D6A"/>
    <w:rsid w:val="00701E96"/>
    <w:rsid w:val="00703710"/>
    <w:rsid w:val="0070392E"/>
    <w:rsid w:val="0070466A"/>
    <w:rsid w:val="00713807"/>
    <w:rsid w:val="007177CB"/>
    <w:rsid w:val="007232A9"/>
    <w:rsid w:val="0072332E"/>
    <w:rsid w:val="0072534B"/>
    <w:rsid w:val="0072632A"/>
    <w:rsid w:val="007274FD"/>
    <w:rsid w:val="00733574"/>
    <w:rsid w:val="00740661"/>
    <w:rsid w:val="00740D4B"/>
    <w:rsid w:val="0074211F"/>
    <w:rsid w:val="00747D37"/>
    <w:rsid w:val="00747DB4"/>
    <w:rsid w:val="00757602"/>
    <w:rsid w:val="007641FF"/>
    <w:rsid w:val="00765ADB"/>
    <w:rsid w:val="0077102D"/>
    <w:rsid w:val="00772A6F"/>
    <w:rsid w:val="00773E7E"/>
    <w:rsid w:val="007759DB"/>
    <w:rsid w:val="00775A90"/>
    <w:rsid w:val="007771B6"/>
    <w:rsid w:val="00781D9E"/>
    <w:rsid w:val="00784C0B"/>
    <w:rsid w:val="007A0C25"/>
    <w:rsid w:val="007A1923"/>
    <w:rsid w:val="007A449B"/>
    <w:rsid w:val="007A5436"/>
    <w:rsid w:val="007A690C"/>
    <w:rsid w:val="007A6C45"/>
    <w:rsid w:val="007B4FD2"/>
    <w:rsid w:val="007B6BA5"/>
    <w:rsid w:val="007C1FBF"/>
    <w:rsid w:val="007C3390"/>
    <w:rsid w:val="007C3C1E"/>
    <w:rsid w:val="007C3CDC"/>
    <w:rsid w:val="007C4F4B"/>
    <w:rsid w:val="007C51E7"/>
    <w:rsid w:val="007C6846"/>
    <w:rsid w:val="007C6CCB"/>
    <w:rsid w:val="007D3CED"/>
    <w:rsid w:val="007D5BFE"/>
    <w:rsid w:val="007E1429"/>
    <w:rsid w:val="007E2738"/>
    <w:rsid w:val="007E2C6D"/>
    <w:rsid w:val="007E7000"/>
    <w:rsid w:val="007E7101"/>
    <w:rsid w:val="007F0B83"/>
    <w:rsid w:val="007F6611"/>
    <w:rsid w:val="007F7A0B"/>
    <w:rsid w:val="00803C67"/>
    <w:rsid w:val="00804C37"/>
    <w:rsid w:val="0081054F"/>
    <w:rsid w:val="0081145B"/>
    <w:rsid w:val="008114B2"/>
    <w:rsid w:val="00815C4D"/>
    <w:rsid w:val="008175E9"/>
    <w:rsid w:val="00821069"/>
    <w:rsid w:val="008242D7"/>
    <w:rsid w:val="00825555"/>
    <w:rsid w:val="008265ED"/>
    <w:rsid w:val="008311A3"/>
    <w:rsid w:val="00834B8E"/>
    <w:rsid w:val="008362A7"/>
    <w:rsid w:val="008362F0"/>
    <w:rsid w:val="00840224"/>
    <w:rsid w:val="008433D0"/>
    <w:rsid w:val="00844ABD"/>
    <w:rsid w:val="00847BE5"/>
    <w:rsid w:val="00854C4F"/>
    <w:rsid w:val="00855E77"/>
    <w:rsid w:val="00861B72"/>
    <w:rsid w:val="00866244"/>
    <w:rsid w:val="00867453"/>
    <w:rsid w:val="00867FEF"/>
    <w:rsid w:val="00871FD5"/>
    <w:rsid w:val="00873DC8"/>
    <w:rsid w:val="0087535A"/>
    <w:rsid w:val="00875551"/>
    <w:rsid w:val="008828DB"/>
    <w:rsid w:val="008838AC"/>
    <w:rsid w:val="00885032"/>
    <w:rsid w:val="008914E4"/>
    <w:rsid w:val="008920D5"/>
    <w:rsid w:val="00893470"/>
    <w:rsid w:val="008979B1"/>
    <w:rsid w:val="00897B65"/>
    <w:rsid w:val="008A0E79"/>
    <w:rsid w:val="008A382A"/>
    <w:rsid w:val="008A6B25"/>
    <w:rsid w:val="008A6C4F"/>
    <w:rsid w:val="008A7EA8"/>
    <w:rsid w:val="008B4BA4"/>
    <w:rsid w:val="008B5448"/>
    <w:rsid w:val="008B7A3C"/>
    <w:rsid w:val="008C2F21"/>
    <w:rsid w:val="008C3307"/>
    <w:rsid w:val="008C57EF"/>
    <w:rsid w:val="008C62CF"/>
    <w:rsid w:val="008D6556"/>
    <w:rsid w:val="008D74FE"/>
    <w:rsid w:val="008E0E46"/>
    <w:rsid w:val="008E4FCB"/>
    <w:rsid w:val="008E653C"/>
    <w:rsid w:val="008E6BC9"/>
    <w:rsid w:val="008F12B7"/>
    <w:rsid w:val="008F1555"/>
    <w:rsid w:val="008F243C"/>
    <w:rsid w:val="008F45A0"/>
    <w:rsid w:val="008F78EE"/>
    <w:rsid w:val="008F79B2"/>
    <w:rsid w:val="00902B99"/>
    <w:rsid w:val="00903522"/>
    <w:rsid w:val="0090497B"/>
    <w:rsid w:val="009065F5"/>
    <w:rsid w:val="00907AD2"/>
    <w:rsid w:val="00907BB0"/>
    <w:rsid w:val="009134E3"/>
    <w:rsid w:val="00914D2C"/>
    <w:rsid w:val="00921084"/>
    <w:rsid w:val="00922B52"/>
    <w:rsid w:val="0092439B"/>
    <w:rsid w:val="00925E4E"/>
    <w:rsid w:val="00926788"/>
    <w:rsid w:val="00926AB7"/>
    <w:rsid w:val="00930913"/>
    <w:rsid w:val="0093174E"/>
    <w:rsid w:val="00933A49"/>
    <w:rsid w:val="00935580"/>
    <w:rsid w:val="00940062"/>
    <w:rsid w:val="00940161"/>
    <w:rsid w:val="00940336"/>
    <w:rsid w:val="009417D6"/>
    <w:rsid w:val="00943979"/>
    <w:rsid w:val="00946311"/>
    <w:rsid w:val="009527BD"/>
    <w:rsid w:val="0095357F"/>
    <w:rsid w:val="009541F5"/>
    <w:rsid w:val="009559BE"/>
    <w:rsid w:val="00957B47"/>
    <w:rsid w:val="00963CBA"/>
    <w:rsid w:val="0097064A"/>
    <w:rsid w:val="009708F0"/>
    <w:rsid w:val="009724ED"/>
    <w:rsid w:val="0097282D"/>
    <w:rsid w:val="00974A8D"/>
    <w:rsid w:val="009750D2"/>
    <w:rsid w:val="00976902"/>
    <w:rsid w:val="009777F6"/>
    <w:rsid w:val="00977E98"/>
    <w:rsid w:val="009830C9"/>
    <w:rsid w:val="00986F7D"/>
    <w:rsid w:val="00991261"/>
    <w:rsid w:val="00991341"/>
    <w:rsid w:val="00996633"/>
    <w:rsid w:val="00997057"/>
    <w:rsid w:val="009A24ED"/>
    <w:rsid w:val="009A60AE"/>
    <w:rsid w:val="009B0136"/>
    <w:rsid w:val="009B0930"/>
    <w:rsid w:val="009B2BD0"/>
    <w:rsid w:val="009B3565"/>
    <w:rsid w:val="009B51B6"/>
    <w:rsid w:val="009B6650"/>
    <w:rsid w:val="009B7762"/>
    <w:rsid w:val="009C0312"/>
    <w:rsid w:val="009C2CA4"/>
    <w:rsid w:val="009C43CE"/>
    <w:rsid w:val="009C4D99"/>
    <w:rsid w:val="009C6845"/>
    <w:rsid w:val="009D12F9"/>
    <w:rsid w:val="009D3CD8"/>
    <w:rsid w:val="009D4C0E"/>
    <w:rsid w:val="009D5023"/>
    <w:rsid w:val="009D5609"/>
    <w:rsid w:val="009E194F"/>
    <w:rsid w:val="009E22B1"/>
    <w:rsid w:val="009E409C"/>
    <w:rsid w:val="009E4EA4"/>
    <w:rsid w:val="009E4FED"/>
    <w:rsid w:val="009E7738"/>
    <w:rsid w:val="009E7C2A"/>
    <w:rsid w:val="009F0378"/>
    <w:rsid w:val="009F1103"/>
    <w:rsid w:val="009F22A1"/>
    <w:rsid w:val="009F238B"/>
    <w:rsid w:val="009F3A17"/>
    <w:rsid w:val="009F6B5E"/>
    <w:rsid w:val="00A0695E"/>
    <w:rsid w:val="00A07D94"/>
    <w:rsid w:val="00A1016E"/>
    <w:rsid w:val="00A102D5"/>
    <w:rsid w:val="00A1049D"/>
    <w:rsid w:val="00A10A13"/>
    <w:rsid w:val="00A11821"/>
    <w:rsid w:val="00A11B58"/>
    <w:rsid w:val="00A121B0"/>
    <w:rsid w:val="00A1427D"/>
    <w:rsid w:val="00A14799"/>
    <w:rsid w:val="00A14EFE"/>
    <w:rsid w:val="00A15B72"/>
    <w:rsid w:val="00A200CB"/>
    <w:rsid w:val="00A21ADA"/>
    <w:rsid w:val="00A2252F"/>
    <w:rsid w:val="00A2369C"/>
    <w:rsid w:val="00A2412C"/>
    <w:rsid w:val="00A313C2"/>
    <w:rsid w:val="00A3239C"/>
    <w:rsid w:val="00A327D6"/>
    <w:rsid w:val="00A37605"/>
    <w:rsid w:val="00A43364"/>
    <w:rsid w:val="00A44EC0"/>
    <w:rsid w:val="00A4594D"/>
    <w:rsid w:val="00A50B09"/>
    <w:rsid w:val="00A50F86"/>
    <w:rsid w:val="00A530F4"/>
    <w:rsid w:val="00A545AD"/>
    <w:rsid w:val="00A56837"/>
    <w:rsid w:val="00A609FF"/>
    <w:rsid w:val="00A630D0"/>
    <w:rsid w:val="00A646F9"/>
    <w:rsid w:val="00A70E9B"/>
    <w:rsid w:val="00A7150E"/>
    <w:rsid w:val="00A72F22"/>
    <w:rsid w:val="00A748A6"/>
    <w:rsid w:val="00A75F60"/>
    <w:rsid w:val="00A77059"/>
    <w:rsid w:val="00A808B4"/>
    <w:rsid w:val="00A80907"/>
    <w:rsid w:val="00A8097B"/>
    <w:rsid w:val="00A80D48"/>
    <w:rsid w:val="00A816F9"/>
    <w:rsid w:val="00A83F24"/>
    <w:rsid w:val="00A8504E"/>
    <w:rsid w:val="00A879A4"/>
    <w:rsid w:val="00A9232E"/>
    <w:rsid w:val="00A92ACE"/>
    <w:rsid w:val="00A93B23"/>
    <w:rsid w:val="00A94236"/>
    <w:rsid w:val="00AA2D46"/>
    <w:rsid w:val="00AA4D30"/>
    <w:rsid w:val="00AA7C62"/>
    <w:rsid w:val="00AB2D79"/>
    <w:rsid w:val="00AB2E77"/>
    <w:rsid w:val="00AB3955"/>
    <w:rsid w:val="00AB4212"/>
    <w:rsid w:val="00AB745D"/>
    <w:rsid w:val="00AC2068"/>
    <w:rsid w:val="00AC6FB1"/>
    <w:rsid w:val="00AD0F72"/>
    <w:rsid w:val="00AD33E2"/>
    <w:rsid w:val="00AD4202"/>
    <w:rsid w:val="00AD5548"/>
    <w:rsid w:val="00AD630A"/>
    <w:rsid w:val="00AE0799"/>
    <w:rsid w:val="00AE3199"/>
    <w:rsid w:val="00AE3991"/>
    <w:rsid w:val="00AE3ADD"/>
    <w:rsid w:val="00AE3F31"/>
    <w:rsid w:val="00AE4975"/>
    <w:rsid w:val="00AF344C"/>
    <w:rsid w:val="00AF78E8"/>
    <w:rsid w:val="00B03E7A"/>
    <w:rsid w:val="00B06459"/>
    <w:rsid w:val="00B1069B"/>
    <w:rsid w:val="00B10F56"/>
    <w:rsid w:val="00B11374"/>
    <w:rsid w:val="00B15E24"/>
    <w:rsid w:val="00B20D2F"/>
    <w:rsid w:val="00B222CE"/>
    <w:rsid w:val="00B26BA5"/>
    <w:rsid w:val="00B26BF6"/>
    <w:rsid w:val="00B27AF8"/>
    <w:rsid w:val="00B27DE9"/>
    <w:rsid w:val="00B27DEA"/>
    <w:rsid w:val="00B30179"/>
    <w:rsid w:val="00B31AA8"/>
    <w:rsid w:val="00B33EC0"/>
    <w:rsid w:val="00B4260C"/>
    <w:rsid w:val="00B44890"/>
    <w:rsid w:val="00B44C3B"/>
    <w:rsid w:val="00B50957"/>
    <w:rsid w:val="00B573F8"/>
    <w:rsid w:val="00B615C6"/>
    <w:rsid w:val="00B63D6A"/>
    <w:rsid w:val="00B6480E"/>
    <w:rsid w:val="00B70DA8"/>
    <w:rsid w:val="00B7160C"/>
    <w:rsid w:val="00B73AD3"/>
    <w:rsid w:val="00B73CFC"/>
    <w:rsid w:val="00B80410"/>
    <w:rsid w:val="00B81337"/>
    <w:rsid w:val="00B81E12"/>
    <w:rsid w:val="00B874C9"/>
    <w:rsid w:val="00B922A8"/>
    <w:rsid w:val="00B92736"/>
    <w:rsid w:val="00B92A5C"/>
    <w:rsid w:val="00B97FD2"/>
    <w:rsid w:val="00BA0659"/>
    <w:rsid w:val="00BA3A0E"/>
    <w:rsid w:val="00BA3AA6"/>
    <w:rsid w:val="00BA6974"/>
    <w:rsid w:val="00BB1851"/>
    <w:rsid w:val="00BB27D2"/>
    <w:rsid w:val="00BB476A"/>
    <w:rsid w:val="00BB5F9A"/>
    <w:rsid w:val="00BB63E6"/>
    <w:rsid w:val="00BC0578"/>
    <w:rsid w:val="00BC1EF2"/>
    <w:rsid w:val="00BC412E"/>
    <w:rsid w:val="00BC74E9"/>
    <w:rsid w:val="00BD07EF"/>
    <w:rsid w:val="00BD1B8B"/>
    <w:rsid w:val="00BD5154"/>
    <w:rsid w:val="00BE00FC"/>
    <w:rsid w:val="00BE455D"/>
    <w:rsid w:val="00BE4F74"/>
    <w:rsid w:val="00BE5A5B"/>
    <w:rsid w:val="00BE618E"/>
    <w:rsid w:val="00BE6696"/>
    <w:rsid w:val="00BF7C8F"/>
    <w:rsid w:val="00C001A9"/>
    <w:rsid w:val="00C01A15"/>
    <w:rsid w:val="00C043D8"/>
    <w:rsid w:val="00C11B6B"/>
    <w:rsid w:val="00C15C63"/>
    <w:rsid w:val="00C24251"/>
    <w:rsid w:val="00C25D93"/>
    <w:rsid w:val="00C309CA"/>
    <w:rsid w:val="00C31E8A"/>
    <w:rsid w:val="00C32005"/>
    <w:rsid w:val="00C37C61"/>
    <w:rsid w:val="00C40303"/>
    <w:rsid w:val="00C43863"/>
    <w:rsid w:val="00C463DD"/>
    <w:rsid w:val="00C51B63"/>
    <w:rsid w:val="00C535A6"/>
    <w:rsid w:val="00C54C2D"/>
    <w:rsid w:val="00C56853"/>
    <w:rsid w:val="00C56A16"/>
    <w:rsid w:val="00C57E56"/>
    <w:rsid w:val="00C62959"/>
    <w:rsid w:val="00C67CEE"/>
    <w:rsid w:val="00C728BC"/>
    <w:rsid w:val="00C736E1"/>
    <w:rsid w:val="00C745C3"/>
    <w:rsid w:val="00C7649E"/>
    <w:rsid w:val="00C8027A"/>
    <w:rsid w:val="00C823D1"/>
    <w:rsid w:val="00C82D67"/>
    <w:rsid w:val="00C852F7"/>
    <w:rsid w:val="00C85A4D"/>
    <w:rsid w:val="00C85B68"/>
    <w:rsid w:val="00C95243"/>
    <w:rsid w:val="00C969E1"/>
    <w:rsid w:val="00C97AA3"/>
    <w:rsid w:val="00CA0366"/>
    <w:rsid w:val="00CA05DE"/>
    <w:rsid w:val="00CA1787"/>
    <w:rsid w:val="00CA1988"/>
    <w:rsid w:val="00CA424D"/>
    <w:rsid w:val="00CA4FAA"/>
    <w:rsid w:val="00CA66F5"/>
    <w:rsid w:val="00CB575E"/>
    <w:rsid w:val="00CB58B9"/>
    <w:rsid w:val="00CB5A05"/>
    <w:rsid w:val="00CB6A46"/>
    <w:rsid w:val="00CC0BB1"/>
    <w:rsid w:val="00CC2BE1"/>
    <w:rsid w:val="00CC3F39"/>
    <w:rsid w:val="00CD0130"/>
    <w:rsid w:val="00CD1E39"/>
    <w:rsid w:val="00CD2295"/>
    <w:rsid w:val="00CD3817"/>
    <w:rsid w:val="00CD3A40"/>
    <w:rsid w:val="00CD5195"/>
    <w:rsid w:val="00CD636A"/>
    <w:rsid w:val="00CE4A8F"/>
    <w:rsid w:val="00CE55A0"/>
    <w:rsid w:val="00CE587E"/>
    <w:rsid w:val="00CE6C07"/>
    <w:rsid w:val="00CF407C"/>
    <w:rsid w:val="00CF67F5"/>
    <w:rsid w:val="00CF6F95"/>
    <w:rsid w:val="00CF799E"/>
    <w:rsid w:val="00D13424"/>
    <w:rsid w:val="00D146C6"/>
    <w:rsid w:val="00D1720F"/>
    <w:rsid w:val="00D177AB"/>
    <w:rsid w:val="00D2031B"/>
    <w:rsid w:val="00D251AA"/>
    <w:rsid w:val="00D25FE2"/>
    <w:rsid w:val="00D306D1"/>
    <w:rsid w:val="00D30F02"/>
    <w:rsid w:val="00D317BB"/>
    <w:rsid w:val="00D43252"/>
    <w:rsid w:val="00D45F63"/>
    <w:rsid w:val="00D46FD2"/>
    <w:rsid w:val="00D472EC"/>
    <w:rsid w:val="00D473AB"/>
    <w:rsid w:val="00D47C13"/>
    <w:rsid w:val="00D5256B"/>
    <w:rsid w:val="00D60651"/>
    <w:rsid w:val="00D61251"/>
    <w:rsid w:val="00D63BAE"/>
    <w:rsid w:val="00D649E8"/>
    <w:rsid w:val="00D651B7"/>
    <w:rsid w:val="00D70A1A"/>
    <w:rsid w:val="00D73CEE"/>
    <w:rsid w:val="00D77C09"/>
    <w:rsid w:val="00D80302"/>
    <w:rsid w:val="00D80E8B"/>
    <w:rsid w:val="00D83DAE"/>
    <w:rsid w:val="00D968F0"/>
    <w:rsid w:val="00D97792"/>
    <w:rsid w:val="00D978C6"/>
    <w:rsid w:val="00DA24EB"/>
    <w:rsid w:val="00DA2B90"/>
    <w:rsid w:val="00DA2B95"/>
    <w:rsid w:val="00DA3024"/>
    <w:rsid w:val="00DA5C07"/>
    <w:rsid w:val="00DA67AD"/>
    <w:rsid w:val="00DB0C7E"/>
    <w:rsid w:val="00DB0F0D"/>
    <w:rsid w:val="00DB1154"/>
    <w:rsid w:val="00DC242D"/>
    <w:rsid w:val="00DC6FE4"/>
    <w:rsid w:val="00DD1051"/>
    <w:rsid w:val="00DE4564"/>
    <w:rsid w:val="00DF12F7"/>
    <w:rsid w:val="00DF7EC4"/>
    <w:rsid w:val="00E01B81"/>
    <w:rsid w:val="00E02499"/>
    <w:rsid w:val="00E02A9F"/>
    <w:rsid w:val="00E02C81"/>
    <w:rsid w:val="00E04FFD"/>
    <w:rsid w:val="00E0678D"/>
    <w:rsid w:val="00E06901"/>
    <w:rsid w:val="00E069D4"/>
    <w:rsid w:val="00E07864"/>
    <w:rsid w:val="00E11495"/>
    <w:rsid w:val="00E121F1"/>
    <w:rsid w:val="00E12FE6"/>
    <w:rsid w:val="00E130AB"/>
    <w:rsid w:val="00E134E2"/>
    <w:rsid w:val="00E14B7B"/>
    <w:rsid w:val="00E15523"/>
    <w:rsid w:val="00E15BE7"/>
    <w:rsid w:val="00E1669E"/>
    <w:rsid w:val="00E16825"/>
    <w:rsid w:val="00E17CAA"/>
    <w:rsid w:val="00E20118"/>
    <w:rsid w:val="00E22417"/>
    <w:rsid w:val="00E23842"/>
    <w:rsid w:val="00E243DE"/>
    <w:rsid w:val="00E36D56"/>
    <w:rsid w:val="00E3783D"/>
    <w:rsid w:val="00E4004C"/>
    <w:rsid w:val="00E40F25"/>
    <w:rsid w:val="00E41B34"/>
    <w:rsid w:val="00E42020"/>
    <w:rsid w:val="00E44CC9"/>
    <w:rsid w:val="00E461B6"/>
    <w:rsid w:val="00E508E8"/>
    <w:rsid w:val="00E51D32"/>
    <w:rsid w:val="00E5203C"/>
    <w:rsid w:val="00E55FE5"/>
    <w:rsid w:val="00E56CEB"/>
    <w:rsid w:val="00E57021"/>
    <w:rsid w:val="00E612B2"/>
    <w:rsid w:val="00E62A8A"/>
    <w:rsid w:val="00E62BA3"/>
    <w:rsid w:val="00E62C9D"/>
    <w:rsid w:val="00E63535"/>
    <w:rsid w:val="00E65B13"/>
    <w:rsid w:val="00E65FA5"/>
    <w:rsid w:val="00E7234B"/>
    <w:rsid w:val="00E7260F"/>
    <w:rsid w:val="00E72895"/>
    <w:rsid w:val="00E72B1C"/>
    <w:rsid w:val="00E73015"/>
    <w:rsid w:val="00E7325B"/>
    <w:rsid w:val="00E76B60"/>
    <w:rsid w:val="00E76ED5"/>
    <w:rsid w:val="00E82F77"/>
    <w:rsid w:val="00E8726E"/>
    <w:rsid w:val="00E87921"/>
    <w:rsid w:val="00E87AE1"/>
    <w:rsid w:val="00E93BB3"/>
    <w:rsid w:val="00E956AF"/>
    <w:rsid w:val="00E96630"/>
    <w:rsid w:val="00EA32A0"/>
    <w:rsid w:val="00EA5731"/>
    <w:rsid w:val="00EB31B3"/>
    <w:rsid w:val="00EB6DE3"/>
    <w:rsid w:val="00EB7178"/>
    <w:rsid w:val="00EB7BAC"/>
    <w:rsid w:val="00EC2B61"/>
    <w:rsid w:val="00EC650E"/>
    <w:rsid w:val="00EC664F"/>
    <w:rsid w:val="00EC6D33"/>
    <w:rsid w:val="00ED224B"/>
    <w:rsid w:val="00ED3579"/>
    <w:rsid w:val="00ED729D"/>
    <w:rsid w:val="00ED7412"/>
    <w:rsid w:val="00ED76AA"/>
    <w:rsid w:val="00ED7A2A"/>
    <w:rsid w:val="00EE7280"/>
    <w:rsid w:val="00EF1D7F"/>
    <w:rsid w:val="00EF215B"/>
    <w:rsid w:val="00EF3CE6"/>
    <w:rsid w:val="00EF44C3"/>
    <w:rsid w:val="00EF49A8"/>
    <w:rsid w:val="00EF713D"/>
    <w:rsid w:val="00F00544"/>
    <w:rsid w:val="00F02CB2"/>
    <w:rsid w:val="00F05388"/>
    <w:rsid w:val="00F066A6"/>
    <w:rsid w:val="00F129D4"/>
    <w:rsid w:val="00F1410B"/>
    <w:rsid w:val="00F1616A"/>
    <w:rsid w:val="00F250E3"/>
    <w:rsid w:val="00F2557D"/>
    <w:rsid w:val="00F2688E"/>
    <w:rsid w:val="00F3330D"/>
    <w:rsid w:val="00F35C13"/>
    <w:rsid w:val="00F37BD4"/>
    <w:rsid w:val="00F40C15"/>
    <w:rsid w:val="00F410F5"/>
    <w:rsid w:val="00F44150"/>
    <w:rsid w:val="00F441CF"/>
    <w:rsid w:val="00F46563"/>
    <w:rsid w:val="00F472CA"/>
    <w:rsid w:val="00F51ECD"/>
    <w:rsid w:val="00F53EDA"/>
    <w:rsid w:val="00F552D6"/>
    <w:rsid w:val="00F555E5"/>
    <w:rsid w:val="00F568F0"/>
    <w:rsid w:val="00F602AE"/>
    <w:rsid w:val="00F61A5F"/>
    <w:rsid w:val="00F620ED"/>
    <w:rsid w:val="00F63CD5"/>
    <w:rsid w:val="00F76581"/>
    <w:rsid w:val="00F7753D"/>
    <w:rsid w:val="00F839D9"/>
    <w:rsid w:val="00F85D62"/>
    <w:rsid w:val="00F85F34"/>
    <w:rsid w:val="00F9054F"/>
    <w:rsid w:val="00F91897"/>
    <w:rsid w:val="00F91D6C"/>
    <w:rsid w:val="00F95E9D"/>
    <w:rsid w:val="00F96C9B"/>
    <w:rsid w:val="00F97A23"/>
    <w:rsid w:val="00FA06F7"/>
    <w:rsid w:val="00FA5A0D"/>
    <w:rsid w:val="00FA6AF4"/>
    <w:rsid w:val="00FA778F"/>
    <w:rsid w:val="00FB1138"/>
    <w:rsid w:val="00FB171A"/>
    <w:rsid w:val="00FB2C1E"/>
    <w:rsid w:val="00FB3A9D"/>
    <w:rsid w:val="00FB6EFF"/>
    <w:rsid w:val="00FB7893"/>
    <w:rsid w:val="00FB7C1A"/>
    <w:rsid w:val="00FC0156"/>
    <w:rsid w:val="00FC0DB9"/>
    <w:rsid w:val="00FC3AC9"/>
    <w:rsid w:val="00FC68B7"/>
    <w:rsid w:val="00FC7574"/>
    <w:rsid w:val="00FD048B"/>
    <w:rsid w:val="00FD0549"/>
    <w:rsid w:val="00FD0A87"/>
    <w:rsid w:val="00FD2B55"/>
    <w:rsid w:val="00FD7BF6"/>
    <w:rsid w:val="00FE647D"/>
    <w:rsid w:val="00FE64EF"/>
    <w:rsid w:val="00FF1B15"/>
    <w:rsid w:val="00FF4B01"/>
    <w:rsid w:val="00FF4FB8"/>
    <w:rsid w:val="00FF5A04"/>
    <w:rsid w:val="00FF5D4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Angsana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val="en-GB"/>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SingleTxtG"/>
    <w:next w:val="Normal"/>
    <w:qFormat/>
    <w:rsid w:val="005763F6"/>
    <w:pPr>
      <w:spacing w:before="240" w:line="240" w:lineRule="auto"/>
      <w:ind w:left="1138" w:right="1138"/>
      <w:outlineLvl w:val="1"/>
    </w:pPr>
    <w:rPr>
      <w:b/>
    </w:rPr>
  </w:style>
  <w:style w:type="paragraph" w:styleId="Heading3">
    <w:name w:val="heading 3"/>
    <w:basedOn w:val="Normal"/>
    <w:next w:val="Normal"/>
    <w:qFormat/>
    <w:rsid w:val="004B4777"/>
    <w:pPr>
      <w:spacing w:before="240" w:after="120"/>
      <w:ind w:left="1134"/>
      <w:outlineLvl w:val="2"/>
    </w:pPr>
    <w:rPr>
      <w:b/>
      <w:bCs/>
    </w:r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har"/>
    <w:qFormat/>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qFormat/>
    <w:rsid w:val="00D473AB"/>
    <w:rPr>
      <w:rFonts w:ascii="Times New Roman" w:hAnsi="Times New Roman"/>
      <w:sz w:val="18"/>
      <w:vertAlign w:val="superscript"/>
    </w:rPr>
  </w:style>
  <w:style w:type="paragraph" w:styleId="FootnoteText">
    <w:name w:val="footnote text"/>
    <w:aliases w:val="5_G"/>
    <w:basedOn w:val="Normal"/>
    <w:qFormat/>
    <w:rsid w:val="00D473AB"/>
    <w:pPr>
      <w:tabs>
        <w:tab w:val="right" w:pos="1021"/>
      </w:tabs>
      <w:kinsoku w:val="0"/>
      <w:overflowPunct w:val="0"/>
      <w:autoSpaceDE w:val="0"/>
      <w:autoSpaceDN w:val="0"/>
      <w:adjustRightInd w:val="0"/>
      <w:snapToGrid w:val="0"/>
      <w:spacing w:line="220" w:lineRule="exact"/>
      <w:ind w:left="1134" w:right="1134" w:hanging="1134"/>
    </w:pPr>
    <w:rPr>
      <w:rFonts w:eastAsia="SimSun" w:cs="Times New Roman"/>
      <w:sz w:val="18"/>
      <w:lang w:eastAsia="zh-CN"/>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link w:val="CommentTextChar"/>
    <w:semiHidden/>
    <w:rPr>
      <w:rFonts w:cs="Times New Roman"/>
      <w:lang/>
    </w:rPr>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uiPriority w:val="20"/>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E87921"/>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styleId="BalloonText">
    <w:name w:val="Balloon Text"/>
    <w:basedOn w:val="Normal"/>
    <w:semiHidden/>
    <w:rsid w:val="00FF4FB8"/>
    <w:rPr>
      <w:rFonts w:ascii="Tahoma" w:hAnsi="Tahoma" w:cs="Tahoma"/>
      <w:sz w:val="16"/>
      <w:szCs w:val="16"/>
    </w:rPr>
  </w:style>
  <w:style w:type="character" w:customStyle="1" w:styleId="SingleTxtGChar">
    <w:name w:val="_ Single Txt_G Char"/>
    <w:link w:val="SingleTxtG"/>
    <w:locked/>
    <w:rsid w:val="00A77059"/>
    <w:rPr>
      <w:lang w:val="en-GB" w:eastAsia="en-US" w:bidi="ar-SA"/>
    </w:rPr>
  </w:style>
  <w:style w:type="character" w:customStyle="1" w:styleId="HChGChar">
    <w:name w:val="_ H _Ch_G Char"/>
    <w:link w:val="HChG"/>
    <w:rsid w:val="00371B04"/>
    <w:rPr>
      <w:b/>
      <w:sz w:val="28"/>
      <w:lang w:val="en-GB" w:eastAsia="en-US" w:bidi="ar-SA"/>
    </w:rPr>
  </w:style>
  <w:style w:type="character" w:customStyle="1" w:styleId="H1GChar">
    <w:name w:val="_ H_1_G Char"/>
    <w:link w:val="H1G"/>
    <w:locked/>
    <w:rsid w:val="008F12B7"/>
    <w:rPr>
      <w:rFonts w:cs="Angsana New"/>
      <w:b/>
      <w:sz w:val="24"/>
      <w:lang w:val="en-GB" w:eastAsia="en-US" w:bidi="ar-SA"/>
    </w:rPr>
  </w:style>
  <w:style w:type="character" w:customStyle="1" w:styleId="highlight1">
    <w:name w:val="highlight1"/>
    <w:rsid w:val="002D317E"/>
    <w:rPr>
      <w:shd w:val="clear" w:color="auto" w:fill="FFCC33"/>
    </w:rPr>
  </w:style>
  <w:style w:type="character" w:customStyle="1" w:styleId="SingleTxtGCar">
    <w:name w:val="_ Single Txt_G Car"/>
    <w:locked/>
    <w:rsid w:val="00072079"/>
    <w:rPr>
      <w:lang w:eastAsia="en-US"/>
    </w:rPr>
  </w:style>
  <w:style w:type="paragraph" w:customStyle="1" w:styleId="StyleSingleTxtGLatinBold">
    <w:name w:val="Style _ Single Txt_G + (Latin) Bold"/>
    <w:basedOn w:val="SingleTxtG"/>
    <w:rsid w:val="00072079"/>
    <w:pPr>
      <w:spacing w:line="240" w:lineRule="auto"/>
    </w:pPr>
    <w:rPr>
      <w:b/>
    </w:rPr>
  </w:style>
  <w:style w:type="paragraph" w:styleId="DocumentMap">
    <w:name w:val="Document Map"/>
    <w:basedOn w:val="Normal"/>
    <w:semiHidden/>
    <w:rsid w:val="00654158"/>
    <w:pPr>
      <w:shd w:val="clear" w:color="auto" w:fill="000080"/>
    </w:pPr>
    <w:rPr>
      <w:rFonts w:ascii="Tahoma" w:hAnsi="Tahoma"/>
      <w:szCs w:val="24"/>
    </w:rPr>
  </w:style>
  <w:style w:type="paragraph" w:customStyle="1" w:styleId="StyleSingleTxtGAsianSimSunLatinBold">
    <w:name w:val="Style _ Single Txt_G + (Asian) SimSun (Latin) Bold"/>
    <w:basedOn w:val="SingleTxtG"/>
    <w:link w:val="StyleSingleTxtGAsianSimSunLatinBoldChar"/>
    <w:rsid w:val="004F62C7"/>
    <w:pPr>
      <w:spacing w:line="240" w:lineRule="auto"/>
    </w:pPr>
    <w:rPr>
      <w:rFonts w:eastAsia="SimSun"/>
      <w:b/>
    </w:rPr>
  </w:style>
  <w:style w:type="character" w:customStyle="1" w:styleId="StyleSingleTxtGAsianSimSunLatinBoldChar">
    <w:name w:val="Style _ Single Txt_G + (Asian) SimSun (Latin) Bold Char"/>
    <w:link w:val="StyleSingleTxtGAsianSimSunLatinBold"/>
    <w:rsid w:val="004F62C7"/>
    <w:rPr>
      <w:rFonts w:eastAsia="SimSun" w:cs="Angsana New"/>
      <w:b/>
      <w:lang w:val="en-GB" w:eastAsia="en-US" w:bidi="ar-SA"/>
    </w:rPr>
  </w:style>
  <w:style w:type="paragraph" w:customStyle="1" w:styleId="StyleSingleTxtGComplexTimesNewRoman">
    <w:name w:val="Style _ Single Txt_G + (Complex) Times New Roman"/>
    <w:basedOn w:val="SingleTxtG"/>
    <w:rsid w:val="00BE6696"/>
    <w:rPr>
      <w:rFonts w:cs="Times New Roman"/>
    </w:rPr>
  </w:style>
  <w:style w:type="paragraph" w:styleId="CommentSubject">
    <w:name w:val="annotation subject"/>
    <w:basedOn w:val="CommentText"/>
    <w:next w:val="CommentText"/>
    <w:link w:val="CommentSubjectChar"/>
    <w:rsid w:val="00DA3024"/>
    <w:rPr>
      <w:b/>
      <w:bCs/>
    </w:rPr>
  </w:style>
  <w:style w:type="character" w:customStyle="1" w:styleId="CommentTextChar">
    <w:name w:val="Comment Text Char"/>
    <w:link w:val="CommentText"/>
    <w:semiHidden/>
    <w:rsid w:val="00DA3024"/>
    <w:rPr>
      <w:lang w:eastAsia="en-US"/>
    </w:rPr>
  </w:style>
  <w:style w:type="character" w:customStyle="1" w:styleId="CommentSubjectChar">
    <w:name w:val="Comment Subject Char"/>
    <w:link w:val="CommentSubject"/>
    <w:rsid w:val="00DA3024"/>
    <w:rPr>
      <w:b/>
      <w:bCs/>
      <w:lang w:eastAsia="en-US"/>
    </w:rPr>
  </w:style>
  <w:style w:type="paragraph" w:customStyle="1" w:styleId="Default">
    <w:name w:val="Default"/>
    <w:rsid w:val="00E4004C"/>
    <w:pPr>
      <w:autoSpaceDE w:val="0"/>
      <w:autoSpaceDN w:val="0"/>
      <w:adjustRightInd w:val="0"/>
    </w:pPr>
    <w:rPr>
      <w:rFonts w:ascii="Verdana" w:hAnsi="Verdana" w:cs="Verdana"/>
      <w:color w:val="000000"/>
      <w:sz w:val="24"/>
      <w:szCs w:val="24"/>
      <w:lang w:val="en-GB" w:eastAsia="en-GB"/>
    </w:rPr>
  </w:style>
  <w:style w:type="paragraph" w:styleId="Revision">
    <w:name w:val="Revision"/>
    <w:hidden/>
    <w:uiPriority w:val="99"/>
    <w:semiHidden/>
    <w:rsid w:val="00291FF9"/>
    <w:rPr>
      <w:lang w:val="en-GB"/>
    </w:rPr>
  </w:style>
</w:styles>
</file>

<file path=word/webSettings.xml><?xml version="1.0" encoding="utf-8"?>
<w:webSettings xmlns:r="http://schemas.openxmlformats.org/officeDocument/2006/relationships" xmlns:w="http://schemas.openxmlformats.org/wordprocessingml/2006/main">
  <w:divs>
    <w:div w:id="14818227">
      <w:bodyDiv w:val="1"/>
      <w:marLeft w:val="0"/>
      <w:marRight w:val="0"/>
      <w:marTop w:val="0"/>
      <w:marBottom w:val="0"/>
      <w:divBdr>
        <w:top w:val="none" w:sz="0" w:space="0" w:color="auto"/>
        <w:left w:val="none" w:sz="0" w:space="0" w:color="auto"/>
        <w:bottom w:val="none" w:sz="0" w:space="0" w:color="auto"/>
        <w:right w:val="none" w:sz="0" w:space="0" w:color="auto"/>
      </w:divBdr>
    </w:div>
    <w:div w:id="214052336">
      <w:bodyDiv w:val="1"/>
      <w:marLeft w:val="0"/>
      <w:marRight w:val="0"/>
      <w:marTop w:val="0"/>
      <w:marBottom w:val="0"/>
      <w:divBdr>
        <w:top w:val="none" w:sz="0" w:space="0" w:color="auto"/>
        <w:left w:val="none" w:sz="0" w:space="0" w:color="auto"/>
        <w:bottom w:val="none" w:sz="0" w:space="0" w:color="auto"/>
        <w:right w:val="none" w:sz="0" w:space="0" w:color="auto"/>
      </w:divBdr>
    </w:div>
    <w:div w:id="234516885">
      <w:bodyDiv w:val="1"/>
      <w:marLeft w:val="0"/>
      <w:marRight w:val="0"/>
      <w:marTop w:val="0"/>
      <w:marBottom w:val="0"/>
      <w:divBdr>
        <w:top w:val="none" w:sz="0" w:space="0" w:color="auto"/>
        <w:left w:val="none" w:sz="0" w:space="0" w:color="auto"/>
        <w:bottom w:val="none" w:sz="0" w:space="0" w:color="auto"/>
        <w:right w:val="none" w:sz="0" w:space="0" w:color="auto"/>
      </w:divBdr>
    </w:div>
    <w:div w:id="329875052">
      <w:bodyDiv w:val="1"/>
      <w:marLeft w:val="0"/>
      <w:marRight w:val="0"/>
      <w:marTop w:val="0"/>
      <w:marBottom w:val="0"/>
      <w:divBdr>
        <w:top w:val="none" w:sz="0" w:space="0" w:color="auto"/>
        <w:left w:val="none" w:sz="0" w:space="0" w:color="auto"/>
        <w:bottom w:val="none" w:sz="0" w:space="0" w:color="auto"/>
        <w:right w:val="none" w:sz="0" w:space="0" w:color="auto"/>
      </w:divBdr>
    </w:div>
    <w:div w:id="338001670">
      <w:bodyDiv w:val="1"/>
      <w:marLeft w:val="0"/>
      <w:marRight w:val="0"/>
      <w:marTop w:val="0"/>
      <w:marBottom w:val="0"/>
      <w:divBdr>
        <w:top w:val="none" w:sz="0" w:space="0" w:color="auto"/>
        <w:left w:val="none" w:sz="0" w:space="0" w:color="auto"/>
        <w:bottom w:val="none" w:sz="0" w:space="0" w:color="auto"/>
        <w:right w:val="none" w:sz="0" w:space="0" w:color="auto"/>
      </w:divBdr>
    </w:div>
    <w:div w:id="338777805">
      <w:bodyDiv w:val="1"/>
      <w:marLeft w:val="0"/>
      <w:marRight w:val="0"/>
      <w:marTop w:val="0"/>
      <w:marBottom w:val="0"/>
      <w:divBdr>
        <w:top w:val="none" w:sz="0" w:space="0" w:color="auto"/>
        <w:left w:val="none" w:sz="0" w:space="0" w:color="auto"/>
        <w:bottom w:val="none" w:sz="0" w:space="0" w:color="auto"/>
        <w:right w:val="none" w:sz="0" w:space="0" w:color="auto"/>
      </w:divBdr>
    </w:div>
    <w:div w:id="488205505">
      <w:bodyDiv w:val="1"/>
      <w:marLeft w:val="0"/>
      <w:marRight w:val="0"/>
      <w:marTop w:val="0"/>
      <w:marBottom w:val="0"/>
      <w:divBdr>
        <w:top w:val="none" w:sz="0" w:space="0" w:color="auto"/>
        <w:left w:val="none" w:sz="0" w:space="0" w:color="auto"/>
        <w:bottom w:val="none" w:sz="0" w:space="0" w:color="auto"/>
        <w:right w:val="none" w:sz="0" w:space="0" w:color="auto"/>
      </w:divBdr>
    </w:div>
    <w:div w:id="847525418">
      <w:bodyDiv w:val="1"/>
      <w:marLeft w:val="0"/>
      <w:marRight w:val="0"/>
      <w:marTop w:val="0"/>
      <w:marBottom w:val="0"/>
      <w:divBdr>
        <w:top w:val="none" w:sz="0" w:space="0" w:color="auto"/>
        <w:left w:val="none" w:sz="0" w:space="0" w:color="auto"/>
        <w:bottom w:val="none" w:sz="0" w:space="0" w:color="auto"/>
        <w:right w:val="none" w:sz="0" w:space="0" w:color="auto"/>
      </w:divBdr>
    </w:div>
    <w:div w:id="909003476">
      <w:bodyDiv w:val="1"/>
      <w:marLeft w:val="0"/>
      <w:marRight w:val="0"/>
      <w:marTop w:val="0"/>
      <w:marBottom w:val="0"/>
      <w:divBdr>
        <w:top w:val="none" w:sz="0" w:space="0" w:color="auto"/>
        <w:left w:val="none" w:sz="0" w:space="0" w:color="auto"/>
        <w:bottom w:val="none" w:sz="0" w:space="0" w:color="auto"/>
        <w:right w:val="none" w:sz="0" w:space="0" w:color="auto"/>
      </w:divBdr>
    </w:div>
    <w:div w:id="1076199393">
      <w:bodyDiv w:val="1"/>
      <w:marLeft w:val="0"/>
      <w:marRight w:val="0"/>
      <w:marTop w:val="0"/>
      <w:marBottom w:val="0"/>
      <w:divBdr>
        <w:top w:val="none" w:sz="0" w:space="0" w:color="auto"/>
        <w:left w:val="none" w:sz="0" w:space="0" w:color="auto"/>
        <w:bottom w:val="none" w:sz="0" w:space="0" w:color="auto"/>
        <w:right w:val="none" w:sz="0" w:space="0" w:color="auto"/>
      </w:divBdr>
    </w:div>
    <w:div w:id="1111247515">
      <w:bodyDiv w:val="1"/>
      <w:marLeft w:val="0"/>
      <w:marRight w:val="0"/>
      <w:marTop w:val="0"/>
      <w:marBottom w:val="0"/>
      <w:divBdr>
        <w:top w:val="none" w:sz="0" w:space="0" w:color="auto"/>
        <w:left w:val="none" w:sz="0" w:space="0" w:color="auto"/>
        <w:bottom w:val="none" w:sz="0" w:space="0" w:color="auto"/>
        <w:right w:val="none" w:sz="0" w:space="0" w:color="auto"/>
      </w:divBdr>
    </w:div>
    <w:div w:id="1211308707">
      <w:bodyDiv w:val="1"/>
      <w:marLeft w:val="0"/>
      <w:marRight w:val="0"/>
      <w:marTop w:val="0"/>
      <w:marBottom w:val="0"/>
      <w:divBdr>
        <w:top w:val="none" w:sz="0" w:space="0" w:color="auto"/>
        <w:left w:val="none" w:sz="0" w:space="0" w:color="auto"/>
        <w:bottom w:val="none" w:sz="0" w:space="0" w:color="auto"/>
        <w:right w:val="none" w:sz="0" w:space="0" w:color="auto"/>
      </w:divBdr>
    </w:div>
    <w:div w:id="1367410702">
      <w:bodyDiv w:val="1"/>
      <w:marLeft w:val="0"/>
      <w:marRight w:val="0"/>
      <w:marTop w:val="0"/>
      <w:marBottom w:val="0"/>
      <w:divBdr>
        <w:top w:val="none" w:sz="0" w:space="0" w:color="auto"/>
        <w:left w:val="none" w:sz="0" w:space="0" w:color="auto"/>
        <w:bottom w:val="none" w:sz="0" w:space="0" w:color="auto"/>
        <w:right w:val="none" w:sz="0" w:space="0" w:color="auto"/>
      </w:divBdr>
    </w:div>
    <w:div w:id="1450051664">
      <w:bodyDiv w:val="1"/>
      <w:marLeft w:val="0"/>
      <w:marRight w:val="0"/>
      <w:marTop w:val="0"/>
      <w:marBottom w:val="0"/>
      <w:divBdr>
        <w:top w:val="none" w:sz="0" w:space="0" w:color="auto"/>
        <w:left w:val="none" w:sz="0" w:space="0" w:color="auto"/>
        <w:bottom w:val="none" w:sz="0" w:space="0" w:color="auto"/>
        <w:right w:val="none" w:sz="0" w:space="0" w:color="auto"/>
      </w:divBdr>
    </w:div>
    <w:div w:id="1664814430">
      <w:bodyDiv w:val="1"/>
      <w:marLeft w:val="0"/>
      <w:marRight w:val="0"/>
      <w:marTop w:val="0"/>
      <w:marBottom w:val="0"/>
      <w:divBdr>
        <w:top w:val="none" w:sz="0" w:space="0" w:color="auto"/>
        <w:left w:val="none" w:sz="0" w:space="0" w:color="auto"/>
        <w:bottom w:val="none" w:sz="0" w:space="0" w:color="auto"/>
        <w:right w:val="none" w:sz="0" w:space="0" w:color="auto"/>
      </w:divBdr>
    </w:div>
    <w:div w:id="1741708587">
      <w:bodyDiv w:val="1"/>
      <w:marLeft w:val="0"/>
      <w:marRight w:val="0"/>
      <w:marTop w:val="0"/>
      <w:marBottom w:val="0"/>
      <w:divBdr>
        <w:top w:val="none" w:sz="0" w:space="0" w:color="auto"/>
        <w:left w:val="none" w:sz="0" w:space="0" w:color="auto"/>
        <w:bottom w:val="none" w:sz="0" w:space="0" w:color="auto"/>
        <w:right w:val="none" w:sz="0" w:space="0" w:color="auto"/>
      </w:divBdr>
    </w:div>
    <w:div w:id="2090996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PlainPag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PlainPage.dot</Template>
  <TotalTime>0</TotalTime>
  <Pages>9</Pages>
  <Words>4095</Words>
  <Characters>23342</Characters>
  <Application>Microsoft Office Outlook</Application>
  <DocSecurity>4</DocSecurity>
  <Lines>194</Lines>
  <Paragraphs>54</Paragraphs>
  <ScaleCrop>false</ScaleCrop>
  <HeadingPairs>
    <vt:vector size="2" baseType="variant">
      <vt:variant>
        <vt:lpstr>Title</vt:lpstr>
      </vt:variant>
      <vt:variant>
        <vt:i4>1</vt:i4>
      </vt:variant>
    </vt:vector>
  </HeadingPairs>
  <TitlesOfParts>
    <vt:vector size="1" baseType="lpstr">
      <vt:lpstr>1043830</vt:lpstr>
    </vt:vector>
  </TitlesOfParts>
  <Company>CSD</Company>
  <LinksUpToDate>false</LinksUpToDate>
  <CharactersWithSpaces>27383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1043830</dc:title>
  <dc:subject>CCPR/C/COL/6/CRP.1</dc:subject>
  <dc:creator>mtw</dc:creator>
  <cp:keywords/>
  <dc:description>final</dc:description>
  <cp:lastModifiedBy>Tpseng</cp:lastModifiedBy>
  <cp:revision>2</cp:revision>
  <cp:lastPrinted>2014-11-21T13:44:00Z</cp:lastPrinted>
  <dcterms:created xsi:type="dcterms:W3CDTF">2014-12-15T09:19:00Z</dcterms:created>
  <dcterms:modified xsi:type="dcterms:W3CDTF">2014-12-15T09:19:00Z</dcterms:modified>
</cp:coreProperties>
</file>