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D17A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951012" w:rsidP="00951012">
            <w:pPr>
              <w:suppressAutoHyphens w:val="0"/>
              <w:spacing w:after="20"/>
              <w:jc w:val="right"/>
            </w:pPr>
            <w:r w:rsidRPr="00951012">
              <w:rPr>
                <w:sz w:val="40"/>
              </w:rPr>
              <w:t>E</w:t>
            </w:r>
            <w:r>
              <w:t>/C.12/SVK/3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</w:t>
            </w:r>
            <w:r w:rsidR="00D17A94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and</w:t>
            </w:r>
            <w:r w:rsidR="00D17A94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Social</w:t>
            </w:r>
            <w:r w:rsidR="00D17A94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951012" w:rsidP="00951012">
            <w:pPr>
              <w:suppressAutoHyphens w:val="0"/>
              <w:spacing w:before="240" w:line="240" w:lineRule="exact"/>
            </w:pPr>
            <w:r>
              <w:t>Distr.:</w:t>
            </w:r>
            <w:r w:rsidR="00D17A94">
              <w:t xml:space="preserve"> </w:t>
            </w:r>
            <w:r>
              <w:t>General</w:t>
            </w:r>
          </w:p>
          <w:p w:rsidR="00951012" w:rsidRDefault="00E91FDF" w:rsidP="00951012">
            <w:pPr>
              <w:suppressAutoHyphens w:val="0"/>
            </w:pPr>
            <w:r>
              <w:t>10</w:t>
            </w:r>
            <w:r w:rsidR="00D17A94">
              <w:t xml:space="preserve"> </w:t>
            </w:r>
            <w:r w:rsidR="00951012">
              <w:t>August</w:t>
            </w:r>
            <w:r w:rsidR="00D17A94">
              <w:t xml:space="preserve"> </w:t>
            </w:r>
            <w:r w:rsidR="00951012">
              <w:t>2017</w:t>
            </w:r>
          </w:p>
          <w:p w:rsidR="00951012" w:rsidRDefault="00951012" w:rsidP="00951012">
            <w:pPr>
              <w:suppressAutoHyphens w:val="0"/>
            </w:pPr>
          </w:p>
          <w:p w:rsidR="00951012" w:rsidRDefault="00951012" w:rsidP="00951012">
            <w:pPr>
              <w:suppressAutoHyphens w:val="0"/>
            </w:pPr>
            <w:r>
              <w:t>Original:</w:t>
            </w:r>
            <w:r w:rsidR="00D17A94">
              <w:t xml:space="preserve"> </w:t>
            </w:r>
            <w:r>
              <w:t>English</w:t>
            </w:r>
          </w:p>
          <w:p w:rsidR="00951012" w:rsidRDefault="00951012" w:rsidP="00951012">
            <w:pPr>
              <w:suppressAutoHyphens w:val="0"/>
            </w:pPr>
            <w:r>
              <w:t>English,</w:t>
            </w:r>
            <w:r w:rsidR="00D17A94">
              <w:t xml:space="preserve"> </w:t>
            </w:r>
            <w:r>
              <w:t>French</w:t>
            </w:r>
            <w:r w:rsidR="00D17A94">
              <w:t xml:space="preserve"> </w:t>
            </w:r>
            <w:r>
              <w:t>and</w:t>
            </w:r>
            <w:r w:rsidR="00D17A94">
              <w:t xml:space="preserve"> </w:t>
            </w:r>
            <w:r>
              <w:t>Spanish</w:t>
            </w:r>
            <w:r w:rsidR="00D17A94">
              <w:t xml:space="preserve"> </w:t>
            </w:r>
            <w:r>
              <w:t>only</w:t>
            </w:r>
          </w:p>
        </w:tc>
      </w:tr>
    </w:tbl>
    <w:p w:rsidR="00951012" w:rsidRPr="00951012" w:rsidRDefault="00951012" w:rsidP="00951012">
      <w:pPr>
        <w:spacing w:before="120"/>
        <w:rPr>
          <w:b/>
          <w:sz w:val="24"/>
          <w:szCs w:val="24"/>
        </w:rPr>
      </w:pPr>
      <w:r w:rsidRPr="00951012">
        <w:rPr>
          <w:b/>
          <w:sz w:val="24"/>
          <w:szCs w:val="24"/>
        </w:rPr>
        <w:t>Committee</w:t>
      </w:r>
      <w:r w:rsidR="00D17A94">
        <w:rPr>
          <w:b/>
          <w:sz w:val="24"/>
          <w:szCs w:val="24"/>
        </w:rPr>
        <w:t xml:space="preserve"> </w:t>
      </w:r>
      <w:r w:rsidRPr="00951012">
        <w:rPr>
          <w:b/>
          <w:sz w:val="24"/>
          <w:szCs w:val="24"/>
        </w:rPr>
        <w:t>on</w:t>
      </w:r>
      <w:r w:rsidR="00D17A94">
        <w:rPr>
          <w:b/>
          <w:sz w:val="24"/>
          <w:szCs w:val="24"/>
        </w:rPr>
        <w:t xml:space="preserve"> </w:t>
      </w:r>
      <w:r w:rsidRPr="00951012">
        <w:rPr>
          <w:b/>
          <w:sz w:val="24"/>
          <w:szCs w:val="24"/>
        </w:rPr>
        <w:t>Economic,</w:t>
      </w:r>
      <w:r w:rsidR="00D17A94">
        <w:rPr>
          <w:b/>
          <w:sz w:val="24"/>
          <w:szCs w:val="24"/>
        </w:rPr>
        <w:t xml:space="preserve"> </w:t>
      </w:r>
      <w:r w:rsidRPr="00951012">
        <w:rPr>
          <w:b/>
          <w:sz w:val="24"/>
          <w:szCs w:val="24"/>
        </w:rPr>
        <w:t>Social</w:t>
      </w:r>
      <w:r w:rsidR="00D17A94">
        <w:rPr>
          <w:b/>
          <w:sz w:val="24"/>
          <w:szCs w:val="24"/>
        </w:rPr>
        <w:t xml:space="preserve"> </w:t>
      </w:r>
      <w:r w:rsidRPr="00951012">
        <w:rPr>
          <w:b/>
          <w:sz w:val="24"/>
          <w:szCs w:val="24"/>
        </w:rPr>
        <w:t>and</w:t>
      </w:r>
      <w:r w:rsidR="00D17A94">
        <w:rPr>
          <w:b/>
          <w:sz w:val="24"/>
          <w:szCs w:val="24"/>
        </w:rPr>
        <w:t xml:space="preserve"> </w:t>
      </w:r>
      <w:r w:rsidRPr="00951012">
        <w:rPr>
          <w:b/>
          <w:sz w:val="24"/>
          <w:szCs w:val="24"/>
        </w:rPr>
        <w:t>Cultural</w:t>
      </w:r>
      <w:r w:rsidR="00D17A94">
        <w:rPr>
          <w:b/>
          <w:sz w:val="24"/>
          <w:szCs w:val="24"/>
        </w:rPr>
        <w:t xml:space="preserve"> </w:t>
      </w:r>
      <w:r w:rsidRPr="00951012">
        <w:rPr>
          <w:b/>
          <w:sz w:val="24"/>
          <w:szCs w:val="24"/>
        </w:rPr>
        <w:t>Rights</w:t>
      </w:r>
    </w:p>
    <w:p w:rsidR="00951012" w:rsidRPr="008A0A12" w:rsidRDefault="00951012" w:rsidP="00951012">
      <w:pPr>
        <w:pStyle w:val="HMG"/>
      </w:pPr>
      <w:r w:rsidRPr="008A0A12">
        <w:tab/>
      </w:r>
      <w:r w:rsidRPr="008A0A12">
        <w:tab/>
        <w:t>Consideration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reports</w:t>
      </w:r>
      <w:r w:rsidR="00D17A94">
        <w:t xml:space="preserve"> </w:t>
      </w:r>
      <w:r w:rsidRPr="008A0A12">
        <w:t>submitted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States</w:t>
      </w:r>
      <w:r w:rsidR="00D17A94">
        <w:t xml:space="preserve"> </w:t>
      </w:r>
      <w:r w:rsidRPr="008A0A12">
        <w:t>parties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articles</w:t>
      </w:r>
      <w:r w:rsidR="00D17A94">
        <w:t xml:space="preserve"> </w:t>
      </w:r>
      <w:r w:rsidRPr="008A0A12">
        <w:t>16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17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International</w:t>
      </w:r>
      <w:r w:rsidR="00D17A94">
        <w:t xml:space="preserve"> </w:t>
      </w:r>
      <w:r w:rsidRPr="008A0A12">
        <w:t>Covenant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Economic,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and</w:t>
      </w:r>
      <w:r w:rsidR="00D17A94">
        <w:t xml:space="preserve"> </w:t>
      </w:r>
      <w:bookmarkStart w:id="0" w:name="_GoBack"/>
      <w:r w:rsidRPr="008A0A12">
        <w:t>C</w:t>
      </w:r>
      <w:bookmarkEnd w:id="0"/>
      <w:r w:rsidRPr="008A0A12">
        <w:t>ultural</w:t>
      </w:r>
      <w:r w:rsidR="00D17A94">
        <w:t xml:space="preserve"> </w:t>
      </w:r>
      <w:r w:rsidRPr="008A0A12">
        <w:t>Rights</w:t>
      </w:r>
    </w:p>
    <w:p w:rsidR="00951012" w:rsidRPr="008A0A12" w:rsidRDefault="00951012" w:rsidP="00951012">
      <w:pPr>
        <w:pStyle w:val="HChG"/>
      </w:pPr>
      <w:r w:rsidRPr="008A0A12">
        <w:tab/>
      </w:r>
      <w:r w:rsidRPr="008A0A12">
        <w:tab/>
        <w:t>Third</w:t>
      </w:r>
      <w:r w:rsidR="00D17A94">
        <w:t xml:space="preserve"> </w:t>
      </w:r>
      <w:r w:rsidRPr="008A0A12">
        <w:t>periodic</w:t>
      </w:r>
      <w:r w:rsidR="00D17A94">
        <w:t xml:space="preserve"> </w:t>
      </w:r>
      <w:r w:rsidRPr="008A0A12">
        <w:t>reports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States</w:t>
      </w:r>
      <w:r w:rsidR="00D17A94">
        <w:t xml:space="preserve"> </w:t>
      </w:r>
      <w:r w:rsidRPr="008A0A12">
        <w:t>parties</w:t>
      </w:r>
      <w:r w:rsidR="00D17A94">
        <w:t xml:space="preserve"> </w:t>
      </w:r>
      <w:r w:rsidRPr="008A0A12">
        <w:t>due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2017</w:t>
      </w:r>
    </w:p>
    <w:p w:rsidR="00951012" w:rsidRPr="008A0A12" w:rsidRDefault="00951012" w:rsidP="00951012">
      <w:pPr>
        <w:pStyle w:val="HMG"/>
      </w:pPr>
      <w:r w:rsidRPr="008A0A12">
        <w:tab/>
      </w:r>
      <w:r w:rsidRPr="008A0A12">
        <w:tab/>
        <w:t>Slovakia</w:t>
      </w:r>
      <w:r w:rsidR="009407CA" w:rsidRPr="009407C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9407CA" w:rsidRPr="009407CA">
        <w:rPr>
          <w:rStyle w:val="FootnoteReference"/>
          <w:b w:val="0"/>
          <w:position w:val="8"/>
          <w:sz w:val="20"/>
          <w:vertAlign w:val="baseline"/>
        </w:rPr>
        <w:t>,</w:t>
      </w:r>
      <w:r w:rsidR="00D17A94">
        <w:rPr>
          <w:rStyle w:val="FootnoteReference"/>
          <w:b w:val="0"/>
          <w:sz w:val="20"/>
          <w:vertAlign w:val="baseline"/>
        </w:rPr>
        <w:t xml:space="preserve"> </w:t>
      </w:r>
      <w:r w:rsidR="009407CA" w:rsidRPr="009407CA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="00D17A94">
        <w:t xml:space="preserve"> </w:t>
      </w:r>
    </w:p>
    <w:p w:rsidR="00C25389" w:rsidRDefault="00951012" w:rsidP="00951012">
      <w:pPr>
        <w:pStyle w:val="SingleTxtG"/>
        <w:jc w:val="right"/>
      </w:pPr>
      <w:r w:rsidRPr="008A0A12">
        <w:t>[Date</w:t>
      </w:r>
      <w:r w:rsidR="00D17A94">
        <w:t xml:space="preserve"> </w:t>
      </w:r>
      <w:r w:rsidRPr="008A0A12">
        <w:t>received:</w:t>
      </w:r>
      <w:r w:rsidR="00D17A94">
        <w:t xml:space="preserve"> </w:t>
      </w:r>
      <w:r w:rsidRPr="008A0A12">
        <w:t>30</w:t>
      </w:r>
      <w:r w:rsidR="00D17A94">
        <w:t xml:space="preserve"> </w:t>
      </w:r>
      <w:r w:rsidRPr="008A0A12">
        <w:t>June</w:t>
      </w:r>
      <w:r w:rsidR="00D17A94">
        <w:t xml:space="preserve"> </w:t>
      </w:r>
      <w:r w:rsidRPr="008A0A12">
        <w:t>2017]</w:t>
      </w:r>
    </w:p>
    <w:p w:rsidR="00F33762" w:rsidRPr="008A0A12" w:rsidRDefault="00C25389" w:rsidP="00F33762">
      <w:pPr>
        <w:pStyle w:val="HChG"/>
      </w:pPr>
      <w:r>
        <w:br w:type="page"/>
      </w:r>
      <w:r w:rsidR="00F33762">
        <w:lastRenderedPageBreak/>
        <w:tab/>
      </w:r>
      <w:r w:rsidR="00F33762">
        <w:tab/>
      </w:r>
      <w:r w:rsidR="00F33762" w:rsidRPr="008A0A12">
        <w:t>General</w:t>
      </w:r>
    </w:p>
    <w:p w:rsidR="00F33762" w:rsidRPr="008A0A12" w:rsidRDefault="00F33762" w:rsidP="00397A65">
      <w:pPr>
        <w:pStyle w:val="HChG"/>
      </w:pPr>
      <w:r w:rsidRPr="008A0A12">
        <w:tab/>
      </w:r>
      <w:r w:rsidRPr="008A0A12">
        <w:tab/>
        <w:t>Introduction</w:t>
      </w:r>
    </w:p>
    <w:p w:rsidR="00F33762" w:rsidRPr="008A0A12" w:rsidRDefault="00F33762" w:rsidP="00F33762">
      <w:pPr>
        <w:pStyle w:val="SingleTxtG"/>
      </w:pPr>
      <w:r w:rsidRPr="008A0A12">
        <w:t>1.</w:t>
      </w:r>
      <w:r w:rsidRPr="008A0A12">
        <w:tab/>
        <w:t>The</w:t>
      </w:r>
      <w:r w:rsidR="00D17A94">
        <w:t xml:space="preserve"> </w:t>
      </w:r>
      <w:r w:rsidRPr="008A0A12">
        <w:t>Slovak</w:t>
      </w:r>
      <w:r w:rsidR="00D17A94">
        <w:t xml:space="preserve"> </w:t>
      </w:r>
      <w:r w:rsidRPr="008A0A12">
        <w:t>Republic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="00413AEE">
        <w:t>“</w:t>
      </w:r>
      <w:r w:rsidRPr="008A0A12">
        <w:t>SR</w:t>
      </w:r>
      <w:r w:rsidR="00413AEE">
        <w:t>”</w:t>
      </w:r>
      <w:r w:rsidRPr="008A0A12">
        <w:t>),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Party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International</w:t>
      </w:r>
      <w:r w:rsidR="00D17A94">
        <w:t xml:space="preserve"> </w:t>
      </w:r>
      <w:r w:rsidRPr="008A0A12">
        <w:t>Covenant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Economic,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Cultural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Covenant</w:t>
      </w:r>
      <w:r w:rsidR="00413AEE">
        <w:t>”</w:t>
      </w:r>
      <w:r w:rsidRPr="008A0A12">
        <w:t>),</w:t>
      </w:r>
      <w:r w:rsidR="00D17A94">
        <w:t xml:space="preserve"> </w:t>
      </w:r>
      <w:r w:rsidRPr="008A0A12">
        <w:t>submits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</w:t>
      </w:r>
      <w:r w:rsidR="00D17A94">
        <w:t xml:space="preserve"> </w:t>
      </w:r>
      <w:r w:rsidRPr="008A0A12">
        <w:t>Committee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Economic,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Cultural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Committee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reports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Covenant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compliance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Articles</w:t>
      </w:r>
      <w:r w:rsidR="00D17A94">
        <w:t xml:space="preserve"> </w:t>
      </w:r>
      <w:r w:rsidRPr="008A0A12">
        <w:t>16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17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Covenant.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2.</w:t>
      </w:r>
      <w:r w:rsidRPr="008A0A12">
        <w:tab/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hereby</w:t>
      </w:r>
      <w:r w:rsidR="00D17A94">
        <w:t xml:space="preserve"> </w:t>
      </w:r>
      <w:r w:rsidRPr="008A0A12">
        <w:t>presents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Third</w:t>
      </w:r>
      <w:r w:rsidR="00D17A94">
        <w:t xml:space="preserve"> </w:t>
      </w:r>
      <w:r w:rsidRPr="008A0A12">
        <w:t>Periodic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International</w:t>
      </w:r>
      <w:r w:rsidR="00D17A94">
        <w:t xml:space="preserve"> </w:t>
      </w:r>
      <w:r w:rsidRPr="008A0A12">
        <w:t>Covenant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Economic,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Cultural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Report</w:t>
      </w:r>
      <w:r w:rsidR="00413AEE">
        <w:t>”</w:t>
      </w:r>
      <w:r w:rsidRPr="008A0A12">
        <w:t>).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gives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taken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progress</w:t>
      </w:r>
      <w:r w:rsidR="00D17A94">
        <w:t xml:space="preserve"> </w:t>
      </w:r>
      <w:r w:rsidRPr="008A0A12">
        <w:t>achieved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2012</w:t>
      </w:r>
      <w:r w:rsidR="00D17A94">
        <w:t xml:space="preserve"> </w:t>
      </w:r>
      <w:r w:rsidRPr="008A0A12">
        <w:t>until</w:t>
      </w:r>
      <w:r w:rsidR="00D17A94">
        <w:t xml:space="preserve"> </w:t>
      </w:r>
      <w:r w:rsidRPr="008A0A12">
        <w:t>2016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recognised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Covenant.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3.</w:t>
      </w:r>
      <w:r w:rsidRPr="008A0A12">
        <w:tab/>
        <w:t>The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drawn</w:t>
      </w:r>
      <w:r w:rsidR="00D17A94">
        <w:t xml:space="preserve"> </w:t>
      </w:r>
      <w:r w:rsidRPr="008A0A12">
        <w:t>up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Ministry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Foreign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European</w:t>
      </w:r>
      <w:r w:rsidR="00D17A94">
        <w:t xml:space="preserve"> </w:t>
      </w:r>
      <w:r w:rsidRPr="008A0A12">
        <w:t>Affairs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Slovak</w:t>
      </w:r>
      <w:r w:rsidR="00D17A94">
        <w:t xml:space="preserve"> </w:t>
      </w:r>
      <w:r w:rsidRPr="008A0A12">
        <w:t>Republic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MFEA</w:t>
      </w:r>
      <w:r w:rsidR="00D17A94">
        <w:t xml:space="preserve"> </w:t>
      </w:r>
      <w:r w:rsidRPr="008A0A12">
        <w:t>SR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cooperation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sectors</w:t>
      </w:r>
      <w:r w:rsidR="00D17A94">
        <w:t xml:space="preserve"> </w:t>
      </w:r>
      <w:r w:rsidRPr="008A0A12">
        <w:t>concerned,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general</w:t>
      </w:r>
      <w:r w:rsidR="00D17A94">
        <w:t xml:space="preserve"> </w:t>
      </w:r>
      <w:r w:rsidRPr="008A0A12">
        <w:t>guidelines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Committee</w:t>
      </w:r>
      <w:r w:rsidR="00D17A94">
        <w:t xml:space="preserve"> </w:t>
      </w:r>
      <w:r w:rsidRPr="008A0A12">
        <w:t>containing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recommendations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content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individual</w:t>
      </w:r>
      <w:r w:rsidR="00D17A94">
        <w:t xml:space="preserve"> </w:t>
      </w:r>
      <w:r w:rsidRPr="008A0A12">
        <w:t>periodic</w:t>
      </w:r>
      <w:r w:rsidR="00D17A94">
        <w:t xml:space="preserve"> </w:t>
      </w:r>
      <w:r w:rsidRPr="008A0A12">
        <w:t>reports</w:t>
      </w:r>
      <w:r w:rsidRPr="001878DB">
        <w:rPr>
          <w:rStyle w:val="FootnoteReference"/>
        </w:rPr>
        <w:footnoteReference w:id="3"/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conformance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specific</w:t>
      </w:r>
      <w:r w:rsidR="00D17A94">
        <w:t xml:space="preserve"> </w:t>
      </w:r>
      <w:r w:rsidRPr="008A0A12">
        <w:t>recommendations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final</w:t>
      </w:r>
      <w:r w:rsidR="00D17A94">
        <w:t xml:space="preserve"> </w:t>
      </w:r>
      <w:r w:rsidRPr="008A0A12">
        <w:t>observations</w:t>
      </w:r>
      <w:r w:rsidR="00D17A94">
        <w:t xml:space="preserve"> </w:t>
      </w:r>
      <w:r w:rsidRPr="008A0A12">
        <w:t>adopted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8</w:t>
      </w:r>
      <w:r w:rsidR="00D17A94">
        <w:t xml:space="preserve"> </w:t>
      </w:r>
      <w:r w:rsidRPr="008A0A12">
        <w:t>June</w:t>
      </w:r>
      <w:r w:rsidR="00D17A94">
        <w:t xml:space="preserve"> </w:t>
      </w:r>
      <w:r w:rsidRPr="008A0A12">
        <w:t>2012</w:t>
      </w:r>
      <w:r w:rsidRPr="001878DB">
        <w:rPr>
          <w:rStyle w:val="FootnoteReference"/>
        </w:rPr>
        <w:footnoteReference w:id="4"/>
      </w:r>
      <w:r w:rsidR="00D17A94">
        <w:t xml:space="preserve"> </w:t>
      </w:r>
      <w:r w:rsidRPr="008A0A12">
        <w:t>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assessment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Second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2009</w:t>
      </w:r>
      <w:r w:rsidRPr="001878DB">
        <w:rPr>
          <w:rStyle w:val="FootnoteReference"/>
        </w:rPr>
        <w:footnoteReference w:id="5"/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Second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413AEE">
        <w:t>”</w:t>
      </w:r>
      <w:r w:rsidRPr="008A0A12">
        <w:t>).</w:t>
      </w:r>
    </w:p>
    <w:p w:rsidR="00F33762" w:rsidRPr="008A0A12" w:rsidRDefault="00F33762" w:rsidP="00F33762">
      <w:pPr>
        <w:pStyle w:val="SingleTxtG"/>
      </w:pPr>
      <w:r w:rsidRPr="008A0A12">
        <w:t>4.</w:t>
      </w:r>
      <w:r w:rsidRPr="008A0A12">
        <w:tab/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fulfils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commitments</w:t>
      </w:r>
      <w:r w:rsidR="00D17A94">
        <w:t xml:space="preserve"> </w:t>
      </w:r>
      <w:r w:rsidRPr="008A0A12">
        <w:t>arising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international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treaties.</w:t>
      </w:r>
      <w:r w:rsidRPr="001878DB">
        <w:rPr>
          <w:rStyle w:val="FootnoteReference"/>
        </w:rPr>
        <w:footnoteReference w:id="6"/>
      </w:r>
    </w:p>
    <w:p w:rsidR="00F33762" w:rsidRPr="008A0A12" w:rsidRDefault="00F33762" w:rsidP="0033520C">
      <w:pPr>
        <w:pStyle w:val="HChG"/>
      </w:pPr>
      <w:r w:rsidRPr="008A0A12">
        <w:tab/>
      </w:r>
      <w:r w:rsidRPr="008A0A12">
        <w:tab/>
        <w:t>Special</w:t>
      </w:r>
      <w:r w:rsidR="00D17A94">
        <w:t xml:space="preserve"> </w:t>
      </w:r>
      <w:r w:rsidRPr="008A0A12">
        <w:t>provisions</w:t>
      </w:r>
    </w:p>
    <w:p w:rsidR="00F33762" w:rsidRPr="008A0A12" w:rsidRDefault="00F33762" w:rsidP="0033520C">
      <w:pPr>
        <w:pStyle w:val="H1G"/>
      </w:pPr>
      <w:r w:rsidRPr="008A0A12">
        <w:tab/>
      </w:r>
      <w:r w:rsidRPr="008A0A12">
        <w:tab/>
        <w:t>Article</w:t>
      </w:r>
      <w:r w:rsidR="00D17A94">
        <w:t xml:space="preserve"> </w:t>
      </w:r>
      <w:r w:rsidRPr="008A0A12">
        <w:t>2</w:t>
      </w:r>
    </w:p>
    <w:p w:rsidR="00F33762" w:rsidRPr="008A0A12" w:rsidRDefault="00F33762" w:rsidP="0033520C">
      <w:pPr>
        <w:pStyle w:val="H23G"/>
      </w:pPr>
      <w:r w:rsidRPr="008A0A12">
        <w:tab/>
      </w:r>
      <w:r w:rsidRPr="008A0A12">
        <w:tab/>
        <w:t>Guarantee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without</w:t>
      </w:r>
      <w:r w:rsidR="00D17A94">
        <w:t xml:space="preserve"> </w:t>
      </w:r>
      <w:r w:rsidRPr="008A0A12">
        <w:t>discrimination</w:t>
      </w:r>
    </w:p>
    <w:p w:rsidR="00F33762" w:rsidRPr="008A0A12" w:rsidRDefault="00F33762" w:rsidP="00F33762">
      <w:pPr>
        <w:pStyle w:val="SingleTxtG"/>
      </w:pPr>
      <w:r w:rsidRPr="008A0A12">
        <w:t>5.</w:t>
      </w:r>
      <w:r w:rsidRPr="008A0A12">
        <w:tab/>
        <w:t>In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submitted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</w:t>
      </w:r>
      <w:r w:rsidR="00D17A94">
        <w:t xml:space="preserve"> </w:t>
      </w:r>
      <w:r w:rsidRPr="008A0A12">
        <w:t>Committee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Elimination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Racial</w:t>
      </w:r>
      <w:r w:rsidR="00D17A94">
        <w:t xml:space="preserve"> </w:t>
      </w:r>
      <w:r w:rsidRPr="008A0A12">
        <w:t>Discrimination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eleventh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twelfth</w:t>
      </w:r>
      <w:r w:rsidR="00D17A94">
        <w:t xml:space="preserve"> </w:t>
      </w:r>
      <w:r w:rsidRPr="008A0A12">
        <w:t>periodic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International</w:t>
      </w:r>
      <w:r w:rsidR="00D17A94">
        <w:t xml:space="preserve"> </w:t>
      </w:r>
      <w:r w:rsidRPr="008A0A12">
        <w:t>Convention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Elimination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forms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Racial</w:t>
      </w:r>
      <w:r w:rsidR="00D17A94">
        <w:t xml:space="preserve"> </w:t>
      </w:r>
      <w:r w:rsidRPr="008A0A12">
        <w:t>Discrimination</w:t>
      </w:r>
      <w:r w:rsidR="001878DB">
        <w:t>.</w:t>
      </w:r>
      <w:r w:rsidRPr="001878DB">
        <w:rPr>
          <w:rStyle w:val="FootnoteReference"/>
        </w:rPr>
        <w:footnoteReference w:id="7"/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includes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specific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adopted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eliminate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forms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discrimination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SR.</w:t>
      </w:r>
    </w:p>
    <w:p w:rsidR="00F33762" w:rsidRPr="008A0A12" w:rsidRDefault="00F33762" w:rsidP="0033520C">
      <w:pPr>
        <w:pStyle w:val="H1G"/>
      </w:pPr>
      <w:r w:rsidRPr="008A0A12">
        <w:tab/>
      </w:r>
      <w:r w:rsidRPr="008A0A12">
        <w:tab/>
        <w:t>Article</w:t>
      </w:r>
      <w:r w:rsidR="00D17A94">
        <w:t xml:space="preserve"> </w:t>
      </w:r>
      <w:r w:rsidRPr="008A0A12">
        <w:t>3</w:t>
      </w:r>
    </w:p>
    <w:p w:rsidR="00F33762" w:rsidRPr="008A0A12" w:rsidRDefault="00F33762" w:rsidP="0033520C">
      <w:pPr>
        <w:pStyle w:val="H23G"/>
      </w:pPr>
      <w:r w:rsidRPr="008A0A12">
        <w:tab/>
      </w:r>
      <w:r w:rsidRPr="008A0A12">
        <w:tab/>
        <w:t>Equal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women</w:t>
      </w:r>
    </w:p>
    <w:p w:rsidR="00F33762" w:rsidRPr="008A0A12" w:rsidRDefault="00F33762" w:rsidP="00F33762">
      <w:pPr>
        <w:pStyle w:val="SingleTxtG"/>
      </w:pPr>
      <w:r w:rsidRPr="008A0A12">
        <w:t>6.</w:t>
      </w:r>
      <w:r w:rsidRPr="008A0A12">
        <w:tab/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implementing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recommendations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</w:t>
      </w:r>
      <w:r w:rsidR="00D17A94">
        <w:t xml:space="preserve"> </w:t>
      </w:r>
      <w:r w:rsidRPr="008A0A12">
        <w:t>Committee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Elimination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Discrimination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fifth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sixth</w:t>
      </w:r>
      <w:r w:rsidR="00D17A94">
        <w:t xml:space="preserve"> </w:t>
      </w:r>
      <w:r w:rsidRPr="008A0A12">
        <w:t>periodical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adopted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final</w:t>
      </w:r>
      <w:r w:rsidR="00D17A94">
        <w:t xml:space="preserve"> </w:t>
      </w:r>
      <w:r w:rsidRPr="008A0A12">
        <w:t>observation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25</w:t>
      </w:r>
      <w:r w:rsidR="00D17A94">
        <w:t xml:space="preserve"> </w:t>
      </w:r>
      <w:r w:rsidRPr="008A0A12">
        <w:t>November</w:t>
      </w:r>
      <w:r w:rsidR="00D17A94">
        <w:t xml:space="preserve"> </w:t>
      </w:r>
      <w:r w:rsidRPr="008A0A12">
        <w:t>2015.</w:t>
      </w:r>
      <w:r w:rsidRPr="001878DB">
        <w:rPr>
          <w:rStyle w:val="FootnoteReference"/>
        </w:rPr>
        <w:footnoteReference w:id="8"/>
      </w:r>
    </w:p>
    <w:p w:rsidR="00F33762" w:rsidRPr="008A0A12" w:rsidRDefault="00F33762" w:rsidP="00F33762">
      <w:pPr>
        <w:pStyle w:val="SingleTxtG"/>
      </w:pPr>
      <w:r w:rsidRPr="008A0A12">
        <w:t>7.</w:t>
      </w:r>
      <w:r w:rsidRPr="008A0A12">
        <w:tab/>
        <w:t>The</w:t>
      </w:r>
      <w:r w:rsidR="00D17A94">
        <w:t xml:space="preserve"> </w:t>
      </w:r>
      <w:r w:rsidRPr="008A0A12">
        <w:t>issue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institutionally</w:t>
      </w:r>
      <w:r w:rsidR="00D17A94">
        <w:t xml:space="preserve"> </w:t>
      </w:r>
      <w:r w:rsidRPr="008A0A12">
        <w:t>enhanced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key</w:t>
      </w:r>
      <w:r w:rsidR="00D17A94">
        <w:t xml:space="preserve"> </w:t>
      </w:r>
      <w:r w:rsidRPr="008A0A12">
        <w:t>strategy</w:t>
      </w:r>
      <w:r w:rsidR="00D17A94">
        <w:t xml:space="preserve"> </w:t>
      </w:r>
      <w:r w:rsidRPr="008A0A12">
        <w:t>documents.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20</w:t>
      </w:r>
      <w:r w:rsidR="00D17A94">
        <w:t xml:space="preserve"> </w:t>
      </w:r>
      <w:r w:rsidRPr="008A0A12">
        <w:t>November</w:t>
      </w:r>
      <w:r w:rsidR="00D17A94">
        <w:t xml:space="preserve"> </w:t>
      </w:r>
      <w:r w:rsidRPr="008A0A12">
        <w:t>2014,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adopted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Strategy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Action</w:t>
      </w:r>
      <w:r w:rsidR="00D17A94">
        <w:t xml:space="preserve"> </w:t>
      </w:r>
      <w:r w:rsidRPr="008A0A12">
        <w:t>Plan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2014-2019.</w:t>
      </w:r>
      <w:r w:rsidR="00D17A94">
        <w:t xml:space="preserve"> </w:t>
      </w:r>
      <w:r w:rsidRPr="008A0A12">
        <w:t>Both</w:t>
      </w:r>
      <w:r w:rsidR="00D17A94">
        <w:t xml:space="preserve"> </w:t>
      </w:r>
      <w:r w:rsidRPr="008A0A12">
        <w:t>documents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linked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assessment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fulfilment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Strategy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action</w:t>
      </w:r>
      <w:r w:rsidR="00D17A94">
        <w:t xml:space="preserve"> </w:t>
      </w:r>
      <w:r w:rsidRPr="008A0A12">
        <w:t>plan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they</w:t>
      </w:r>
      <w:r w:rsidR="00D17A94">
        <w:t xml:space="preserve"> </w:t>
      </w:r>
      <w:r w:rsidRPr="008A0A12">
        <w:t>define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problematic</w:t>
      </w:r>
      <w:r w:rsidR="00D17A94">
        <w:t xml:space="preserve"> </w:t>
      </w:r>
      <w:r w:rsidRPr="008A0A12">
        <w:t>areas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women,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require</w:t>
      </w:r>
      <w:r w:rsidR="00D17A94">
        <w:t xml:space="preserve"> </w:t>
      </w:r>
      <w:r w:rsidRPr="008A0A12">
        <w:t>intervention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systematic</w:t>
      </w:r>
      <w:r w:rsidR="00D17A94">
        <w:t xml:space="preserve"> </w:t>
      </w:r>
      <w:r w:rsidRPr="008A0A12">
        <w:t>work.</w:t>
      </w:r>
      <w:r w:rsidR="00D17A94">
        <w:t xml:space="preserve"> </w:t>
      </w:r>
      <w:r w:rsidRPr="008A0A12">
        <w:t>Strategic</w:t>
      </w:r>
      <w:r w:rsidR="00D17A94">
        <w:t xml:space="preserve"> </w:t>
      </w:r>
      <w:r w:rsidRPr="008A0A12">
        <w:t>areas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priorities</w:t>
      </w:r>
      <w:r w:rsidR="00D17A94">
        <w:t xml:space="preserve"> </w:t>
      </w:r>
      <w:r w:rsidRPr="008A0A12">
        <w:t>defined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strategy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follows:</w:t>
      </w:r>
      <w:r w:rsidR="00D17A94">
        <w:t xml:space="preserve"> </w:t>
      </w:r>
      <w:r w:rsidRPr="008A0A12">
        <w:t>economic</w:t>
      </w:r>
      <w:r w:rsidR="00D17A94">
        <w:t xml:space="preserve"> </w:t>
      </w:r>
      <w:r w:rsidRPr="008A0A12">
        <w:t>independence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market;</w:t>
      </w:r>
      <w:r w:rsidR="00D17A94">
        <w:t xml:space="preserve"> </w:t>
      </w:r>
      <w:r w:rsidRPr="008A0A12">
        <w:t>participation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decision-making</w:t>
      </w:r>
      <w:r w:rsidR="00D17A94">
        <w:t xml:space="preserve"> </w:t>
      </w:r>
      <w:r w:rsidRPr="008A0A12">
        <w:t>process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economic</w:t>
      </w:r>
      <w:r w:rsidR="00D17A94">
        <w:t xml:space="preserve"> </w:t>
      </w:r>
      <w:r w:rsidRPr="008A0A12">
        <w:t>life;</w:t>
      </w:r>
      <w:r w:rsidR="00D17A94">
        <w:t xml:space="preserve"> </w:t>
      </w:r>
      <w:r w:rsidRPr="008A0A12">
        <w:lastRenderedPageBreak/>
        <w:t>education,</w:t>
      </w:r>
      <w:r w:rsidR="00D17A94">
        <w:t xml:space="preserve"> </w:t>
      </w:r>
      <w:r w:rsidRPr="008A0A12">
        <w:t>science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research;</w:t>
      </w:r>
      <w:r w:rsidR="00D17A94">
        <w:t xml:space="preserve"> </w:t>
      </w:r>
      <w:r w:rsidRPr="008A0A12">
        <w:t>dignity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physical</w:t>
      </w:r>
      <w:r w:rsidR="00D17A94">
        <w:t xml:space="preserve"> </w:t>
      </w:r>
      <w:r w:rsidRPr="008A0A12">
        <w:t>integrity;</w:t>
      </w:r>
      <w:r w:rsidR="00D17A94">
        <w:t xml:space="preserve"> </w:t>
      </w:r>
      <w:r w:rsidRPr="008A0A12">
        <w:t>institutional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legislative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women;</w:t>
      </w:r>
      <w:r w:rsidR="00D17A94">
        <w:t xml:space="preserve"> </w:t>
      </w:r>
      <w:r w:rsidRPr="008A0A12">
        <w:t>international</w:t>
      </w:r>
      <w:r w:rsidR="00D17A94">
        <w:t xml:space="preserve"> </w:t>
      </w:r>
      <w:r w:rsidRPr="008A0A12">
        <w:t>cooperation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aid.</w:t>
      </w:r>
      <w:r w:rsidR="00D17A94">
        <w:t xml:space="preserve"> </w:t>
      </w:r>
      <w:r w:rsidRPr="008A0A12">
        <w:t>They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include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proposal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solutions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specification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main</w:t>
      </w:r>
      <w:r w:rsidR="00D17A94">
        <w:t xml:space="preserve"> </w:t>
      </w:r>
      <w:r w:rsidRPr="008A0A12">
        <w:t>tasks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operational</w:t>
      </w:r>
      <w:r w:rsidR="00D17A94">
        <w:t xml:space="preserve"> </w:t>
      </w:r>
      <w:r w:rsidRPr="008A0A12">
        <w:t>objectives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period.</w:t>
      </w:r>
    </w:p>
    <w:p w:rsidR="00F33762" w:rsidRPr="008A0A12" w:rsidRDefault="00F33762" w:rsidP="00F33762">
      <w:pPr>
        <w:pStyle w:val="SingleTxtG"/>
      </w:pPr>
      <w:r w:rsidRPr="008A0A12">
        <w:t>8.</w:t>
      </w:r>
      <w:r w:rsidRPr="008A0A12">
        <w:tab/>
        <w:t>One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specific</w:t>
      </w:r>
      <w:r w:rsidR="00D17A94">
        <w:t xml:space="preserve"> </w:t>
      </w:r>
      <w:r w:rsidRPr="008A0A12">
        <w:t>objectives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Strategy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2014-2019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reduction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inequalities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participation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decision-making</w:t>
      </w:r>
      <w:r w:rsidR="00D17A94">
        <w:t xml:space="preserve"> </w:t>
      </w:r>
      <w:r w:rsidRPr="008A0A12">
        <w:t>positions.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operational</w:t>
      </w:r>
      <w:r w:rsidR="00D17A94">
        <w:t xml:space="preserve"> </w:t>
      </w:r>
      <w:r w:rsidRPr="008A0A12">
        <w:t>objectives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follows: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increase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representation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decision-making</w:t>
      </w:r>
      <w:r w:rsidR="00D17A94">
        <w:t xml:space="preserve"> </w:t>
      </w:r>
      <w:r w:rsidRPr="008A0A12">
        <w:t>positions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political</w:t>
      </w:r>
      <w:r w:rsidR="00D17A94">
        <w:t xml:space="preserve"> </w:t>
      </w:r>
      <w:r w:rsidRPr="008A0A12">
        <w:t>life,</w:t>
      </w:r>
      <w:r w:rsidR="00D17A94">
        <w:t xml:space="preserve"> </w:t>
      </w:r>
      <w:r w:rsidRPr="008A0A12">
        <w:t>including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motivation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opportunity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stand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candidate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participate;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promote</w:t>
      </w:r>
      <w:r w:rsidR="00D17A94">
        <w:t xml:space="preserve"> </w:t>
      </w:r>
      <w:r w:rsidRPr="008A0A12">
        <w:t>women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entrepreneurship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creating</w:t>
      </w:r>
      <w:r w:rsidR="00D17A94">
        <w:t xml:space="preserve"> </w:t>
      </w:r>
      <w:r w:rsidRPr="008A0A12">
        <w:t>systemic</w:t>
      </w:r>
      <w:r w:rsidR="00D17A94">
        <w:t xml:space="preserve"> </w:t>
      </w:r>
      <w:r w:rsidRPr="008A0A12">
        <w:t>measures,</w:t>
      </w:r>
      <w:r w:rsidR="00D17A94">
        <w:t xml:space="preserve"> </w:t>
      </w:r>
      <w:r w:rsidRPr="008A0A12">
        <w:t>including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reconciliation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professional</w:t>
      </w:r>
      <w:r w:rsidR="00D17A94">
        <w:t xml:space="preserve"> </w:t>
      </w:r>
      <w:r w:rsidRPr="008A0A12">
        <w:t>life;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increase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representation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economic</w:t>
      </w:r>
      <w:r w:rsidR="00D17A94">
        <w:t xml:space="preserve"> </w:t>
      </w:r>
      <w:r w:rsidRPr="008A0A12">
        <w:t>decision-making</w:t>
      </w:r>
      <w:r w:rsidR="00D17A94">
        <w:t xml:space="preserve"> </w:t>
      </w:r>
      <w:r w:rsidRPr="008A0A12">
        <w:t>positions.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2015,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Ministry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Labour,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Affairs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Slovak</w:t>
      </w:r>
      <w:r w:rsidR="00D17A94">
        <w:t xml:space="preserve"> </w:t>
      </w:r>
      <w:r w:rsidRPr="008A0A12">
        <w:t>Republic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MLSAF</w:t>
      </w:r>
      <w:r w:rsidR="00D17A94">
        <w:t xml:space="preserve"> </w:t>
      </w:r>
      <w:r w:rsidRPr="008A0A12">
        <w:t>SR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actively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balanced</w:t>
      </w:r>
      <w:r w:rsidR="00D17A94">
        <w:t xml:space="preserve"> </w:t>
      </w:r>
      <w:r w:rsidRPr="008A0A12">
        <w:t>representation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decision-making</w:t>
      </w:r>
      <w:r w:rsidR="00D17A94">
        <w:t xml:space="preserve"> </w:t>
      </w:r>
      <w:r w:rsidRPr="008A0A12">
        <w:t>process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project</w:t>
      </w:r>
      <w:r w:rsidR="00D17A94">
        <w:t xml:space="preserve"> </w:t>
      </w:r>
      <w:r w:rsidRPr="008A0A12">
        <w:t>called</w:t>
      </w:r>
      <w:r w:rsidR="00D17A94">
        <w:t xml:space="preserve"> </w:t>
      </w:r>
      <w:r w:rsidR="00413AEE">
        <w:t>“</w:t>
      </w:r>
      <w:r w:rsidRPr="008A0A12">
        <w:t>Promotion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Balanced</w:t>
      </w:r>
      <w:r w:rsidR="00D17A94">
        <w:t xml:space="preserve"> </w:t>
      </w:r>
      <w:r w:rsidRPr="008A0A12">
        <w:t>Representation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Leadership</w:t>
      </w:r>
      <w:r w:rsidR="00D17A94">
        <w:t xml:space="preserve"> </w:t>
      </w:r>
      <w:r w:rsidRPr="008A0A12">
        <w:t>Positions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Organizations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Private</w:t>
      </w:r>
      <w:r w:rsidR="00D17A94">
        <w:t xml:space="preserve"> </w:t>
      </w:r>
      <w:r w:rsidRPr="008A0A12">
        <w:t>Sector</w:t>
      </w:r>
      <w:r w:rsidR="00413AEE">
        <w:t>”</w:t>
      </w:r>
      <w:r w:rsidR="00D17A94">
        <w:t xml:space="preserve"> </w:t>
      </w:r>
      <w:r w:rsidRPr="008A0A12">
        <w:t>financed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Progress</w:t>
      </w:r>
      <w:r w:rsidR="00D17A94">
        <w:t xml:space="preserve"> </w:t>
      </w:r>
      <w:r w:rsidRPr="008A0A12">
        <w:t>subsidy</w:t>
      </w:r>
      <w:r w:rsidR="00D17A94">
        <w:t xml:space="preserve"> </w:t>
      </w:r>
      <w:r w:rsidRPr="008A0A12">
        <w:t>scheme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EC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EC</w:t>
      </w:r>
      <w:r w:rsidR="00413AEE">
        <w:t>”</w:t>
      </w:r>
      <w:r w:rsidRPr="008A0A12">
        <w:t>).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33520C">
      <w:pPr>
        <w:pStyle w:val="H1G"/>
      </w:pPr>
      <w:r w:rsidRPr="008A0A12">
        <w:tab/>
      </w:r>
      <w:r w:rsidRPr="008A0A12">
        <w:tab/>
        <w:t>Article</w:t>
      </w:r>
      <w:r w:rsidR="00D17A94">
        <w:t xml:space="preserve"> </w:t>
      </w:r>
      <w:r w:rsidRPr="008A0A12">
        <w:t>6</w:t>
      </w:r>
    </w:p>
    <w:p w:rsidR="00F33762" w:rsidRPr="008A0A12" w:rsidRDefault="00F33762" w:rsidP="0033520C">
      <w:pPr>
        <w:pStyle w:val="H23G"/>
      </w:pPr>
      <w:r w:rsidRPr="008A0A12">
        <w:tab/>
      </w:r>
      <w:r w:rsidRPr="008A0A12">
        <w:tab/>
        <w:t>Right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work</w:t>
      </w:r>
    </w:p>
    <w:p w:rsidR="00F33762" w:rsidRPr="008A0A12" w:rsidRDefault="00F33762" w:rsidP="00F33762">
      <w:pPr>
        <w:pStyle w:val="SingleTxtG"/>
      </w:pPr>
      <w:r w:rsidRPr="008A0A12">
        <w:t>9.</w:t>
      </w:r>
      <w:r w:rsidRPr="008A0A12">
        <w:tab/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governed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5/2004,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Law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Services</w:t>
      </w:r>
      <w:r w:rsidR="00413AEE">
        <w:t>”</w:t>
      </w:r>
      <w:r w:rsidRPr="008A0A12">
        <w:t>).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access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citizen,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wants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work,</w:t>
      </w:r>
      <w:r w:rsidR="00D17A94">
        <w:t xml:space="preserve"> </w:t>
      </w:r>
      <w:r w:rsidRPr="008A0A12">
        <w:t>can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seeks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job,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services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assistance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his</w:t>
      </w:r>
      <w:r w:rsidR="00D17A94">
        <w:t xml:space="preserve"> </w:t>
      </w:r>
      <w:r w:rsidRPr="008A0A12">
        <w:t>access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disadvantaged</w:t>
      </w:r>
      <w:r w:rsidR="00D17A94">
        <w:t xml:space="preserve"> </w:t>
      </w:r>
      <w:r w:rsidRPr="008A0A12">
        <w:t>jobseeker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least</w:t>
      </w:r>
      <w:r w:rsidR="00D17A94">
        <w:t xml:space="preserve"> </w:t>
      </w:r>
      <w:r w:rsidRPr="008A0A12">
        <w:t>six</w:t>
      </w:r>
      <w:r w:rsidR="00D17A94">
        <w:t xml:space="preserve"> </w:t>
      </w:r>
      <w:r w:rsidRPr="008A0A12">
        <w:t>consecutive</w:t>
      </w:r>
      <w:r w:rsidR="00D17A94">
        <w:t xml:space="preserve"> </w:t>
      </w:r>
      <w:r w:rsidRPr="008A0A12">
        <w:t>calendar</w:t>
      </w:r>
      <w:r w:rsidR="00D17A94">
        <w:t xml:space="preserve"> </w:t>
      </w:r>
      <w:r w:rsidRPr="008A0A12">
        <w:t>months.</w:t>
      </w:r>
    </w:p>
    <w:p w:rsidR="00F33762" w:rsidRPr="008A0A12" w:rsidRDefault="00F33762" w:rsidP="0033520C">
      <w:pPr>
        <w:pStyle w:val="H23G"/>
      </w:pPr>
      <w:r w:rsidRPr="008A0A12">
        <w:tab/>
      </w:r>
      <w:r w:rsidRPr="008A0A12">
        <w:tab/>
        <w:t>Employment</w:t>
      </w:r>
      <w:r w:rsidR="00D17A94">
        <w:t xml:space="preserve"> </w:t>
      </w:r>
      <w:r w:rsidRPr="008A0A12">
        <w:t>services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10.</w:t>
      </w:r>
      <w:r w:rsidRPr="008A0A12">
        <w:tab/>
        <w:t>Employment</w:t>
      </w:r>
      <w:r w:rsidR="00D17A94">
        <w:t xml:space="preserve"> </w:t>
      </w:r>
      <w:r w:rsidRPr="008A0A12">
        <w:t>services</w:t>
      </w:r>
      <w:r w:rsidR="00D17A94">
        <w:t xml:space="preserve"> </w:t>
      </w:r>
      <w:r w:rsidRPr="008A0A12">
        <w:t>represent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system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institutions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instruments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assistance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participants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search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jobs,</w:t>
      </w:r>
      <w:r w:rsidR="00D17A94">
        <w:t xml:space="preserve"> </w:t>
      </w:r>
      <w:r w:rsidRPr="008A0A12">
        <w:t>changing</w:t>
      </w:r>
      <w:r w:rsidR="00D17A94">
        <w:t xml:space="preserve"> </w:t>
      </w:r>
      <w:r w:rsidRPr="008A0A12">
        <w:t>jobs,</w:t>
      </w:r>
      <w:r w:rsidR="00D17A94">
        <w:t xml:space="preserve"> </w:t>
      </w:r>
      <w:r w:rsidRPr="008A0A12">
        <w:t>assistance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filling</w:t>
      </w:r>
      <w:r w:rsidR="00D17A94">
        <w:t xml:space="preserve"> </w:t>
      </w:r>
      <w:r w:rsidRPr="008A0A12">
        <w:t>job</w:t>
      </w:r>
      <w:r w:rsidR="00D17A94">
        <w:t xml:space="preserve"> </w:t>
      </w:r>
      <w:r w:rsidRPr="008A0A12">
        <w:t>vacancies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regard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disadvantaged</w:t>
      </w:r>
      <w:r w:rsidR="00D17A94">
        <w:t xml:space="preserve"> </w:t>
      </w:r>
      <w:r w:rsidRPr="008A0A12">
        <w:t>jobseekers.</w:t>
      </w:r>
      <w:r w:rsidR="00D17A94">
        <w:t xml:space="preserve"> </w:t>
      </w:r>
      <w:r w:rsidRPr="008A0A12">
        <w:t>Pursuant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Services,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category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disadvantaged</w:t>
      </w:r>
      <w:r w:rsidR="00D17A94">
        <w:t xml:space="preserve"> </w:t>
      </w:r>
      <w:r w:rsidRPr="008A0A12">
        <w:t>jobseekers</w:t>
      </w:r>
      <w:r w:rsidR="00D17A94">
        <w:t xml:space="preserve"> </w:t>
      </w:r>
      <w:r w:rsidRPr="008A0A12">
        <w:t>includes</w:t>
      </w:r>
      <w:r w:rsidR="00D17A94">
        <w:t xml:space="preserve"> </w:t>
      </w:r>
      <w:r w:rsidRPr="008A0A12">
        <w:t>groups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encounter</w:t>
      </w:r>
      <w:r w:rsidR="00D17A94">
        <w:t xml:space="preserve"> </w:t>
      </w:r>
      <w:r w:rsidRPr="008A0A12">
        <w:t>difficulties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gaining</w:t>
      </w:r>
      <w:r w:rsidR="00D17A94">
        <w:t xml:space="preserve"> </w:t>
      </w:r>
      <w:r w:rsidRPr="008A0A12">
        <w:t>access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</w:t>
      </w:r>
      <w:r w:rsidR="00D17A94">
        <w:t xml:space="preserve"> </w:t>
      </w:r>
      <w:r w:rsidRPr="008A0A12">
        <w:t>due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age,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status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reasons.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group</w:t>
      </w:r>
      <w:r w:rsidR="00D17A94">
        <w:t xml:space="preserve"> </w:t>
      </w:r>
      <w:r w:rsidRPr="008A0A12">
        <w:t>includes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younger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26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graduates,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older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50</w:t>
      </w:r>
      <w:r w:rsidR="00D17A94">
        <w:t xml:space="preserve"> </w:t>
      </w:r>
      <w:r w:rsidRPr="008A0A12">
        <w:t>years,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unemployed,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lower</w:t>
      </w:r>
      <w:r w:rsidR="00D17A94">
        <w:t xml:space="preserve"> </w:t>
      </w:r>
      <w:r w:rsidRPr="008A0A12">
        <w:t>education,</w:t>
      </w:r>
      <w:r w:rsidR="00D17A94">
        <w:t xml:space="preserve"> </w:t>
      </w:r>
      <w:r w:rsidRPr="008A0A12">
        <w:t>disabled</w:t>
      </w:r>
      <w:r w:rsidR="00D17A94">
        <w:t xml:space="preserve"> </w:t>
      </w:r>
      <w:r w:rsidRPr="008A0A12">
        <w:t>citizens,</w:t>
      </w:r>
      <w:r w:rsidR="00D17A94">
        <w:t xml:space="preserve"> </w:t>
      </w:r>
      <w:r w:rsidRPr="008A0A12">
        <w:t>single</w:t>
      </w:r>
      <w:r w:rsidR="00D17A94">
        <w:t xml:space="preserve"> </w:t>
      </w:r>
      <w:r w:rsidRPr="008A0A12">
        <w:t>parents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least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child,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without</w:t>
      </w:r>
      <w:r w:rsidR="00D17A94">
        <w:t xml:space="preserve"> </w:t>
      </w:r>
      <w:r w:rsidRPr="008A0A12">
        <w:t>regular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least</w:t>
      </w:r>
      <w:r w:rsidR="00D17A94">
        <w:t xml:space="preserve"> </w:t>
      </w:r>
      <w:r w:rsidRPr="008A0A12">
        <w:t>12</w:t>
      </w:r>
      <w:r w:rsidR="00D17A94">
        <w:t xml:space="preserve"> </w:t>
      </w:r>
      <w:r w:rsidRPr="008A0A12">
        <w:t>months,</w:t>
      </w:r>
      <w:r w:rsidR="00D17A94">
        <w:t xml:space="preserve"> </w:t>
      </w:r>
      <w:r w:rsidRPr="008A0A12">
        <w:t>third-country</w:t>
      </w:r>
      <w:r w:rsidR="00D17A94">
        <w:t xml:space="preserve"> </w:t>
      </w:r>
      <w:r w:rsidRPr="008A0A12">
        <w:t>nationals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have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granted</w:t>
      </w:r>
      <w:r w:rsidR="00D17A94">
        <w:t xml:space="preserve"> </w:t>
      </w:r>
      <w:r w:rsidRPr="008A0A12">
        <w:t>asylum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subsidiary</w:t>
      </w:r>
      <w:r w:rsidR="00D17A94">
        <w:t xml:space="preserve"> </w:t>
      </w:r>
      <w:r w:rsidRPr="008A0A12">
        <w:t>protection.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11.</w:t>
      </w:r>
      <w:r w:rsidRPr="008A0A12">
        <w:tab/>
        <w:t>Since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January</w:t>
      </w:r>
      <w:r w:rsidR="00D17A94">
        <w:t xml:space="preserve"> </w:t>
      </w:r>
      <w:r w:rsidRPr="008A0A12">
        <w:t>2015,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new</w:t>
      </w:r>
      <w:r w:rsidR="00D17A94">
        <w:t xml:space="preserve"> </w:t>
      </w:r>
      <w:r w:rsidRPr="008A0A12">
        <w:t>active</w:t>
      </w:r>
      <w:r w:rsidR="00D17A94">
        <w:t xml:space="preserve"> </w:t>
      </w:r>
      <w:r w:rsidRPr="008A0A12">
        <w:t>measure,</w:t>
      </w:r>
      <w:r w:rsidR="00D17A94">
        <w:t xml:space="preserve"> </w:t>
      </w:r>
      <w:r w:rsidRPr="008A0A12">
        <w:t>specifically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contribution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promoting</w:t>
      </w:r>
      <w:r w:rsidR="00D17A94">
        <w:t xml:space="preserve"> </w:t>
      </w:r>
      <w:r w:rsidRPr="008A0A12">
        <w:t>job</w:t>
      </w:r>
      <w:r w:rsidR="00D17A94">
        <w:t xml:space="preserve"> </w:t>
      </w:r>
      <w:r w:rsidRPr="008A0A12">
        <w:t>creation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first</w:t>
      </w:r>
      <w:r w:rsidR="00D17A94">
        <w:t xml:space="preserve"> </w:t>
      </w:r>
      <w:r w:rsidRPr="008A0A12">
        <w:t>regularly</w:t>
      </w:r>
      <w:r w:rsidR="00D17A94">
        <w:t xml:space="preserve"> </w:t>
      </w:r>
      <w:r w:rsidRPr="008A0A12">
        <w:t>paid</w:t>
      </w:r>
      <w:r w:rsidR="00D17A94">
        <w:t xml:space="preserve"> </w:t>
      </w:r>
      <w:r w:rsidRPr="008A0A12">
        <w:t>employment,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introduced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area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integrating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29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age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market.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applies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created</w:t>
      </w:r>
      <w:r w:rsidR="00D17A94">
        <w:t xml:space="preserve"> </w:t>
      </w:r>
      <w:r w:rsidRPr="008A0A12">
        <w:t>job</w:t>
      </w:r>
      <w:r w:rsidR="00D17A94">
        <w:t xml:space="preserve"> </w:t>
      </w:r>
      <w:r w:rsidRPr="008A0A12">
        <w:t>if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employer</w:t>
      </w:r>
      <w:r w:rsidR="00D17A94">
        <w:t xml:space="preserve"> </w:t>
      </w:r>
      <w:r w:rsidRPr="008A0A12">
        <w:t>employs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jobseeker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citizen</w:t>
      </w:r>
      <w:r w:rsidR="00D17A94">
        <w:t xml:space="preserve"> </w:t>
      </w:r>
      <w:r w:rsidRPr="008A0A12">
        <w:t>younger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25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registered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register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jobseekers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least</w:t>
      </w:r>
      <w:r w:rsidR="00D17A94">
        <w:t xml:space="preserve"> </w:t>
      </w:r>
      <w:r w:rsidRPr="008A0A12">
        <w:t>three</w:t>
      </w:r>
      <w:r w:rsidR="00D17A94">
        <w:t xml:space="preserve"> </w:t>
      </w:r>
      <w:r w:rsidRPr="008A0A12">
        <w:t>months,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jobseeker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citizen</w:t>
      </w:r>
      <w:r w:rsidR="00D17A94">
        <w:t xml:space="preserve"> </w:t>
      </w:r>
      <w:r w:rsidRPr="008A0A12">
        <w:t>younger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29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registered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register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least</w:t>
      </w:r>
      <w:r w:rsidR="00D17A94">
        <w:t xml:space="preserve"> </w:t>
      </w:r>
      <w:r w:rsidRPr="008A0A12">
        <w:t>six</w:t>
      </w:r>
      <w:r w:rsidR="00D17A94">
        <w:t xml:space="preserve"> </w:t>
      </w:r>
      <w:r w:rsidRPr="008A0A12">
        <w:t>months.</w:t>
      </w:r>
    </w:p>
    <w:p w:rsidR="00F33762" w:rsidRPr="008A0A12" w:rsidRDefault="00F33762" w:rsidP="00F33762">
      <w:pPr>
        <w:pStyle w:val="SingleTxtG"/>
      </w:pPr>
      <w:r w:rsidRPr="008A0A12">
        <w:t>12.</w:t>
      </w:r>
      <w:r w:rsidRPr="008A0A12">
        <w:tab/>
        <w:t>The</w:t>
      </w:r>
      <w:r w:rsidR="00D17A94">
        <w:t xml:space="preserve"> </w:t>
      </w:r>
      <w:r w:rsidRPr="008A0A12">
        <w:t>Ministry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Economy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ME</w:t>
      </w:r>
      <w:r w:rsidR="00D17A94">
        <w:t xml:space="preserve"> </w:t>
      </w:r>
      <w:r w:rsidRPr="008A0A12">
        <w:t>SR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performs</w:t>
      </w:r>
      <w:r w:rsidR="00D17A94">
        <w:t xml:space="preserve"> </w:t>
      </w:r>
      <w:r w:rsidRPr="008A0A12">
        <w:t>tasks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promote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particularly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operational</w:t>
      </w:r>
      <w:r w:rsidR="00D17A94">
        <w:t xml:space="preserve"> </w:t>
      </w:r>
      <w:r w:rsidRPr="008A0A12">
        <w:t>programmes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structural</w:t>
      </w:r>
      <w:r w:rsidR="00D17A94">
        <w:t xml:space="preserve"> </w:t>
      </w:r>
      <w:r w:rsidRPr="008A0A12">
        <w:t>funds,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individual</w:t>
      </w:r>
      <w:r w:rsidR="00D17A94">
        <w:t xml:space="preserve"> </w:t>
      </w:r>
      <w:r w:rsidRPr="008A0A12">
        <w:t>disadvantaged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groups.</w:t>
      </w:r>
    </w:p>
    <w:p w:rsidR="00F33762" w:rsidRPr="008A0A12" w:rsidRDefault="00F33762" w:rsidP="00F33762">
      <w:pPr>
        <w:pStyle w:val="SingleTxtG"/>
      </w:pPr>
      <w:r w:rsidRPr="008A0A12">
        <w:t>13.</w:t>
      </w:r>
      <w:r w:rsidRPr="008A0A12">
        <w:tab/>
        <w:t>The</w:t>
      </w:r>
      <w:r w:rsidR="00D17A94">
        <w:t xml:space="preserve"> </w:t>
      </w:r>
      <w:r w:rsidRPr="008A0A12">
        <w:t>Operational</w:t>
      </w:r>
      <w:r w:rsidR="00D17A94">
        <w:t xml:space="preserve"> </w:t>
      </w:r>
      <w:r w:rsidRPr="008A0A12">
        <w:t>Programme</w:t>
      </w:r>
      <w:r w:rsidR="00D17A94">
        <w:t xml:space="preserve"> </w:t>
      </w:r>
      <w:r w:rsidRPr="008A0A12">
        <w:t>Competitiveness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Economic</w:t>
      </w:r>
      <w:r w:rsidR="00D17A94">
        <w:t xml:space="preserve"> </w:t>
      </w:r>
      <w:r w:rsidRPr="008A0A12">
        <w:t>Growth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OP</w:t>
      </w:r>
      <w:r w:rsidR="00D17A94">
        <w:t xml:space="preserve"> </w:t>
      </w:r>
      <w:r w:rsidRPr="008A0A12">
        <w:t>CEG</w:t>
      </w:r>
      <w:r w:rsidR="00413AEE">
        <w:t>”</w:t>
      </w:r>
      <w:r w:rsidRPr="008A0A12">
        <w:t>),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2007-2013</w:t>
      </w:r>
      <w:r w:rsidR="00D17A94">
        <w:t xml:space="preserve"> </w:t>
      </w:r>
      <w:r w:rsidRPr="008A0A12">
        <w:t>programming</w:t>
      </w:r>
      <w:r w:rsidR="00D17A94">
        <w:t xml:space="preserve"> </w:t>
      </w:r>
      <w:r w:rsidRPr="008A0A12">
        <w:t>period,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individual</w:t>
      </w:r>
      <w:r w:rsidR="00D17A94">
        <w:t xml:space="preserve"> </w:t>
      </w:r>
      <w:r w:rsidRPr="008A0A12">
        <w:t>calls,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direct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indirect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create</w:t>
      </w:r>
      <w:r w:rsidR="00D17A94">
        <w:t xml:space="preserve"> </w:t>
      </w:r>
      <w:r w:rsidRPr="008A0A12">
        <w:t>jobs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unemployed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jobs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</w:t>
      </w:r>
      <w:r w:rsidR="00413AEE">
        <w:t>”</w:t>
      </w:r>
      <w:r w:rsidRPr="008A0A12">
        <w:t>),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contributed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EC</w:t>
      </w:r>
      <w:r w:rsidR="00D17A94">
        <w:t xml:space="preserve"> </w:t>
      </w:r>
      <w:r w:rsidRPr="008A0A12">
        <w:t>initiative</w:t>
      </w:r>
      <w:r w:rsidR="00D17A94">
        <w:t xml:space="preserve"> </w:t>
      </w:r>
      <w:r w:rsidRPr="008A0A12">
        <w:t>aimed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reduction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jobs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lastRenderedPageBreak/>
        <w:t>young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created</w:t>
      </w:r>
      <w:r w:rsidR="00D17A94">
        <w:t xml:space="preserve"> </w:t>
      </w:r>
      <w:r w:rsidRPr="008A0A12">
        <w:t>particularly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</w:t>
      </w:r>
      <w:r w:rsidR="00D17A94">
        <w:t xml:space="preserve"> </w:t>
      </w:r>
      <w:proofErr w:type="spellStart"/>
      <w:r w:rsidRPr="008A0A12">
        <w:t>minimis</w:t>
      </w:r>
      <w:proofErr w:type="spellEnd"/>
      <w:r w:rsidR="00D17A94">
        <w:t xml:space="preserve"> </w:t>
      </w:r>
      <w:r w:rsidRPr="008A0A12">
        <w:t>aid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aid.</w:t>
      </w:r>
    </w:p>
    <w:p w:rsidR="00F33762" w:rsidRPr="008A0A12" w:rsidRDefault="00F33762" w:rsidP="00F33762">
      <w:pPr>
        <w:pStyle w:val="SingleTxtG"/>
      </w:pPr>
      <w:r w:rsidRPr="008A0A12">
        <w:t>14.</w:t>
      </w:r>
      <w:r w:rsidRPr="008A0A12">
        <w:tab/>
        <w:t>As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31</w:t>
      </w:r>
      <w:r w:rsidR="00D17A94">
        <w:t xml:space="preserve"> </w:t>
      </w:r>
      <w:r w:rsidRPr="008A0A12">
        <w:t>December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OP</w:t>
      </w:r>
      <w:r w:rsidR="00D17A94">
        <w:t xml:space="preserve"> </w:t>
      </w:r>
      <w:r w:rsidRPr="008A0A12">
        <w:t>CEG,</w:t>
      </w:r>
      <w:r w:rsidR="00D17A94">
        <w:t xml:space="preserve"> </w:t>
      </w:r>
      <w:r w:rsidRPr="008A0A12">
        <w:t>1,349</w:t>
      </w:r>
      <w:r w:rsidR="00D17A94">
        <w:t xml:space="preserve"> </w:t>
      </w:r>
      <w:r w:rsidRPr="008A0A12">
        <w:t>jobs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created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planned</w:t>
      </w:r>
      <w:r w:rsidR="00D17A94">
        <w:t xml:space="preserve"> </w:t>
      </w:r>
      <w:r w:rsidRPr="008A0A12">
        <w:t>1,912</w:t>
      </w:r>
      <w:r w:rsidR="00D17A94">
        <w:t xml:space="preserve"> </w:t>
      </w:r>
      <w:r w:rsidRPr="008A0A12">
        <w:t>jobs.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success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71</w:t>
      </w:r>
      <w:r w:rsidR="00A50999">
        <w:t>%</w:t>
      </w:r>
      <w:r w:rsidRPr="008A0A12">
        <w:t>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decrease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number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jobs</w:t>
      </w:r>
      <w:r w:rsidR="00D17A94">
        <w:t xml:space="preserve"> </w:t>
      </w:r>
      <w:r w:rsidRPr="008A0A12">
        <w:t>created</w:t>
      </w:r>
      <w:r w:rsidR="00D17A94">
        <w:t xml:space="preserve"> </w:t>
      </w:r>
      <w:r w:rsidRPr="008A0A12">
        <w:t>compared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previous</w:t>
      </w:r>
      <w:r w:rsidR="00D17A94">
        <w:t xml:space="preserve"> </w:t>
      </w:r>
      <w:r w:rsidRPr="008A0A12">
        <w:t>monitored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caused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extraordinary</w:t>
      </w:r>
      <w:r w:rsidR="00D17A94">
        <w:t xml:space="preserve"> </w:t>
      </w:r>
      <w:r w:rsidRPr="008A0A12">
        <w:t>closure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projects.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total</w:t>
      </w:r>
      <w:r w:rsidR="00D17A94">
        <w:t xml:space="preserve"> </w:t>
      </w:r>
      <w:r w:rsidRPr="008A0A12">
        <w:t>number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7,658</w:t>
      </w:r>
      <w:r w:rsidR="00D17A94">
        <w:t xml:space="preserve"> </w:t>
      </w:r>
      <w:r w:rsidRPr="008A0A12">
        <w:t>newly</w:t>
      </w:r>
      <w:r w:rsidR="00D17A94">
        <w:t xml:space="preserve"> </w:t>
      </w:r>
      <w:r w:rsidRPr="008A0A12">
        <w:t>created</w:t>
      </w:r>
      <w:r w:rsidR="00D17A94">
        <w:t xml:space="preserve"> </w:t>
      </w:r>
      <w:r w:rsidRPr="008A0A12">
        <w:t>jobs,</w:t>
      </w:r>
      <w:r w:rsidR="00D17A94">
        <w:t xml:space="preserve"> </w:t>
      </w:r>
      <w:r w:rsidRPr="008A0A12">
        <w:t>approximately</w:t>
      </w:r>
      <w:r w:rsidR="00D17A94">
        <w:t xml:space="preserve"> </w:t>
      </w:r>
      <w:r w:rsidRPr="008A0A12">
        <w:t>every</w:t>
      </w:r>
      <w:r w:rsidR="00D17A94">
        <w:t xml:space="preserve"> </w:t>
      </w:r>
      <w:r w:rsidRPr="008A0A12">
        <w:t>4th</w:t>
      </w:r>
      <w:r w:rsidR="00D17A94">
        <w:t xml:space="preserve"> </w:t>
      </w:r>
      <w:r w:rsidRPr="008A0A12">
        <w:t>job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occupied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unemployed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person.</w:t>
      </w:r>
    </w:p>
    <w:p w:rsidR="00F33762" w:rsidRPr="008A0A12" w:rsidRDefault="00F33762" w:rsidP="00F33762">
      <w:pPr>
        <w:pStyle w:val="SingleTxtG"/>
      </w:pPr>
      <w:r w:rsidRPr="008A0A12">
        <w:t>15.</w:t>
      </w:r>
      <w:r w:rsidRPr="008A0A12">
        <w:tab/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case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calls</w:t>
      </w:r>
      <w:r w:rsidR="00D17A94">
        <w:t xml:space="preserve"> </w:t>
      </w:r>
      <w:r w:rsidRPr="008A0A12">
        <w:t>executed</w:t>
      </w:r>
      <w:r w:rsidR="00D17A94">
        <w:t xml:space="preserve"> </w:t>
      </w:r>
      <w:r w:rsidRPr="008A0A12">
        <w:t>exclusively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aid,</w:t>
      </w:r>
      <w:r w:rsidR="00D17A94">
        <w:t xml:space="preserve"> </w:t>
      </w:r>
      <w:r w:rsidRPr="008A0A12">
        <w:t>584</w:t>
      </w:r>
      <w:r w:rsidR="00D17A94">
        <w:t xml:space="preserve"> </w:t>
      </w:r>
      <w:r w:rsidRPr="008A0A12">
        <w:t>out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795</w:t>
      </w:r>
      <w:r w:rsidR="00D17A94">
        <w:t xml:space="preserve"> </w:t>
      </w:r>
      <w:r w:rsidRPr="008A0A12">
        <w:t>planned</w:t>
      </w:r>
      <w:r w:rsidR="00D17A94">
        <w:t xml:space="preserve"> </w:t>
      </w:r>
      <w:r w:rsidRPr="008A0A12">
        <w:t>jobs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created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supported</w:t>
      </w:r>
      <w:r w:rsidR="00D17A94">
        <w:t xml:space="preserve"> </w:t>
      </w:r>
      <w:r w:rsidRPr="008A0A12">
        <w:t>projects,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accounts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success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73</w:t>
      </w:r>
      <w:r w:rsidR="00A50999">
        <w:t>%</w:t>
      </w:r>
      <w:r w:rsidRPr="008A0A12">
        <w:t>.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total</w:t>
      </w:r>
      <w:r w:rsidR="00D17A94">
        <w:t xml:space="preserve"> </w:t>
      </w:r>
      <w:r w:rsidRPr="008A0A12">
        <w:t>number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970</w:t>
      </w:r>
      <w:r w:rsidR="00D17A94">
        <w:t xml:space="preserve"> </w:t>
      </w:r>
      <w:r w:rsidRPr="008A0A12">
        <w:t>newly</w:t>
      </w:r>
      <w:r w:rsidR="00D17A94">
        <w:t xml:space="preserve"> </w:t>
      </w:r>
      <w:r w:rsidRPr="008A0A12">
        <w:t>created</w:t>
      </w:r>
      <w:r w:rsidR="00D17A94">
        <w:t xml:space="preserve"> </w:t>
      </w:r>
      <w:r w:rsidRPr="008A0A12">
        <w:t>jobs,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half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jobs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created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unemployed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people.</w:t>
      </w:r>
    </w:p>
    <w:p w:rsidR="00F33762" w:rsidRPr="008A0A12" w:rsidRDefault="00F33762" w:rsidP="00F33762">
      <w:pPr>
        <w:pStyle w:val="SingleTxtG"/>
      </w:pPr>
      <w:r w:rsidRPr="008A0A12">
        <w:t>16.</w:t>
      </w:r>
      <w:r w:rsidRPr="008A0A12">
        <w:tab/>
        <w:t>Job</w:t>
      </w:r>
      <w:r w:rsidR="00D17A94">
        <w:t xml:space="preserve"> </w:t>
      </w:r>
      <w:r w:rsidRPr="008A0A12">
        <w:t>creation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will</w:t>
      </w:r>
      <w:r w:rsidR="00D17A94">
        <w:t xml:space="preserve"> </w:t>
      </w:r>
      <w:r w:rsidRPr="008A0A12">
        <w:t>continue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OP</w:t>
      </w:r>
      <w:r w:rsidR="00D17A94">
        <w:t xml:space="preserve"> </w:t>
      </w:r>
      <w:r w:rsidRPr="008A0A12">
        <w:t>CEG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projects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finished,</w:t>
      </w:r>
      <w:r w:rsidR="00D17A94">
        <w:t xml:space="preserve"> </w:t>
      </w:r>
      <w:r w:rsidRPr="008A0A12">
        <w:t>i.e.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compulsory</w:t>
      </w:r>
      <w:r w:rsidR="00D17A94">
        <w:t xml:space="preserve"> </w:t>
      </w:r>
      <w:r w:rsidRPr="008A0A12">
        <w:t>sustainability.</w:t>
      </w:r>
    </w:p>
    <w:p w:rsidR="00F33762" w:rsidRPr="008A0A12" w:rsidRDefault="00F33762" w:rsidP="00F33762">
      <w:pPr>
        <w:pStyle w:val="SingleTxtG"/>
      </w:pPr>
      <w:r w:rsidRPr="008A0A12">
        <w:t>17.</w:t>
      </w:r>
      <w:r w:rsidRPr="008A0A12">
        <w:tab/>
        <w:t>The</w:t>
      </w:r>
      <w:r w:rsidR="00D17A94">
        <w:t xml:space="preserve"> </w:t>
      </w:r>
      <w:r w:rsidRPr="008A0A12">
        <w:t>ME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approved</w:t>
      </w:r>
      <w:r w:rsidR="00D17A94">
        <w:t xml:space="preserve"> </w:t>
      </w:r>
      <w:r w:rsidRPr="008A0A12">
        <w:t>OP</w:t>
      </w:r>
      <w:r w:rsidR="00D17A94">
        <w:t xml:space="preserve"> </w:t>
      </w:r>
      <w:r w:rsidRPr="008A0A12">
        <w:t>Research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Innovations,</w:t>
      </w:r>
      <w:r w:rsidR="00D17A94">
        <w:t xml:space="preserve"> </w:t>
      </w:r>
      <w:r w:rsidRPr="008A0A12">
        <w:t>supports,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2014-2020</w:t>
      </w:r>
      <w:r w:rsidR="00D17A94">
        <w:t xml:space="preserve"> </w:t>
      </w:r>
      <w:r w:rsidRPr="008A0A12">
        <w:t>programming</w:t>
      </w:r>
      <w:r w:rsidR="00D17A94">
        <w:t xml:space="preserve"> </w:t>
      </w:r>
      <w:r w:rsidRPr="008A0A12">
        <w:t>period,</w:t>
      </w:r>
      <w:r w:rsidR="00D17A94">
        <w:t xml:space="preserve"> </w:t>
      </w:r>
      <w:r w:rsidRPr="008A0A12">
        <w:t>mainly</w:t>
      </w:r>
      <w:r w:rsidR="00D17A94">
        <w:t xml:space="preserve"> </w:t>
      </w:r>
      <w:r w:rsidRPr="008A0A12">
        <w:t>small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medium-sized</w:t>
      </w:r>
      <w:r w:rsidR="00D17A94">
        <w:t xml:space="preserve"> </w:t>
      </w:r>
      <w:r w:rsidRPr="008A0A12">
        <w:t>enterprises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improve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competitiveness.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planned</w:t>
      </w:r>
      <w:r w:rsidR="00D17A94">
        <w:t xml:space="preserve"> </w:t>
      </w:r>
      <w:r w:rsidRPr="008A0A12">
        <w:t>benefit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OP</w:t>
      </w:r>
      <w:r w:rsidR="00D17A94">
        <w:t xml:space="preserve"> </w:t>
      </w:r>
      <w:r w:rsidRPr="008A0A12">
        <w:t>Research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Innovation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</w:t>
      </w:r>
      <w:r w:rsidR="00D17A94">
        <w:t xml:space="preserve"> </w:t>
      </w:r>
      <w:r w:rsidRPr="008A0A12">
        <w:t>2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33520C">
      <w:pPr>
        <w:pStyle w:val="H23G"/>
      </w:pPr>
      <w:r w:rsidRPr="008A0A12">
        <w:tab/>
      </w:r>
      <w:r w:rsidRPr="008A0A12">
        <w:tab/>
        <w:t>Employment</w:t>
      </w:r>
      <w:r w:rsidR="00D17A94">
        <w:t xml:space="preserve"> </w:t>
      </w:r>
      <w:r w:rsidRPr="008A0A12">
        <w:t>policy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</w:p>
    <w:p w:rsidR="00F33762" w:rsidRPr="008A0A12" w:rsidRDefault="00F33762" w:rsidP="00F33762">
      <w:pPr>
        <w:pStyle w:val="SingleTxtG"/>
      </w:pPr>
      <w:r w:rsidRPr="008A0A12">
        <w:t>18.</w:t>
      </w:r>
      <w:r w:rsidRPr="008A0A12">
        <w:tab/>
        <w:t>The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policy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implemented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compliance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Manifesto</w:t>
      </w:r>
      <w:r w:rsidR="00D17A94">
        <w:t xml:space="preserve"> </w:t>
      </w:r>
      <w:r w:rsidRPr="008A0A12">
        <w:t>(2012-2016).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reduction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high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systematic</w:t>
      </w:r>
      <w:r w:rsidR="00D17A94">
        <w:t xml:space="preserve"> </w:t>
      </w:r>
      <w:r w:rsidRPr="008A0A12">
        <w:t>solution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long-term,</w:t>
      </w:r>
      <w:r w:rsidR="00D17A94">
        <w:t xml:space="preserve"> </w:t>
      </w:r>
      <w:r w:rsidRPr="008A0A12">
        <w:t>especially</w:t>
      </w:r>
      <w:r w:rsidR="00D17A94">
        <w:t xml:space="preserve"> </w:t>
      </w:r>
      <w:r w:rsidRPr="008A0A12">
        <w:t>regional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defined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key</w:t>
      </w:r>
      <w:r w:rsidR="00D17A94">
        <w:t xml:space="preserve"> </w:t>
      </w:r>
      <w:r w:rsidRPr="008A0A12">
        <w:t>task.</w:t>
      </w:r>
      <w:r w:rsidR="00D17A94">
        <w:t xml:space="preserve"> </w:t>
      </w:r>
      <w:r w:rsidRPr="008A0A12">
        <w:t>Active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focus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better</w:t>
      </w:r>
      <w:r w:rsidR="00D17A94">
        <w:t xml:space="preserve"> </w:t>
      </w:r>
      <w:r w:rsidRPr="008A0A12">
        <w:t>access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unemployed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jobs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market,</w:t>
      </w:r>
      <w:r w:rsidR="00D17A94">
        <w:t xml:space="preserve"> </w:t>
      </w:r>
      <w:r w:rsidRPr="008A0A12">
        <w:t>paying</w:t>
      </w:r>
      <w:r w:rsidR="00D17A94">
        <w:t xml:space="preserve"> </w:t>
      </w:r>
      <w:r w:rsidRPr="008A0A12">
        <w:t>particular</w:t>
      </w:r>
      <w:r w:rsidR="00D17A94">
        <w:t xml:space="preserve"> </w:t>
      </w:r>
      <w:r w:rsidRPr="008A0A12">
        <w:t>attention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disadvantaged</w:t>
      </w:r>
      <w:r w:rsidR="00D17A94">
        <w:t xml:space="preserve"> </w:t>
      </w:r>
      <w:r w:rsidRPr="008A0A12">
        <w:t>jobseekers.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several</w:t>
      </w:r>
      <w:r w:rsidR="00D17A94">
        <w:t xml:space="preserve"> </w:t>
      </w:r>
      <w:r w:rsidRPr="008A0A12">
        <w:t>types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measures,</w:t>
      </w:r>
      <w:r w:rsidR="00D17A94">
        <w:t xml:space="preserve"> </w:t>
      </w:r>
      <w:r w:rsidRPr="008A0A12">
        <w:t>such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subsidised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programmes</w:t>
      </w:r>
      <w:r w:rsidR="00D17A94">
        <w:t xml:space="preserve"> </w:t>
      </w:r>
      <w:r w:rsidR="00456170">
        <w:t>—</w:t>
      </w:r>
      <w:r w:rsidR="00D17A94">
        <w:t xml:space="preserve"> </w:t>
      </w:r>
      <w:r w:rsidRPr="008A0A12">
        <w:t>providing</w:t>
      </w:r>
      <w:r w:rsidR="00D17A94">
        <w:t xml:space="preserve"> </w:t>
      </w:r>
      <w:r w:rsidRPr="008A0A12">
        <w:t>employers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contributions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promote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unemployed,</w:t>
      </w:r>
      <w:r w:rsidR="00D17A94">
        <w:t xml:space="preserve"> </w:t>
      </w:r>
      <w:r w:rsidRPr="008A0A12">
        <w:t>providing</w:t>
      </w:r>
      <w:r w:rsidR="00D17A94">
        <w:t xml:space="preserve"> </w:t>
      </w:r>
      <w:r w:rsidRPr="008A0A12">
        <w:t>contributions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start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business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create</w:t>
      </w:r>
      <w:r w:rsidR="00D17A94">
        <w:t xml:space="preserve"> </w:t>
      </w:r>
      <w:r w:rsidRPr="008A0A12">
        <w:t>jobs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private</w:t>
      </w:r>
      <w:r w:rsidR="00D17A94">
        <w:t xml:space="preserve"> </w:t>
      </w:r>
      <w:r w:rsidRPr="008A0A12">
        <w:t>sectors.</w:t>
      </w:r>
    </w:p>
    <w:p w:rsidR="00F33762" w:rsidRPr="008A0A12" w:rsidRDefault="00F33762" w:rsidP="00F33762">
      <w:pPr>
        <w:pStyle w:val="SingleTxtG"/>
      </w:pPr>
      <w:r w:rsidRPr="008A0A12">
        <w:t>19.</w:t>
      </w:r>
      <w:r w:rsidRPr="008A0A12">
        <w:tab/>
        <w:t>The</w:t>
      </w:r>
      <w:r w:rsidR="00D17A94">
        <w:t xml:space="preserve"> </w:t>
      </w:r>
      <w:r w:rsidRPr="008A0A12">
        <w:t>amended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Services</w:t>
      </w:r>
      <w:r w:rsidR="00D17A94">
        <w:t xml:space="preserve"> </w:t>
      </w:r>
      <w:r w:rsidRPr="008A0A12">
        <w:t>provides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provision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active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</w:t>
      </w:r>
      <w:r w:rsidR="00D17A94">
        <w:t xml:space="preserve"> </w:t>
      </w:r>
      <w:r w:rsidRPr="008A0A12">
        <w:t>since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May</w:t>
      </w:r>
      <w:r w:rsidR="00D17A94">
        <w:t xml:space="preserve"> </w:t>
      </w:r>
      <w:r w:rsidRPr="008A0A12">
        <w:t>2013.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legal</w:t>
      </w:r>
      <w:r w:rsidR="00D17A94">
        <w:t xml:space="preserve"> </w:t>
      </w:r>
      <w:r w:rsidRPr="008A0A12">
        <w:t>framework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temporary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agencies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modified.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changes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rendering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services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offices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labour,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affairs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family.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January</w:t>
      </w:r>
      <w:r w:rsidR="00D17A94">
        <w:t xml:space="preserve"> </w:t>
      </w:r>
      <w:r w:rsidRPr="008A0A12">
        <w:t>2014,</w:t>
      </w:r>
      <w:r w:rsidR="00D17A94">
        <w:t xml:space="preserve"> </w:t>
      </w:r>
      <w:r w:rsidRPr="008A0A12">
        <w:t>Directive</w:t>
      </w:r>
      <w:r w:rsidR="00D17A94">
        <w:t xml:space="preserve"> </w:t>
      </w:r>
      <w:r w:rsidRPr="008A0A12">
        <w:t>2011/98/EU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transposed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amended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Services.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detailed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legislative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3-10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20.</w:t>
      </w:r>
      <w:r w:rsidRPr="008A0A12">
        <w:tab/>
        <w:t>The</w:t>
      </w:r>
      <w:r w:rsidR="00D17A94">
        <w:t xml:space="preserve"> </w:t>
      </w:r>
      <w:r w:rsidRPr="008A0A12">
        <w:t>fundamental</w:t>
      </w:r>
      <w:r w:rsidR="00D17A94">
        <w:t xml:space="preserve"> </w:t>
      </w:r>
      <w:r w:rsidRPr="008A0A12">
        <w:t>priorities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policy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include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growth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productive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economic</w:t>
      </w:r>
      <w:r w:rsidR="00D17A94">
        <w:t xml:space="preserve"> </w:t>
      </w:r>
      <w:r w:rsidRPr="008A0A12">
        <w:t>growth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restructuring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economy,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will</w:t>
      </w:r>
      <w:r w:rsidR="00D17A94">
        <w:t xml:space="preserve"> </w:t>
      </w:r>
      <w:r w:rsidRPr="008A0A12">
        <w:t>take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account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requirement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creation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job</w:t>
      </w:r>
      <w:r w:rsidR="00D17A94">
        <w:t xml:space="preserve"> </w:t>
      </w:r>
      <w:r w:rsidRPr="008A0A12">
        <w:t>opportunities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gradual</w:t>
      </w:r>
      <w:r w:rsidR="00D17A94">
        <w:t xml:space="preserve"> </w:t>
      </w:r>
      <w:r w:rsidRPr="008A0A12">
        <w:t>increase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productive</w:t>
      </w:r>
      <w:r w:rsidR="00D17A94">
        <w:t xml:space="preserve"> </w:t>
      </w:r>
      <w:r w:rsidRPr="008A0A12">
        <w:t>age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reduction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unemployment.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21.</w:t>
      </w:r>
      <w:r w:rsidRPr="008A0A12">
        <w:tab/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2016-2020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Manifesto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committed</w:t>
      </w:r>
      <w:r w:rsidR="00D17A94">
        <w:t xml:space="preserve"> </w:t>
      </w:r>
      <w:r w:rsidRPr="008A0A12">
        <w:t>itself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policies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reduction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regional</w:t>
      </w:r>
      <w:r w:rsidR="00D17A94">
        <w:t xml:space="preserve"> </w:t>
      </w:r>
      <w:r w:rsidRPr="008A0A12">
        <w:t>differences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creation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jobs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regions.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will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achieving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objectives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regional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programmes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least</w:t>
      </w:r>
      <w:r w:rsidR="00D17A94">
        <w:t xml:space="preserve"> </w:t>
      </w:r>
      <w:r w:rsidRPr="008A0A12">
        <w:t>developed</w:t>
      </w:r>
      <w:r w:rsidR="00D17A94">
        <w:t xml:space="preserve"> </w:t>
      </w:r>
      <w:r w:rsidRPr="008A0A12">
        <w:t>districts,</w:t>
      </w:r>
      <w:r w:rsidR="00D17A94">
        <w:t xml:space="preserve"> </w:t>
      </w:r>
      <w:r w:rsidRPr="008A0A12">
        <w:t>including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economy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combination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grants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financial</w:t>
      </w:r>
      <w:r w:rsidR="00D17A94">
        <w:t xml:space="preserve"> </w:t>
      </w:r>
      <w:r w:rsidRPr="008A0A12">
        <w:t>instruments.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include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improvement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local</w:t>
      </w:r>
      <w:r w:rsidR="00D17A94">
        <w:t xml:space="preserve"> </w:t>
      </w:r>
      <w:r w:rsidRPr="008A0A12">
        <w:t>business</w:t>
      </w:r>
      <w:r w:rsidR="00D17A94">
        <w:t xml:space="preserve"> </w:t>
      </w:r>
      <w:r w:rsidRPr="008A0A12">
        <w:t>environment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stimulating</w:t>
      </w:r>
      <w:r w:rsidR="00D17A94">
        <w:t xml:space="preserve"> </w:t>
      </w:r>
      <w:r w:rsidRPr="008A0A12">
        <w:t>self-employment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force</w:t>
      </w:r>
      <w:r w:rsidR="00D17A94">
        <w:t xml:space="preserve"> </w:t>
      </w:r>
      <w:r w:rsidRPr="008A0A12">
        <w:t>mobility,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improvement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existing</w:t>
      </w:r>
      <w:r w:rsidR="00D17A94">
        <w:t xml:space="preserve"> </w:t>
      </w:r>
      <w:r w:rsidRPr="008A0A12">
        <w:t>jobs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jobs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being</w:t>
      </w:r>
      <w:r w:rsidR="00D17A94">
        <w:t xml:space="preserve"> </w:t>
      </w:r>
      <w:r w:rsidRPr="008A0A12">
        <w:t>created,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particular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women,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older</w:t>
      </w:r>
      <w:r w:rsidR="00D17A94">
        <w:t xml:space="preserve"> </w:t>
      </w:r>
      <w:r w:rsidRPr="008A0A12">
        <w:t>workers.</w:t>
      </w:r>
    </w:p>
    <w:p w:rsidR="00F33762" w:rsidRPr="008A0A12" w:rsidRDefault="00F33762" w:rsidP="00F33762">
      <w:pPr>
        <w:pStyle w:val="SingleTxtG"/>
      </w:pPr>
      <w:r w:rsidRPr="008A0A12">
        <w:t>22.</w:t>
      </w:r>
      <w:r w:rsidRPr="008A0A12">
        <w:tab/>
        <w:t>The</w:t>
      </w:r>
      <w:r w:rsidR="00D17A94">
        <w:t xml:space="preserve"> </w:t>
      </w:r>
      <w:r w:rsidRPr="008A0A12">
        <w:t>SR´s</w:t>
      </w:r>
      <w:r w:rsidR="00D17A94">
        <w:t xml:space="preserve"> </w:t>
      </w:r>
      <w:r w:rsidRPr="008A0A12">
        <w:t>attention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paid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status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Businesswomen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Slovakia</w:t>
      </w:r>
      <w:r w:rsidR="00D17A94">
        <w:t xml:space="preserve"> </w:t>
      </w:r>
      <w:r w:rsidRPr="008A0A12">
        <w:t>project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one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success</w:t>
      </w:r>
      <w:r w:rsidR="00D17A94">
        <w:t xml:space="preserve"> </w:t>
      </w:r>
      <w:r w:rsidRPr="008A0A12">
        <w:t>stories.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project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developed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Slovak</w:t>
      </w:r>
      <w:r w:rsidR="00D17A94">
        <w:t xml:space="preserve"> </w:t>
      </w:r>
      <w:r w:rsidRPr="008A0A12">
        <w:t>Business</w:t>
      </w:r>
      <w:r w:rsidR="00D17A94">
        <w:t xml:space="preserve"> </w:t>
      </w:r>
      <w:r w:rsidRPr="008A0A12">
        <w:t>Agency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1999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objective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recognise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achieve</w:t>
      </w:r>
      <w:r w:rsidR="00D17A94">
        <w:t xml:space="preserve"> </w:t>
      </w:r>
      <w:r w:rsidRPr="008A0A12">
        <w:t>exceptional</w:t>
      </w:r>
      <w:r w:rsidR="00D17A94">
        <w:t xml:space="preserve"> </w:t>
      </w:r>
      <w:r w:rsidRPr="008A0A12">
        <w:t>results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business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can</w:t>
      </w:r>
      <w:r w:rsidR="00D17A94">
        <w:t xml:space="preserve"> </w:t>
      </w:r>
      <w:r w:rsidRPr="008A0A12">
        <w:t>assert</w:t>
      </w:r>
      <w:r w:rsidR="00D17A94">
        <w:t xml:space="preserve"> </w:t>
      </w:r>
      <w:r w:rsidRPr="008A0A12">
        <w:t>themselves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market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well.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project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focuses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promotion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most</w:t>
      </w:r>
      <w:r w:rsidR="00D17A94">
        <w:t xml:space="preserve"> </w:t>
      </w:r>
      <w:r w:rsidRPr="008A0A12">
        <w:t>successful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have</w:t>
      </w:r>
      <w:r w:rsidR="00D17A94">
        <w:t xml:space="preserve"> </w:t>
      </w:r>
      <w:r w:rsidRPr="008A0A12">
        <w:t>managed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reconcile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responsibilities.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lastRenderedPageBreak/>
        <w:t>representation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European</w:t>
      </w:r>
      <w:r w:rsidR="00D17A94">
        <w:t xml:space="preserve"> </w:t>
      </w:r>
      <w:r w:rsidRPr="008A0A12">
        <w:t>platform</w:t>
      </w:r>
      <w:r w:rsidR="00D17A94">
        <w:t xml:space="preserve"> </w:t>
      </w:r>
      <w:r w:rsidRPr="008A0A12">
        <w:t>WES</w:t>
      </w:r>
      <w:r w:rsidR="00D17A94">
        <w:t xml:space="preserve"> </w:t>
      </w:r>
      <w:r w:rsidRPr="008A0A12">
        <w:t>(The</w:t>
      </w:r>
      <w:r w:rsidR="00D17A94">
        <w:t xml:space="preserve"> </w:t>
      </w:r>
      <w:r w:rsidRPr="008A0A12">
        <w:t>European</w:t>
      </w:r>
      <w:r w:rsidR="00D17A94">
        <w:t xml:space="preserve"> </w:t>
      </w:r>
      <w:r w:rsidRPr="008A0A12">
        <w:t>Network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Promote</w:t>
      </w:r>
      <w:r w:rsidR="00D17A94">
        <w:t xml:space="preserve"> </w:t>
      </w:r>
      <w:r w:rsidRPr="008A0A12">
        <w:t>Women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Entrepreneurship)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well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individual</w:t>
      </w:r>
      <w:r w:rsidR="00D17A94">
        <w:t xml:space="preserve"> </w:t>
      </w:r>
      <w:r w:rsidRPr="008A0A12">
        <w:t>recommendations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Women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Voice</w:t>
      </w:r>
      <w:r w:rsidR="00D17A94">
        <w:t xml:space="preserve"> </w:t>
      </w:r>
      <w:r w:rsidRPr="008A0A12">
        <w:t>project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11-12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F33762">
      <w:pPr>
        <w:pStyle w:val="SingleTxtG"/>
      </w:pPr>
      <w:r w:rsidRPr="008A0A12">
        <w:t>23.</w:t>
      </w:r>
      <w:r w:rsidRPr="008A0A12">
        <w:tab/>
        <w:t>The</w:t>
      </w:r>
      <w:r w:rsidR="00D17A94">
        <w:t xml:space="preserve"> </w:t>
      </w:r>
      <w:r w:rsidRPr="008A0A12">
        <w:t>ME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adopted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such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lower</w:t>
      </w:r>
      <w:r w:rsidR="00D17A94">
        <w:t xml:space="preserve"> </w:t>
      </w:r>
      <w:r w:rsidRPr="008A0A12">
        <w:t>fees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first</w:t>
      </w:r>
      <w:r w:rsidR="00D17A94">
        <w:t xml:space="preserve"> </w:t>
      </w:r>
      <w:r w:rsidRPr="008A0A12">
        <w:t>registration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commercial</w:t>
      </w:r>
      <w:r w:rsidR="00D17A94">
        <w:t xml:space="preserve"> </w:t>
      </w:r>
      <w:r w:rsidRPr="008A0A12">
        <w:t>register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approximately</w:t>
      </w:r>
      <w:r w:rsidR="00D17A94">
        <w:t xml:space="preserve"> </w:t>
      </w:r>
      <w:r w:rsidRPr="008A0A12">
        <w:t>10%,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resulted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lower</w:t>
      </w:r>
      <w:r w:rsidR="00D17A94">
        <w:t xml:space="preserve"> </w:t>
      </w:r>
      <w:r w:rsidRPr="008A0A12">
        <w:t>administrative</w:t>
      </w:r>
      <w:r w:rsidR="00D17A94">
        <w:t xml:space="preserve"> </w:t>
      </w:r>
      <w:r w:rsidRPr="008A0A12">
        <w:t>costs</w:t>
      </w:r>
      <w:r w:rsidR="00D17A94">
        <w:t xml:space="preserve"> </w:t>
      </w:r>
      <w:r w:rsidRPr="008A0A12">
        <w:t>associated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starting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business.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same</w:t>
      </w:r>
      <w:r w:rsidR="00D17A94">
        <w:t xml:space="preserve"> </w:t>
      </w:r>
      <w:r w:rsidRPr="008A0A12">
        <w:t>period,</w:t>
      </w:r>
      <w:r w:rsidR="00D17A94">
        <w:t xml:space="preserve"> </w:t>
      </w:r>
      <w:r w:rsidRPr="008A0A12">
        <w:t>thanks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adoption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new</w:t>
      </w:r>
      <w:r w:rsidR="00D17A94">
        <w:t xml:space="preserve"> </w:t>
      </w:r>
      <w:r w:rsidRPr="008A0A12">
        <w:t>comprehensive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maintaining</w:t>
      </w:r>
      <w:r w:rsidR="00D17A94">
        <w:t xml:space="preserve"> </w:t>
      </w:r>
      <w:r w:rsidRPr="008A0A12">
        <w:t>equity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revised</w:t>
      </w:r>
      <w:r w:rsidR="00D17A94">
        <w:t xml:space="preserve"> </w:t>
      </w:r>
      <w:r w:rsidRPr="008A0A12">
        <w:t>responsibility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statutory</w:t>
      </w:r>
      <w:r w:rsidR="00D17A94">
        <w:t xml:space="preserve"> </w:t>
      </w:r>
      <w:r w:rsidRPr="008A0A12">
        <w:t>bodies,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obligation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deposit</w:t>
      </w:r>
      <w:r w:rsidR="00D17A94">
        <w:t xml:space="preserve"> </w:t>
      </w:r>
      <w:r w:rsidRPr="008A0A12">
        <w:t>equity</w:t>
      </w:r>
      <w:r w:rsidR="00D17A94">
        <w:t xml:space="preserve"> </w:t>
      </w:r>
      <w:r w:rsidRPr="008A0A12">
        <w:t>monetary</w:t>
      </w:r>
      <w:r w:rsidR="00D17A94">
        <w:t xml:space="preserve"> </w:t>
      </w:r>
      <w:r w:rsidRPr="008A0A12">
        <w:t>deposits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preliminary</w:t>
      </w:r>
      <w:r w:rsidR="00D17A94">
        <w:t xml:space="preserve"> </w:t>
      </w:r>
      <w:r w:rsidRPr="008A0A12">
        <w:t>business</w:t>
      </w:r>
      <w:r w:rsidR="00D17A94">
        <w:t xml:space="preserve"> </w:t>
      </w:r>
      <w:r w:rsidRPr="008A0A12">
        <w:t>account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abolished.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far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perspective</w:t>
      </w:r>
      <w:r w:rsidR="00D17A94">
        <w:t xml:space="preserve"> </w:t>
      </w:r>
      <w:r w:rsidRPr="008A0A12">
        <w:t>entrepreneurs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concerned,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currently</w:t>
      </w:r>
      <w:r w:rsidR="00D17A94">
        <w:t xml:space="preserve"> </w:t>
      </w:r>
      <w:r w:rsidRPr="008A0A12">
        <w:t>assessing</w:t>
      </w:r>
      <w:r w:rsidR="00D17A94">
        <w:t xml:space="preserve"> </w:t>
      </w:r>
      <w:r w:rsidRPr="008A0A12">
        <w:t>possibilities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participation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small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medium-sized</w:t>
      </w:r>
      <w:r w:rsidR="00D17A94">
        <w:t xml:space="preserve"> </w:t>
      </w:r>
      <w:r w:rsidRPr="008A0A12">
        <w:t>enterprises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specifically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start-ups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innovations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procurement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level,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priorities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EU</w:t>
      </w:r>
      <w:r w:rsidR="00D17A94">
        <w:t xml:space="preserve"> </w:t>
      </w:r>
      <w:r w:rsidRPr="008A0A12">
        <w:t>level.</w:t>
      </w:r>
    </w:p>
    <w:p w:rsidR="00F33762" w:rsidRPr="008A0A12" w:rsidRDefault="00F33762" w:rsidP="00F33762">
      <w:pPr>
        <w:pStyle w:val="SingleTxtG"/>
      </w:pPr>
      <w:r w:rsidRPr="008A0A12">
        <w:t>24.</w:t>
      </w:r>
      <w:r w:rsidRPr="008A0A12">
        <w:tab/>
        <w:t>The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Strategy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up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2020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adopted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17</w:t>
      </w:r>
      <w:r w:rsidR="00D17A94">
        <w:t xml:space="preserve"> </w:t>
      </w:r>
      <w:r w:rsidRPr="008A0A12">
        <w:t>December</w:t>
      </w:r>
      <w:r w:rsidR="00D17A94">
        <w:t xml:space="preserve"> </w:t>
      </w:r>
      <w:r w:rsidRPr="008A0A12">
        <w:t>2014.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partners,</w:t>
      </w:r>
      <w:r w:rsidR="00D17A94">
        <w:t xml:space="preserve"> </w:t>
      </w:r>
      <w:r w:rsidRPr="008A0A12">
        <w:t>self-governments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professional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took</w:t>
      </w:r>
      <w:r w:rsidR="00D17A94">
        <w:t xml:space="preserve"> </w:t>
      </w:r>
      <w:r w:rsidRPr="008A0A12">
        <w:t>part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cross-sectoral</w:t>
      </w:r>
      <w:r w:rsidR="00D17A94">
        <w:t xml:space="preserve"> </w:t>
      </w:r>
      <w:r w:rsidRPr="008A0A12">
        <w:t>document.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strategy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identification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changes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must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made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cross-sectoral</w:t>
      </w:r>
      <w:r w:rsidR="00D17A94">
        <w:t xml:space="preserve"> </w:t>
      </w:r>
      <w:r w:rsidRPr="008A0A12">
        <w:t>cooperation,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particular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functioning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economy.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objective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strategy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achieve</w:t>
      </w:r>
      <w:r w:rsidR="00D17A94">
        <w:t xml:space="preserve"> </w:t>
      </w:r>
      <w:r w:rsidRPr="008A0A12">
        <w:t>72</w:t>
      </w:r>
      <w:r w:rsidR="00A50999">
        <w:t>%</w:t>
      </w:r>
      <w:r w:rsidR="00D17A94">
        <w:t xml:space="preserve"> </w:t>
      </w:r>
      <w:r w:rsidRPr="008A0A12">
        <w:t>employment,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improve</w:t>
      </w:r>
      <w:r w:rsidR="00D17A94">
        <w:t xml:space="preserve"> </w:t>
      </w:r>
      <w:r w:rsidRPr="008A0A12">
        <w:t>living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employees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use</w:t>
      </w:r>
      <w:r w:rsidR="00D17A94">
        <w:t xml:space="preserve"> </w:t>
      </w:r>
      <w:r w:rsidRPr="008A0A12">
        <w:t>financial</w:t>
      </w:r>
      <w:r w:rsidR="00D17A94">
        <w:t xml:space="preserve"> </w:t>
      </w:r>
      <w:r w:rsidRPr="008A0A12">
        <w:t>resources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effectively.</w:t>
      </w:r>
      <w:r w:rsidR="00D17A94">
        <w:t xml:space="preserve"> </w:t>
      </w:r>
      <w:r w:rsidRPr="008A0A12">
        <w:t>Strategic</w:t>
      </w:r>
      <w:r w:rsidR="00D17A94">
        <w:t xml:space="preserve"> </w:t>
      </w:r>
      <w:r w:rsidRPr="008A0A12">
        <w:t>intentions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implemented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key</w:t>
      </w:r>
      <w:r w:rsidR="00D17A94">
        <w:t xml:space="preserve"> </w:t>
      </w:r>
      <w:r w:rsidRPr="008A0A12">
        <w:t>areas: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job</w:t>
      </w:r>
      <w:r w:rsidR="00D17A94">
        <w:t xml:space="preserve"> </w:t>
      </w:r>
      <w:r w:rsidRPr="008A0A12">
        <w:t>creation;</w:t>
      </w:r>
      <w:r w:rsidR="00D17A94">
        <w:t xml:space="preserve"> </w:t>
      </w:r>
      <w:r w:rsidRPr="008A0A12">
        <w:t>innovations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instrument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employment;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economy;</w:t>
      </w:r>
      <w:r w:rsidR="00D17A94">
        <w:t xml:space="preserve"> </w:t>
      </w:r>
      <w:r w:rsidRPr="008A0A12">
        <w:t>innovative</w:t>
      </w:r>
      <w:r w:rsidR="00D17A94">
        <w:t xml:space="preserve"> </w:t>
      </w:r>
      <w:r w:rsidRPr="008A0A12">
        <w:t>instrument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regional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local</w:t>
      </w:r>
      <w:r w:rsidR="00D17A94">
        <w:t xml:space="preserve"> </w:t>
      </w:r>
      <w:r w:rsidRPr="008A0A12">
        <w:t>employment;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flexibility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relationships,</w:t>
      </w:r>
      <w:r w:rsidR="00D17A94">
        <w:t xml:space="preserve"> </w:t>
      </w:r>
      <w:r w:rsidRPr="008A0A12">
        <w:t>working</w:t>
      </w:r>
      <w:r w:rsidR="00D17A94">
        <w:t xml:space="preserve"> </w:t>
      </w:r>
      <w:r w:rsidRPr="008A0A12">
        <w:t>conditions,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culture;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effective</w:t>
      </w:r>
      <w:r w:rsidR="00D17A94">
        <w:t xml:space="preserve"> </w:t>
      </w:r>
      <w:r w:rsidRPr="008A0A12">
        <w:t>solution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unemployment;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networking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services.</w:t>
      </w:r>
    </w:p>
    <w:p w:rsidR="00F33762" w:rsidRPr="008A0A12" w:rsidRDefault="00F33762" w:rsidP="00F33762">
      <w:pPr>
        <w:pStyle w:val="SingleTxtG"/>
      </w:pPr>
      <w:r w:rsidRPr="008A0A12">
        <w:t>25.</w:t>
      </w:r>
      <w:r w:rsidRPr="008A0A12">
        <w:tab/>
        <w:t>OP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Resources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programming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2014-2020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Programme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Reforms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defines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strengthening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economic</w:t>
      </w:r>
      <w:r w:rsidR="00D17A94">
        <w:t xml:space="preserve"> </w:t>
      </w:r>
      <w:r w:rsidRPr="008A0A12">
        <w:t>growth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employment.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priority</w:t>
      </w:r>
      <w:r w:rsidR="00D17A94">
        <w:t xml:space="preserve"> </w:t>
      </w:r>
      <w:r w:rsidRPr="008A0A12">
        <w:t>axis</w:t>
      </w:r>
      <w:r w:rsidR="00D17A94">
        <w:t xml:space="preserve"> </w:t>
      </w:r>
      <w:r w:rsidRPr="008A0A12">
        <w:t>Youth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Initiative,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set</w:t>
      </w:r>
      <w:r w:rsidR="00D17A94">
        <w:t xml:space="preserve"> </w:t>
      </w:r>
      <w:r w:rsidRPr="008A0A12">
        <w:t>objective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increase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participation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market.</w:t>
      </w:r>
      <w:r w:rsidR="00D17A94">
        <w:t xml:space="preserve"> </w:t>
      </w:r>
      <w:r w:rsidRPr="008A0A12">
        <w:t>Key</w:t>
      </w:r>
      <w:r w:rsidR="00D17A94">
        <w:t xml:space="preserve"> </w:t>
      </w:r>
      <w:r w:rsidRPr="008A0A12">
        <w:t>activities</w:t>
      </w:r>
      <w:r w:rsidR="00D17A94">
        <w:t xml:space="preserve"> </w:t>
      </w:r>
      <w:r w:rsidRPr="008A0A12">
        <w:t>should</w:t>
      </w:r>
      <w:r w:rsidR="00D17A94">
        <w:t xml:space="preserve"> </w:t>
      </w:r>
      <w:r w:rsidRPr="008A0A12">
        <w:t>ensure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people,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employed,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continuing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process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vocational</w:t>
      </w:r>
      <w:r w:rsidR="00D17A94">
        <w:t xml:space="preserve"> </w:t>
      </w:r>
      <w:r w:rsidRPr="008A0A12">
        <w:t>training</w:t>
      </w:r>
      <w:r w:rsidR="00D17A94">
        <w:t xml:space="preserve"> </w:t>
      </w:r>
      <w:r w:rsidRPr="008A0A12">
        <w:t>younger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29</w:t>
      </w:r>
      <w:r w:rsidR="00D17A94">
        <w:t xml:space="preserve"> </w:t>
      </w:r>
      <w:r w:rsidRPr="008A0A12">
        <w:t>years,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given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quality</w:t>
      </w:r>
      <w:r w:rsidR="00D17A94">
        <w:t xml:space="preserve"> </w:t>
      </w:r>
      <w:r w:rsidRPr="008A0A12">
        <w:t>offer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employment,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training,</w:t>
      </w:r>
      <w:r w:rsidR="00D17A94">
        <w:t xml:space="preserve"> </w:t>
      </w:r>
      <w:r w:rsidRPr="008A0A12">
        <w:t>vocational</w:t>
      </w:r>
      <w:r w:rsidR="00D17A94">
        <w:t xml:space="preserve"> </w:t>
      </w:r>
      <w:r w:rsidRPr="008A0A12">
        <w:t>training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preparation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internship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four</w:t>
      </w:r>
      <w:r w:rsidR="00D17A94">
        <w:t xml:space="preserve"> </w:t>
      </w:r>
      <w:r w:rsidRPr="008A0A12">
        <w:t>months</w:t>
      </w:r>
      <w:r w:rsidR="00D17A94">
        <w:t xml:space="preserve"> </w:t>
      </w:r>
      <w:r w:rsidRPr="008A0A12">
        <w:t>after</w:t>
      </w:r>
      <w:r w:rsidR="00D17A94">
        <w:t xml:space="preserve"> </w:t>
      </w:r>
      <w:r w:rsidRPr="008A0A12">
        <w:t>they</w:t>
      </w:r>
      <w:r w:rsidR="00D17A94">
        <w:t xml:space="preserve"> </w:t>
      </w:r>
      <w:r w:rsidRPr="008A0A12">
        <w:t>lost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jobs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completion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formal</w:t>
      </w:r>
      <w:r w:rsidR="00D17A94">
        <w:t xml:space="preserve"> </w:t>
      </w:r>
      <w:r w:rsidRPr="008A0A12">
        <w:t>education.</w:t>
      </w:r>
      <w:r w:rsidR="00D17A94">
        <w:t xml:space="preserve"> </w:t>
      </w:r>
      <w:r w:rsidRPr="008A0A12">
        <w:t>During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monitored</w:t>
      </w:r>
      <w:r w:rsidR="00D17A94">
        <w:t xml:space="preserve"> </w:t>
      </w:r>
      <w:r w:rsidRPr="008A0A12">
        <w:t>period,</w:t>
      </w:r>
      <w:r w:rsidR="00D17A94">
        <w:t xml:space="preserve"> </w:t>
      </w:r>
      <w:r w:rsidRPr="008A0A12">
        <w:t>annual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Programmes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Reforms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prepared,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contain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increasing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force</w:t>
      </w:r>
      <w:r w:rsidR="00D17A94">
        <w:t xml:space="preserve"> </w:t>
      </w:r>
      <w:r w:rsidRPr="008A0A12">
        <w:t>mobility.</w:t>
      </w:r>
    </w:p>
    <w:p w:rsidR="00F33762" w:rsidRPr="008A0A12" w:rsidRDefault="00F33762" w:rsidP="00F33762">
      <w:pPr>
        <w:pStyle w:val="SingleTxtG"/>
      </w:pPr>
      <w:r w:rsidRPr="008A0A12">
        <w:t>26.</w:t>
      </w:r>
      <w:r w:rsidRPr="008A0A12">
        <w:tab/>
        <w:t>The</w:t>
      </w:r>
      <w:r w:rsidR="00D17A94">
        <w:t xml:space="preserve"> </w:t>
      </w:r>
      <w:r w:rsidRPr="008A0A12">
        <w:t>issue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employability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older</w:t>
      </w:r>
      <w:r w:rsidR="00D17A94">
        <w:t xml:space="preserve"> </w:t>
      </w:r>
      <w:r w:rsidRPr="008A0A12">
        <w:t>workers,</w:t>
      </w:r>
      <w:r w:rsidR="00D17A94">
        <w:t xml:space="preserve"> </w:t>
      </w:r>
      <w:r w:rsidRPr="008A0A12">
        <w:t>including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active</w:t>
      </w:r>
      <w:r w:rsidR="00D17A94">
        <w:t xml:space="preserve"> </w:t>
      </w:r>
      <w:r w:rsidRPr="008A0A12">
        <w:t>ageing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older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50</w:t>
      </w:r>
      <w:r w:rsidR="00D17A94">
        <w:t xml:space="preserve"> </w:t>
      </w:r>
      <w:r w:rsidRPr="008A0A12">
        <w:t>years,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2014-2020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Programme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Active</w:t>
      </w:r>
      <w:r w:rsidR="00D17A94">
        <w:t xml:space="preserve"> </w:t>
      </w:r>
      <w:r w:rsidRPr="008A0A12">
        <w:t>Ageing</w:t>
      </w:r>
      <w:r w:rsidR="00D17A94">
        <w:t xml:space="preserve"> </w:t>
      </w:r>
      <w:r w:rsidRPr="008A0A12">
        <w:t>approved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Dec.</w:t>
      </w:r>
      <w:r w:rsidR="00D17A94">
        <w:t xml:space="preserve"> </w:t>
      </w:r>
      <w:r w:rsidRPr="008A0A12">
        <w:t>2013.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27.</w:t>
      </w:r>
      <w:r w:rsidRPr="008A0A12">
        <w:tab/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actively</w:t>
      </w:r>
      <w:r w:rsidR="00D17A94">
        <w:t xml:space="preserve"> </w:t>
      </w:r>
      <w:r w:rsidRPr="008A0A12">
        <w:t>reacted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calls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EC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access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create</w:t>
      </w:r>
      <w:r w:rsidR="00D17A94">
        <w:t xml:space="preserve"> </w:t>
      </w:r>
      <w:r w:rsidRPr="008A0A12">
        <w:t>jobs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2012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adopted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facilitate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access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market.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separately</w:t>
      </w:r>
      <w:r w:rsidR="00D17A94">
        <w:t xml:space="preserve"> </w:t>
      </w:r>
      <w:r w:rsidRPr="008A0A12">
        <w:t>adopted</w:t>
      </w:r>
      <w:r w:rsidR="00D17A94">
        <w:t xml:space="preserve"> </w:t>
      </w:r>
      <w:r w:rsidRPr="008A0A12">
        <w:t>incentives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small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medium-sized</w:t>
      </w:r>
      <w:r w:rsidR="00D17A94">
        <w:t xml:space="preserve"> </w:t>
      </w:r>
      <w:r w:rsidRPr="008A0A12">
        <w:t>enterprises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hire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employed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first</w:t>
      </w:r>
      <w:r w:rsidR="00D17A94">
        <w:t xml:space="preserve"> </w:t>
      </w:r>
      <w:r w:rsidRPr="008A0A12">
        <w:t>time.</w:t>
      </w:r>
      <w:r w:rsidR="00D17A94">
        <w:t xml:space="preserve"> </w:t>
      </w:r>
      <w:r w:rsidRPr="008A0A12">
        <w:t>Since</w:t>
      </w:r>
      <w:r w:rsidR="00D17A94">
        <w:t xml:space="preserve"> </w:t>
      </w:r>
      <w:r w:rsidRPr="008A0A12">
        <w:t>2014,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adopted</w:t>
      </w:r>
      <w:r w:rsidR="00D17A94">
        <w:t xml:space="preserve"> </w:t>
      </w:r>
      <w:r w:rsidRPr="008A0A12">
        <w:t>new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(reforms,</w:t>
      </w:r>
      <w:r w:rsidR="00D17A94">
        <w:t xml:space="preserve"> </w:t>
      </w:r>
      <w:r w:rsidRPr="008A0A12">
        <w:t>projects)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Youth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Initiative.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applies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first</w:t>
      </w:r>
      <w:r w:rsidR="00D17A94">
        <w:t xml:space="preserve"> </w:t>
      </w:r>
      <w:r w:rsidRPr="008A0A12">
        <w:t>regularly</w:t>
      </w:r>
      <w:r w:rsidR="00D17A94">
        <w:t xml:space="preserve"> </w:t>
      </w:r>
      <w:r w:rsidRPr="008A0A12">
        <w:t>paid</w:t>
      </w:r>
      <w:r w:rsidR="00D17A94">
        <w:t xml:space="preserve"> </w:t>
      </w:r>
      <w:r w:rsidRPr="008A0A12">
        <w:t>job,</w:t>
      </w:r>
      <w:r w:rsidR="00D17A94">
        <w:t xml:space="preserve"> </w:t>
      </w:r>
      <w:r w:rsidRPr="008A0A12">
        <w:t>mentored</w:t>
      </w:r>
      <w:r w:rsidR="00D17A94">
        <w:t xml:space="preserve"> </w:t>
      </w:r>
      <w:r w:rsidRPr="008A0A12">
        <w:t>employment,</w:t>
      </w:r>
      <w:r w:rsidR="00D17A94">
        <w:t xml:space="preserve"> </w:t>
      </w:r>
      <w:r w:rsidRPr="008A0A12">
        <w:t>self-employment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graduate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experience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possibility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subsequent</w:t>
      </w:r>
      <w:r w:rsidR="00D17A94">
        <w:t xml:space="preserve"> </w:t>
      </w:r>
      <w:r w:rsidRPr="008A0A12">
        <w:t>employment.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include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intended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individualised</w:t>
      </w:r>
      <w:r w:rsidR="00D17A94">
        <w:t xml:space="preserve"> </w:t>
      </w:r>
      <w:r w:rsidRPr="008A0A12">
        <w:t>guidance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emphasis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disadvantaged</w:t>
      </w:r>
      <w:r w:rsidR="00D17A94">
        <w:t xml:space="preserve"> </w:t>
      </w:r>
      <w:r w:rsidRPr="008A0A12">
        <w:t>groups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people.</w:t>
      </w:r>
    </w:p>
    <w:p w:rsidR="00F33762" w:rsidRPr="008A0A12" w:rsidRDefault="00F33762" w:rsidP="00F33762">
      <w:pPr>
        <w:pStyle w:val="SingleTxtG"/>
      </w:pPr>
      <w:r w:rsidRPr="008A0A12">
        <w:t>28.</w:t>
      </w:r>
      <w:r w:rsidRPr="008A0A12">
        <w:tab/>
        <w:t>Since</w:t>
      </w:r>
      <w:r w:rsidR="00D17A94">
        <w:t xml:space="preserve"> </w:t>
      </w:r>
      <w:r w:rsidRPr="008A0A12">
        <w:t>2014,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system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guarantees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ensured,</w:t>
      </w:r>
      <w:r w:rsidR="00D17A94">
        <w:t xml:space="preserve"> </w:t>
      </w:r>
      <w:r w:rsidRPr="008A0A12">
        <w:t>investments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continue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European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Fund,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initiatives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harmonise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needs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facilitate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transition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have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developed</w:t>
      </w:r>
      <w:r w:rsidR="00D17A94">
        <w:t xml:space="preserve"> </w:t>
      </w:r>
      <w:r w:rsidRPr="008A0A12">
        <w:t>(OP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Resources).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29.</w:t>
      </w:r>
      <w:r w:rsidRPr="008A0A12">
        <w:tab/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emphasis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group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graduates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older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26,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graduate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experience</w:t>
      </w:r>
      <w:r w:rsidR="00D17A94">
        <w:t xml:space="preserve"> </w:t>
      </w:r>
      <w:r w:rsidRPr="008A0A12">
        <w:t>contribution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applied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active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AMLM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Services</w:t>
      </w:r>
      <w:r w:rsidR="00D17A94">
        <w:t xml:space="preserve"> </w:t>
      </w:r>
      <w:r w:rsidRPr="008A0A12">
        <w:t>(§</w:t>
      </w:r>
      <w:r w:rsidR="00D17A94">
        <w:t xml:space="preserve"> </w:t>
      </w:r>
      <w:r w:rsidRPr="008A0A12">
        <w:t>51).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scope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applied</w:t>
      </w:r>
      <w:r w:rsidR="00D17A94">
        <w:t xml:space="preserve"> </w:t>
      </w:r>
      <w:r w:rsidRPr="008A0A12">
        <w:t>AMLM,</w:t>
      </w:r>
      <w:r w:rsidR="00D17A94">
        <w:t xml:space="preserve"> </w:t>
      </w:r>
      <w:r w:rsidRPr="008A0A12">
        <w:t>separate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projects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inclusion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lastRenderedPageBreak/>
        <w:t>unemployed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implemented,</w:t>
      </w:r>
      <w:r w:rsidR="00D17A94">
        <w:t xml:space="preserve"> </w:t>
      </w:r>
      <w:r w:rsidRPr="008A0A12">
        <w:t>i.e.</w:t>
      </w:r>
      <w:r w:rsidR="00D17A94">
        <w:t xml:space="preserve"> </w:t>
      </w:r>
      <w:r w:rsidR="00413AEE">
        <w:t>“</w:t>
      </w:r>
      <w:r w:rsidRPr="008A0A12">
        <w:t>Successful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</w:t>
      </w:r>
      <w:r w:rsidR="00413AEE">
        <w:t>”</w:t>
      </w:r>
      <w:r w:rsidRPr="008A0A12">
        <w:t>,</w:t>
      </w:r>
      <w:r w:rsidR="00D17A94">
        <w:t xml:space="preserve"> </w:t>
      </w:r>
      <w:r w:rsidR="00413AEE">
        <w:t>“</w:t>
      </w:r>
      <w:r w:rsidRPr="008A0A12">
        <w:t>Graduate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Experience</w:t>
      </w:r>
      <w:r w:rsidR="00D17A94">
        <w:t xml:space="preserve"> </w:t>
      </w:r>
      <w:r w:rsidRPr="008A0A12">
        <w:t>Starts</w:t>
      </w:r>
      <w:r w:rsidR="00D17A94">
        <w:t xml:space="preserve"> </w:t>
      </w:r>
      <w:r w:rsidRPr="008A0A12">
        <w:t>Employment</w:t>
      </w:r>
      <w:r w:rsidR="00413AEE">
        <w:t>”</w:t>
      </w:r>
      <w:r w:rsidR="00D17A94">
        <w:t xml:space="preserve"> </w:t>
      </w:r>
      <w:r w:rsidRPr="008A0A12">
        <w:t>and</w:t>
      </w:r>
      <w:r w:rsidR="00D17A94">
        <w:t xml:space="preserve"> </w:t>
      </w:r>
      <w:r w:rsidR="00413AEE">
        <w:t>“</w:t>
      </w:r>
      <w:r w:rsidRPr="008A0A12">
        <w:t>Work</w:t>
      </w:r>
      <w:r w:rsidR="00D17A94">
        <w:t xml:space="preserve"> </w:t>
      </w:r>
      <w:r w:rsidRPr="008A0A12">
        <w:t>Experience</w:t>
      </w:r>
      <w:r w:rsidR="00D17A94">
        <w:t xml:space="preserve"> </w:t>
      </w:r>
      <w:r w:rsidRPr="008A0A12">
        <w:t>Leading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Employment</w:t>
      </w:r>
      <w:r w:rsidR="00413AEE">
        <w:t>”</w:t>
      </w:r>
      <w:r w:rsidRPr="008A0A12">
        <w:t>.</w:t>
      </w:r>
    </w:p>
    <w:p w:rsidR="00F33762" w:rsidRPr="008A0A12" w:rsidRDefault="00F33762" w:rsidP="00F33762">
      <w:pPr>
        <w:pStyle w:val="SingleTxtG"/>
      </w:pPr>
      <w:r w:rsidRPr="008A0A12">
        <w:t>30.</w:t>
      </w:r>
      <w:r w:rsidRPr="008A0A12">
        <w:tab/>
        <w:t>Measures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solving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giving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second</w:t>
      </w:r>
      <w:r w:rsidR="00D17A94">
        <w:t xml:space="preserve"> </w:t>
      </w:r>
      <w:r w:rsidRPr="008A0A12">
        <w:t>chance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education,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pilot</w:t>
      </w:r>
      <w:r w:rsidR="00D17A94">
        <w:t xml:space="preserve"> </w:t>
      </w:r>
      <w:r w:rsidRPr="008A0A12">
        <w:t>projects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unemployed,</w:t>
      </w:r>
      <w:r w:rsidR="00D17A94">
        <w:t xml:space="preserve"> </w:t>
      </w:r>
      <w:r w:rsidRPr="008A0A12">
        <w:t>multi-professional</w:t>
      </w:r>
      <w:r w:rsidR="00D17A94">
        <w:t xml:space="preserve"> </w:t>
      </w:r>
      <w:r w:rsidRPr="008A0A12">
        <w:t>intensive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unemployed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performance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activities</w:t>
      </w:r>
      <w:r w:rsidR="00D17A94">
        <w:t xml:space="preserve"> </w:t>
      </w:r>
      <w:r w:rsidRPr="008A0A12">
        <w:t>financed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OP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Inclusion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programming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2007</w:t>
      </w:r>
      <w:r w:rsidR="00456170">
        <w:t>-</w:t>
      </w:r>
      <w:r w:rsidRPr="008A0A12">
        <w:t>2013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then</w:t>
      </w:r>
      <w:r w:rsidR="00D17A94">
        <w:t xml:space="preserve"> </w:t>
      </w:r>
      <w:r w:rsidRPr="008A0A12">
        <w:t>OP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Resources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programming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2014-2020.</w:t>
      </w:r>
    </w:p>
    <w:p w:rsidR="00F33762" w:rsidRPr="008A0A12" w:rsidRDefault="00F33762" w:rsidP="00F33762">
      <w:pPr>
        <w:pStyle w:val="SingleTxtG"/>
      </w:pPr>
      <w:r w:rsidRPr="008A0A12">
        <w:t>31.</w:t>
      </w:r>
      <w:r w:rsidRPr="008A0A12">
        <w:tab/>
        <w:t>During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assessment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inclusion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unemployed</w:t>
      </w:r>
      <w:r w:rsidR="00D17A94">
        <w:t xml:space="preserve"> </w:t>
      </w:r>
      <w:r w:rsidRPr="008A0A12">
        <w:t>jobseekers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AMLM,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following</w:t>
      </w:r>
      <w:r w:rsidR="00D17A94">
        <w:t xml:space="preserve"> </w:t>
      </w:r>
      <w:r w:rsidRPr="008A0A12">
        <w:t>contributions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used: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contribution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disadvantaged</w:t>
      </w:r>
      <w:r w:rsidR="00D17A94">
        <w:t xml:space="preserve"> </w:t>
      </w:r>
      <w:r w:rsidRPr="008A0A12">
        <w:t>jobseeker;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contribution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local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regional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contribution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active</w:t>
      </w:r>
      <w:r w:rsidR="00D17A94">
        <w:t xml:space="preserve"> </w:t>
      </w:r>
      <w:r w:rsidRPr="008A0A12">
        <w:t>activity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smaller</w:t>
      </w:r>
      <w:r w:rsidR="00D17A94">
        <w:t xml:space="preserve"> </w:t>
      </w:r>
      <w:r w:rsidRPr="008A0A12">
        <w:t>communal</w:t>
      </w:r>
      <w:r w:rsidR="00D17A94">
        <w:t xml:space="preserve"> </w:t>
      </w:r>
      <w:r w:rsidRPr="008A0A12">
        <w:t>services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communities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smaller</w:t>
      </w:r>
      <w:r w:rsidR="00D17A94">
        <w:t xml:space="preserve"> </w:t>
      </w:r>
      <w:r w:rsidRPr="008A0A12">
        <w:t>services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self-governing</w:t>
      </w:r>
      <w:r w:rsidR="00D17A94">
        <w:t xml:space="preserve"> </w:t>
      </w:r>
      <w:r w:rsidRPr="008A0A12">
        <w:t>region.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addition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measures,</w:t>
      </w:r>
      <w:r w:rsidR="00D17A94">
        <w:t xml:space="preserve"> </w:t>
      </w:r>
      <w:r w:rsidRPr="008A0A12">
        <w:t>separate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projects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inclusion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unemployed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implemented,</w:t>
      </w:r>
      <w:r w:rsidR="00D17A94">
        <w:t xml:space="preserve"> </w:t>
      </w:r>
      <w:r w:rsidRPr="008A0A12">
        <w:t>namely:</w:t>
      </w:r>
      <w:r w:rsidR="00D17A94">
        <w:t xml:space="preserve"> </w:t>
      </w:r>
      <w:r w:rsidR="00413AEE">
        <w:t>“</w:t>
      </w:r>
      <w:r w:rsidRPr="008A0A12">
        <w:t>Chance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Work</w:t>
      </w:r>
      <w:r w:rsidR="00413AEE">
        <w:t>”</w:t>
      </w:r>
      <w:r w:rsidRPr="008A0A12">
        <w:t>,</w:t>
      </w:r>
      <w:r w:rsidR="00D17A94">
        <w:t xml:space="preserve"> </w:t>
      </w:r>
      <w:r w:rsidR="00413AEE">
        <w:t>“</w:t>
      </w:r>
      <w:r w:rsidRPr="008A0A12">
        <w:t>We</w:t>
      </w:r>
      <w:r w:rsidR="00D17A94">
        <w:t xml:space="preserve"> </w:t>
      </w:r>
      <w:r w:rsidRPr="008A0A12">
        <w:t>Want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Active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</w:t>
      </w:r>
      <w:r w:rsidR="00413AEE">
        <w:t>”</w:t>
      </w:r>
      <w:r w:rsidR="00D17A94">
        <w:t xml:space="preserve"> </w:t>
      </w:r>
      <w:r w:rsidRPr="008A0A12">
        <w:t>(50+),</w:t>
      </w:r>
      <w:r w:rsidR="00D17A94">
        <w:t xml:space="preserve"> </w:t>
      </w:r>
      <w:r w:rsidR="00413AEE">
        <w:t>“</w:t>
      </w:r>
      <w:r w:rsidRPr="008A0A12">
        <w:t>Way</w:t>
      </w:r>
      <w:r w:rsidR="00D17A94">
        <w:t xml:space="preserve"> </w:t>
      </w:r>
      <w:r w:rsidRPr="008A0A12">
        <w:t>Out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Circle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Unemployment</w:t>
      </w:r>
      <w:r w:rsidR="00413AEE">
        <w:t>”</w:t>
      </w:r>
      <w:r w:rsidRPr="008A0A12">
        <w:t>,</w:t>
      </w:r>
      <w:r w:rsidR="00D17A94">
        <w:t xml:space="preserve"> </w:t>
      </w:r>
      <w:r w:rsidR="00413AEE">
        <w:t>“</w:t>
      </w:r>
      <w:r w:rsidRPr="008A0A12">
        <w:t>We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Looking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Together</w:t>
      </w:r>
      <w:r w:rsidR="00413AEE">
        <w:t>”</w:t>
      </w:r>
      <w:r w:rsidR="00D17A94">
        <w:t xml:space="preserve"> </w:t>
      </w:r>
      <w:r w:rsidRPr="008A0A12">
        <w:t>and</w:t>
      </w:r>
      <w:r w:rsidR="00D17A94">
        <w:t xml:space="preserve"> </w:t>
      </w:r>
      <w:r w:rsidR="00413AEE">
        <w:t>“</w:t>
      </w:r>
      <w:r w:rsidRPr="008A0A12">
        <w:t>Engaging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Unemployed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Restoration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Cultural</w:t>
      </w:r>
      <w:r w:rsidR="00D17A94">
        <w:t xml:space="preserve"> </w:t>
      </w:r>
      <w:r w:rsidRPr="008A0A12">
        <w:t>Heritage</w:t>
      </w:r>
      <w:r w:rsidR="00413AEE">
        <w:t>”</w:t>
      </w:r>
      <w:r w:rsidRPr="008A0A12">
        <w:t>,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significantly</w:t>
      </w:r>
      <w:r w:rsidR="00D17A94">
        <w:t xml:space="preserve"> </w:t>
      </w:r>
      <w:r w:rsidRPr="008A0A12">
        <w:t>contributed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solve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unemployment.</w:t>
      </w:r>
    </w:p>
    <w:p w:rsidR="00F33762" w:rsidRPr="008A0A12" w:rsidRDefault="00F33762" w:rsidP="00F33762">
      <w:pPr>
        <w:pStyle w:val="SingleTxtG"/>
      </w:pPr>
      <w:r w:rsidRPr="008A0A12">
        <w:t>32.</w:t>
      </w:r>
      <w:r w:rsidRPr="008A0A12">
        <w:tab/>
        <w:t>On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July</w:t>
      </w:r>
      <w:r w:rsidR="00D17A94">
        <w:t xml:space="preserve"> </w:t>
      </w:r>
      <w:r w:rsidRPr="008A0A12">
        <w:t>2014,</w:t>
      </w:r>
      <w:r w:rsidR="00D17A94">
        <w:t xml:space="preserve"> </w:t>
      </w:r>
      <w:r w:rsidRPr="008A0A12">
        <w:t>activation</w:t>
      </w:r>
      <w:r w:rsidR="00D17A94">
        <w:t xml:space="preserve"> </w:t>
      </w:r>
      <w:r w:rsidRPr="008A0A12">
        <w:t>centres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established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maintenance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habits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unemployed</w:t>
      </w:r>
      <w:r w:rsidR="00D17A94">
        <w:t xml:space="preserve"> </w:t>
      </w:r>
      <w:r w:rsidRPr="008A0A12">
        <w:t>jobseekers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simultaneously</w:t>
      </w:r>
      <w:r w:rsidR="00D17A94">
        <w:t xml:space="preserve"> </w:t>
      </w:r>
      <w:r w:rsidRPr="008A0A12">
        <w:t>recipients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material-need</w:t>
      </w:r>
      <w:r w:rsidR="00D17A94">
        <w:t xml:space="preserve"> </w:t>
      </w:r>
      <w:r w:rsidRPr="008A0A12">
        <w:t>benefits.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November</w:t>
      </w:r>
      <w:r w:rsidR="00D17A94">
        <w:t xml:space="preserve"> </w:t>
      </w:r>
      <w:r w:rsidRPr="008A0A12">
        <w:t>2013,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levy</w:t>
      </w:r>
      <w:r w:rsidR="00D17A94">
        <w:t xml:space="preserve"> </w:t>
      </w:r>
      <w:r w:rsidRPr="008A0A12">
        <w:t>relief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unemployed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implemented,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expanded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15</w:t>
      </w:r>
      <w:r w:rsidR="00D17A94">
        <w:t xml:space="preserve"> </w:t>
      </w:r>
      <w:r w:rsidRPr="008A0A12">
        <w:t>December</w:t>
      </w:r>
      <w:r w:rsidR="00D17A94">
        <w:t xml:space="preserve"> </w:t>
      </w:r>
      <w:r w:rsidRPr="008A0A12">
        <w:t>2015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least</w:t>
      </w:r>
      <w:r w:rsidR="00D17A94">
        <w:t xml:space="preserve"> </w:t>
      </w:r>
      <w:r w:rsidRPr="008A0A12">
        <w:t>developed</w:t>
      </w:r>
      <w:r w:rsidR="00D17A94">
        <w:t xml:space="preserve"> </w:t>
      </w:r>
      <w:r w:rsidRPr="008A0A12">
        <w:t>districts.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33.</w:t>
      </w:r>
      <w:r w:rsidRPr="008A0A12">
        <w:tab/>
        <w:t>In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Action</w:t>
      </w:r>
      <w:r w:rsidR="00D17A94">
        <w:t xml:space="preserve"> </w:t>
      </w:r>
      <w:r w:rsidRPr="008A0A12">
        <w:t>Plan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Strengthening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Integration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Unemployed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developed.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describes</w:t>
      </w:r>
      <w:r w:rsidR="00D17A94">
        <w:t xml:space="preserve"> </w:t>
      </w:r>
      <w:r w:rsidRPr="008A0A12">
        <w:t>specific</w:t>
      </w:r>
      <w:r w:rsidR="00D17A94">
        <w:t xml:space="preserve"> </w:t>
      </w:r>
      <w:r w:rsidRPr="008A0A12">
        <w:t>measures,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MLSAF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cooperation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stakeholders,</w:t>
      </w:r>
      <w:r w:rsidR="00D17A94">
        <w:t xml:space="preserve"> </w:t>
      </w:r>
      <w:r w:rsidRPr="008A0A12">
        <w:t>plans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provide</w:t>
      </w:r>
      <w:r w:rsidR="00D17A94">
        <w:t xml:space="preserve"> </w:t>
      </w:r>
      <w:r w:rsidRPr="008A0A12">
        <w:t>especially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two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following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adoption</w:t>
      </w:r>
      <w:r w:rsidR="00D17A94">
        <w:t xml:space="preserve"> </w:t>
      </w:r>
      <w:r w:rsidRPr="008A0A12">
        <w:t>(November</w:t>
      </w:r>
      <w:r w:rsidR="00D17A94">
        <w:t xml:space="preserve"> </w:t>
      </w:r>
      <w:r w:rsidRPr="008A0A12">
        <w:t>2016)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improve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access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unemployed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market.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provides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EU</w:t>
      </w:r>
      <w:r w:rsidR="00D17A94">
        <w:t xml:space="preserve"> </w:t>
      </w:r>
      <w:r w:rsidRPr="008A0A12">
        <w:t>Council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15</w:t>
      </w:r>
      <w:r w:rsidR="00D17A94">
        <w:t xml:space="preserve"> </w:t>
      </w:r>
      <w:r w:rsidRPr="008A0A12">
        <w:t>February</w:t>
      </w:r>
      <w:r w:rsidR="00D17A94">
        <w:t xml:space="preserve"> </w:t>
      </w:r>
      <w:r w:rsidRPr="008A0A12">
        <w:t>2016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integration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unemployed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34.</w:t>
      </w:r>
      <w:r w:rsidRPr="008A0A12">
        <w:tab/>
        <w:t>On</w:t>
      </w:r>
      <w:r w:rsidR="00D17A94">
        <w:t xml:space="preserve"> </w:t>
      </w:r>
      <w:r w:rsidRPr="008A0A12">
        <w:t>12</w:t>
      </w:r>
      <w:r w:rsidR="00D17A94">
        <w:t xml:space="preserve"> </w:t>
      </w:r>
      <w:r w:rsidRPr="008A0A12">
        <w:t>March</w:t>
      </w:r>
      <w:r w:rsidR="00D17A94">
        <w:t xml:space="preserve"> </w:t>
      </w:r>
      <w:r w:rsidRPr="008A0A12">
        <w:t>2015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61/2015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adopted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Vocational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Training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amendment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certain</w:t>
      </w:r>
      <w:r w:rsidR="00D17A94">
        <w:t xml:space="preserve"> </w:t>
      </w:r>
      <w:r w:rsidRPr="008A0A12">
        <w:t>laws.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creates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legal</w:t>
      </w:r>
      <w:r w:rsidR="00D17A94">
        <w:t xml:space="preserve"> </w:t>
      </w:r>
      <w:r w:rsidRPr="008A0A12">
        <w:t>prerequisites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active</w:t>
      </w:r>
      <w:r w:rsidR="00D17A94">
        <w:t xml:space="preserve"> </w:t>
      </w:r>
      <w:r w:rsidRPr="008A0A12">
        <w:t>involvement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employers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vocational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training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represents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significant</w:t>
      </w:r>
      <w:r w:rsidR="00D17A94">
        <w:t xml:space="preserve"> </w:t>
      </w:r>
      <w:r w:rsidRPr="008A0A12">
        <w:t>step</w:t>
      </w:r>
      <w:r w:rsidR="00D17A94">
        <w:t xml:space="preserve"> </w:t>
      </w:r>
      <w:r w:rsidRPr="008A0A12">
        <w:t>towards</w:t>
      </w:r>
      <w:r w:rsidR="00D17A94">
        <w:t xml:space="preserve"> </w:t>
      </w:r>
      <w:r w:rsidRPr="008A0A12">
        <w:t>reducing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SR.</w:t>
      </w:r>
    </w:p>
    <w:p w:rsidR="00F33762" w:rsidRPr="008A0A12" w:rsidRDefault="00F33762" w:rsidP="0044261E">
      <w:pPr>
        <w:pStyle w:val="H23G"/>
      </w:pPr>
      <w:r w:rsidRPr="008A0A12">
        <w:tab/>
      </w:r>
      <w:r w:rsidRPr="008A0A12">
        <w:tab/>
        <w:t>Employment</w:t>
      </w:r>
    </w:p>
    <w:p w:rsidR="00F33762" w:rsidRPr="008A0A12" w:rsidRDefault="00F33762" w:rsidP="00F33762">
      <w:pPr>
        <w:pStyle w:val="SingleTxtG"/>
      </w:pPr>
      <w:r w:rsidRPr="008A0A12">
        <w:t>35.</w:t>
      </w:r>
      <w:r w:rsidRPr="008A0A12">
        <w:tab/>
        <w:t>The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productive</w:t>
      </w:r>
      <w:r w:rsidR="00D17A94">
        <w:t xml:space="preserve"> </w:t>
      </w:r>
      <w:r w:rsidRPr="008A0A12">
        <w:t>age</w:t>
      </w:r>
      <w:r w:rsidR="00D17A94">
        <w:t xml:space="preserve"> </w:t>
      </w:r>
      <w:r w:rsidRPr="008A0A12">
        <w:t>(15-64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age)</w:t>
      </w:r>
      <w:r w:rsidR="00D17A94">
        <w:t xml:space="preserve"> </w:t>
      </w:r>
      <w:r w:rsidRPr="008A0A12">
        <w:t>increased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64.9</w:t>
      </w:r>
      <w:r w:rsidR="00A50999">
        <w:t>%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2012-2016.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(15-24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age)</w:t>
      </w:r>
      <w:r w:rsidR="00D17A94">
        <w:t xml:space="preserve"> </w:t>
      </w:r>
      <w:r w:rsidRPr="008A0A12">
        <w:t>increased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same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25.2</w:t>
      </w:r>
      <w:r w:rsidR="00A50999">
        <w:t>%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older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(50-64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age)</w:t>
      </w:r>
      <w:r w:rsidR="00D17A94">
        <w:t xml:space="preserve"> </w:t>
      </w:r>
      <w:r w:rsidRPr="008A0A12">
        <w:t>increased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59.5</w:t>
      </w:r>
      <w:r w:rsidR="00A50999">
        <w:t>%</w:t>
      </w:r>
      <w:r w:rsidRPr="008A0A12">
        <w:t>.</w:t>
      </w:r>
      <w:r w:rsidR="00D17A94">
        <w:t xml:space="preserve"> </w:t>
      </w:r>
    </w:p>
    <w:p w:rsidR="00F33762" w:rsidRPr="008A0A12" w:rsidRDefault="00F33762" w:rsidP="0044261E">
      <w:pPr>
        <w:pStyle w:val="H23G"/>
      </w:pPr>
      <w:r w:rsidRPr="008A0A12">
        <w:tab/>
      </w:r>
      <w:r w:rsidRPr="008A0A12">
        <w:tab/>
        <w:t>Unemployment</w:t>
      </w:r>
    </w:p>
    <w:p w:rsidR="00F33762" w:rsidRPr="008A0A12" w:rsidRDefault="00F33762" w:rsidP="00F33762">
      <w:pPr>
        <w:pStyle w:val="SingleTxtG"/>
      </w:pPr>
      <w:r w:rsidRPr="008A0A12">
        <w:t>36.</w:t>
      </w:r>
      <w:r w:rsidRPr="008A0A12">
        <w:tab/>
        <w:t>The</w:t>
      </w:r>
      <w:r w:rsidR="00D17A94">
        <w:t xml:space="preserve"> </w:t>
      </w:r>
      <w:r w:rsidRPr="008A0A12">
        <w:t>overall</w:t>
      </w:r>
      <w:r w:rsidR="00D17A94">
        <w:t xml:space="preserve"> </w:t>
      </w:r>
      <w:r w:rsidRPr="008A0A12">
        <w:t>situation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gradually</w:t>
      </w:r>
      <w:r w:rsidR="00D17A94">
        <w:t xml:space="preserve"> </w:t>
      </w:r>
      <w:r w:rsidRPr="008A0A12">
        <w:t>improving</w:t>
      </w:r>
      <w:r w:rsidR="00D17A94">
        <w:t xml:space="preserve"> </w:t>
      </w:r>
      <w:r w:rsidRPr="008A0A12">
        <w:t>after</w:t>
      </w:r>
      <w:r w:rsidR="00D17A94">
        <w:t xml:space="preserve"> </w:t>
      </w:r>
      <w:r w:rsidRPr="008A0A12">
        <w:t>2012.</w:t>
      </w:r>
      <w:r w:rsidR="00D17A94">
        <w:t xml:space="preserve"> </w:t>
      </w:r>
      <w:r w:rsidRPr="008A0A12"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data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Statistical</w:t>
      </w:r>
      <w:r w:rsidR="00D17A94">
        <w:t xml:space="preserve"> </w:t>
      </w:r>
      <w:r w:rsidRPr="008A0A12">
        <w:t>Office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SO</w:t>
      </w:r>
      <w:r w:rsidR="00D17A94">
        <w:t xml:space="preserve"> </w:t>
      </w:r>
      <w:r w:rsidRPr="008A0A12">
        <w:t>SR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force</w:t>
      </w:r>
      <w:r w:rsidR="00D17A94">
        <w:t xml:space="preserve"> </w:t>
      </w:r>
      <w:r w:rsidRPr="008A0A12">
        <w:t>sample</w:t>
      </w:r>
      <w:r w:rsidR="00D17A94">
        <w:t xml:space="preserve"> </w:t>
      </w:r>
      <w:r w:rsidRPr="008A0A12">
        <w:t>survey,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2016</w:t>
      </w:r>
      <w:r w:rsidR="00D17A94">
        <w:t xml:space="preserve"> </w:t>
      </w:r>
      <w:r w:rsidRPr="008A0A12">
        <w:t>compared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2012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lower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4.3</w:t>
      </w:r>
      <w:r w:rsidR="00D17A94">
        <w:t xml:space="preserve"> </w:t>
      </w:r>
      <w:r w:rsidRPr="008A0A12">
        <w:t>percentage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="005F2605">
        <w:t>p.p.</w:t>
      </w:r>
      <w:r w:rsidR="00413AEE">
        <w:t>”</w:t>
      </w:r>
      <w:r w:rsidRPr="008A0A12">
        <w:t>),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had</w:t>
      </w:r>
      <w:r w:rsidR="00D17A94">
        <w:t xml:space="preserve"> </w:t>
      </w:r>
      <w:r w:rsidRPr="008A0A12">
        <w:t>decreased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9.7</w:t>
      </w:r>
      <w:r w:rsidR="00A50999">
        <w:t>%</w:t>
      </w:r>
      <w:r w:rsidRPr="008A0A12">
        <w:t>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absolute</w:t>
      </w:r>
      <w:r w:rsidR="00D17A94">
        <w:t xml:space="preserve"> </w:t>
      </w:r>
      <w:r w:rsidRPr="008A0A12">
        <w:t>number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unemployed</w:t>
      </w:r>
      <w:r w:rsidR="00D17A94">
        <w:t xml:space="preserve"> </w:t>
      </w:r>
      <w:r w:rsidRPr="008A0A12">
        <w:t>had</w:t>
      </w:r>
      <w:r w:rsidR="00D17A94">
        <w:t xml:space="preserve"> </w:t>
      </w:r>
      <w:r w:rsidRPr="008A0A12">
        <w:t>decreased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almost</w:t>
      </w:r>
      <w:r w:rsidR="00D17A94">
        <w:t xml:space="preserve"> </w:t>
      </w:r>
      <w:r w:rsidRPr="008A0A12">
        <w:t>30</w:t>
      </w:r>
      <w:r w:rsidR="00A50999">
        <w:t>%</w:t>
      </w:r>
      <w:r w:rsidRPr="008A0A12">
        <w:t>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301,000</w:t>
      </w:r>
      <w:r w:rsidR="00D17A94">
        <w:t xml:space="preserve"> </w:t>
      </w:r>
      <w:r w:rsidRPr="008A0A12">
        <w:t>jobseekers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registered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average.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year-on-year</w:t>
      </w:r>
      <w:r w:rsidR="00D17A94">
        <w:t xml:space="preserve"> </w:t>
      </w:r>
      <w:r w:rsidRPr="008A0A12">
        <w:t>basis,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number</w:t>
      </w:r>
      <w:r w:rsidR="00D17A94">
        <w:t xml:space="preserve"> </w:t>
      </w:r>
      <w:r w:rsidRPr="008A0A12">
        <w:t>had</w:t>
      </w:r>
      <w:r w:rsidR="00D17A94">
        <w:t xml:space="preserve"> </w:t>
      </w:r>
      <w:r w:rsidRPr="008A0A12">
        <w:t>decreased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54,000</w:t>
      </w:r>
      <w:r w:rsidR="00D17A94">
        <w:t xml:space="preserve"> </w:t>
      </w:r>
      <w:r w:rsidRPr="008A0A12">
        <w:t>persons,</w:t>
      </w:r>
      <w:r w:rsidR="00D17A94">
        <w:t xml:space="preserve"> </w:t>
      </w:r>
      <w:r w:rsidRPr="008A0A12">
        <w:t>i.e.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15.1</w:t>
      </w:r>
      <w:r w:rsidR="00A50999">
        <w:t>%</w:t>
      </w:r>
      <w:r w:rsidRPr="008A0A12">
        <w:t>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registered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showed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downward</w:t>
      </w:r>
      <w:r w:rsidR="00D17A94">
        <w:t xml:space="preserve"> </w:t>
      </w:r>
      <w:r w:rsidRPr="008A0A12">
        <w:t>trend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reached</w:t>
      </w:r>
      <w:r w:rsidR="00D17A94">
        <w:t xml:space="preserve"> </w:t>
      </w:r>
      <w:r w:rsidRPr="008A0A12">
        <w:t>9.48</w:t>
      </w:r>
      <w:r w:rsidR="00A50999">
        <w:t>%</w:t>
      </w:r>
      <w:r w:rsidRPr="008A0A12">
        <w:t>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year-on-year</w:t>
      </w:r>
      <w:r w:rsidR="00D17A94">
        <w:t xml:space="preserve"> </w:t>
      </w:r>
      <w:r w:rsidRPr="008A0A12">
        <w:t>decrease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2</w:t>
      </w:r>
      <w:r w:rsidR="00D17A94">
        <w:t xml:space="preserve"> </w:t>
      </w:r>
      <w:r w:rsidR="005F2605">
        <w:t>p.p.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37.</w:t>
      </w:r>
      <w:r w:rsidRPr="008A0A12">
        <w:tab/>
        <w:t>The</w:t>
      </w:r>
      <w:r w:rsidR="00D17A94">
        <w:t xml:space="preserve"> </w:t>
      </w:r>
      <w:r w:rsidRPr="008A0A12">
        <w:t>situation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improving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well.</w:t>
      </w:r>
      <w:r w:rsidR="00D17A94">
        <w:t xml:space="preserve"> </w:t>
      </w:r>
      <w:r w:rsidRPr="008A0A12">
        <w:t>While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2012,</w:t>
      </w:r>
      <w:r w:rsidR="00D17A94">
        <w:t xml:space="preserve"> </w:t>
      </w:r>
      <w:r w:rsidRPr="008A0A12"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data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average</w:t>
      </w:r>
      <w:r w:rsidR="00D17A94">
        <w:t xml:space="preserve"> </w:t>
      </w:r>
      <w:r w:rsidRPr="008A0A12">
        <w:t>share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registered</w:t>
      </w:r>
      <w:r w:rsidR="00D17A94">
        <w:t xml:space="preserve"> </w:t>
      </w:r>
      <w:r w:rsidRPr="008A0A12">
        <w:t>unemployed</w:t>
      </w:r>
      <w:r w:rsidR="00D17A94">
        <w:t xml:space="preserve"> </w:t>
      </w:r>
      <w:r w:rsidRPr="008A0A12">
        <w:t>(unemployed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12</w:t>
      </w:r>
      <w:r w:rsidR="00D17A94">
        <w:t xml:space="preserve"> </w:t>
      </w:r>
      <w:r w:rsidRPr="008A0A12">
        <w:t>months)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total</w:t>
      </w:r>
      <w:r w:rsidR="00D17A94">
        <w:t xml:space="preserve"> </w:t>
      </w:r>
      <w:r w:rsidRPr="008A0A12">
        <w:t>number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unemployed</w:t>
      </w:r>
      <w:r w:rsidR="00D17A94">
        <w:t xml:space="preserve"> </w:t>
      </w:r>
      <w:r w:rsidRPr="008A0A12">
        <w:t>accounted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63.8</w:t>
      </w:r>
      <w:r w:rsidR="00A50999">
        <w:t>%</w:t>
      </w:r>
      <w:r w:rsidRPr="008A0A12">
        <w:t>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2015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share</w:t>
      </w:r>
      <w:r w:rsidR="00D17A94">
        <w:t xml:space="preserve"> </w:t>
      </w:r>
      <w:r w:rsidRPr="008A0A12">
        <w:t>accounted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62.3</w:t>
      </w:r>
      <w:r w:rsidR="00A50999">
        <w:t>%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2016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lastRenderedPageBreak/>
        <w:t>had</w:t>
      </w:r>
      <w:r w:rsidR="00D17A94">
        <w:t xml:space="preserve"> </w:t>
      </w:r>
      <w:r w:rsidRPr="008A0A12">
        <w:t>decreased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56.6</w:t>
      </w:r>
      <w:r w:rsidR="00A50999">
        <w:t>%</w:t>
      </w:r>
      <w:r w:rsidRPr="008A0A12">
        <w:t>.</w:t>
      </w:r>
      <w:r w:rsidR="00D17A94">
        <w:t xml:space="preserve"> </w:t>
      </w:r>
      <w:r w:rsidRPr="008A0A12">
        <w:t>Interregional</w:t>
      </w:r>
      <w:r w:rsidR="00D17A94">
        <w:t xml:space="preserve"> </w:t>
      </w:r>
      <w:r w:rsidRPr="008A0A12">
        <w:t>differences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level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have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decreasing</w:t>
      </w:r>
      <w:r w:rsidR="00D17A94">
        <w:t xml:space="preserve"> </w:t>
      </w:r>
      <w:r w:rsidRPr="008A0A12">
        <w:t>gradually.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2012,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difference</w:t>
      </w:r>
      <w:r w:rsidR="00D17A94">
        <w:t xml:space="preserve"> </w:t>
      </w:r>
      <w:r w:rsidRPr="008A0A12">
        <w:t>between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highest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lowest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between</w:t>
      </w:r>
      <w:r w:rsidR="00D17A94">
        <w:t xml:space="preserve"> </w:t>
      </w:r>
      <w:r w:rsidRPr="008A0A12">
        <w:t>counties</w:t>
      </w:r>
      <w:r w:rsidR="00D17A94">
        <w:t xml:space="preserve"> </w:t>
      </w:r>
      <w:r w:rsidRPr="008A0A12">
        <w:t>accounted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14.1</w:t>
      </w:r>
      <w:r w:rsidR="00D17A94">
        <w:t xml:space="preserve"> </w:t>
      </w:r>
      <w:r w:rsidRPr="008A0A12">
        <w:t>p.p.,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2016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difference</w:t>
      </w:r>
      <w:r w:rsidR="00D17A94">
        <w:t xml:space="preserve"> </w:t>
      </w:r>
      <w:r w:rsidRPr="008A0A12">
        <w:t>had</w:t>
      </w:r>
      <w:r w:rsidR="00D17A94">
        <w:t xml:space="preserve"> </w:t>
      </w:r>
      <w:r w:rsidRPr="008A0A12">
        <w:t>decreased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9.9</w:t>
      </w:r>
      <w:r w:rsidR="00D17A94">
        <w:t xml:space="preserve"> </w:t>
      </w:r>
      <w:r w:rsidRPr="008A0A12">
        <w:t>p.p.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38.</w:t>
      </w:r>
      <w:r w:rsidRPr="008A0A12">
        <w:tab/>
        <w:t>Positive</w:t>
      </w:r>
      <w:r w:rsidR="00D17A94">
        <w:t xml:space="preserve"> </w:t>
      </w:r>
      <w:r w:rsidRPr="008A0A12">
        <w:t>tendencies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recorded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compared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level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2012.</w:t>
      </w:r>
      <w:r w:rsidR="00D17A94">
        <w:t xml:space="preserve"> </w:t>
      </w:r>
      <w:r w:rsidRPr="008A0A12">
        <w:t>While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2012,</w:t>
      </w:r>
      <w:r w:rsidR="00D17A94">
        <w:t xml:space="preserve"> </w:t>
      </w:r>
      <w:r w:rsidRPr="008A0A12"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data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Force</w:t>
      </w:r>
      <w:r w:rsidR="00D17A94">
        <w:t xml:space="preserve"> </w:t>
      </w:r>
      <w:r w:rsidRPr="008A0A12">
        <w:t>Sample</w:t>
      </w:r>
      <w:r w:rsidR="00D17A94">
        <w:t xml:space="preserve"> </w:t>
      </w:r>
      <w:r w:rsidRPr="008A0A12">
        <w:t>Survey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LFSS</w:t>
      </w:r>
      <w:r w:rsidR="00413AEE">
        <w:t>”</w:t>
      </w:r>
      <w:r w:rsidRPr="008A0A12">
        <w:t>),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accounted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14.5</w:t>
      </w:r>
      <w:r w:rsidR="00A50999">
        <w:t>%</w:t>
      </w:r>
      <w:r w:rsidRPr="008A0A12">
        <w:t>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2016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10.7</w:t>
      </w:r>
      <w:r w:rsidR="00A50999">
        <w:t>%</w:t>
      </w:r>
      <w:r w:rsidRPr="008A0A12">
        <w:t>.</w:t>
      </w:r>
    </w:p>
    <w:p w:rsidR="00F33762" w:rsidRPr="008A0A12" w:rsidRDefault="00F33762" w:rsidP="00F33762">
      <w:pPr>
        <w:pStyle w:val="SingleTxtG"/>
      </w:pPr>
      <w:r w:rsidRPr="008A0A12">
        <w:t>39.</w:t>
      </w:r>
      <w:r w:rsidRPr="008A0A12">
        <w:tab/>
        <w:t>The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decreased</w:t>
      </w:r>
      <w:r w:rsidR="00D17A94">
        <w:t xml:space="preserve"> </w:t>
      </w:r>
      <w:r w:rsidRPr="008A0A12">
        <w:t>significantly.</w:t>
      </w:r>
      <w:r w:rsidR="00D17A94">
        <w:t xml:space="preserve"> </w:t>
      </w:r>
      <w:r w:rsidRPr="008A0A12">
        <w:t>While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2012,</w:t>
      </w:r>
      <w:r w:rsidR="00D17A94">
        <w:t xml:space="preserve"> </w:t>
      </w:r>
      <w:r w:rsidRPr="008A0A12"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data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accounted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34.0</w:t>
      </w:r>
      <w:r w:rsidR="00A50999">
        <w:t>%</w:t>
      </w:r>
      <w:r w:rsidRPr="008A0A12">
        <w:t>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2015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26.4</w:t>
      </w:r>
      <w:r w:rsidR="00A50999">
        <w:t>%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2016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22.2</w:t>
      </w:r>
      <w:r w:rsidR="00A50999">
        <w:t>%</w:t>
      </w:r>
      <w:r w:rsidRPr="008A0A12">
        <w:t>.</w:t>
      </w:r>
    </w:p>
    <w:p w:rsidR="00F33762" w:rsidRPr="008A0A12" w:rsidRDefault="00F33762" w:rsidP="0044261E">
      <w:pPr>
        <w:pStyle w:val="H1G"/>
      </w:pPr>
      <w:r w:rsidRPr="008A0A12">
        <w:tab/>
      </w:r>
      <w:r w:rsidRPr="008A0A12">
        <w:tab/>
        <w:t>Article</w:t>
      </w:r>
      <w:r w:rsidR="00D17A94">
        <w:t xml:space="preserve"> </w:t>
      </w:r>
      <w:r w:rsidRPr="008A0A12">
        <w:t>7</w:t>
      </w:r>
    </w:p>
    <w:p w:rsidR="00F33762" w:rsidRPr="008A0A12" w:rsidRDefault="00F33762" w:rsidP="0044261E">
      <w:pPr>
        <w:pStyle w:val="H23G"/>
      </w:pPr>
      <w:r w:rsidRPr="008A0A12">
        <w:tab/>
      </w:r>
      <w:r w:rsidRPr="008A0A12">
        <w:tab/>
        <w:t>Minimum</w:t>
      </w:r>
      <w:r w:rsidR="00D17A94">
        <w:t xml:space="preserve"> </w:t>
      </w:r>
      <w:r w:rsidRPr="008A0A12">
        <w:t>wage</w:t>
      </w:r>
    </w:p>
    <w:p w:rsidR="00F33762" w:rsidRPr="008A0A12" w:rsidRDefault="00F33762" w:rsidP="00F33762">
      <w:pPr>
        <w:pStyle w:val="SingleTxtG"/>
      </w:pPr>
      <w:r w:rsidRPr="008A0A12">
        <w:t>40.</w:t>
      </w:r>
      <w:r w:rsidRPr="008A0A12">
        <w:tab/>
        <w:t>The</w:t>
      </w:r>
      <w:r w:rsidR="00D17A94">
        <w:t xml:space="preserve"> </w:t>
      </w:r>
      <w:r w:rsidRPr="008A0A12">
        <w:t>representatives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employers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employees</w:t>
      </w:r>
      <w:r w:rsidR="00D17A94">
        <w:t xml:space="preserve"> </w:t>
      </w:r>
      <w:r w:rsidRPr="008A0A12">
        <w:t>(social</w:t>
      </w:r>
      <w:r w:rsidR="00D17A94">
        <w:t xml:space="preserve"> </w:t>
      </w:r>
      <w:r w:rsidRPr="008A0A12">
        <w:t>partners)</w:t>
      </w:r>
      <w:r w:rsidR="00D17A94">
        <w:t xml:space="preserve"> </w:t>
      </w:r>
      <w:r w:rsidRPr="008A0A12">
        <w:t>negotiate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adjustment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amount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minimum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next</w:t>
      </w:r>
      <w:r w:rsidR="00D17A94">
        <w:t xml:space="preserve"> </w:t>
      </w:r>
      <w:r w:rsidRPr="008A0A12">
        <w:t>year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663/2007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Minimum</w:t>
      </w:r>
      <w:r w:rsidR="00D17A94">
        <w:t xml:space="preserve"> </w:t>
      </w:r>
      <w:r w:rsidRPr="008A0A12">
        <w:t>Wage.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favourable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macro-economic</w:t>
      </w:r>
      <w:r w:rsidR="00D17A94">
        <w:t xml:space="preserve"> </w:t>
      </w:r>
      <w:r w:rsidRPr="008A0A12">
        <w:t>indicators</w:t>
      </w:r>
      <w:r w:rsidR="00D17A94">
        <w:t xml:space="preserve"> </w:t>
      </w:r>
      <w:r w:rsidRPr="008A0A12">
        <w:t>accelerated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increase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minimum</w:t>
      </w:r>
      <w:r w:rsidR="00D17A94">
        <w:t xml:space="preserve"> </w:t>
      </w:r>
      <w:r w:rsidRPr="008A0A12">
        <w:t>wage.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regard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strong</w:t>
      </w:r>
      <w:r w:rsidR="00D17A94">
        <w:t xml:space="preserve"> </w:t>
      </w:r>
      <w:r w:rsidRPr="008A0A12">
        <w:t>economic</w:t>
      </w:r>
      <w:r w:rsidR="00D17A94">
        <w:t xml:space="preserve"> </w:t>
      </w:r>
      <w:r w:rsidRPr="008A0A12">
        <w:t>growth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decided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increase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amount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minimum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2015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€405.00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€435.00</w:t>
      </w:r>
      <w:r w:rsidR="00D17A94">
        <w:t xml:space="preserve"> </w:t>
      </w:r>
      <w:r w:rsidRPr="008A0A12">
        <w:t>monthly,</w:t>
      </w:r>
      <w:r w:rsidR="00D17A94">
        <w:t xml:space="preserve"> </w:t>
      </w:r>
      <w:r w:rsidRPr="008A0A12">
        <w:t>i.e.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7.41</w:t>
      </w:r>
      <w:r w:rsidR="00CD3239">
        <w:t>%</w:t>
      </w:r>
      <w:r w:rsidRPr="008A0A12">
        <w:t>.</w:t>
      </w:r>
    </w:p>
    <w:p w:rsidR="00F33762" w:rsidRPr="008A0A12" w:rsidRDefault="00F33762" w:rsidP="00F33762">
      <w:pPr>
        <w:pStyle w:val="SingleTxtG"/>
      </w:pPr>
      <w:r w:rsidRPr="008A0A12">
        <w:t>41.</w:t>
      </w:r>
      <w:r w:rsidRPr="008A0A12">
        <w:tab/>
        <w:t>The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significant</w:t>
      </w:r>
      <w:r w:rsidR="00D17A94">
        <w:t xml:space="preserve"> </w:t>
      </w:r>
      <w:r w:rsidRPr="008A0A12">
        <w:t>growth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amount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minimum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last</w:t>
      </w:r>
      <w:r w:rsidR="00D17A94">
        <w:t xml:space="preserve"> </w:t>
      </w:r>
      <w:r w:rsidRPr="008A0A12">
        <w:t>three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made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possible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2015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implement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levy</w:t>
      </w:r>
      <w:r w:rsidR="00D17A94">
        <w:t xml:space="preserve"> </w:t>
      </w:r>
      <w:r w:rsidRPr="008A0A12">
        <w:t>deductible</w:t>
      </w:r>
      <w:r w:rsidR="00D17A94">
        <w:t xml:space="preserve"> </w:t>
      </w:r>
      <w:r w:rsidRPr="008A0A12">
        <w:t>item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system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amount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€380.00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monthly</w:t>
      </w:r>
      <w:r w:rsidR="00D17A94">
        <w:t xml:space="preserve"> </w:t>
      </w:r>
      <w:r w:rsidRPr="008A0A12">
        <w:t>basis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progressive</w:t>
      </w:r>
      <w:r w:rsidR="00D17A94">
        <w:t xml:space="preserve"> </w:t>
      </w:r>
      <w:r w:rsidRPr="008A0A12">
        <w:t>decrease</w:t>
      </w:r>
      <w:r w:rsidR="00D17A94">
        <w:t xml:space="preserve"> </w:t>
      </w:r>
      <w:r w:rsidRPr="008A0A12">
        <w:t>up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amount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employee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income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€570.00.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measure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effective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January</w:t>
      </w:r>
      <w:r w:rsidR="00D17A94">
        <w:t xml:space="preserve"> </w:t>
      </w:r>
      <w:r w:rsidRPr="008A0A12">
        <w:t>2015,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neither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employer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employee</w:t>
      </w:r>
      <w:r w:rsidR="00D17A94">
        <w:t xml:space="preserve"> </w:t>
      </w:r>
      <w:r w:rsidRPr="008A0A12">
        <w:t>pays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contributions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income</w:t>
      </w:r>
      <w:r w:rsidR="00D17A94">
        <w:t xml:space="preserve"> </w:t>
      </w:r>
      <w:r w:rsidRPr="008A0A12">
        <w:t>up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€380.00.</w:t>
      </w:r>
      <w:r w:rsidR="00D17A94">
        <w:t xml:space="preserve"> </w:t>
      </w:r>
      <w:r w:rsidRPr="008A0A12">
        <w:t>Taking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account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year-on-year</w:t>
      </w:r>
      <w:r w:rsidR="00D17A94">
        <w:t xml:space="preserve"> </w:t>
      </w:r>
      <w:r w:rsidRPr="008A0A12">
        <w:t>growth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amount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minimum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€28.00</w:t>
      </w:r>
      <w:r w:rsidR="00D17A94">
        <w:t xml:space="preserve"> </w:t>
      </w:r>
      <w:r w:rsidRPr="008A0A12">
        <w:t>monthly,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7.95</w:t>
      </w:r>
      <w:r w:rsidR="00CD3239">
        <w:t>%</w:t>
      </w:r>
      <w:r w:rsidR="00D17A94">
        <w:t xml:space="preserve"> </w:t>
      </w:r>
      <w:r w:rsidRPr="008A0A12">
        <w:t>increase,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net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employees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level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amount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minimum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Pr="008A0A12">
        <w:t>increased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much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11.24</w:t>
      </w:r>
      <w:r w:rsidR="00CD3239">
        <w:t>%</w:t>
      </w:r>
      <w:r w:rsidRPr="008A0A12">
        <w:t>?</w:t>
      </w:r>
    </w:p>
    <w:p w:rsidR="00F33762" w:rsidRPr="008A0A12" w:rsidRDefault="00F33762" w:rsidP="0044261E">
      <w:pPr>
        <w:pStyle w:val="H23G"/>
      </w:pPr>
      <w:r w:rsidRPr="008A0A12">
        <w:tab/>
      </w:r>
      <w:r w:rsidRPr="008A0A12">
        <w:tab/>
        <w:t>The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working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</w:p>
    <w:p w:rsidR="00F33762" w:rsidRPr="008A0A12" w:rsidRDefault="00F33762" w:rsidP="00F33762">
      <w:pPr>
        <w:pStyle w:val="SingleTxtG"/>
      </w:pPr>
      <w:r w:rsidRPr="008A0A12">
        <w:t>42.</w:t>
      </w:r>
      <w:r w:rsidRPr="008A0A12">
        <w:tab/>
        <w:t>Constitutional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460/1992,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Constitution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413AEE">
        <w:t>”</w:t>
      </w:r>
      <w:r w:rsidRPr="008A0A12">
        <w:t>),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Article</w:t>
      </w:r>
      <w:r w:rsidR="00D17A94">
        <w:t xml:space="preserve"> </w:t>
      </w:r>
      <w:r w:rsidRPr="008A0A12">
        <w:t>12,</w:t>
      </w:r>
      <w:r w:rsidR="00D17A94">
        <w:t xml:space="preserve"> </w:t>
      </w:r>
      <w:r w:rsidRPr="008A0A12">
        <w:t>Paragraph</w:t>
      </w:r>
      <w:r w:rsidR="00D17A94">
        <w:t xml:space="preserve"> </w:t>
      </w:r>
      <w:r w:rsidRPr="008A0A12">
        <w:t>2,</w:t>
      </w:r>
      <w:r w:rsidR="00D17A94">
        <w:t xml:space="preserve"> </w:t>
      </w:r>
      <w:r w:rsidRPr="008A0A12">
        <w:t>guarantees</w:t>
      </w:r>
      <w:r w:rsidR="00D17A94">
        <w:t xml:space="preserve"> </w:t>
      </w:r>
      <w:r w:rsidRPr="008A0A12">
        <w:t>fundamental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freedoms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regardless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sex,</w:t>
      </w:r>
      <w:r w:rsidR="00D17A94">
        <w:t xml:space="preserve"> </w:t>
      </w:r>
      <w:r w:rsidRPr="008A0A12">
        <w:t>race,</w:t>
      </w:r>
      <w:r w:rsidR="00D17A94">
        <w:t xml:space="preserve"> </w:t>
      </w:r>
      <w:r w:rsidRPr="008A0A12">
        <w:t>colour,</w:t>
      </w:r>
      <w:r w:rsidR="00D17A94">
        <w:t xml:space="preserve"> </w:t>
      </w:r>
      <w:r w:rsidRPr="008A0A12">
        <w:t>language,</w:t>
      </w:r>
      <w:r w:rsidR="00D17A94">
        <w:t xml:space="preserve"> </w:t>
      </w:r>
      <w:r w:rsidRPr="008A0A12">
        <w:t>belief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religion,</w:t>
      </w:r>
      <w:r w:rsidR="00D17A94">
        <w:t xml:space="preserve"> </w:t>
      </w:r>
      <w:r w:rsidRPr="008A0A12">
        <w:t>political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opinion,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origin,</w:t>
      </w:r>
      <w:r w:rsidR="00D17A94">
        <w:t xml:space="preserve"> </w:t>
      </w:r>
      <w:r w:rsidRPr="008A0A12">
        <w:t>nationality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membership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ethnic</w:t>
      </w:r>
      <w:r w:rsidR="00D17A94">
        <w:t xml:space="preserve"> </w:t>
      </w:r>
      <w:r w:rsidRPr="008A0A12">
        <w:t>group,</w:t>
      </w:r>
      <w:r w:rsidR="00D17A94">
        <w:t xml:space="preserve"> </w:t>
      </w:r>
      <w:r w:rsidRPr="008A0A12">
        <w:t>property,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status.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employer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obligation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treat</w:t>
      </w:r>
      <w:r w:rsidR="00D17A94">
        <w:t xml:space="preserve"> </w:t>
      </w:r>
      <w:r w:rsidRPr="008A0A12">
        <w:t>employees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compliance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principle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equal</w:t>
      </w:r>
      <w:r w:rsidR="00D17A94">
        <w:t xml:space="preserve"> </w:t>
      </w:r>
      <w:r w:rsidRPr="008A0A12">
        <w:t>treatment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stipulated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365/2004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Equal</w:t>
      </w:r>
      <w:r w:rsidR="00D17A94">
        <w:t xml:space="preserve"> </w:t>
      </w:r>
      <w:r w:rsidRPr="008A0A12">
        <w:t>Treatment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Certain</w:t>
      </w:r>
      <w:r w:rsidR="00D17A94">
        <w:t xml:space="preserve"> </w:t>
      </w:r>
      <w:r w:rsidRPr="008A0A12">
        <w:t>Areas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Discrimination,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Anti-discrimination</w:t>
      </w:r>
      <w:r w:rsidR="00D17A94">
        <w:t xml:space="preserve"> </w:t>
      </w:r>
      <w:r w:rsidRPr="008A0A12">
        <w:t>Law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which,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provision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2,</w:t>
      </w:r>
      <w:r w:rsidR="00D17A94">
        <w:t xml:space="preserve"> </w:t>
      </w:r>
      <w:r w:rsidRPr="008A0A12">
        <w:t>Section</w:t>
      </w:r>
      <w:r w:rsidR="00D17A94">
        <w:t xml:space="preserve"> </w:t>
      </w:r>
      <w:r w:rsidRPr="008A0A12">
        <w:t>1,</w:t>
      </w:r>
      <w:r w:rsidR="00D17A94">
        <w:t xml:space="preserve"> </w:t>
      </w:r>
      <w:r w:rsidRPr="008A0A12">
        <w:t>prohibits</w:t>
      </w:r>
      <w:r w:rsidR="00D17A94">
        <w:t xml:space="preserve"> </w:t>
      </w:r>
      <w:r w:rsidRPr="008A0A12">
        <w:t>discrimination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grounds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sex.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prohibition</w:t>
      </w:r>
      <w:r w:rsidR="00D17A94">
        <w:t xml:space="preserve"> </w:t>
      </w:r>
      <w:r w:rsidRPr="008A0A12">
        <w:t>does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allow</w:t>
      </w:r>
      <w:r w:rsidR="00D17A94">
        <w:t xml:space="preserve"> </w:t>
      </w:r>
      <w:r w:rsidRPr="008A0A12">
        <w:t>discrimination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regard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men,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even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possibility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acquire</w:t>
      </w:r>
      <w:r w:rsidR="00D17A94">
        <w:t xml:space="preserve"> </w:t>
      </w:r>
      <w:r w:rsidRPr="008A0A12">
        <w:t>equal</w:t>
      </w:r>
      <w:r w:rsidR="00D17A94">
        <w:t xml:space="preserve"> </w:t>
      </w:r>
      <w:r w:rsidRPr="008A0A12">
        <w:t>opportunity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achieve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higher</w:t>
      </w:r>
      <w:r w:rsidR="00D17A94">
        <w:t xml:space="preserve"> </w:t>
      </w:r>
      <w:r w:rsidRPr="008A0A12">
        <w:t>job</w:t>
      </w:r>
      <w:r w:rsidR="00D17A94">
        <w:t xml:space="preserve"> </w:t>
      </w:r>
      <w:r w:rsidRPr="008A0A12">
        <w:t>position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principle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equal</w:t>
      </w:r>
      <w:r w:rsidR="00D17A94">
        <w:t xml:space="preserve"> </w:t>
      </w:r>
      <w:r w:rsidRPr="008A0A12">
        <w:t>treatment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detail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6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Anti-Discrimination</w:t>
      </w:r>
      <w:r w:rsidR="00D17A94">
        <w:t xml:space="preserve"> </w:t>
      </w:r>
      <w:r w:rsidRPr="008A0A12">
        <w:t>Law.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43.</w:t>
      </w:r>
      <w:r w:rsidRPr="008A0A12">
        <w:tab/>
        <w:t>The</w:t>
      </w:r>
      <w:r w:rsidR="00D17A94">
        <w:t xml:space="preserve"> </w:t>
      </w:r>
      <w:r w:rsidRPr="008A0A12">
        <w:t>principle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equal</w:t>
      </w:r>
      <w:r w:rsidR="00D17A94">
        <w:t xml:space="preserve"> </w:t>
      </w:r>
      <w:r w:rsidRPr="008A0A12">
        <w:t>treatment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reflected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311/2001,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Code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LC</w:t>
      </w:r>
      <w:r w:rsidR="00413AEE">
        <w:t>”</w:t>
      </w:r>
      <w:r w:rsidRPr="008A0A12">
        <w:t>),</w:t>
      </w:r>
      <w:r w:rsidR="00D17A94">
        <w:t xml:space="preserve"> </w:t>
      </w:r>
      <w:r w:rsidRPr="008A0A12">
        <w:t>which,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Article</w:t>
      </w:r>
      <w:r w:rsidR="00D17A94">
        <w:t xml:space="preserve"> </w:t>
      </w:r>
      <w:r w:rsidRPr="008A0A12">
        <w:t>6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Fundamental</w:t>
      </w:r>
      <w:r w:rsidR="00D17A94">
        <w:t xml:space="preserve"> </w:t>
      </w:r>
      <w:r w:rsidRPr="008A0A12">
        <w:t>Principles</w:t>
      </w:r>
      <w:r w:rsidR="00D17A94">
        <w:t xml:space="preserve"> </w:t>
      </w:r>
      <w:r w:rsidRPr="008A0A12">
        <w:t>stipulates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have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equal</w:t>
      </w:r>
      <w:r w:rsidR="00D17A94">
        <w:t xml:space="preserve"> </w:t>
      </w:r>
      <w:r w:rsidRPr="008A0A12">
        <w:t>treatment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access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employment,</w:t>
      </w:r>
      <w:r w:rsidR="00D17A94">
        <w:t xml:space="preserve"> </w:t>
      </w:r>
      <w:r w:rsidRPr="008A0A12">
        <w:t>remuneration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promotion,</w:t>
      </w:r>
      <w:r w:rsidR="00D17A94">
        <w:t xml:space="preserve"> </w:t>
      </w:r>
      <w:r w:rsidRPr="008A0A12">
        <w:t>vocational</w:t>
      </w:r>
      <w:r w:rsidR="00D17A94">
        <w:t xml:space="preserve"> </w:t>
      </w:r>
      <w:r w:rsidRPr="008A0A12">
        <w:t>training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working</w:t>
      </w:r>
      <w:r w:rsidR="00D17A94">
        <w:t xml:space="preserve"> </w:t>
      </w:r>
      <w:r w:rsidRPr="008A0A12">
        <w:t>conditions.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LC</w:t>
      </w:r>
      <w:r w:rsidR="00D17A94">
        <w:t xml:space="preserve"> </w:t>
      </w:r>
      <w:r w:rsidRPr="008A0A12">
        <w:t>prohibits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discrimination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employees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grounds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sex,</w:t>
      </w:r>
      <w:r w:rsidR="00D17A94">
        <w:t xml:space="preserve"> </w:t>
      </w:r>
      <w:r w:rsidRPr="008A0A12">
        <w:t>marital</w:t>
      </w:r>
      <w:r w:rsidR="00D17A94">
        <w:t xml:space="preserve"> </w:t>
      </w:r>
      <w:r w:rsidRPr="008A0A12">
        <w:t>status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status,</w:t>
      </w:r>
      <w:r w:rsidR="00D17A94">
        <w:t xml:space="preserve"> </w:t>
      </w:r>
      <w:r w:rsidRPr="008A0A12">
        <w:t>sexual</w:t>
      </w:r>
      <w:r w:rsidR="00D17A94">
        <w:t xml:space="preserve"> </w:t>
      </w:r>
      <w:r w:rsidRPr="008A0A12">
        <w:t>orientation,</w:t>
      </w:r>
      <w:r w:rsidR="00D17A94">
        <w:t xml:space="preserve"> </w:t>
      </w:r>
      <w:r w:rsidRPr="008A0A12">
        <w:t>race,</w:t>
      </w:r>
      <w:r w:rsidR="00D17A94">
        <w:t xml:space="preserve"> </w:t>
      </w:r>
      <w:r w:rsidRPr="008A0A12">
        <w:t>colour,</w:t>
      </w:r>
      <w:r w:rsidR="00D17A94">
        <w:t xml:space="preserve"> </w:t>
      </w:r>
      <w:r w:rsidRPr="008A0A12">
        <w:t>language,</w:t>
      </w:r>
      <w:r w:rsidR="00D17A94">
        <w:t xml:space="preserve"> </w:t>
      </w:r>
      <w:r w:rsidRPr="008A0A12">
        <w:t>age,</w:t>
      </w:r>
      <w:r w:rsidR="00D17A94">
        <w:t xml:space="preserve"> </w:t>
      </w:r>
      <w:r w:rsidRPr="008A0A12">
        <w:t>poor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disability,</w:t>
      </w:r>
      <w:r w:rsidR="00D17A94">
        <w:t xml:space="preserve"> </w:t>
      </w:r>
      <w:r w:rsidRPr="008A0A12">
        <w:t>genetic</w:t>
      </w:r>
      <w:r w:rsidR="00D17A94">
        <w:t xml:space="preserve"> </w:t>
      </w:r>
      <w:r w:rsidRPr="008A0A12">
        <w:t>characteristics,</w:t>
      </w:r>
      <w:r w:rsidR="00D17A94">
        <w:t xml:space="preserve"> </w:t>
      </w:r>
      <w:r w:rsidRPr="008A0A12">
        <w:t>belief,</w:t>
      </w:r>
      <w:r w:rsidR="00D17A94">
        <w:t xml:space="preserve"> </w:t>
      </w:r>
      <w:r w:rsidRPr="008A0A12">
        <w:t>religion,</w:t>
      </w:r>
      <w:r w:rsidR="00D17A94">
        <w:t xml:space="preserve"> </w:t>
      </w:r>
      <w:r w:rsidRPr="008A0A12">
        <w:t>political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opinion,</w:t>
      </w:r>
      <w:r w:rsidR="00D17A94">
        <w:t xml:space="preserve"> </w:t>
      </w:r>
      <w:r w:rsidRPr="008A0A12">
        <w:t>trade-union</w:t>
      </w:r>
      <w:r w:rsidR="00D17A94">
        <w:t xml:space="preserve"> </w:t>
      </w:r>
      <w:r w:rsidRPr="008A0A12">
        <w:t>activity,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origin,</w:t>
      </w:r>
      <w:r w:rsidR="00D17A94">
        <w:t xml:space="preserve"> </w:t>
      </w:r>
      <w:r w:rsidRPr="008A0A12">
        <w:t>nationality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membership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ethnic</w:t>
      </w:r>
      <w:r w:rsidR="00D17A94">
        <w:t xml:space="preserve"> </w:t>
      </w:r>
      <w:r w:rsidRPr="008A0A12">
        <w:t>group.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44.</w:t>
      </w:r>
      <w:r w:rsidRPr="008A0A12">
        <w:tab/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data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gap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trend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gradually</w:t>
      </w:r>
      <w:r w:rsidR="00D17A94">
        <w:t xml:space="preserve"> </w:t>
      </w:r>
      <w:r w:rsidRPr="008A0A12">
        <w:t>decreasing.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overall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Pr="008A0A12">
        <w:t>gap</w:t>
      </w:r>
      <w:r w:rsidR="00D17A94">
        <w:t xml:space="preserve"> </w:t>
      </w:r>
      <w:r w:rsidRPr="008A0A12">
        <w:t>between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average</w:t>
      </w:r>
      <w:r w:rsidR="00D17A94">
        <w:t xml:space="preserve"> </w:t>
      </w:r>
      <w:r w:rsidRPr="008A0A12">
        <w:t>monthly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woman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man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2005</w:t>
      </w:r>
      <w:r w:rsidR="00D17A94">
        <w:t xml:space="preserve"> </w:t>
      </w:r>
      <w:r w:rsidRPr="008A0A12">
        <w:t>accounted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28.4</w:t>
      </w:r>
      <w:r w:rsidR="00CD3239">
        <w:t>%</w:t>
      </w:r>
      <w:r w:rsidRPr="008A0A12">
        <w:t>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2011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accounted</w:t>
      </w:r>
      <w:r w:rsidR="00D17A94">
        <w:t xml:space="preserve"> </w:t>
      </w:r>
      <w:r w:rsidRPr="008A0A12">
        <w:lastRenderedPageBreak/>
        <w:t>for</w:t>
      </w:r>
      <w:r w:rsidR="00D17A94">
        <w:t xml:space="preserve"> </w:t>
      </w:r>
      <w:r w:rsidRPr="008A0A12">
        <w:t>24.2</w:t>
      </w:r>
      <w:r w:rsidR="00CD3239">
        <w:t>%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2015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decreased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22.4</w:t>
      </w:r>
      <w:r w:rsidR="00CD3239">
        <w:t>%</w:t>
      </w:r>
      <w:r w:rsidR="00D17A94">
        <w:t xml:space="preserve"> </w:t>
      </w:r>
      <w:r w:rsidRPr="008A0A12">
        <w:t>(the</w:t>
      </w:r>
      <w:r w:rsidR="00D17A94">
        <w:t xml:space="preserve"> </w:t>
      </w:r>
      <w:r w:rsidRPr="008A0A12">
        <w:t>average</w:t>
      </w:r>
      <w:r w:rsidR="00D17A94">
        <w:t xml:space="preserve"> </w:t>
      </w:r>
      <w:r w:rsidRPr="008A0A12">
        <w:t>monthly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€867.00,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average</w:t>
      </w:r>
      <w:r w:rsidR="00D17A94">
        <w:t xml:space="preserve"> </w:t>
      </w:r>
      <w:r w:rsidRPr="008A0A12">
        <w:t>monthly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€1,117.00).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45.</w:t>
      </w:r>
      <w:r w:rsidRPr="008A0A12">
        <w:tab/>
        <w:t>The</w:t>
      </w:r>
      <w:r w:rsidR="00D17A94">
        <w:t xml:space="preserve"> </w:t>
      </w:r>
      <w:r w:rsidRPr="008A0A12">
        <w:t>analyses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data</w:t>
      </w:r>
      <w:r w:rsidR="00D17A94">
        <w:t xml:space="preserve"> </w:t>
      </w:r>
      <w:r w:rsidRPr="008A0A12">
        <w:t>acquired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sample</w:t>
      </w:r>
      <w:r w:rsidR="00D17A94">
        <w:t xml:space="preserve"> </w:t>
      </w:r>
      <w:r w:rsidRPr="008A0A12">
        <w:t>represented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one</w:t>
      </w:r>
      <w:r w:rsidR="00D17A94">
        <w:t xml:space="preserve"> </w:t>
      </w:r>
      <w:r w:rsidRPr="008A0A12">
        <w:t>million</w:t>
      </w:r>
      <w:r w:rsidR="00D17A94">
        <w:t xml:space="preserve"> </w:t>
      </w:r>
      <w:r w:rsidRPr="008A0A12">
        <w:t>employees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8,170</w:t>
      </w:r>
      <w:r w:rsidR="00D17A94">
        <w:t xml:space="preserve"> </w:t>
      </w:r>
      <w:r w:rsidRPr="008A0A12">
        <w:t>reporting</w:t>
      </w:r>
      <w:r w:rsidR="00D17A94">
        <w:t xml:space="preserve"> </w:t>
      </w:r>
      <w:r w:rsidRPr="008A0A12">
        <w:t>agents</w:t>
      </w:r>
      <w:r w:rsidR="00D17A94">
        <w:t xml:space="preserve"> </w:t>
      </w:r>
      <w:r w:rsidRPr="008A0A12">
        <w:t>(more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50</w:t>
      </w:r>
      <w:r w:rsidR="00CD3239">
        <w:t>%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employees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SR)</w:t>
      </w:r>
      <w:r w:rsidR="00D17A94">
        <w:t xml:space="preserve"> </w:t>
      </w:r>
      <w:r w:rsidRPr="008A0A12">
        <w:t>showed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unequivocal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dominant</w:t>
      </w:r>
      <w:r w:rsidR="00D17A94">
        <w:t xml:space="preserve"> </w:t>
      </w:r>
      <w:r w:rsidRPr="008A0A12">
        <w:t>impact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high</w:t>
      </w:r>
      <w:r w:rsidR="00D17A94">
        <w:t xml:space="preserve"> </w:t>
      </w:r>
      <w:r w:rsidRPr="008A0A12">
        <w:t>segregation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jobs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overall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Pr="008A0A12">
        <w:t>gap.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segregation</w:t>
      </w:r>
      <w:r w:rsidR="00D17A94">
        <w:t xml:space="preserve"> </w:t>
      </w:r>
      <w:r w:rsidRPr="008A0A12">
        <w:t>index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57.56</w:t>
      </w:r>
      <w:r w:rsidR="00CD3239">
        <w:t>%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ensure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balanced</w:t>
      </w:r>
      <w:r w:rsidR="00D17A94">
        <w:t xml:space="preserve"> </w:t>
      </w:r>
      <w:r w:rsidRPr="008A0A12">
        <w:t>distribution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jobs</w:t>
      </w:r>
      <w:r w:rsidR="00D17A94">
        <w:t xml:space="preserve"> </w:t>
      </w:r>
      <w:r w:rsidRPr="008A0A12">
        <w:t>57.56</w:t>
      </w:r>
      <w:r w:rsidR="00CD3239">
        <w:t>%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employees</w:t>
      </w:r>
      <w:r w:rsidR="00D17A94">
        <w:t xml:space="preserve"> </w:t>
      </w:r>
      <w:r w:rsidRPr="008A0A12">
        <w:t>would</w:t>
      </w:r>
      <w:r w:rsidR="00D17A94">
        <w:t xml:space="preserve"> </w:t>
      </w:r>
      <w:r w:rsidRPr="008A0A12">
        <w:t>have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change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jobs.</w:t>
      </w:r>
    </w:p>
    <w:p w:rsidR="00F33762" w:rsidRPr="008A0A12" w:rsidRDefault="00F33762" w:rsidP="0044261E">
      <w:pPr>
        <w:pStyle w:val="H23G"/>
      </w:pPr>
      <w:r w:rsidRPr="008A0A12">
        <w:tab/>
      </w:r>
      <w:r w:rsidRPr="008A0A12">
        <w:tab/>
        <w:t>Safe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healthy</w:t>
      </w:r>
      <w:r w:rsidR="00D17A94">
        <w:t xml:space="preserve"> </w:t>
      </w:r>
      <w:r w:rsidRPr="008A0A12">
        <w:t>working</w:t>
      </w:r>
      <w:r w:rsidR="00D17A94">
        <w:t xml:space="preserve"> </w:t>
      </w:r>
      <w:r w:rsidRPr="008A0A12">
        <w:t>conditions</w:t>
      </w:r>
    </w:p>
    <w:p w:rsidR="00F33762" w:rsidRPr="008A0A12" w:rsidRDefault="00F33762" w:rsidP="00F33762">
      <w:pPr>
        <w:pStyle w:val="SingleTxtG"/>
      </w:pPr>
      <w:r w:rsidRPr="008A0A12">
        <w:t>46.</w:t>
      </w:r>
      <w:r w:rsidRPr="008A0A12">
        <w:tab/>
        <w:t>Fair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satisfactory</w:t>
      </w:r>
      <w:r w:rsidR="00D17A94">
        <w:t xml:space="preserve"> </w:t>
      </w:r>
      <w:r w:rsidRPr="008A0A12">
        <w:t>working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represent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important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policy.</w:t>
      </w:r>
      <w:r w:rsidR="00D17A94">
        <w:t xml:space="preserve"> </w:t>
      </w:r>
      <w:r w:rsidRPr="008A0A12">
        <w:t>They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compliance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EU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conventions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ILO.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working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ensured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large</w:t>
      </w:r>
      <w:r w:rsidR="00D17A94">
        <w:t xml:space="preserve"> </w:t>
      </w:r>
      <w:r w:rsidRPr="008A0A12">
        <w:t>body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ensure</w:t>
      </w:r>
      <w:r w:rsidR="00D17A94">
        <w:t xml:space="preserve"> </w:t>
      </w:r>
      <w:r w:rsidRPr="008A0A12">
        <w:t>safety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work,</w:t>
      </w:r>
      <w:r w:rsidR="00D17A94">
        <w:t xml:space="preserve"> </w:t>
      </w:r>
      <w:r w:rsidRPr="008A0A12">
        <w:t>amended</w:t>
      </w:r>
      <w:r w:rsidR="00D17A94">
        <w:t xml:space="preserve"> </w:t>
      </w:r>
      <w:r w:rsidRPr="008A0A12">
        <w:t>several</w:t>
      </w:r>
      <w:r w:rsidR="00D17A94">
        <w:t xml:space="preserve"> </w:t>
      </w:r>
      <w:r w:rsidRPr="008A0A12">
        <w:t>times.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47.</w:t>
      </w:r>
      <w:r w:rsidRPr="008A0A12">
        <w:tab/>
        <w:t>The</w:t>
      </w:r>
      <w:r w:rsidR="00D17A94">
        <w:t xml:space="preserve"> </w:t>
      </w:r>
      <w:r w:rsidRPr="008A0A12">
        <w:t>area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safety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addressed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fulfilling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aims,</w:t>
      </w:r>
      <w:r w:rsidR="00D17A94">
        <w:t xml:space="preserve"> </w:t>
      </w:r>
      <w:r w:rsidRPr="008A0A12">
        <w:t>objectives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instruments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Strategy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Safety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up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2020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programme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2013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2015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view</w:t>
      </w:r>
      <w:r w:rsidR="00D17A94">
        <w:t xml:space="preserve"> </w:t>
      </w:r>
      <w:r w:rsidRPr="008A0A12">
        <w:t>towards</w:t>
      </w:r>
      <w:r w:rsidR="00D17A94">
        <w:t xml:space="preserve"> </w:t>
      </w:r>
      <w:r w:rsidRPr="008A0A12">
        <w:t>2020,</w:t>
      </w:r>
      <w:r w:rsidR="00D17A94">
        <w:t xml:space="preserve"> </w:t>
      </w:r>
      <w:r w:rsidRPr="008A0A12">
        <w:t>approved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Slovak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10</w:t>
      </w:r>
      <w:r w:rsidR="00D17A94">
        <w:t xml:space="preserve"> </w:t>
      </w:r>
      <w:r w:rsidRPr="008A0A12">
        <w:t>July</w:t>
      </w:r>
      <w:r w:rsidR="00D17A94">
        <w:t xml:space="preserve"> </w:t>
      </w:r>
      <w:r w:rsidRPr="008A0A12">
        <w:t>2013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well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updated</w:t>
      </w:r>
      <w:r w:rsidR="00D17A94">
        <w:t xml:space="preserve"> </w:t>
      </w:r>
      <w:r w:rsidRPr="008A0A12">
        <w:t>Strategy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Safety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2016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2020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programme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approved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12</w:t>
      </w:r>
      <w:r w:rsidR="00D17A94">
        <w:t xml:space="preserve"> </w:t>
      </w:r>
      <w:r w:rsidRPr="008A0A12">
        <w:t>October</w:t>
      </w:r>
      <w:r w:rsidR="00D17A94">
        <w:t xml:space="preserve"> </w:t>
      </w:r>
      <w:r w:rsidRPr="008A0A12">
        <w:t>2016.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strategies</w:t>
      </w:r>
      <w:r w:rsidR="00D17A94">
        <w:t xml:space="preserve"> </w:t>
      </w:r>
      <w:r w:rsidRPr="008A0A12">
        <w:t>contain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structured</w:t>
      </w:r>
      <w:r w:rsidR="00D17A94">
        <w:t xml:space="preserve"> </w:t>
      </w:r>
      <w:r w:rsidRPr="008A0A12">
        <w:t>set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tasks,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supports</w:t>
      </w:r>
      <w:r w:rsidR="00D17A94">
        <w:t xml:space="preserve"> </w:t>
      </w:r>
      <w:r w:rsidRPr="008A0A12">
        <w:t>employers</w:t>
      </w:r>
      <w:r w:rsidR="00413AEE">
        <w:t>’</w:t>
      </w:r>
      <w:r w:rsidR="00D17A94">
        <w:t xml:space="preserve"> </w:t>
      </w:r>
      <w:r w:rsidRPr="008A0A12">
        <w:t>activities</w:t>
      </w:r>
      <w:r w:rsidR="00D17A94">
        <w:t xml:space="preserve"> </w:t>
      </w:r>
      <w:r w:rsidRPr="008A0A12">
        <w:t>ensuring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constitutional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employees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safety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work.</w:t>
      </w:r>
      <w:r w:rsidR="00D17A94">
        <w:t xml:space="preserve"> </w:t>
      </w:r>
    </w:p>
    <w:p w:rsidR="00F33762" w:rsidRPr="008A0A12" w:rsidRDefault="00F33762" w:rsidP="0044261E">
      <w:pPr>
        <w:pStyle w:val="H23G"/>
      </w:pPr>
      <w:r w:rsidRPr="008A0A12">
        <w:tab/>
      </w:r>
      <w:r w:rsidRPr="008A0A12">
        <w:tab/>
        <w:t>Equal</w:t>
      </w:r>
      <w:r w:rsidR="00D17A94">
        <w:t xml:space="preserve"> </w:t>
      </w:r>
      <w:r w:rsidRPr="008A0A12">
        <w:t>opportunities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employment</w:t>
      </w:r>
    </w:p>
    <w:p w:rsidR="00F33762" w:rsidRPr="008A0A12" w:rsidRDefault="00F33762" w:rsidP="00F33762">
      <w:pPr>
        <w:pStyle w:val="SingleTxtG"/>
      </w:pPr>
      <w:r w:rsidRPr="008A0A12">
        <w:t>48.</w:t>
      </w:r>
      <w:r w:rsidRPr="008A0A12">
        <w:tab/>
        <w:t>In</w:t>
      </w:r>
      <w:r w:rsidR="00D17A94">
        <w:t xml:space="preserve"> </w:t>
      </w:r>
      <w:r w:rsidRPr="008A0A12">
        <w:t>compliance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contractual</w:t>
      </w:r>
      <w:r w:rsidR="00D17A94">
        <w:t xml:space="preserve"> </w:t>
      </w:r>
      <w:r w:rsidRPr="008A0A12">
        <w:t>principle</w:t>
      </w:r>
      <w:r w:rsidR="00D17A94">
        <w:t xml:space="preserve"> </w:t>
      </w:r>
      <w:r w:rsidRPr="008A0A12">
        <w:t>contained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LC,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agreed</w:t>
      </w:r>
      <w:r w:rsidR="00D17A94">
        <w:t xml:space="preserve"> </w:t>
      </w:r>
      <w:r w:rsidRPr="008A0A12">
        <w:t>type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employee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hired,</w:t>
      </w:r>
      <w:r w:rsidR="00D17A94">
        <w:t xml:space="preserve"> </w:t>
      </w:r>
      <w:r w:rsidRPr="008A0A12">
        <w:t>including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short</w:t>
      </w:r>
      <w:r w:rsidR="00D17A94">
        <w:t xml:space="preserve"> </w:t>
      </w:r>
      <w:r w:rsidRPr="008A0A12">
        <w:t>description,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one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four</w:t>
      </w:r>
      <w:r w:rsidR="00D17A94">
        <w:t xml:space="preserve"> </w:t>
      </w:r>
      <w:r w:rsidRPr="008A0A12">
        <w:t>fundamental</w:t>
      </w:r>
      <w:r w:rsidR="00D17A94">
        <w:t xml:space="preserve"> </w:t>
      </w:r>
      <w:r w:rsidRPr="008A0A12">
        <w:t>requirements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contract</w:t>
      </w:r>
      <w:r w:rsidR="00D17A94">
        <w:t xml:space="preserve"> </w:t>
      </w:r>
      <w:r w:rsidRPr="008A0A12">
        <w:t>between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employer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employee.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</w:t>
      </w:r>
      <w:r w:rsidR="00D17A94">
        <w:t xml:space="preserve"> </w:t>
      </w:r>
      <w:r w:rsidRPr="008A0A12">
        <w:t>16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44261E">
      <w:pPr>
        <w:pStyle w:val="H23G"/>
      </w:pPr>
      <w:r w:rsidRPr="008A0A12">
        <w:tab/>
      </w:r>
      <w:r w:rsidRPr="008A0A12">
        <w:tab/>
        <w:t>Rest,</w:t>
      </w:r>
      <w:r w:rsidR="00D17A94">
        <w:t xml:space="preserve"> </w:t>
      </w:r>
      <w:r w:rsidRPr="008A0A12">
        <w:t>leisure</w:t>
      </w:r>
    </w:p>
    <w:p w:rsidR="00F33762" w:rsidRPr="008A0A12" w:rsidRDefault="00F33762" w:rsidP="00F33762">
      <w:pPr>
        <w:pStyle w:val="SingleTxtG"/>
      </w:pPr>
      <w:r w:rsidRPr="008A0A12">
        <w:t>49.</w:t>
      </w:r>
      <w:r w:rsidRPr="008A0A12">
        <w:tab/>
        <w:t>Legislation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103-120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second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applies.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17-18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F33762">
      <w:pPr>
        <w:pStyle w:val="SingleTxtG"/>
      </w:pPr>
      <w:r w:rsidRPr="008A0A12">
        <w:t>50.</w:t>
      </w:r>
      <w:r w:rsidRPr="008A0A12">
        <w:tab/>
        <w:t>Information</w:t>
      </w:r>
      <w:r w:rsidR="00D17A94">
        <w:t xml:space="preserve"> </w:t>
      </w:r>
      <w:r w:rsidRPr="008A0A12">
        <w:t>about</w:t>
      </w:r>
      <w:r w:rsidR="00D17A94">
        <w:t xml:space="preserve"> </w:t>
      </w:r>
      <w:r w:rsidRPr="008A0A12">
        <w:t>reasonable</w:t>
      </w:r>
      <w:r w:rsidR="00D17A94">
        <w:t xml:space="preserve"> </w:t>
      </w:r>
      <w:r w:rsidRPr="008A0A12">
        <w:t>limitation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working</w:t>
      </w:r>
      <w:r w:rsidR="00D17A94">
        <w:t xml:space="preserve"> </w:t>
      </w:r>
      <w:r w:rsidRPr="008A0A12">
        <w:t>hours,</w:t>
      </w:r>
      <w:r w:rsidR="00D17A94">
        <w:t xml:space="preserve"> </w:t>
      </w:r>
      <w:r w:rsidRPr="008A0A12">
        <w:t>regular</w:t>
      </w:r>
      <w:r w:rsidR="00D17A94">
        <w:t xml:space="preserve"> </w:t>
      </w:r>
      <w:r w:rsidRPr="008A0A12">
        <w:t>paid</w:t>
      </w:r>
      <w:r w:rsidR="00D17A94">
        <w:t xml:space="preserve"> </w:t>
      </w:r>
      <w:r w:rsidRPr="008A0A12">
        <w:t>leave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remuneration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holidays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19-21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44261E">
      <w:pPr>
        <w:pStyle w:val="H1G"/>
      </w:pPr>
      <w:r w:rsidRPr="008A0A12">
        <w:tab/>
      </w:r>
      <w:r w:rsidRPr="008A0A12">
        <w:tab/>
        <w:t>Article</w:t>
      </w:r>
      <w:r w:rsidR="00D17A94">
        <w:t xml:space="preserve"> </w:t>
      </w:r>
      <w:r w:rsidRPr="008A0A12">
        <w:t>8</w:t>
      </w:r>
    </w:p>
    <w:p w:rsidR="00F33762" w:rsidRPr="008A0A12" w:rsidRDefault="00F33762" w:rsidP="0044261E">
      <w:pPr>
        <w:pStyle w:val="H23G"/>
      </w:pPr>
      <w:r w:rsidRPr="008A0A12">
        <w:tab/>
      </w:r>
      <w:r w:rsidRPr="008A0A12">
        <w:tab/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trade</w:t>
      </w:r>
      <w:r w:rsidR="00D17A94">
        <w:t xml:space="preserve"> </w:t>
      </w:r>
      <w:r w:rsidRPr="008A0A12">
        <w:t>unions</w:t>
      </w:r>
    </w:p>
    <w:p w:rsidR="00F33762" w:rsidRPr="008A0A12" w:rsidRDefault="00F33762" w:rsidP="00F33762">
      <w:pPr>
        <w:pStyle w:val="SingleTxtG"/>
      </w:pPr>
      <w:r w:rsidRPr="008A0A12">
        <w:t>51.</w:t>
      </w:r>
      <w:r w:rsidRPr="008A0A12">
        <w:tab/>
        <w:t>The</w:t>
      </w:r>
      <w:r w:rsidR="00D17A94">
        <w:t xml:space="preserve"> </w:t>
      </w:r>
      <w:r w:rsidRPr="008A0A12">
        <w:t>Constitution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guarantees,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Article</w:t>
      </w:r>
      <w:r w:rsidR="00D17A94">
        <w:t xml:space="preserve"> </w:t>
      </w:r>
      <w:r w:rsidRPr="008A0A12">
        <w:t>37,</w:t>
      </w:r>
      <w:r w:rsidR="00D17A94">
        <w:t xml:space="preserve"> </w:t>
      </w:r>
      <w:r w:rsidRPr="008A0A12">
        <w:t>Paragraphs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2,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each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freely</w:t>
      </w:r>
      <w:r w:rsidR="00D17A94">
        <w:t xml:space="preserve"> </w:t>
      </w:r>
      <w:r w:rsidRPr="008A0A12">
        <w:t>associate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others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protect</w:t>
      </w:r>
      <w:r w:rsidR="00D17A94">
        <w:t xml:space="preserve"> </w:t>
      </w:r>
      <w:r w:rsidRPr="008A0A12">
        <w:t>his</w:t>
      </w:r>
      <w:r w:rsidR="00D17A94">
        <w:t xml:space="preserve"> </w:t>
      </w:r>
      <w:r w:rsidRPr="008A0A12">
        <w:t>economic,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cultural</w:t>
      </w:r>
      <w:r w:rsidR="00D17A94">
        <w:t xml:space="preserve"> </w:t>
      </w:r>
      <w:r w:rsidRPr="008A0A12">
        <w:t>rights.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unionisation</w:t>
      </w:r>
      <w:r w:rsidR="00D17A94">
        <w:t xml:space="preserve"> </w:t>
      </w:r>
      <w:r w:rsidRPr="008A0A12">
        <w:t>compared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second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(points</w:t>
      </w:r>
      <w:r w:rsidR="00D17A94">
        <w:t xml:space="preserve"> </w:t>
      </w:r>
      <w:r w:rsidRPr="008A0A12">
        <w:t>121-123,</w:t>
      </w:r>
      <w:r w:rsidR="00D17A94">
        <w:t xml:space="preserve"> </w:t>
      </w:r>
      <w:r w:rsidRPr="008A0A12">
        <w:t>125-127)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remained</w:t>
      </w:r>
      <w:r w:rsidR="00D17A94">
        <w:t xml:space="preserve"> </w:t>
      </w:r>
      <w:r w:rsidRPr="008A0A12">
        <w:t>unchanged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</w:t>
      </w:r>
      <w:r w:rsidR="00D17A94">
        <w:t xml:space="preserve"> </w:t>
      </w:r>
      <w:r w:rsidRPr="008A0A12">
        <w:t>22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52.</w:t>
      </w:r>
      <w:r w:rsidRPr="008A0A12">
        <w:tab/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contracting</w:t>
      </w:r>
      <w:r w:rsidR="00D17A94">
        <w:t xml:space="preserve"> </w:t>
      </w:r>
      <w:r w:rsidRPr="008A0A12">
        <w:t>party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ILO</w:t>
      </w:r>
      <w:r w:rsidR="00D17A94">
        <w:t xml:space="preserve"> </w:t>
      </w:r>
      <w:r w:rsidRPr="008A0A12">
        <w:t>Convention</w:t>
      </w:r>
      <w:r w:rsidR="00D17A94">
        <w:t xml:space="preserve"> </w:t>
      </w:r>
      <w:r w:rsidRPr="008A0A12">
        <w:t>87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ILO</w:t>
      </w:r>
      <w:r w:rsidR="00D17A94">
        <w:t xml:space="preserve"> </w:t>
      </w:r>
      <w:r w:rsidRPr="008A0A12">
        <w:t>Convention</w:t>
      </w:r>
      <w:r w:rsidR="00D17A94">
        <w:t xml:space="preserve"> </w:t>
      </w:r>
      <w:r w:rsidRPr="008A0A12">
        <w:t>98.</w:t>
      </w:r>
    </w:p>
    <w:p w:rsidR="00F33762" w:rsidRPr="008A0A12" w:rsidRDefault="00F33762" w:rsidP="0044261E">
      <w:pPr>
        <w:pStyle w:val="H23G"/>
      </w:pPr>
      <w:r w:rsidRPr="008A0A12">
        <w:tab/>
      </w:r>
      <w:r w:rsidRPr="008A0A12">
        <w:tab/>
        <w:t>Collective</w:t>
      </w:r>
      <w:r w:rsidR="00D17A94">
        <w:t xml:space="preserve"> </w:t>
      </w:r>
      <w:r w:rsidRPr="008A0A12">
        <w:t>bargaining,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strike</w:t>
      </w:r>
    </w:p>
    <w:p w:rsidR="00F33762" w:rsidRPr="008A0A12" w:rsidRDefault="00F33762" w:rsidP="00F33762">
      <w:pPr>
        <w:pStyle w:val="SingleTxtG"/>
      </w:pPr>
      <w:r w:rsidRPr="008A0A12">
        <w:t>53.</w:t>
      </w:r>
      <w:r w:rsidRPr="008A0A12">
        <w:tab/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Constitution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Article</w:t>
      </w:r>
      <w:r w:rsidR="00D17A94">
        <w:t xml:space="preserve"> </w:t>
      </w:r>
      <w:r w:rsidRPr="008A0A12">
        <w:t>37,</w:t>
      </w:r>
      <w:r w:rsidR="00D17A94">
        <w:t xml:space="preserve"> </w:t>
      </w:r>
      <w:r w:rsidRPr="008A0A12">
        <w:t>Paragraph</w:t>
      </w:r>
      <w:r w:rsidR="00D17A94">
        <w:t xml:space="preserve"> </w:t>
      </w:r>
      <w:r w:rsidRPr="008A0A12">
        <w:t>4,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Chart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Fundamental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Freedoms</w:t>
      </w:r>
      <w:r w:rsidR="00D17A94">
        <w:t xml:space="preserve"> </w:t>
      </w:r>
      <w:r w:rsidRPr="008A0A12">
        <w:t>(Constitutional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23/1991)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Article</w:t>
      </w:r>
      <w:r w:rsidR="00D17A94">
        <w:t xml:space="preserve"> </w:t>
      </w:r>
      <w:r w:rsidRPr="008A0A12">
        <w:t>27,</w:t>
      </w:r>
      <w:r w:rsidR="00D17A94">
        <w:t xml:space="preserve"> </w:t>
      </w:r>
      <w:r w:rsidRPr="008A0A12">
        <w:t>Paragraph</w:t>
      </w:r>
      <w:r w:rsidR="00D17A94">
        <w:t xml:space="preserve"> </w:t>
      </w:r>
      <w:r w:rsidRPr="008A0A12">
        <w:t>4</w:t>
      </w:r>
      <w:r w:rsidR="00D17A94">
        <w:t xml:space="preserve"> </w:t>
      </w:r>
      <w:r w:rsidRPr="008A0A12">
        <w:t>provide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strike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one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citizens.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2/1991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Collective</w:t>
      </w:r>
      <w:r w:rsidR="00D17A94">
        <w:t xml:space="preserve"> </w:t>
      </w:r>
      <w:r w:rsidRPr="008A0A12">
        <w:t>Bargaining</w:t>
      </w:r>
      <w:r w:rsidR="00D17A94">
        <w:t xml:space="preserve"> </w:t>
      </w:r>
      <w:r w:rsidRPr="008A0A12">
        <w:t>provides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basic</w:t>
      </w:r>
      <w:r w:rsidR="00D17A94">
        <w:t xml:space="preserve"> </w:t>
      </w:r>
      <w:r w:rsidRPr="008A0A12">
        <w:t>issues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strike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collective</w:t>
      </w:r>
      <w:r w:rsidR="00D17A94">
        <w:t xml:space="preserve"> </w:t>
      </w:r>
      <w:r w:rsidRPr="008A0A12">
        <w:t>bargaining.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lastRenderedPageBreak/>
        <w:t>54.</w:t>
      </w:r>
      <w:r w:rsidRPr="008A0A12">
        <w:tab/>
        <w:t>Support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parity</w:t>
      </w:r>
      <w:r w:rsidR="00D17A94">
        <w:t xml:space="preserve"> </w:t>
      </w:r>
      <w:r w:rsidRPr="008A0A12">
        <w:t>consultations</w:t>
      </w:r>
      <w:r w:rsidR="00D17A94">
        <w:t xml:space="preserve"> </w:t>
      </w:r>
      <w:r w:rsidRPr="008A0A12">
        <w:t>between</w:t>
      </w:r>
      <w:r w:rsidR="00D17A94">
        <w:t xml:space="preserve"> </w:t>
      </w:r>
      <w:r w:rsidRPr="008A0A12">
        <w:t>employees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employers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LC.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mainly</w:t>
      </w:r>
      <w:r w:rsidR="00D17A94">
        <w:t xml:space="preserve"> </w:t>
      </w:r>
      <w:r w:rsidRPr="008A0A12">
        <w:t>issues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working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conditions,</w:t>
      </w:r>
      <w:r w:rsidR="00D17A94">
        <w:t xml:space="preserve"> </w:t>
      </w:r>
      <w:r w:rsidRPr="008A0A12">
        <w:t>business</w:t>
      </w:r>
      <w:r w:rsidR="00D17A94">
        <w:t xml:space="preserve"> </w:t>
      </w:r>
      <w:r w:rsidRPr="008A0A12">
        <w:t>transfers,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collective</w:t>
      </w:r>
      <w:r w:rsidR="00D17A94">
        <w:t xml:space="preserve"> </w:t>
      </w:r>
      <w:r w:rsidRPr="008A0A12">
        <w:t>redundancies.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55.</w:t>
      </w:r>
      <w:r w:rsidRPr="008A0A12">
        <w:tab/>
        <w:t>Under</w:t>
      </w:r>
      <w:r w:rsidR="00D17A94">
        <w:t xml:space="preserve"> </w:t>
      </w:r>
      <w:r w:rsidRPr="008A0A12">
        <w:t>Article</w:t>
      </w:r>
      <w:r w:rsidR="00D17A94">
        <w:t xml:space="preserve"> </w:t>
      </w:r>
      <w:r w:rsidRPr="008A0A12">
        <w:t>54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Constitution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strike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whose</w:t>
      </w:r>
      <w:r w:rsidR="00D17A94">
        <w:t xml:space="preserve"> </w:t>
      </w:r>
      <w:r w:rsidRPr="008A0A12">
        <w:t>professions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absolutely</w:t>
      </w:r>
      <w:r w:rsidR="00D17A94">
        <w:t xml:space="preserve"> </w:t>
      </w:r>
      <w:r w:rsidRPr="008A0A12">
        <w:t>necessary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life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limited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provision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20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Collective</w:t>
      </w:r>
      <w:r w:rsidR="00D17A94">
        <w:t xml:space="preserve"> </w:t>
      </w:r>
      <w:r w:rsidRPr="008A0A12">
        <w:t>Bargaining.</w:t>
      </w:r>
      <w:r w:rsidR="00D17A94">
        <w:t xml:space="preserve"> </w:t>
      </w:r>
      <w:r w:rsidRPr="008A0A12">
        <w:t>Strike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compared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second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changed</w:t>
      </w:r>
      <w:r w:rsidR="00D17A94">
        <w:t xml:space="preserve"> </w:t>
      </w:r>
      <w:r w:rsidRPr="008A0A12">
        <w:t>(points</w:t>
      </w:r>
      <w:r w:rsidR="00D17A94">
        <w:t xml:space="preserve"> </w:t>
      </w:r>
      <w:r w:rsidRPr="008A0A12">
        <w:t>128-129).</w:t>
      </w:r>
    </w:p>
    <w:p w:rsidR="00F33762" w:rsidRPr="008A0A12" w:rsidRDefault="00F33762" w:rsidP="00C75277">
      <w:pPr>
        <w:pStyle w:val="H1G"/>
      </w:pPr>
      <w:r w:rsidRPr="008A0A12">
        <w:tab/>
      </w:r>
      <w:r w:rsidRPr="008A0A12">
        <w:tab/>
        <w:t>Article</w:t>
      </w:r>
      <w:r w:rsidR="00D17A94">
        <w:t xml:space="preserve"> </w:t>
      </w:r>
      <w:r w:rsidRPr="008A0A12">
        <w:t>9</w:t>
      </w:r>
    </w:p>
    <w:p w:rsidR="00F33762" w:rsidRPr="008A0A12" w:rsidRDefault="00F33762" w:rsidP="00C75277">
      <w:pPr>
        <w:pStyle w:val="H23G"/>
      </w:pPr>
      <w:r w:rsidRPr="008A0A12">
        <w:tab/>
      </w:r>
      <w:r w:rsidRPr="008A0A12">
        <w:tab/>
        <w:t>Social</w:t>
      </w:r>
      <w:r w:rsidR="00D17A94">
        <w:t xml:space="preserve"> </w:t>
      </w:r>
      <w:r w:rsidRPr="008A0A12">
        <w:t>insurance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56.</w:t>
      </w:r>
      <w:r w:rsidRPr="008A0A12">
        <w:tab/>
        <w:t>The</w:t>
      </w:r>
      <w:r w:rsidR="00D17A94">
        <w:t xml:space="preserve"> </w:t>
      </w:r>
      <w:r w:rsidRPr="008A0A12">
        <w:t>Constitution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Article</w:t>
      </w:r>
      <w:r w:rsidR="00D17A94">
        <w:t xml:space="preserve"> </w:t>
      </w:r>
      <w:r w:rsidRPr="008A0A12">
        <w:t>39,</w:t>
      </w:r>
      <w:r w:rsidR="00D17A94">
        <w:t xml:space="preserve"> </w:t>
      </w:r>
      <w:r w:rsidRPr="008A0A12">
        <w:t>Paragraph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guarantees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one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basic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rights,</w:t>
      </w:r>
      <w:r w:rsidR="00D17A94">
        <w:t xml:space="preserve"> </w:t>
      </w:r>
      <w:r w:rsidRPr="008A0A12">
        <w:t>namely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adequate</w:t>
      </w:r>
      <w:r w:rsidR="00D17A94">
        <w:t xml:space="preserve"> </w:t>
      </w:r>
      <w:r w:rsidRPr="008A0A12">
        <w:t>material</w:t>
      </w:r>
      <w:r w:rsidR="00D17A94">
        <w:t xml:space="preserve"> </w:t>
      </w:r>
      <w:r w:rsidRPr="008A0A12">
        <w:t>security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old</w:t>
      </w:r>
      <w:r w:rsidR="00D17A94">
        <w:t xml:space="preserve"> </w:t>
      </w:r>
      <w:r w:rsidRPr="008A0A12">
        <w:t>age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during</w:t>
      </w:r>
      <w:r w:rsidR="00D17A94">
        <w:t xml:space="preserve"> </w:t>
      </w:r>
      <w:r w:rsidRPr="008A0A12">
        <w:t>periods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incapacity,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well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case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loss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household</w:t>
      </w:r>
      <w:r w:rsidR="00D17A94">
        <w:t xml:space="preserve"> </w:t>
      </w:r>
      <w:r w:rsidRPr="008A0A12">
        <w:t>provider.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security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obligated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implement.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implemented</w:t>
      </w:r>
      <w:r w:rsidR="00D17A94">
        <w:t xml:space="preserve"> </w:t>
      </w:r>
      <w:r w:rsidRPr="008A0A12">
        <w:t>primarily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performed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Company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institution.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23-25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F33762">
      <w:pPr>
        <w:pStyle w:val="SingleTxtG"/>
      </w:pPr>
      <w:r w:rsidRPr="008A0A12">
        <w:t>57.</w:t>
      </w:r>
      <w:r w:rsidRPr="008A0A12">
        <w:tab/>
        <w:t>Fundamental</w:t>
      </w:r>
      <w:r w:rsidR="00D17A94">
        <w:t xml:space="preserve"> </w:t>
      </w:r>
      <w:r w:rsidRPr="008A0A12">
        <w:t>changes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made</w:t>
      </w:r>
      <w:r w:rsidR="00D17A94">
        <w:t xml:space="preserve"> </w:t>
      </w:r>
      <w:r w:rsidRPr="008A0A12">
        <w:t>between</w:t>
      </w:r>
      <w:r w:rsidR="00D17A94">
        <w:t xml:space="preserve"> </w:t>
      </w:r>
      <w:r w:rsidRPr="008A0A12">
        <w:t>2011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2014.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approach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exhaustively</w:t>
      </w:r>
      <w:r w:rsidR="00D17A94">
        <w:t xml:space="preserve"> </w:t>
      </w:r>
      <w:r w:rsidRPr="008A0A12">
        <w:t>listing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whom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applies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abandoned.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connected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income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income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business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taxed</w:t>
      </w:r>
      <w:r w:rsidR="00D17A94">
        <w:t xml:space="preserve"> </w:t>
      </w:r>
      <w:r w:rsidRPr="008A0A12"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tax</w:t>
      </w:r>
      <w:r w:rsidR="00D17A94">
        <w:t xml:space="preserve"> </w:t>
      </w:r>
      <w:r w:rsidRPr="008A0A12">
        <w:t>regulations.</w:t>
      </w:r>
    </w:p>
    <w:p w:rsidR="00F33762" w:rsidRPr="008A0A12" w:rsidRDefault="00F33762" w:rsidP="00F33762">
      <w:pPr>
        <w:pStyle w:val="SingleTxtG"/>
      </w:pPr>
      <w:r w:rsidRPr="008A0A12">
        <w:t>58.</w:t>
      </w:r>
      <w:r w:rsidRPr="008A0A12">
        <w:tab/>
        <w:t>As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second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(</w:t>
      </w:r>
      <w:r w:rsidR="00505C54">
        <w:t>a</w:t>
      </w:r>
      <w:r w:rsidRPr="008A0A12">
        <w:t>rt</w:t>
      </w:r>
      <w:r w:rsidR="00505C54">
        <w:t>.</w:t>
      </w:r>
      <w:r w:rsidR="00D17A94">
        <w:t xml:space="preserve"> </w:t>
      </w:r>
      <w:r w:rsidRPr="008A0A12">
        <w:t>9),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current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consists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five</w:t>
      </w:r>
      <w:r w:rsidR="00D17A94">
        <w:t xml:space="preserve"> </w:t>
      </w:r>
      <w:r w:rsidRPr="008A0A12">
        <w:t>separate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systems:</w:t>
      </w:r>
      <w:r w:rsidR="00D17A94">
        <w:t xml:space="preserve"> </w:t>
      </w:r>
    </w:p>
    <w:p w:rsidR="00F33762" w:rsidRPr="008A0A12" w:rsidRDefault="00F33762" w:rsidP="00C75277">
      <w:pPr>
        <w:pStyle w:val="Bullet1G"/>
      </w:pPr>
      <w:r w:rsidRPr="008A0A12">
        <w:t>Sickness</w:t>
      </w:r>
      <w:r w:rsidR="00D17A94">
        <w:t xml:space="preserve"> </w:t>
      </w:r>
      <w:r w:rsidRPr="008A0A12">
        <w:t>insurance</w:t>
      </w:r>
      <w:r w:rsidR="006D58EE">
        <w:t>;</w:t>
      </w:r>
    </w:p>
    <w:p w:rsidR="00F33762" w:rsidRPr="008A0A12" w:rsidRDefault="00F33762" w:rsidP="00C75277">
      <w:pPr>
        <w:pStyle w:val="Bullet1G"/>
      </w:pPr>
      <w:r w:rsidRPr="008A0A12">
        <w:t>Pension</w:t>
      </w:r>
      <w:r w:rsidR="00D17A94">
        <w:t xml:space="preserve"> </w:t>
      </w:r>
      <w:r w:rsidRPr="008A0A12">
        <w:t>insurance,</w:t>
      </w:r>
      <w:r w:rsidR="00D17A94">
        <w:t xml:space="preserve"> </w:t>
      </w:r>
      <w:r w:rsidRPr="008A0A12">
        <w:t>broken</w:t>
      </w:r>
      <w:r w:rsidR="00D17A94">
        <w:t xml:space="preserve"> </w:t>
      </w:r>
      <w:r w:rsidRPr="008A0A12">
        <w:t>down</w:t>
      </w:r>
      <w:r w:rsidR="00D17A94">
        <w:t xml:space="preserve"> </w:t>
      </w:r>
      <w:r w:rsidRPr="008A0A12">
        <w:t>to</w:t>
      </w:r>
    </w:p>
    <w:p w:rsidR="00F33762" w:rsidRPr="008A0A12" w:rsidRDefault="00F33762" w:rsidP="00C75277">
      <w:pPr>
        <w:pStyle w:val="Bullet1G"/>
      </w:pPr>
      <w:r w:rsidRPr="008A0A12">
        <w:t>Old-age</w:t>
      </w:r>
      <w:r w:rsidR="00D17A94">
        <w:t xml:space="preserve"> </w:t>
      </w:r>
      <w:r w:rsidRPr="008A0A12">
        <w:t>insurance</w:t>
      </w:r>
      <w:r w:rsidR="006D58EE">
        <w:t>;</w:t>
      </w:r>
    </w:p>
    <w:p w:rsidR="00F33762" w:rsidRPr="008A0A12" w:rsidRDefault="00F33762" w:rsidP="00C75277">
      <w:pPr>
        <w:pStyle w:val="Bullet1G"/>
      </w:pPr>
      <w:r w:rsidRPr="008A0A12">
        <w:t>Disability</w:t>
      </w:r>
      <w:r w:rsidR="00D17A94">
        <w:t xml:space="preserve"> </w:t>
      </w:r>
      <w:r w:rsidRPr="008A0A12">
        <w:t>insurance</w:t>
      </w:r>
      <w:r w:rsidR="006D58EE">
        <w:t>;</w:t>
      </w:r>
    </w:p>
    <w:p w:rsidR="00F33762" w:rsidRPr="008A0A12" w:rsidRDefault="00F33762" w:rsidP="00C75277">
      <w:pPr>
        <w:pStyle w:val="Bullet1G"/>
      </w:pPr>
      <w:r w:rsidRPr="008A0A12">
        <w:t>Accident</w:t>
      </w:r>
      <w:r w:rsidR="00D17A94">
        <w:t xml:space="preserve"> </w:t>
      </w:r>
      <w:r w:rsidRPr="008A0A12">
        <w:t>insurance</w:t>
      </w:r>
      <w:r w:rsidR="006D58EE">
        <w:t>;</w:t>
      </w:r>
    </w:p>
    <w:p w:rsidR="00F33762" w:rsidRPr="008A0A12" w:rsidRDefault="00F33762" w:rsidP="00C75277">
      <w:pPr>
        <w:pStyle w:val="Bullet1G"/>
      </w:pPr>
      <w:r w:rsidRPr="008A0A12">
        <w:t>Guarantee</w:t>
      </w:r>
      <w:r w:rsidR="00D17A94">
        <w:t xml:space="preserve"> </w:t>
      </w:r>
      <w:r w:rsidRPr="008A0A12">
        <w:t>insurance</w:t>
      </w:r>
      <w:r w:rsidR="006D58EE">
        <w:t>;</w:t>
      </w:r>
    </w:p>
    <w:p w:rsidR="00F33762" w:rsidRPr="008A0A12" w:rsidRDefault="00F33762" w:rsidP="00C75277">
      <w:pPr>
        <w:pStyle w:val="Bullet1G"/>
      </w:pPr>
      <w:r w:rsidRPr="008A0A12">
        <w:t>Unemployment</w:t>
      </w:r>
      <w:r w:rsidR="00D17A94">
        <w:t xml:space="preserve"> </w:t>
      </w:r>
      <w:r w:rsidRPr="008A0A12">
        <w:t>insurance.</w:t>
      </w:r>
    </w:p>
    <w:p w:rsidR="00F33762" w:rsidRPr="008A0A12" w:rsidRDefault="00F33762" w:rsidP="00F33762">
      <w:pPr>
        <w:pStyle w:val="SingleTxtG"/>
      </w:pPr>
      <w:r w:rsidRPr="008A0A12">
        <w:t>59.</w:t>
      </w:r>
      <w:r w:rsidRPr="008A0A12">
        <w:tab/>
        <w:t>Mandatory</w:t>
      </w:r>
      <w:r w:rsidR="00D17A94">
        <w:t xml:space="preserve"> </w:t>
      </w:r>
      <w:r w:rsidRPr="008A0A12">
        <w:t>sickness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applies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following</w:t>
      </w:r>
      <w:r w:rsidR="00D17A94">
        <w:t xml:space="preserve"> </w:t>
      </w:r>
      <w:r w:rsidRPr="008A0A12">
        <w:t>persons:</w:t>
      </w:r>
    </w:p>
    <w:p w:rsidR="00F33762" w:rsidRPr="008A0A12" w:rsidRDefault="00CA4A3C" w:rsidP="00F33762">
      <w:pPr>
        <w:pStyle w:val="SingleTxtG"/>
      </w:pPr>
      <w:r>
        <w:tab/>
        <w:t>(</w:t>
      </w:r>
      <w:r w:rsidR="00F33762" w:rsidRPr="008A0A12">
        <w:t>a)</w:t>
      </w:r>
      <w:r w:rsidR="00F33762" w:rsidRPr="008A0A12">
        <w:tab/>
        <w:t>An</w:t>
      </w:r>
      <w:r w:rsidR="00D17A94">
        <w:t xml:space="preserve"> </w:t>
      </w:r>
      <w:r w:rsidR="00F33762" w:rsidRPr="008A0A12">
        <w:t>employee</w:t>
      </w:r>
      <w:r w:rsidR="00D17A94">
        <w:t xml:space="preserve"> </w:t>
      </w:r>
      <w:r w:rsidR="00F33762" w:rsidRPr="008A0A12">
        <w:t>with</w:t>
      </w:r>
      <w:r w:rsidR="00D17A94">
        <w:t xml:space="preserve"> </w:t>
      </w:r>
      <w:r w:rsidR="00F33762" w:rsidRPr="008A0A12">
        <w:t>the</w:t>
      </w:r>
      <w:r w:rsidR="00D17A94">
        <w:t xml:space="preserve"> </w:t>
      </w:r>
      <w:r w:rsidR="00F33762" w:rsidRPr="008A0A12">
        <w:t>right</w:t>
      </w:r>
      <w:r w:rsidR="00D17A94">
        <w:t xml:space="preserve"> </w:t>
      </w:r>
      <w:r w:rsidR="00F33762" w:rsidRPr="008A0A12">
        <w:t>to</w:t>
      </w:r>
      <w:r w:rsidR="00D17A94">
        <w:t xml:space="preserve"> </w:t>
      </w:r>
      <w:r w:rsidR="00F33762" w:rsidRPr="008A0A12">
        <w:t>regular</w:t>
      </w:r>
      <w:r w:rsidR="00D17A94">
        <w:t xml:space="preserve"> </w:t>
      </w:r>
      <w:r w:rsidR="00F33762" w:rsidRPr="008A0A12">
        <w:t>monthly</w:t>
      </w:r>
      <w:r w:rsidR="00D17A94">
        <w:t xml:space="preserve"> </w:t>
      </w:r>
      <w:r w:rsidR="00F33762" w:rsidRPr="008A0A12">
        <w:t>income,</w:t>
      </w:r>
    </w:p>
    <w:p w:rsidR="00F33762" w:rsidRPr="008A0A12" w:rsidRDefault="00CA4A3C" w:rsidP="00F33762">
      <w:pPr>
        <w:pStyle w:val="SingleTxtG"/>
      </w:pPr>
      <w:r>
        <w:tab/>
        <w:t>(</w:t>
      </w:r>
      <w:r w:rsidR="00F33762" w:rsidRPr="008A0A12">
        <w:t>b)</w:t>
      </w:r>
      <w:r w:rsidR="00F33762" w:rsidRPr="008A0A12">
        <w:tab/>
        <w:t>A</w:t>
      </w:r>
      <w:r w:rsidR="00D17A94">
        <w:t xml:space="preserve"> </w:t>
      </w:r>
      <w:r w:rsidR="00F33762" w:rsidRPr="008A0A12">
        <w:t>self-employed</w:t>
      </w:r>
      <w:r w:rsidR="00D17A94">
        <w:t xml:space="preserve"> </w:t>
      </w:r>
      <w:r w:rsidR="00F33762" w:rsidRPr="008A0A12">
        <w:t>person</w:t>
      </w:r>
      <w:r w:rsidR="00D17A94">
        <w:t xml:space="preserve"> </w:t>
      </w:r>
      <w:r w:rsidR="00F33762" w:rsidRPr="008A0A12">
        <w:t>(SEP),</w:t>
      </w:r>
      <w:r w:rsidR="00D17A94">
        <w:t xml:space="preserve"> </w:t>
      </w:r>
      <w:r w:rsidR="00F33762" w:rsidRPr="008A0A12">
        <w:t>whose</w:t>
      </w:r>
      <w:r w:rsidR="00D17A94">
        <w:t xml:space="preserve"> </w:t>
      </w:r>
      <w:r w:rsidR="00F33762" w:rsidRPr="008A0A12">
        <w:t>income</w:t>
      </w:r>
      <w:r w:rsidR="00D17A94">
        <w:t xml:space="preserve"> </w:t>
      </w:r>
      <w:r w:rsidR="00F33762" w:rsidRPr="008A0A12">
        <w:t>exceeds</w:t>
      </w:r>
      <w:r w:rsidR="00D17A94">
        <w:t xml:space="preserve"> </w:t>
      </w:r>
      <w:r w:rsidR="00F33762" w:rsidRPr="008A0A12">
        <w:t>12-times</w:t>
      </w:r>
      <w:r w:rsidR="00D17A94">
        <w:t xml:space="preserve"> </w:t>
      </w:r>
      <w:r w:rsidR="00F33762" w:rsidRPr="008A0A12">
        <w:t>the</w:t>
      </w:r>
      <w:r w:rsidR="00D17A94">
        <w:t xml:space="preserve"> </w:t>
      </w:r>
      <w:r w:rsidR="00F33762" w:rsidRPr="008A0A12">
        <w:t>minimum</w:t>
      </w:r>
      <w:r w:rsidR="00D17A94">
        <w:t xml:space="preserve"> </w:t>
      </w:r>
      <w:r w:rsidR="00F33762" w:rsidRPr="008A0A12">
        <w:t>assessment</w:t>
      </w:r>
      <w:r w:rsidR="00D17A94">
        <w:t xml:space="preserve"> </w:t>
      </w:r>
      <w:r w:rsidR="00F33762" w:rsidRPr="008A0A12">
        <w:t>base</w:t>
      </w:r>
      <w:r w:rsidR="00D17A94">
        <w:t xml:space="preserve"> </w:t>
      </w:r>
      <w:r w:rsidR="00F33762" w:rsidRPr="008A0A12">
        <w:t>(minimum</w:t>
      </w:r>
      <w:r w:rsidR="00D17A94">
        <w:t xml:space="preserve"> </w:t>
      </w:r>
      <w:r w:rsidR="00F33762" w:rsidRPr="008A0A12">
        <w:t>wage),</w:t>
      </w:r>
    </w:p>
    <w:p w:rsidR="00F33762" w:rsidRPr="008A0A12" w:rsidRDefault="00CA4A3C" w:rsidP="00F33762">
      <w:pPr>
        <w:pStyle w:val="SingleTxtG"/>
      </w:pPr>
      <w:r>
        <w:tab/>
        <w:t>(</w:t>
      </w:r>
      <w:r w:rsidR="00F33762" w:rsidRPr="008A0A12">
        <w:t>c)</w:t>
      </w:r>
      <w:r w:rsidR="00F33762" w:rsidRPr="008A0A12">
        <w:tab/>
        <w:t>State</w:t>
      </w:r>
      <w:r w:rsidR="00D17A94">
        <w:t xml:space="preserve"> </w:t>
      </w:r>
      <w:proofErr w:type="spellStart"/>
      <w:r w:rsidR="00F33762" w:rsidRPr="008A0A12">
        <w:t>insurees</w:t>
      </w:r>
      <w:proofErr w:type="spellEnd"/>
      <w:r w:rsidR="00D17A94">
        <w:t xml:space="preserve"> </w:t>
      </w:r>
      <w:r w:rsidR="00F33762" w:rsidRPr="008A0A12">
        <w:t>are</w:t>
      </w:r>
      <w:r w:rsidR="00D17A94">
        <w:t xml:space="preserve"> </w:t>
      </w:r>
      <w:r w:rsidR="00F33762" w:rsidRPr="008A0A12">
        <w:t>also</w:t>
      </w:r>
      <w:r w:rsidR="00D17A94">
        <w:t xml:space="preserve"> </w:t>
      </w:r>
      <w:r w:rsidR="00F33762" w:rsidRPr="008A0A12">
        <w:t>in</w:t>
      </w:r>
      <w:r w:rsidR="00D17A94">
        <w:t xml:space="preserve"> </w:t>
      </w:r>
      <w:r w:rsidR="00F33762" w:rsidRPr="008A0A12">
        <w:t>compulsory</w:t>
      </w:r>
      <w:r w:rsidR="00D17A94">
        <w:t xml:space="preserve"> </w:t>
      </w:r>
      <w:r w:rsidR="00F33762" w:rsidRPr="008A0A12">
        <w:t>pension</w:t>
      </w:r>
      <w:r w:rsidR="00D17A94">
        <w:t xml:space="preserve"> </w:t>
      </w:r>
      <w:r w:rsidR="00F33762" w:rsidRPr="008A0A12">
        <w:t>insurance</w:t>
      </w:r>
      <w:r w:rsidR="00D17A94">
        <w:t xml:space="preserve"> </w:t>
      </w:r>
      <w:r w:rsidR="00F33762" w:rsidRPr="008A0A12">
        <w:t>(particularly</w:t>
      </w:r>
      <w:r w:rsidR="00D17A94">
        <w:t xml:space="preserve"> </w:t>
      </w:r>
      <w:r w:rsidR="00F33762" w:rsidRPr="008A0A12">
        <w:t>a</w:t>
      </w:r>
      <w:r w:rsidR="00D17A94">
        <w:t xml:space="preserve"> </w:t>
      </w:r>
      <w:r w:rsidR="00F33762" w:rsidRPr="008A0A12">
        <w:t>parent</w:t>
      </w:r>
      <w:r w:rsidR="00D17A94">
        <w:t xml:space="preserve"> </w:t>
      </w:r>
      <w:r w:rsidR="00F33762" w:rsidRPr="008A0A12">
        <w:t>who</w:t>
      </w:r>
      <w:r w:rsidR="00D17A94">
        <w:t xml:space="preserve"> </w:t>
      </w:r>
      <w:r w:rsidR="00F33762" w:rsidRPr="008A0A12">
        <w:t>is</w:t>
      </w:r>
      <w:r w:rsidR="00D17A94">
        <w:t xml:space="preserve"> </w:t>
      </w:r>
      <w:r w:rsidR="00F33762" w:rsidRPr="008A0A12">
        <w:t>looking</w:t>
      </w:r>
      <w:r w:rsidR="00D17A94">
        <w:t xml:space="preserve"> </w:t>
      </w:r>
      <w:r w:rsidR="00F33762" w:rsidRPr="008A0A12">
        <w:t>after</w:t>
      </w:r>
      <w:r w:rsidR="00D17A94">
        <w:t xml:space="preserve"> </w:t>
      </w:r>
      <w:r w:rsidR="00F33762" w:rsidRPr="008A0A12">
        <w:t>a</w:t>
      </w:r>
      <w:r w:rsidR="00D17A94">
        <w:t xml:space="preserve"> </w:t>
      </w:r>
      <w:r w:rsidR="00F33762" w:rsidRPr="008A0A12">
        <w:t>child</w:t>
      </w:r>
      <w:r w:rsidR="00D17A94">
        <w:t xml:space="preserve"> </w:t>
      </w:r>
      <w:r w:rsidR="00F33762" w:rsidRPr="008A0A12">
        <w:t>under</w:t>
      </w:r>
      <w:r w:rsidR="00D17A94">
        <w:t xml:space="preserve"> </w:t>
      </w:r>
      <w:r w:rsidR="00F33762" w:rsidRPr="008A0A12">
        <w:t>the</w:t>
      </w:r>
      <w:r w:rsidR="00D17A94">
        <w:t xml:space="preserve"> </w:t>
      </w:r>
      <w:r w:rsidR="00F33762" w:rsidRPr="008A0A12">
        <w:t>age</w:t>
      </w:r>
      <w:r w:rsidR="00D17A94">
        <w:t xml:space="preserve"> </w:t>
      </w:r>
      <w:r w:rsidR="00F33762" w:rsidRPr="008A0A12">
        <w:t>of</w:t>
      </w:r>
      <w:r w:rsidR="00D17A94">
        <w:t xml:space="preserve"> </w:t>
      </w:r>
      <w:r w:rsidR="00F33762" w:rsidRPr="008A0A12">
        <w:t>6,</w:t>
      </w:r>
      <w:r w:rsidR="00D17A94">
        <w:t xml:space="preserve"> </w:t>
      </w:r>
      <w:r w:rsidR="00F33762" w:rsidRPr="008A0A12">
        <w:t>a</w:t>
      </w:r>
      <w:r w:rsidR="00D17A94">
        <w:t xml:space="preserve"> </w:t>
      </w:r>
      <w:r w:rsidR="00F33762" w:rsidRPr="008A0A12">
        <w:t>child</w:t>
      </w:r>
      <w:r w:rsidR="00D17A94">
        <w:t xml:space="preserve"> </w:t>
      </w:r>
      <w:r w:rsidR="00F33762" w:rsidRPr="008A0A12">
        <w:t>with</w:t>
      </w:r>
      <w:r w:rsidR="00D17A94">
        <w:t xml:space="preserve"> </w:t>
      </w:r>
      <w:r w:rsidR="00F33762" w:rsidRPr="008A0A12">
        <w:t>a</w:t>
      </w:r>
      <w:r w:rsidR="00D17A94">
        <w:t xml:space="preserve"> </w:t>
      </w:r>
      <w:r w:rsidR="00F33762" w:rsidRPr="008A0A12">
        <w:t>long-term</w:t>
      </w:r>
      <w:r w:rsidR="00D17A94">
        <w:t xml:space="preserve"> </w:t>
      </w:r>
      <w:r w:rsidR="00F33762" w:rsidRPr="008A0A12">
        <w:t>ill</w:t>
      </w:r>
      <w:r w:rsidR="00D17A94">
        <w:t xml:space="preserve"> </w:t>
      </w:r>
      <w:r w:rsidR="00F33762" w:rsidRPr="008A0A12">
        <w:t>health</w:t>
      </w:r>
      <w:r w:rsidR="00D17A94">
        <w:t xml:space="preserve"> </w:t>
      </w:r>
      <w:r w:rsidR="00F33762" w:rsidRPr="008A0A12">
        <w:t>from</w:t>
      </w:r>
      <w:r w:rsidR="00D17A94">
        <w:t xml:space="preserve"> </w:t>
      </w:r>
      <w:r w:rsidR="00F33762" w:rsidRPr="008A0A12">
        <w:t>6</w:t>
      </w:r>
      <w:r w:rsidR="00D17A94">
        <w:t xml:space="preserve"> </w:t>
      </w:r>
      <w:r w:rsidR="00F33762" w:rsidRPr="008A0A12">
        <w:t>to</w:t>
      </w:r>
      <w:r w:rsidR="00D17A94">
        <w:t xml:space="preserve"> </w:t>
      </w:r>
      <w:r w:rsidR="00F33762" w:rsidRPr="008A0A12">
        <w:t>18</w:t>
      </w:r>
      <w:r w:rsidR="00D17A94">
        <w:t xml:space="preserve"> </w:t>
      </w:r>
      <w:r w:rsidR="00F33762" w:rsidRPr="008A0A12">
        <w:t>years</w:t>
      </w:r>
      <w:r w:rsidR="00D17A94">
        <w:t xml:space="preserve"> </w:t>
      </w:r>
      <w:r w:rsidR="00F33762" w:rsidRPr="008A0A12">
        <w:t>of</w:t>
      </w:r>
      <w:r w:rsidR="00D17A94">
        <w:t xml:space="preserve"> </w:t>
      </w:r>
      <w:r w:rsidR="00F33762" w:rsidRPr="008A0A12">
        <w:t>age,</w:t>
      </w:r>
      <w:r w:rsidR="00D17A94">
        <w:t xml:space="preserve"> </w:t>
      </w:r>
      <w:r w:rsidR="00F33762" w:rsidRPr="008A0A12">
        <w:t>carers</w:t>
      </w:r>
      <w:r w:rsidR="00D17A94">
        <w:t xml:space="preserve"> </w:t>
      </w:r>
      <w:r w:rsidR="00F33762" w:rsidRPr="008A0A12">
        <w:t>who</w:t>
      </w:r>
      <w:r w:rsidR="00D17A94">
        <w:t xml:space="preserve"> </w:t>
      </w:r>
      <w:r w:rsidR="00F33762" w:rsidRPr="008A0A12">
        <w:t>receive</w:t>
      </w:r>
      <w:r w:rsidR="00D17A94">
        <w:t xml:space="preserve"> </w:t>
      </w:r>
      <w:r w:rsidR="00F33762" w:rsidRPr="008A0A12">
        <w:t>a</w:t>
      </w:r>
      <w:r w:rsidR="00D17A94">
        <w:t xml:space="preserve"> </w:t>
      </w:r>
      <w:r w:rsidR="00F33762" w:rsidRPr="008A0A12">
        <w:t>cash</w:t>
      </w:r>
      <w:r w:rsidR="00D17A94">
        <w:t xml:space="preserve"> </w:t>
      </w:r>
      <w:r w:rsidR="00F33762" w:rsidRPr="008A0A12">
        <w:t>allowance</w:t>
      </w:r>
      <w:r w:rsidR="00D17A94">
        <w:t xml:space="preserve"> </w:t>
      </w:r>
      <w:r w:rsidR="00F33762" w:rsidRPr="008A0A12">
        <w:t>for</w:t>
      </w:r>
      <w:r w:rsidR="00D17A94">
        <w:t xml:space="preserve"> </w:t>
      </w:r>
      <w:r w:rsidR="00F33762" w:rsidRPr="008A0A12">
        <w:t>the</w:t>
      </w:r>
      <w:r w:rsidR="00D17A94">
        <w:t xml:space="preserve"> </w:t>
      </w:r>
      <w:r w:rsidR="00F33762" w:rsidRPr="008A0A12">
        <w:t>care</w:t>
      </w:r>
      <w:r w:rsidR="00D17A94">
        <w:t xml:space="preserve"> </w:t>
      </w:r>
      <w:r w:rsidR="00F33762" w:rsidRPr="008A0A12">
        <w:t>of</w:t>
      </w:r>
      <w:r w:rsidR="00D17A94">
        <w:t xml:space="preserve"> </w:t>
      </w:r>
      <w:r w:rsidR="00F33762" w:rsidRPr="008A0A12">
        <w:t>a</w:t>
      </w:r>
      <w:r w:rsidR="00D17A94">
        <w:t xml:space="preserve"> </w:t>
      </w:r>
      <w:r w:rsidR="00F33762" w:rsidRPr="008A0A12">
        <w:t>disabled</w:t>
      </w:r>
      <w:r w:rsidR="00D17A94">
        <w:t xml:space="preserve"> </w:t>
      </w:r>
      <w:r w:rsidR="00F33762" w:rsidRPr="008A0A12">
        <w:t>citizen</w:t>
      </w:r>
      <w:r w:rsidR="00D17A94">
        <w:t xml:space="preserve"> </w:t>
      </w:r>
      <w:r w:rsidR="00F33762" w:rsidRPr="008A0A12">
        <w:t>and</w:t>
      </w:r>
      <w:r w:rsidR="00D17A94">
        <w:t xml:space="preserve"> </w:t>
      </w:r>
      <w:r w:rsidR="00F33762" w:rsidRPr="008A0A12">
        <w:t>personal</w:t>
      </w:r>
      <w:r w:rsidR="00D17A94">
        <w:t xml:space="preserve"> </w:t>
      </w:r>
      <w:r w:rsidR="00F33762" w:rsidRPr="008A0A12">
        <w:t>assistants</w:t>
      </w:r>
      <w:r w:rsidR="00D17A94">
        <w:t xml:space="preserve"> </w:t>
      </w:r>
      <w:r w:rsidR="00F33762" w:rsidRPr="008A0A12">
        <w:t>who</w:t>
      </w:r>
      <w:r w:rsidR="00D17A94">
        <w:t xml:space="preserve"> </w:t>
      </w:r>
      <w:r w:rsidR="00F33762" w:rsidRPr="008A0A12">
        <w:t>under</w:t>
      </w:r>
      <w:r w:rsidR="00D17A94">
        <w:t xml:space="preserve"> </w:t>
      </w:r>
      <w:r w:rsidR="00F33762" w:rsidRPr="008A0A12">
        <w:t>a</w:t>
      </w:r>
      <w:r w:rsidR="00D17A94">
        <w:t xml:space="preserve"> </w:t>
      </w:r>
      <w:r w:rsidR="00F33762" w:rsidRPr="008A0A12">
        <w:t>contract</w:t>
      </w:r>
      <w:r w:rsidR="00D17A94">
        <w:t xml:space="preserve"> </w:t>
      </w:r>
      <w:r w:rsidR="00F33762" w:rsidRPr="008A0A12">
        <w:t>of</w:t>
      </w:r>
      <w:r w:rsidR="00D17A94">
        <w:t xml:space="preserve"> </w:t>
      </w:r>
      <w:r w:rsidR="00F33762" w:rsidRPr="008A0A12">
        <w:t>personal</w:t>
      </w:r>
      <w:r w:rsidR="00D17A94">
        <w:t xml:space="preserve"> </w:t>
      </w:r>
      <w:r w:rsidR="00F33762" w:rsidRPr="008A0A12">
        <w:t>assistance</w:t>
      </w:r>
      <w:r w:rsidR="00D17A94">
        <w:t xml:space="preserve"> </w:t>
      </w:r>
      <w:r w:rsidR="00F33762" w:rsidRPr="008A0A12">
        <w:t>perform</w:t>
      </w:r>
      <w:r w:rsidR="00D17A94">
        <w:t xml:space="preserve"> </w:t>
      </w:r>
      <w:r w:rsidR="00F33762" w:rsidRPr="008A0A12">
        <w:t>personal</w:t>
      </w:r>
      <w:r w:rsidR="00D17A94">
        <w:t xml:space="preserve"> </w:t>
      </w:r>
      <w:r w:rsidR="00F33762" w:rsidRPr="008A0A12">
        <w:t>assistance</w:t>
      </w:r>
      <w:r w:rsidR="00D17A94">
        <w:t xml:space="preserve"> </w:t>
      </w:r>
      <w:r w:rsidR="00F33762" w:rsidRPr="008A0A12">
        <w:t>for</w:t>
      </w:r>
      <w:r w:rsidR="00D17A94">
        <w:t xml:space="preserve"> </w:t>
      </w:r>
      <w:r w:rsidR="00F33762" w:rsidRPr="008A0A12">
        <w:t>a</w:t>
      </w:r>
      <w:r w:rsidR="00D17A94">
        <w:t xml:space="preserve"> </w:t>
      </w:r>
      <w:r w:rsidR="00F33762" w:rsidRPr="008A0A12">
        <w:t>person</w:t>
      </w:r>
      <w:r w:rsidR="00D17A94">
        <w:t xml:space="preserve"> </w:t>
      </w:r>
      <w:r w:rsidR="00F33762" w:rsidRPr="008A0A12">
        <w:t>with</w:t>
      </w:r>
      <w:r w:rsidR="00D17A94">
        <w:t xml:space="preserve"> </w:t>
      </w:r>
      <w:r w:rsidR="00F33762" w:rsidRPr="008A0A12">
        <w:t>severe</w:t>
      </w:r>
      <w:r w:rsidR="00D17A94">
        <w:t xml:space="preserve"> </w:t>
      </w:r>
      <w:r w:rsidR="00F33762" w:rsidRPr="008A0A12">
        <w:t>disabilities</w:t>
      </w:r>
      <w:r w:rsidR="00D17A94">
        <w:t xml:space="preserve"> </w:t>
      </w:r>
      <w:r w:rsidR="00F33762" w:rsidRPr="008A0A12">
        <w:t>for</w:t>
      </w:r>
      <w:r w:rsidR="00D17A94">
        <w:t xml:space="preserve"> </w:t>
      </w:r>
      <w:r w:rsidR="00F33762" w:rsidRPr="008A0A12">
        <w:t>at</w:t>
      </w:r>
      <w:r w:rsidR="00D17A94">
        <w:t xml:space="preserve"> </w:t>
      </w:r>
      <w:r w:rsidR="00F33762" w:rsidRPr="008A0A12">
        <w:t>least</w:t>
      </w:r>
      <w:r w:rsidR="00D17A94">
        <w:t xml:space="preserve"> </w:t>
      </w:r>
      <w:r w:rsidR="00F33762" w:rsidRPr="008A0A12">
        <w:t>140</w:t>
      </w:r>
      <w:r w:rsidR="00D17A94">
        <w:t xml:space="preserve"> </w:t>
      </w:r>
      <w:r w:rsidR="00F33762" w:rsidRPr="008A0A12">
        <w:t>hours</w:t>
      </w:r>
      <w:r w:rsidR="00D17A94">
        <w:t xml:space="preserve"> </w:t>
      </w:r>
      <w:r w:rsidR="00F33762" w:rsidRPr="008A0A12">
        <w:t>per</w:t>
      </w:r>
      <w:r w:rsidR="00D17A94">
        <w:t xml:space="preserve"> </w:t>
      </w:r>
      <w:r w:rsidR="00F33762" w:rsidRPr="008A0A12">
        <w:t>month).</w:t>
      </w:r>
    </w:p>
    <w:p w:rsidR="00F33762" w:rsidRPr="008A0A12" w:rsidRDefault="00F33762" w:rsidP="009E1013">
      <w:pPr>
        <w:pStyle w:val="H23G"/>
      </w:pPr>
      <w:r w:rsidRPr="008A0A12">
        <w:tab/>
      </w:r>
      <w:r w:rsidRPr="008A0A12">
        <w:tab/>
        <w:t>Sickness</w:t>
      </w:r>
      <w:r w:rsidR="00D17A94">
        <w:t xml:space="preserve"> </w:t>
      </w:r>
      <w:r w:rsidRPr="008A0A12">
        <w:t>insurance</w:t>
      </w:r>
    </w:p>
    <w:p w:rsidR="00F33762" w:rsidRPr="008A0A12" w:rsidRDefault="00F33762" w:rsidP="00F33762">
      <w:pPr>
        <w:pStyle w:val="SingleTxtG"/>
      </w:pPr>
      <w:r w:rsidRPr="008A0A12">
        <w:t>60.</w:t>
      </w:r>
      <w:r w:rsidRPr="008A0A12">
        <w:tab/>
        <w:t>Law</w:t>
      </w:r>
      <w:r w:rsidR="00D17A94">
        <w:t xml:space="preserve"> </w:t>
      </w:r>
      <w:r w:rsidRPr="008A0A12">
        <w:t>461/2003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Insurance,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Law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Insurance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defines</w:t>
      </w:r>
      <w:r w:rsidR="00D17A94">
        <w:t xml:space="preserve"> </w:t>
      </w:r>
      <w:r w:rsidRPr="008A0A12">
        <w:t>sickness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loss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reduction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income</w:t>
      </w:r>
      <w:r w:rsidR="00D17A94">
        <w:t xml:space="preserve"> </w:t>
      </w:r>
      <w:r w:rsidRPr="008A0A12">
        <w:t>due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temporary</w:t>
      </w:r>
      <w:r w:rsidR="00D17A94">
        <w:t xml:space="preserve"> </w:t>
      </w:r>
      <w:r w:rsidRPr="008A0A12">
        <w:t>incapacity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work,</w:t>
      </w:r>
      <w:r w:rsidR="00D17A94">
        <w:t xml:space="preserve"> </w:t>
      </w:r>
      <w:r w:rsidRPr="008A0A12">
        <w:t>pregnancy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maternity.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short-term</w:t>
      </w:r>
      <w:r w:rsidR="00D17A94">
        <w:t xml:space="preserve"> </w:t>
      </w:r>
      <w:r w:rsidRPr="008A0A12">
        <w:t>consequences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events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cash</w:t>
      </w:r>
      <w:r w:rsidR="00D17A94">
        <w:t xml:space="preserve"> </w:t>
      </w:r>
      <w:r w:rsidRPr="008A0A12">
        <w:t>benefits.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26-28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9E1013">
      <w:pPr>
        <w:pStyle w:val="H23G"/>
      </w:pPr>
      <w:r w:rsidRPr="008A0A12">
        <w:lastRenderedPageBreak/>
        <w:tab/>
      </w:r>
      <w:r w:rsidRPr="008A0A12">
        <w:tab/>
        <w:t>Pension</w:t>
      </w:r>
      <w:r w:rsidR="00D17A94">
        <w:t xml:space="preserve"> </w:t>
      </w:r>
      <w:r w:rsidRPr="008A0A12">
        <w:t>insurance</w:t>
      </w:r>
    </w:p>
    <w:p w:rsidR="00F33762" w:rsidRPr="008A0A12" w:rsidRDefault="00F33762" w:rsidP="00F33762">
      <w:pPr>
        <w:pStyle w:val="SingleTxtG"/>
      </w:pPr>
      <w:r w:rsidRPr="008A0A12">
        <w:t>61.</w:t>
      </w:r>
      <w:r w:rsidRPr="008A0A12">
        <w:tab/>
        <w:t>The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system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three-pillar</w:t>
      </w:r>
      <w:r w:rsidR="00D17A94">
        <w:t xml:space="preserve"> </w:t>
      </w:r>
      <w:r w:rsidRPr="008A0A12">
        <w:t>model.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old-age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saving</w:t>
      </w:r>
      <w:r w:rsidR="00D17A94">
        <w:t xml:space="preserve"> </w:t>
      </w:r>
      <w:r w:rsidRPr="008A0A12">
        <w:t>system,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automatic</w:t>
      </w:r>
      <w:r w:rsidR="00D17A94">
        <w:t xml:space="preserve"> </w:t>
      </w:r>
      <w:r w:rsidRPr="008A0A12">
        <w:t>inclusion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first-time</w:t>
      </w:r>
      <w:r w:rsidR="00D17A94">
        <w:t xml:space="preserve"> </w:t>
      </w:r>
      <w:proofErr w:type="spellStart"/>
      <w:r w:rsidRPr="008A0A12">
        <w:t>insurees</w:t>
      </w:r>
      <w:proofErr w:type="spellEnd"/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2nd</w:t>
      </w:r>
      <w:r w:rsidR="00D17A94">
        <w:t xml:space="preserve"> </w:t>
      </w:r>
      <w:r w:rsidRPr="008A0A12">
        <w:t>pillar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implemented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2012,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possibility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exit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2nd</w:t>
      </w:r>
      <w:r w:rsidR="00D17A94">
        <w:t xml:space="preserve"> </w:t>
      </w:r>
      <w:r w:rsidRPr="008A0A12">
        <w:t>pillar</w:t>
      </w:r>
      <w:r w:rsidR="00D17A94">
        <w:t xml:space="preserve"> </w:t>
      </w:r>
      <w:r w:rsidRPr="008A0A12">
        <w:t>during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first</w:t>
      </w:r>
      <w:r w:rsidR="00D17A94">
        <w:t xml:space="preserve"> </w:t>
      </w:r>
      <w:r w:rsidRPr="008A0A12">
        <w:t>730</w:t>
      </w:r>
      <w:r w:rsidR="00D17A94">
        <w:t xml:space="preserve"> </w:t>
      </w:r>
      <w:r w:rsidRPr="008A0A12">
        <w:t>days.</w:t>
      </w:r>
      <w:r w:rsidR="00D17A94">
        <w:t xml:space="preserve"> </w:t>
      </w:r>
      <w:r w:rsidRPr="008A0A12">
        <w:t>However,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valid</w:t>
      </w:r>
      <w:r w:rsidR="00D17A94">
        <w:t xml:space="preserve"> </w:t>
      </w:r>
      <w:r w:rsidRPr="008A0A12">
        <w:t>only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end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year.</w:t>
      </w:r>
      <w:r w:rsidR="00D17A94">
        <w:t xml:space="preserve"> </w:t>
      </w:r>
      <w:r w:rsidRPr="008A0A12">
        <w:t>Since</w:t>
      </w:r>
      <w:r w:rsidR="00D17A94">
        <w:t xml:space="preserve"> </w:t>
      </w:r>
      <w:r w:rsidRPr="008A0A12">
        <w:t>2013,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principle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voluntary</w:t>
      </w:r>
      <w:r w:rsidR="00D17A94">
        <w:t xml:space="preserve"> </w:t>
      </w:r>
      <w:r w:rsidRPr="008A0A12">
        <w:t>participation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2nd</w:t>
      </w:r>
      <w:r w:rsidR="00D17A94">
        <w:t xml:space="preserve"> </w:t>
      </w:r>
      <w:r w:rsidRPr="008A0A12">
        <w:t>pillar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implemented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entitled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first</w:t>
      </w:r>
      <w:r w:rsidR="00D17A94">
        <w:t xml:space="preserve"> </w:t>
      </w:r>
      <w:r w:rsidRPr="008A0A12">
        <w:t>participation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least</w:t>
      </w:r>
      <w:r w:rsidR="00D17A94">
        <w:t xml:space="preserve"> </w:t>
      </w:r>
      <w:r w:rsidRPr="008A0A12">
        <w:t>once</w:t>
      </w:r>
      <w:r w:rsidR="00D17A94">
        <w:t xml:space="preserve"> </w:t>
      </w:r>
      <w:r w:rsidRPr="008A0A12">
        <w:t>(1st</w:t>
      </w:r>
      <w:r w:rsidR="00D17A94">
        <w:t xml:space="preserve"> </w:t>
      </w:r>
      <w:r w:rsidRPr="008A0A12">
        <w:t>pillar).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can</w:t>
      </w:r>
      <w:r w:rsidR="00D17A94">
        <w:t xml:space="preserve"> </w:t>
      </w:r>
      <w:r w:rsidRPr="008A0A12">
        <w:t>decide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join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2nd</w:t>
      </w:r>
      <w:r w:rsidR="00D17A94">
        <w:t xml:space="preserve"> </w:t>
      </w:r>
      <w:r w:rsidRPr="008A0A12">
        <w:t>pillar</w:t>
      </w:r>
      <w:r w:rsidR="00D17A94">
        <w:t xml:space="preserve"> </w:t>
      </w:r>
      <w:r w:rsidRPr="008A0A12">
        <w:t>until</w:t>
      </w:r>
      <w:r w:rsidR="00D17A94">
        <w:t xml:space="preserve"> </w:t>
      </w:r>
      <w:r w:rsidRPr="008A0A12">
        <w:t>they</w:t>
      </w:r>
      <w:r w:rsidR="00D17A94">
        <w:t xml:space="preserve"> </w:t>
      </w:r>
      <w:r w:rsidRPr="008A0A12">
        <w:t>reach</w:t>
      </w:r>
      <w:r w:rsidR="00D17A94">
        <w:t xml:space="preserve"> </w:t>
      </w:r>
      <w:r w:rsidRPr="008A0A12">
        <w:t>35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age.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62.</w:t>
      </w:r>
      <w:r w:rsidRPr="008A0A12">
        <w:tab/>
        <w:t>On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September</w:t>
      </w:r>
      <w:r w:rsidR="00D17A94">
        <w:t xml:space="preserve"> </w:t>
      </w:r>
      <w:r w:rsidRPr="008A0A12">
        <w:t>2012,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compulsory</w:t>
      </w:r>
      <w:r w:rsidR="00D17A94">
        <w:t xml:space="preserve"> </w:t>
      </w:r>
      <w:r w:rsidRPr="008A0A12">
        <w:t>contributions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old-age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saving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decreased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original</w:t>
      </w:r>
      <w:r w:rsidR="00D17A94">
        <w:t xml:space="preserve"> </w:t>
      </w:r>
      <w:r w:rsidRPr="008A0A12">
        <w:t>9</w:t>
      </w:r>
      <w:r w:rsidR="00CD3239">
        <w:t>%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4</w:t>
      </w:r>
      <w:r w:rsidR="00CD3239">
        <w:t>%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assessment</w:t>
      </w:r>
      <w:r w:rsidR="00D17A94">
        <w:t xml:space="preserve"> </w:t>
      </w:r>
      <w:r w:rsidRPr="008A0A12">
        <w:t>base.</w:t>
      </w:r>
      <w:r w:rsidR="00D17A94">
        <w:t xml:space="preserve"> </w:t>
      </w:r>
      <w:r w:rsidRPr="008A0A12">
        <w:t>Since</w:t>
      </w:r>
      <w:r w:rsidR="00D17A94">
        <w:t xml:space="preserve"> </w:t>
      </w:r>
      <w:r w:rsidRPr="008A0A12">
        <w:t>2017,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will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increased</w:t>
      </w:r>
      <w:r w:rsidR="00D17A94">
        <w:t xml:space="preserve"> </w:t>
      </w:r>
      <w:r w:rsidRPr="008A0A12">
        <w:t>each</w:t>
      </w:r>
      <w:r w:rsidR="00D17A94">
        <w:t xml:space="preserve"> </w:t>
      </w:r>
      <w:r w:rsidRPr="008A0A12">
        <w:t>year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0.25</w:t>
      </w:r>
      <w:r w:rsidR="00CD3239">
        <w:t>%</w:t>
      </w:r>
      <w:r w:rsidR="00D17A94">
        <w:t xml:space="preserve"> </w:t>
      </w:r>
      <w:r w:rsidRPr="008A0A12">
        <w:t>so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will</w:t>
      </w:r>
      <w:r w:rsidR="00D17A94">
        <w:t xml:space="preserve"> </w:t>
      </w:r>
      <w:r w:rsidRPr="008A0A12">
        <w:t>account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6.0</w:t>
      </w:r>
      <w:r w:rsidR="00CD3239">
        <w:t>%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2024.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effect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2013,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possibility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pay</w:t>
      </w:r>
      <w:r w:rsidR="00D17A94">
        <w:t xml:space="preserve"> </w:t>
      </w:r>
      <w:r w:rsidRPr="008A0A12">
        <w:t>voluntary</w:t>
      </w:r>
      <w:r w:rsidR="00D17A94">
        <w:t xml:space="preserve"> </w:t>
      </w:r>
      <w:r w:rsidRPr="008A0A12">
        <w:t>contributions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old-age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saving,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amount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limited,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implemented.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reduced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taxation</w:t>
      </w:r>
      <w:r w:rsidR="00D17A94">
        <w:t xml:space="preserve"> </w:t>
      </w:r>
      <w:r w:rsidRPr="008A0A12">
        <w:t>up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2</w:t>
      </w:r>
      <w:r w:rsidR="00CD3239">
        <w:t>%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tax</w:t>
      </w:r>
      <w:r w:rsidR="00D17A94">
        <w:t xml:space="preserve"> </w:t>
      </w:r>
      <w:r w:rsidRPr="008A0A12">
        <w:t>base</w:t>
      </w:r>
      <w:r w:rsidR="00D17A94">
        <w:t xml:space="preserve"> </w:t>
      </w:r>
      <w:r w:rsidRPr="008A0A12">
        <w:t>(partial</w:t>
      </w:r>
      <w:r w:rsidR="00D17A94">
        <w:t xml:space="preserve"> </w:t>
      </w:r>
      <w:r w:rsidRPr="008A0A12">
        <w:t>tax</w:t>
      </w:r>
      <w:r w:rsidR="00D17A94">
        <w:t xml:space="preserve"> </w:t>
      </w:r>
      <w:r w:rsidRPr="008A0A12">
        <w:t>base)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applied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contributions,</w:t>
      </w:r>
      <w:r w:rsidR="00D17A94">
        <w:t xml:space="preserve"> </w:t>
      </w:r>
      <w:r w:rsidRPr="008A0A12">
        <w:t>while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reduced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taxation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valid</w:t>
      </w:r>
      <w:r w:rsidR="00D17A94">
        <w:t xml:space="preserve"> </w:t>
      </w:r>
      <w:r w:rsidRPr="008A0A12">
        <w:t>until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end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2016.</w:t>
      </w:r>
    </w:p>
    <w:p w:rsidR="00F33762" w:rsidRPr="008A0A12" w:rsidRDefault="00F33762" w:rsidP="00F33762">
      <w:pPr>
        <w:pStyle w:val="SingleTxtG"/>
      </w:pPr>
      <w:r w:rsidRPr="008A0A12">
        <w:t>63.</w:t>
      </w:r>
      <w:r w:rsidRPr="008A0A12">
        <w:tab/>
        <w:t>In</w:t>
      </w:r>
      <w:r w:rsidR="00D17A94">
        <w:t xml:space="preserve"> </w:t>
      </w:r>
      <w:r w:rsidRPr="008A0A12">
        <w:t>2012,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old-age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saving</w:t>
      </w:r>
      <w:r w:rsidR="00D17A94">
        <w:t xml:space="preserve"> </w:t>
      </w:r>
      <w:r w:rsidRPr="008A0A12">
        <w:t>system,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possibility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fund</w:t>
      </w:r>
      <w:r w:rsidR="00D17A94">
        <w:t xml:space="preserve"> </w:t>
      </w:r>
      <w:r w:rsidRPr="008A0A12">
        <w:t>management</w:t>
      </w:r>
      <w:r w:rsidR="00D17A94">
        <w:t xml:space="preserve"> </w:t>
      </w:r>
      <w:r w:rsidRPr="008A0A12">
        <w:t>companies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create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so-called</w:t>
      </w:r>
      <w:r w:rsidR="00D17A94">
        <w:t xml:space="preserve"> </w:t>
      </w:r>
      <w:r w:rsidRPr="008A0A12">
        <w:t>index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funds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implemented.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fixed</w:t>
      </w:r>
      <w:r w:rsidR="00D17A94">
        <w:t xml:space="preserve"> </w:t>
      </w:r>
      <w:r w:rsidRPr="008A0A12">
        <w:t>number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four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funds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abolished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2013.</w:t>
      </w:r>
      <w:r w:rsidR="00D17A94">
        <w:t xml:space="preserve"> </w:t>
      </w:r>
      <w:r w:rsidRPr="008A0A12"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new</w:t>
      </w:r>
      <w:r w:rsidR="00D17A94">
        <w:t xml:space="preserve"> </w:t>
      </w:r>
      <w:r w:rsidRPr="008A0A12">
        <w:t>legislation,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fund</w:t>
      </w:r>
      <w:r w:rsidR="00D17A94">
        <w:t xml:space="preserve"> </w:t>
      </w:r>
      <w:r w:rsidRPr="008A0A12">
        <w:t>management</w:t>
      </w:r>
      <w:r w:rsidR="00D17A94">
        <w:t xml:space="preserve"> </w:t>
      </w:r>
      <w:r w:rsidRPr="008A0A12">
        <w:t>companies</w:t>
      </w:r>
      <w:r w:rsidR="00D17A94">
        <w:t xml:space="preserve"> </w:t>
      </w:r>
      <w:r w:rsidRPr="008A0A12">
        <w:t>manage</w:t>
      </w:r>
      <w:r w:rsidR="00D17A94">
        <w:t xml:space="preserve"> </w:t>
      </w:r>
      <w:r w:rsidRPr="008A0A12">
        <w:t>one</w:t>
      </w:r>
      <w:r w:rsidR="00D17A94">
        <w:t xml:space="preserve"> </w:t>
      </w:r>
      <w:r w:rsidRPr="008A0A12">
        <w:t>bond</w:t>
      </w:r>
      <w:r w:rsidR="00D17A94">
        <w:t xml:space="preserve"> </w:t>
      </w:r>
      <w:r w:rsidRPr="008A0A12">
        <w:t>guaranteed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fund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one</w:t>
      </w:r>
      <w:r w:rsidR="00D17A94">
        <w:t xml:space="preserve"> </w:t>
      </w:r>
      <w:r w:rsidRPr="008A0A12">
        <w:t>stock</w:t>
      </w:r>
      <w:r w:rsidR="00D17A94">
        <w:t xml:space="preserve"> </w:t>
      </w:r>
      <w:r w:rsidRPr="008A0A12">
        <w:t>non-guaranteed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fund.</w:t>
      </w:r>
      <w:r w:rsidR="00D17A94">
        <w:t xml:space="preserve"> </w:t>
      </w:r>
      <w:r w:rsidRPr="008A0A12">
        <w:t>Also,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monitored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performance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bond</w:t>
      </w:r>
      <w:r w:rsidR="00D17A94">
        <w:t xml:space="preserve"> </w:t>
      </w:r>
      <w:r w:rsidRPr="008A0A12">
        <w:t>guaranteed</w:t>
      </w:r>
      <w:r w:rsidR="00D17A94">
        <w:t xml:space="preserve"> </w:t>
      </w:r>
      <w:r w:rsidRPr="008A0A12">
        <w:t>funds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extended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10</w:t>
      </w:r>
      <w:r w:rsidR="00D17A94">
        <w:t xml:space="preserve"> </w:t>
      </w:r>
      <w:r w:rsidRPr="008A0A12">
        <w:t>years.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have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several</w:t>
      </w:r>
      <w:r w:rsidR="00D17A94">
        <w:t xml:space="preserve"> </w:t>
      </w:r>
      <w:r w:rsidRPr="008A0A12">
        <w:t>modifications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remuneration</w:t>
      </w:r>
      <w:r w:rsidR="00D17A94">
        <w:t xml:space="preserve"> </w:t>
      </w:r>
      <w:r w:rsidRPr="008A0A12">
        <w:t>since</w:t>
      </w:r>
      <w:r w:rsidR="00D17A94">
        <w:t xml:space="preserve"> </w:t>
      </w:r>
      <w:r w:rsidRPr="008A0A12">
        <w:t>2012.</w:t>
      </w:r>
    </w:p>
    <w:p w:rsidR="00F33762" w:rsidRPr="008A0A12" w:rsidRDefault="00F33762" w:rsidP="00F33762">
      <w:pPr>
        <w:pStyle w:val="SingleTxtG"/>
      </w:pPr>
      <w:r w:rsidRPr="008A0A12">
        <w:t>64.</w:t>
      </w:r>
      <w:r w:rsidRPr="008A0A12">
        <w:tab/>
        <w:t>A</w:t>
      </w:r>
      <w:r w:rsidR="00D17A94">
        <w:t xml:space="preserve"> </w:t>
      </w:r>
      <w:r w:rsidRPr="008A0A12">
        <w:t>significant</w:t>
      </w:r>
      <w:r w:rsidR="00D17A94">
        <w:t xml:space="preserve"> </w:t>
      </w:r>
      <w:r w:rsidRPr="008A0A12">
        <w:t>change</w:t>
      </w:r>
      <w:r w:rsidR="00D17A94">
        <w:t xml:space="preserve"> </w:t>
      </w:r>
      <w:r w:rsidRPr="008A0A12">
        <w:t>consisted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comprehensive</w:t>
      </w:r>
      <w:r w:rsidR="00D17A94">
        <w:t xml:space="preserve"> </w:t>
      </w:r>
      <w:r w:rsidRPr="008A0A12">
        <w:t>modification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payment</w:t>
      </w:r>
      <w:r w:rsidR="00D17A94">
        <w:t xml:space="preserve"> </w:t>
      </w:r>
      <w:r w:rsidRPr="008A0A12">
        <w:t>phase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old-age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saving</w:t>
      </w:r>
      <w:r w:rsidR="00D17A94">
        <w:t xml:space="preserve"> </w:t>
      </w:r>
      <w:r w:rsidRPr="008A0A12">
        <w:t>system,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entered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force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January</w:t>
      </w:r>
      <w:r w:rsidR="00D17A94">
        <w:t xml:space="preserve"> </w:t>
      </w:r>
      <w:r w:rsidRPr="008A0A12">
        <w:t>2015.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condition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minimum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old-age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saving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10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cancelled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new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payment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implemented</w:t>
      </w:r>
      <w:r w:rsidR="00D17A94">
        <w:t xml:space="preserve"> </w:t>
      </w:r>
      <w:r w:rsidR="00A50999">
        <w:t>—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temporary</w:t>
      </w:r>
      <w:r w:rsidR="00D17A94">
        <w:t xml:space="preserve"> </w:t>
      </w:r>
      <w:r w:rsidRPr="008A0A12">
        <w:t>pension.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draft</w:t>
      </w:r>
      <w:r w:rsidR="00D17A94">
        <w:t xml:space="preserve"> </w:t>
      </w:r>
      <w:r w:rsidRPr="008A0A12">
        <w:t>bill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brought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solution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situation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savers</w:t>
      </w:r>
      <w:r w:rsidR="00D17A94">
        <w:t xml:space="preserve"> </w:t>
      </w:r>
      <w:r w:rsidRPr="008A0A12">
        <w:t>whose</w:t>
      </w:r>
      <w:r w:rsidR="00D17A94">
        <w:t xml:space="preserve"> </w:t>
      </w:r>
      <w:r w:rsidRPr="008A0A12">
        <w:t>amount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savings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sufficient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buy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life</w:t>
      </w:r>
      <w:r w:rsidR="00D17A94">
        <w:t xml:space="preserve"> </w:t>
      </w:r>
      <w:r w:rsidRPr="008A0A12">
        <w:t>(pensions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regime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so-called</w:t>
      </w:r>
      <w:r w:rsidR="00D17A94">
        <w:t xml:space="preserve"> </w:t>
      </w:r>
      <w:r w:rsidRPr="008A0A12">
        <w:t>small</w:t>
      </w:r>
      <w:r w:rsidR="00D17A94">
        <w:t xml:space="preserve"> </w:t>
      </w:r>
      <w:r w:rsidRPr="008A0A12">
        <w:t>saved</w:t>
      </w:r>
      <w:r w:rsidR="00D17A94">
        <w:t xml:space="preserve"> </w:t>
      </w:r>
      <w:r w:rsidRPr="008A0A12">
        <w:t>sum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implemented).</w:t>
      </w:r>
      <w:r w:rsidR="00D17A94">
        <w:t xml:space="preserve"> </w:t>
      </w:r>
      <w:r w:rsidRPr="008A0A12">
        <w:t>Contractual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between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provider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saver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introduced.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intermediate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offers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selection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old-age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saving</w:t>
      </w:r>
      <w:r w:rsidR="00D17A94">
        <w:t xml:space="preserve"> </w:t>
      </w:r>
      <w:r w:rsidRPr="008A0A12">
        <w:t>system,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Company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established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manages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central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offer</w:t>
      </w:r>
      <w:r w:rsidR="00D17A94">
        <w:t xml:space="preserve"> </w:t>
      </w:r>
      <w:r w:rsidRPr="008A0A12">
        <w:t>system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savers</w:t>
      </w:r>
      <w:r w:rsidR="00D17A94">
        <w:t xml:space="preserve"> </w:t>
      </w:r>
      <w:r w:rsidRPr="008A0A12">
        <w:t>will</w:t>
      </w:r>
      <w:r w:rsidR="00D17A94">
        <w:t xml:space="preserve"> </w:t>
      </w:r>
      <w:r w:rsidRPr="008A0A12">
        <w:t>get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offers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one</w:t>
      </w:r>
      <w:r w:rsidR="00D17A94">
        <w:t xml:space="preserve"> </w:t>
      </w:r>
      <w:r w:rsidRPr="008A0A12">
        <w:t>place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same</w:t>
      </w:r>
      <w:r w:rsidR="00D17A94">
        <w:t xml:space="preserve"> </w:t>
      </w:r>
      <w:r w:rsidRPr="008A0A12">
        <w:t>time,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resulted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reduction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saver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administrative</w:t>
      </w:r>
      <w:r w:rsidR="00D17A94">
        <w:t xml:space="preserve"> </w:t>
      </w:r>
      <w:r w:rsidRPr="008A0A12">
        <w:t>burden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transparency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intermediation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offers.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65.</w:t>
      </w:r>
      <w:r w:rsidRPr="008A0A12">
        <w:tab/>
        <w:t>Since</w:t>
      </w:r>
      <w:r w:rsidR="00D17A94">
        <w:t xml:space="preserve"> </w:t>
      </w:r>
      <w:r w:rsidRPr="008A0A12">
        <w:t>2012,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2nd</w:t>
      </w:r>
      <w:r w:rsidR="00D17A94">
        <w:t xml:space="preserve"> </w:t>
      </w:r>
      <w:r w:rsidRPr="008A0A12">
        <w:t>pillar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temporarily</w:t>
      </w:r>
      <w:r w:rsidR="00D17A94">
        <w:t xml:space="preserve"> </w:t>
      </w:r>
      <w:r w:rsidRPr="008A0A12">
        <w:t>opened</w:t>
      </w:r>
      <w:r w:rsidR="00D17A94">
        <w:t xml:space="preserve"> </w:t>
      </w:r>
      <w:r w:rsidRPr="008A0A12">
        <w:t>twice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joint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leave</w:t>
      </w:r>
      <w:r w:rsidR="00D17A94">
        <w:t xml:space="preserve"> </w:t>
      </w:r>
      <w:r w:rsidRPr="008A0A12">
        <w:t>it,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September</w:t>
      </w:r>
      <w:r w:rsidR="00D17A94">
        <w:t xml:space="preserve"> </w:t>
      </w:r>
      <w:r w:rsidRPr="008A0A12">
        <w:t>2012</w:t>
      </w:r>
      <w:r w:rsidR="00D17A94">
        <w:t xml:space="preserve"> </w:t>
      </w:r>
      <w:r w:rsidRPr="008A0A12">
        <w:t>until</w:t>
      </w:r>
      <w:r w:rsidR="00D17A94">
        <w:t xml:space="preserve"> </w:t>
      </w:r>
      <w:r w:rsidRPr="008A0A12">
        <w:t>31</w:t>
      </w:r>
      <w:r w:rsidR="00D17A94">
        <w:t xml:space="preserve"> </w:t>
      </w:r>
      <w:r w:rsidRPr="008A0A12">
        <w:t>January</w:t>
      </w:r>
      <w:r w:rsidR="00D17A94">
        <w:t xml:space="preserve"> </w:t>
      </w:r>
      <w:r w:rsidRPr="008A0A12">
        <w:t>2013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subsequently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15</w:t>
      </w:r>
      <w:r w:rsidR="00D17A94">
        <w:t xml:space="preserve"> </w:t>
      </w:r>
      <w:r w:rsidRPr="008A0A12">
        <w:t>March</w:t>
      </w:r>
      <w:r w:rsidR="00D17A94">
        <w:t xml:space="preserve"> </w:t>
      </w:r>
      <w:r w:rsidRPr="008A0A12">
        <w:t>2015</w:t>
      </w:r>
      <w:r w:rsidR="00D17A94">
        <w:t xml:space="preserve"> </w:t>
      </w:r>
      <w:r w:rsidRPr="008A0A12">
        <w:t>until</w:t>
      </w:r>
      <w:r w:rsidR="00D17A94">
        <w:t xml:space="preserve"> </w:t>
      </w:r>
      <w:r w:rsidRPr="008A0A12">
        <w:t>15</w:t>
      </w:r>
      <w:r w:rsidR="00D17A94">
        <w:t xml:space="preserve"> </w:t>
      </w:r>
      <w:r w:rsidRPr="008A0A12">
        <w:t>June</w:t>
      </w:r>
      <w:r w:rsidR="00D17A94">
        <w:t xml:space="preserve"> </w:t>
      </w:r>
      <w:r w:rsidRPr="008A0A12">
        <w:t>2015.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number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savers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31</w:t>
      </w:r>
      <w:r w:rsidR="00D17A94">
        <w:t xml:space="preserve"> </w:t>
      </w:r>
      <w:r w:rsidRPr="008A0A12">
        <w:t>December</w:t>
      </w:r>
      <w:r w:rsidR="00D17A94">
        <w:t xml:space="preserve"> </w:t>
      </w:r>
      <w:r w:rsidRPr="008A0A12">
        <w:t>2016</w:t>
      </w:r>
      <w:r w:rsidR="00D17A94">
        <w:t xml:space="preserve"> </w:t>
      </w:r>
      <w:r w:rsidRPr="008A0A12">
        <w:t>accounted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1,375,770</w:t>
      </w:r>
      <w:r w:rsidR="00D17A94">
        <w:t xml:space="preserve"> </w:t>
      </w:r>
      <w:r w:rsidRPr="008A0A12">
        <w:t>people.</w:t>
      </w:r>
    </w:p>
    <w:p w:rsidR="00F33762" w:rsidRPr="008A0A12" w:rsidRDefault="00F33762" w:rsidP="00F33762">
      <w:pPr>
        <w:pStyle w:val="SingleTxtG"/>
      </w:pPr>
      <w:r w:rsidRPr="008A0A12">
        <w:t>66.</w:t>
      </w:r>
      <w:r w:rsidRPr="008A0A12">
        <w:tab/>
        <w:t>As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supplementary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saving</w:t>
      </w:r>
      <w:r w:rsidR="00D17A94">
        <w:t xml:space="preserve"> </w:t>
      </w:r>
      <w:r w:rsidRPr="008A0A12">
        <w:t>system,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reduced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taxation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supplementary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saving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participant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cancelled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2011.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2014,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reduced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taxation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participant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reintroduced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system,</w:t>
      </w:r>
      <w:r w:rsidR="00D17A94">
        <w:t xml:space="preserve"> </w:t>
      </w:r>
      <w:r w:rsidRPr="008A0A12">
        <w:t>while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participant</w:t>
      </w:r>
      <w:r w:rsidR="00D17A94">
        <w:t xml:space="preserve"> </w:t>
      </w:r>
      <w:r w:rsidRPr="008A0A12">
        <w:t>can</w:t>
      </w:r>
      <w:r w:rsidR="00D17A94">
        <w:t xml:space="preserve"> </w:t>
      </w:r>
      <w:r w:rsidRPr="008A0A12">
        <w:t>reduce</w:t>
      </w:r>
      <w:r w:rsidR="00D17A94">
        <w:t xml:space="preserve"> </w:t>
      </w:r>
      <w:r w:rsidRPr="008A0A12">
        <w:t>his</w:t>
      </w:r>
      <w:r w:rsidR="00D17A94">
        <w:t xml:space="preserve"> </w:t>
      </w:r>
      <w:r w:rsidRPr="008A0A12">
        <w:t>tax</w:t>
      </w:r>
      <w:r w:rsidR="00D17A94">
        <w:t xml:space="preserve"> </w:t>
      </w:r>
      <w:r w:rsidRPr="008A0A12">
        <w:t>base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paid</w:t>
      </w:r>
      <w:r w:rsidR="00D17A94">
        <w:t xml:space="preserve"> </w:t>
      </w:r>
      <w:r w:rsidRPr="008A0A12">
        <w:t>contributions</w:t>
      </w:r>
      <w:r w:rsidR="00D17A94">
        <w:t xml:space="preserve"> </w:t>
      </w:r>
      <w:r w:rsidRPr="008A0A12">
        <w:t>up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€180.00</w:t>
      </w:r>
      <w:r w:rsidR="00D17A94">
        <w:t xml:space="preserve"> </w:t>
      </w:r>
      <w:r w:rsidRPr="008A0A12">
        <w:t>annually.</w:t>
      </w:r>
      <w:r w:rsidR="00D17A94">
        <w:t xml:space="preserve"> </w:t>
      </w:r>
      <w:r w:rsidRPr="008A0A12">
        <w:t>Contributions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supplementary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saving</w:t>
      </w:r>
      <w:r w:rsidR="00D17A94">
        <w:t xml:space="preserve"> </w:t>
      </w:r>
      <w:r w:rsidRPr="008A0A12">
        <w:t>paid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employers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employees-participants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subject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reduced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taxation</w:t>
      </w:r>
      <w:r w:rsidR="00D17A94">
        <w:t xml:space="preserve"> </w:t>
      </w:r>
      <w:r w:rsidRPr="008A0A12">
        <w:t>up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6</w:t>
      </w:r>
      <w:r w:rsidR="00CD3239">
        <w:t>%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employees.</w:t>
      </w:r>
    </w:p>
    <w:p w:rsidR="00F33762" w:rsidRPr="008A0A12" w:rsidRDefault="00F33762" w:rsidP="00F33762">
      <w:pPr>
        <w:pStyle w:val="SingleTxtG"/>
      </w:pPr>
      <w:r w:rsidRPr="008A0A12">
        <w:t>67.</w:t>
      </w:r>
      <w:r w:rsidRPr="008A0A12">
        <w:tab/>
        <w:t>Since</w:t>
      </w:r>
      <w:r w:rsidR="00D17A94">
        <w:t xml:space="preserve"> </w:t>
      </w:r>
      <w:r w:rsidRPr="008A0A12">
        <w:t>2014,</w:t>
      </w:r>
      <w:r w:rsidR="00D17A94">
        <w:t xml:space="preserve"> </w:t>
      </w:r>
      <w:r w:rsidRPr="008A0A12">
        <w:t>several</w:t>
      </w:r>
      <w:r w:rsidR="00D17A94">
        <w:t xml:space="preserve"> </w:t>
      </w:r>
      <w:r w:rsidRPr="008A0A12">
        <w:t>changes</w:t>
      </w:r>
      <w:r w:rsidR="00D17A94">
        <w:t xml:space="preserve"> </w:t>
      </w:r>
      <w:r w:rsidRPr="008A0A12">
        <w:t>have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made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supplementary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saving</w:t>
      </w:r>
      <w:r w:rsidR="00D17A94">
        <w:t xml:space="preserve"> </w:t>
      </w:r>
      <w:r w:rsidRPr="008A0A12">
        <w:t>system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fulfil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original</w:t>
      </w:r>
      <w:r w:rsidR="00D17A94">
        <w:t xml:space="preserve"> </w:t>
      </w:r>
      <w:r w:rsidRPr="008A0A12">
        <w:t>purpose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system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make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attractive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participants.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adopted,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age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supplementary</w:t>
      </w:r>
      <w:r w:rsidR="00D17A94">
        <w:t xml:space="preserve"> </w:t>
      </w:r>
      <w:r w:rsidRPr="008A0A12">
        <w:t>old-age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paid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increased,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principle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62</w:t>
      </w:r>
      <w:r w:rsidR="00D17A94">
        <w:t xml:space="preserve"> </w:t>
      </w:r>
      <w:r w:rsidRPr="008A0A12">
        <w:t>years,</w:t>
      </w:r>
      <w:r w:rsidR="00D17A94">
        <w:t xml:space="preserve"> </w:t>
      </w:r>
      <w:r w:rsidRPr="008A0A12">
        <w:t>while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condition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minimum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saving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10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cancelled.</w:t>
      </w:r>
    </w:p>
    <w:p w:rsidR="00F33762" w:rsidRPr="008A0A12" w:rsidRDefault="00F33762" w:rsidP="00F33762">
      <w:pPr>
        <w:pStyle w:val="SingleTxtG"/>
      </w:pPr>
      <w:r w:rsidRPr="008A0A12">
        <w:t>68.</w:t>
      </w:r>
      <w:r w:rsidRPr="008A0A12">
        <w:tab/>
        <w:t>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supplementary</w:t>
      </w:r>
      <w:r w:rsidR="00D17A94">
        <w:t xml:space="preserve"> </w:t>
      </w:r>
      <w:r w:rsidRPr="008A0A12">
        <w:t>years-of-service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(the</w:t>
      </w:r>
      <w:r w:rsidR="00D17A94">
        <w:t xml:space="preserve"> </w:t>
      </w:r>
      <w:r w:rsidRPr="008A0A12">
        <w:t>extension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performance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risky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five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ten</w:t>
      </w:r>
      <w:r w:rsidR="00D17A94">
        <w:t xml:space="preserve"> </w:t>
      </w:r>
      <w:r w:rsidRPr="008A0A12">
        <w:t>years,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increase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age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paid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40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55</w:t>
      </w:r>
      <w:r w:rsidR="00D17A94">
        <w:t xml:space="preserve"> </w:t>
      </w:r>
      <w:r w:rsidRPr="008A0A12">
        <w:t>years)</w:t>
      </w:r>
      <w:r w:rsidR="00D17A94">
        <w:t xml:space="preserve"> </w:t>
      </w:r>
      <w:r w:rsidRPr="008A0A12">
        <w:t>have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changed</w:t>
      </w:r>
      <w:r w:rsidR="00D17A94">
        <w:t xml:space="preserve"> </w:t>
      </w:r>
      <w:r w:rsidRPr="008A0A12">
        <w:t>together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purpose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supplementary</w:t>
      </w:r>
      <w:r w:rsidR="00D17A94">
        <w:t xml:space="preserve"> </w:t>
      </w:r>
      <w:r w:rsidRPr="008A0A12">
        <w:t>years-of-service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(earlier</w:t>
      </w:r>
      <w:r w:rsidR="00D17A94">
        <w:t xml:space="preserve"> </w:t>
      </w:r>
      <w:r w:rsidRPr="008A0A12">
        <w:t>retirement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legal</w:t>
      </w:r>
      <w:r w:rsidR="00D17A94">
        <w:t xml:space="preserve"> </w:t>
      </w:r>
      <w:r w:rsidRPr="008A0A12">
        <w:t>retirement).</w:t>
      </w:r>
      <w:r w:rsidR="00D17A94">
        <w:t xml:space="preserve"> </w:t>
      </w:r>
      <w:r w:rsidRPr="008A0A12">
        <w:t>Severance</w:t>
      </w:r>
      <w:r w:rsidR="00D17A94">
        <w:t xml:space="preserve"> </w:t>
      </w:r>
      <w:r w:rsidRPr="008A0A12">
        <w:t>payment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left</w:t>
      </w:r>
      <w:r w:rsidR="00D17A94">
        <w:t xml:space="preserve"> </w:t>
      </w:r>
      <w:r w:rsidRPr="008A0A12">
        <w:t>out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possibility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early</w:t>
      </w:r>
      <w:r w:rsidR="00D17A94">
        <w:t xml:space="preserve"> </w:t>
      </w:r>
      <w:r w:rsidRPr="008A0A12">
        <w:t>withdrawal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lastRenderedPageBreak/>
        <w:t>the</w:t>
      </w:r>
      <w:r w:rsidR="00D17A94">
        <w:t xml:space="preserve"> </w:t>
      </w:r>
      <w:r w:rsidRPr="008A0A12">
        <w:t>participant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introduced.</w:t>
      </w:r>
      <w:r w:rsidR="00D17A94">
        <w:t xml:space="preserve"> </w:t>
      </w:r>
      <w:r w:rsidRPr="008A0A12">
        <w:t>Benefit</w:t>
      </w:r>
      <w:r w:rsidR="00D17A94">
        <w:t xml:space="preserve"> </w:t>
      </w:r>
      <w:r w:rsidRPr="008A0A12">
        <w:t>plans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cancelled,</w:t>
      </w:r>
      <w:r w:rsidR="00D17A94">
        <w:t xml:space="preserve"> </w:t>
      </w:r>
      <w:r w:rsidRPr="008A0A12">
        <w:t>while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benefits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supplementary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saving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governed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only.</w:t>
      </w:r>
    </w:p>
    <w:p w:rsidR="00F33762" w:rsidRPr="008A0A12" w:rsidRDefault="00F33762" w:rsidP="00F33762">
      <w:pPr>
        <w:pStyle w:val="SingleTxtG"/>
      </w:pPr>
      <w:r w:rsidRPr="008A0A12">
        <w:t>69.</w:t>
      </w:r>
      <w:r w:rsidRPr="008A0A12">
        <w:tab/>
        <w:t>The</w:t>
      </w:r>
      <w:r w:rsidR="00D17A94">
        <w:t xml:space="preserve"> </w:t>
      </w:r>
      <w:r w:rsidRPr="008A0A12">
        <w:t>possibility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save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several</w:t>
      </w:r>
      <w:r w:rsidR="00D17A94">
        <w:t xml:space="preserve"> </w:t>
      </w:r>
      <w:r w:rsidRPr="008A0A12">
        <w:t>contributory</w:t>
      </w:r>
      <w:r w:rsidR="00D17A94">
        <w:t xml:space="preserve"> </w:t>
      </w:r>
      <w:r w:rsidRPr="008A0A12">
        <w:t>supplementary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funds</w:t>
      </w:r>
      <w:r w:rsidR="00D17A94">
        <w:t xml:space="preserve"> </w:t>
      </w:r>
      <w:r w:rsidRPr="008A0A12">
        <w:t>simultaneously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introduced;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selection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supplementary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company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transferred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participant.</w:t>
      </w:r>
      <w:r w:rsidR="00D17A94">
        <w:t xml:space="preserve"> </w:t>
      </w:r>
      <w:r w:rsidRPr="008A0A12">
        <w:t>Each</w:t>
      </w:r>
      <w:r w:rsidR="00D17A94">
        <w:t xml:space="preserve"> </w:t>
      </w:r>
      <w:r w:rsidRPr="008A0A12">
        <w:t>participant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recipient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benefit</w:t>
      </w:r>
      <w:r w:rsidR="00D17A94">
        <w:t xml:space="preserve"> </w:t>
      </w:r>
      <w:r w:rsidRPr="008A0A12">
        <w:t>acquires</w:t>
      </w:r>
      <w:r w:rsidR="00D17A94">
        <w:t xml:space="preserve"> </w:t>
      </w:r>
      <w:r w:rsidRPr="008A0A12">
        <w:t>passive</w:t>
      </w:r>
      <w:r w:rsidR="00D17A94">
        <w:t xml:space="preserve"> </w:t>
      </w:r>
      <w:r w:rsidRPr="008A0A12">
        <w:t>electronic</w:t>
      </w:r>
      <w:r w:rsidR="00D17A94">
        <w:t xml:space="preserve"> </w:t>
      </w:r>
      <w:r w:rsidRPr="008A0A12">
        <w:t>access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his</w:t>
      </w:r>
      <w:r w:rsidR="00D17A94">
        <w:t xml:space="preserve"> </w:t>
      </w:r>
      <w:r w:rsidRPr="008A0A12">
        <w:t>personal</w:t>
      </w:r>
      <w:r w:rsidR="00D17A94">
        <w:t xml:space="preserve"> </w:t>
      </w:r>
      <w:r w:rsidRPr="008A0A12">
        <w:t>account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institute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="00413AEE">
        <w:t>“</w:t>
      </w:r>
      <w:r w:rsidRPr="008A0A12">
        <w:t>key</w:t>
      </w:r>
      <w:r w:rsidR="00D17A94">
        <w:t xml:space="preserve"> </w:t>
      </w:r>
      <w:r w:rsidRPr="008A0A12">
        <w:t>information</w:t>
      </w:r>
      <w:r w:rsidR="00413AEE">
        <w:t>”</w:t>
      </w:r>
      <w:r w:rsidRPr="008A0A12">
        <w:t>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replaced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unsuitable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brochure,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introduced.</w:t>
      </w:r>
    </w:p>
    <w:p w:rsidR="00F33762" w:rsidRPr="008A0A12" w:rsidRDefault="00F33762" w:rsidP="00F33762">
      <w:pPr>
        <w:pStyle w:val="SingleTxtG"/>
      </w:pPr>
      <w:r w:rsidRPr="008A0A12">
        <w:t>70.</w:t>
      </w:r>
      <w:r w:rsidRPr="008A0A12">
        <w:tab/>
        <w:t>Also,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costs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system</w:t>
      </w:r>
      <w:r w:rsidR="00D17A94">
        <w:t xml:space="preserve"> </w:t>
      </w:r>
      <w:r w:rsidRPr="008A0A12">
        <w:t>have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reduced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overall</w:t>
      </w:r>
      <w:r w:rsidR="00D17A94">
        <w:t xml:space="preserve"> </w:t>
      </w:r>
      <w:r w:rsidRPr="008A0A12">
        <w:t>reduction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remuneration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supplementary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companies.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investments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risk</w:t>
      </w:r>
      <w:r w:rsidR="00D17A94">
        <w:t xml:space="preserve"> </w:t>
      </w:r>
      <w:r w:rsidRPr="008A0A12">
        <w:t>management,</w:t>
      </w:r>
      <w:r w:rsidR="00D17A94">
        <w:t xml:space="preserve"> </w:t>
      </w:r>
      <w:r w:rsidRPr="008A0A12">
        <w:t>management</w:t>
      </w:r>
      <w:r w:rsidR="00D17A94">
        <w:t xml:space="preserve"> </w:t>
      </w:r>
      <w:r w:rsidRPr="008A0A12">
        <w:t>companies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given</w:t>
      </w:r>
      <w:r w:rsidR="00D17A94">
        <w:t xml:space="preserve"> </w:t>
      </w:r>
      <w:r w:rsidRPr="008A0A12">
        <w:t>possibility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increase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activity,</w:t>
      </w:r>
      <w:r w:rsidR="00D17A94">
        <w:t xml:space="preserve"> </w:t>
      </w:r>
      <w:r w:rsidRPr="008A0A12">
        <w:t>investments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new</w:t>
      </w:r>
      <w:r w:rsidR="00D17A94">
        <w:t xml:space="preserve"> </w:t>
      </w:r>
      <w:r w:rsidRPr="008A0A12">
        <w:t>class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assets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allowed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strong</w:t>
      </w:r>
      <w:r w:rsidR="00D17A94">
        <w:t xml:space="preserve"> </w:t>
      </w:r>
      <w:r w:rsidRPr="008A0A12">
        <w:t>internal</w:t>
      </w:r>
      <w:r w:rsidR="00D17A94">
        <w:t xml:space="preserve"> </w:t>
      </w:r>
      <w:r w:rsidRPr="008A0A12">
        <w:t>control</w:t>
      </w:r>
      <w:r w:rsidR="00D17A94">
        <w:t xml:space="preserve"> </w:t>
      </w:r>
      <w:r w:rsidRPr="008A0A12">
        <w:t>system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introduced</w:t>
      </w:r>
      <w:r w:rsidR="00D17A94">
        <w:t xml:space="preserve"> </w:t>
      </w:r>
      <w:r w:rsidRPr="008A0A12">
        <w:t>(risk</w:t>
      </w:r>
      <w:r w:rsidR="00D17A94">
        <w:t xml:space="preserve"> </w:t>
      </w:r>
      <w:r w:rsidRPr="008A0A12">
        <w:t>management</w:t>
      </w:r>
      <w:r w:rsidR="00D17A94">
        <w:t xml:space="preserve"> </w:t>
      </w:r>
      <w:r w:rsidRPr="008A0A12">
        <w:t>system).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29</w:t>
      </w:r>
      <w:r w:rsidR="00456170">
        <w:t>-</w:t>
      </w:r>
      <w:r w:rsidRPr="008A0A12">
        <w:t>34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9E1013">
      <w:pPr>
        <w:pStyle w:val="H23G"/>
      </w:pPr>
      <w:r w:rsidRPr="008A0A12">
        <w:tab/>
      </w:r>
      <w:r w:rsidRPr="008A0A12">
        <w:tab/>
        <w:t>Accident</w:t>
      </w:r>
      <w:r w:rsidR="00D17A94">
        <w:t xml:space="preserve"> </w:t>
      </w:r>
      <w:r w:rsidRPr="008A0A12">
        <w:t>insurance</w:t>
      </w:r>
    </w:p>
    <w:p w:rsidR="00F33762" w:rsidRPr="008A0A12" w:rsidRDefault="00F33762" w:rsidP="00F33762">
      <w:pPr>
        <w:pStyle w:val="SingleTxtG"/>
      </w:pPr>
      <w:r w:rsidRPr="008A0A12">
        <w:t>71.</w:t>
      </w:r>
      <w:r w:rsidRPr="008A0A12">
        <w:tab/>
        <w:t>Accident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employer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cases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damage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death</w:t>
      </w:r>
      <w:r w:rsidR="00D17A94">
        <w:t xml:space="preserve"> </w:t>
      </w:r>
      <w:r w:rsidRPr="008A0A12">
        <w:t>due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industrial</w:t>
      </w:r>
      <w:r w:rsidR="00D17A94">
        <w:t xml:space="preserve"> </w:t>
      </w:r>
      <w:r w:rsidRPr="008A0A12">
        <w:t>accident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occupational</w:t>
      </w:r>
      <w:r w:rsidR="00D17A94">
        <w:t xml:space="preserve"> </w:t>
      </w:r>
      <w:r w:rsidRPr="008A0A12">
        <w:t>disease.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35-36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9E1013">
      <w:pPr>
        <w:pStyle w:val="H23G"/>
      </w:pPr>
      <w:r w:rsidRPr="008A0A12">
        <w:tab/>
      </w:r>
      <w:r w:rsidRPr="008A0A12">
        <w:tab/>
        <w:t>Guarantee</w:t>
      </w:r>
      <w:r w:rsidR="00D17A94">
        <w:t xml:space="preserve"> </w:t>
      </w:r>
      <w:r w:rsidRPr="008A0A12">
        <w:t>insurance</w:t>
      </w:r>
    </w:p>
    <w:p w:rsidR="00F33762" w:rsidRPr="008A0A12" w:rsidRDefault="00F33762" w:rsidP="00F33762">
      <w:pPr>
        <w:pStyle w:val="SingleTxtG"/>
      </w:pPr>
      <w:r w:rsidRPr="008A0A12">
        <w:t>72.</w:t>
      </w:r>
      <w:r w:rsidRPr="008A0A12">
        <w:tab/>
        <w:t>Guarantee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represents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employer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insolvency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satisfying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employee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claims,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remuneration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expenses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temporary</w:t>
      </w:r>
      <w:r w:rsidR="00D17A94">
        <w:t xml:space="preserve"> </w:t>
      </w:r>
      <w:r w:rsidRPr="008A0A12">
        <w:t>administrator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bankruptcy</w:t>
      </w:r>
      <w:r w:rsidR="00D17A94">
        <w:t xml:space="preserve"> </w:t>
      </w:r>
      <w:r w:rsidRPr="008A0A12">
        <w:t>assets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compulsory</w:t>
      </w:r>
      <w:r w:rsidR="00D17A94">
        <w:t xml:space="preserve"> </w:t>
      </w:r>
      <w:r w:rsidRPr="008A0A12">
        <w:t>old-age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contributions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paid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basic</w:t>
      </w:r>
      <w:r w:rsidR="00D17A94">
        <w:t xml:space="preserve"> </w:t>
      </w:r>
      <w:r w:rsidRPr="008A0A12">
        <w:t>fund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contributions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old-age</w:t>
      </w:r>
      <w:r w:rsidR="00D17A94">
        <w:t xml:space="preserve"> </w:t>
      </w:r>
      <w:r w:rsidRPr="008A0A12">
        <w:t>pension</w:t>
      </w:r>
      <w:r w:rsidR="00D17A94">
        <w:t xml:space="preserve"> </w:t>
      </w:r>
      <w:r w:rsidRPr="008A0A12">
        <w:t>saving.</w:t>
      </w:r>
      <w:r w:rsidR="00D17A94">
        <w:t xml:space="preserve"> </w:t>
      </w:r>
      <w:r w:rsidRPr="008A0A12">
        <w:t>Compulsory</w:t>
      </w:r>
      <w:r w:rsidR="00D17A94">
        <w:t xml:space="preserve"> </w:t>
      </w:r>
      <w:r w:rsidRPr="008A0A12">
        <w:t>guarantee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applies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employee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member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cooperative</w:t>
      </w:r>
      <w:r w:rsidR="00D17A94">
        <w:t xml:space="preserve"> </w:t>
      </w:r>
      <w:r w:rsidRPr="008A0A12">
        <w:t>employed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cooperative.</w:t>
      </w:r>
      <w:r w:rsidR="00D17A94">
        <w:t xml:space="preserve"> </w:t>
      </w:r>
      <w:r w:rsidRPr="008A0A12">
        <w:t>Compulsory</w:t>
      </w:r>
      <w:r w:rsidR="00D17A94">
        <w:t xml:space="preserve"> </w:t>
      </w:r>
      <w:r w:rsidRPr="008A0A12">
        <w:t>guarantee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does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apply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employer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representative</w:t>
      </w:r>
      <w:r w:rsidR="00D17A94">
        <w:t xml:space="preserve"> </w:t>
      </w:r>
      <w:r w:rsidRPr="008A0A12">
        <w:t>office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foreign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employer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cannot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declared</w:t>
      </w:r>
      <w:r w:rsidR="00D17A94">
        <w:t xml:space="preserve"> </w:t>
      </w:r>
      <w:r w:rsidRPr="008A0A12">
        <w:t>bankrupt.</w:t>
      </w:r>
    </w:p>
    <w:p w:rsidR="00F33762" w:rsidRPr="008A0A12" w:rsidRDefault="00F33762" w:rsidP="00F33762">
      <w:pPr>
        <w:pStyle w:val="SingleTxtG"/>
      </w:pPr>
      <w:r w:rsidRPr="008A0A12">
        <w:t>73.</w:t>
      </w:r>
      <w:r w:rsidRPr="008A0A12">
        <w:tab/>
        <w:t>An</w:t>
      </w:r>
      <w:r w:rsidR="00D17A94">
        <w:t xml:space="preserve"> </w:t>
      </w:r>
      <w:r w:rsidRPr="008A0A12">
        <w:t>employee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guarantee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benefit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employer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guarantee</w:t>
      </w:r>
      <w:r w:rsidR="00D17A94">
        <w:t xml:space="preserve"> </w:t>
      </w:r>
      <w:r w:rsidRPr="008A0A12">
        <w:t>insurance,</w:t>
      </w:r>
      <w:r w:rsidR="00D17A94">
        <w:t xml:space="preserve"> </w:t>
      </w:r>
      <w:r w:rsidRPr="008A0A12">
        <w:t>except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employee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statutory</w:t>
      </w:r>
      <w:r w:rsidR="00D17A94">
        <w:t xml:space="preserve"> </w:t>
      </w:r>
      <w:r w:rsidRPr="008A0A12">
        <w:t>representative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member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statutory</w:t>
      </w:r>
      <w:r w:rsidR="00D17A94">
        <w:t xml:space="preserve"> </w:t>
      </w:r>
      <w:r w:rsidRPr="008A0A12">
        <w:t>body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least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50</w:t>
      </w:r>
      <w:r w:rsidR="00CD3239">
        <w:t>%</w:t>
      </w:r>
      <w:r w:rsidR="00D17A94">
        <w:t xml:space="preserve"> </w:t>
      </w:r>
      <w:r w:rsidRPr="008A0A12">
        <w:t>share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employer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assets,</w:t>
      </w:r>
      <w:r w:rsidR="00D17A94">
        <w:t xml:space="preserve"> </w:t>
      </w:r>
      <w:r w:rsidRPr="008A0A12">
        <w:t>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stipulated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met.</w:t>
      </w:r>
      <w:r w:rsidR="00D17A94">
        <w:t xml:space="preserve"> </w:t>
      </w:r>
    </w:p>
    <w:p w:rsidR="00F33762" w:rsidRPr="008A0A12" w:rsidRDefault="00F33762" w:rsidP="00BA7DBC">
      <w:pPr>
        <w:pStyle w:val="H23G"/>
      </w:pPr>
      <w:r w:rsidRPr="008A0A12">
        <w:tab/>
      </w:r>
      <w:r w:rsidRPr="008A0A12">
        <w:tab/>
        <w:t>Unemployment</w:t>
      </w:r>
      <w:r w:rsidR="00D17A94">
        <w:t xml:space="preserve"> </w:t>
      </w:r>
      <w:r w:rsidRPr="008A0A12">
        <w:t>insurance</w:t>
      </w:r>
    </w:p>
    <w:p w:rsidR="00F33762" w:rsidRPr="008A0A12" w:rsidRDefault="00F33762" w:rsidP="00F33762">
      <w:pPr>
        <w:pStyle w:val="SingleTxtG"/>
      </w:pPr>
      <w:r w:rsidRPr="008A0A12">
        <w:t>74.</w:t>
      </w:r>
      <w:r w:rsidRPr="008A0A12">
        <w:tab/>
        <w:t>Unemployment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represents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loss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income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employee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due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serves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provide</w:t>
      </w:r>
      <w:r w:rsidR="00D17A94">
        <w:t xml:space="preserve"> </w:t>
      </w:r>
      <w:r w:rsidRPr="008A0A12">
        <w:t>income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unemployment.</w:t>
      </w:r>
      <w:r w:rsidR="00D17A94">
        <w:t xml:space="preserve"> </w:t>
      </w:r>
      <w:r w:rsidRPr="008A0A12">
        <w:t>The</w:t>
      </w:r>
      <w:r w:rsidR="00D17A94">
        <w:t xml:space="preserve"> </w:t>
      </w:r>
      <w:proofErr w:type="spellStart"/>
      <w:r w:rsidRPr="008A0A12">
        <w:t>insuree</w:t>
      </w:r>
      <w:proofErr w:type="spellEnd"/>
      <w:r w:rsidR="00D17A94">
        <w:t xml:space="preserve"> </w:t>
      </w:r>
      <w:r w:rsidRPr="008A0A12">
        <w:t>(a</w:t>
      </w:r>
      <w:r w:rsidR="00D17A94">
        <w:t xml:space="preserve"> </w:t>
      </w:r>
      <w:r w:rsidRPr="008A0A12">
        <w:t>compulsory</w:t>
      </w:r>
      <w:r w:rsidR="00D17A94">
        <w:t xml:space="preserve"> </w:t>
      </w:r>
      <w:r w:rsidRPr="008A0A12">
        <w:t>insured</w:t>
      </w:r>
      <w:r w:rsidR="00D17A94">
        <w:t xml:space="preserve"> </w:t>
      </w:r>
      <w:r w:rsidRPr="008A0A12">
        <w:t>unemployed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="00500D75">
        <w:t>—</w:t>
      </w:r>
      <w:r w:rsidR="00D17A94">
        <w:t xml:space="preserve"> </w:t>
      </w:r>
      <w:r w:rsidRPr="008A0A12">
        <w:t>employee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voluntarily</w:t>
      </w:r>
      <w:r w:rsidR="00D17A94">
        <w:t xml:space="preserve"> </w:t>
      </w:r>
      <w:r w:rsidRPr="008A0A12">
        <w:t>insured</w:t>
      </w:r>
      <w:r w:rsidR="00D17A94">
        <w:t xml:space="preserve"> </w:t>
      </w:r>
      <w:r w:rsidRPr="008A0A12">
        <w:t>unemployed</w:t>
      </w:r>
      <w:r w:rsidR="00D17A94">
        <w:t xml:space="preserve"> </w:t>
      </w:r>
      <w:r w:rsidRPr="008A0A12">
        <w:t>person)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entitled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benefit</w:t>
      </w:r>
      <w:r w:rsidR="00D17A94">
        <w:t xml:space="preserve"> </w:t>
      </w:r>
      <w:r w:rsidRPr="008A0A12">
        <w:t>after</w:t>
      </w:r>
      <w:r w:rsidR="00D17A94">
        <w:t xml:space="preserve"> </w:t>
      </w:r>
      <w:r w:rsidRPr="008A0A12">
        <w:t>meeting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granting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benefit.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employee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compulsory</w:t>
      </w:r>
      <w:r w:rsidR="00D17A94">
        <w:t xml:space="preserve"> </w:t>
      </w:r>
      <w:r w:rsidRPr="008A0A12">
        <w:t>sickness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whom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compulsory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relates</w:t>
      </w:r>
      <w:r w:rsidR="00D17A94">
        <w:t xml:space="preserve"> </w:t>
      </w:r>
      <w:r w:rsidRPr="008A0A12">
        <w:t>to.</w:t>
      </w:r>
    </w:p>
    <w:p w:rsidR="00F33762" w:rsidRPr="008A0A12" w:rsidRDefault="00F33762" w:rsidP="00BA7DBC">
      <w:pPr>
        <w:pStyle w:val="H1G"/>
      </w:pPr>
      <w:r w:rsidRPr="008A0A12">
        <w:tab/>
      </w:r>
      <w:r w:rsidRPr="008A0A12">
        <w:tab/>
        <w:t>Article</w:t>
      </w:r>
      <w:r w:rsidR="00D17A94">
        <w:t xml:space="preserve"> </w:t>
      </w:r>
      <w:r w:rsidRPr="008A0A12">
        <w:t>10</w:t>
      </w:r>
    </w:p>
    <w:p w:rsidR="00F33762" w:rsidRPr="008A0A12" w:rsidRDefault="00F33762" w:rsidP="00BA7DBC">
      <w:pPr>
        <w:pStyle w:val="H23G"/>
      </w:pPr>
      <w:r w:rsidRPr="008A0A12">
        <w:tab/>
      </w:r>
      <w:r w:rsidRPr="008A0A12">
        <w:tab/>
        <w:t>Family</w:t>
      </w:r>
      <w:r w:rsidR="00D17A94">
        <w:t xml:space="preserve"> </w:t>
      </w:r>
      <w:r w:rsidRPr="008A0A12">
        <w:t>protection</w:t>
      </w:r>
    </w:p>
    <w:p w:rsidR="00F33762" w:rsidRPr="008A0A12" w:rsidRDefault="00F33762" w:rsidP="00F33762">
      <w:pPr>
        <w:pStyle w:val="SingleTxtG"/>
      </w:pPr>
      <w:r w:rsidRPr="008A0A12">
        <w:t>75.</w:t>
      </w:r>
      <w:r w:rsidRPr="008A0A12">
        <w:tab/>
        <w:t>The</w:t>
      </w:r>
      <w:r w:rsidR="00D17A94">
        <w:t xml:space="preserve"> </w:t>
      </w:r>
      <w:r w:rsidRPr="008A0A12">
        <w:t>basic</w:t>
      </w:r>
      <w:r w:rsidR="00D17A94">
        <w:t xml:space="preserve"> </w:t>
      </w:r>
      <w:r w:rsidRPr="008A0A12">
        <w:t>objective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policy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adoption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will</w:t>
      </w:r>
      <w:r w:rsidR="00D17A94">
        <w:t xml:space="preserve"> </w:t>
      </w:r>
      <w:r w:rsidRPr="008A0A12">
        <w:t>ensure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maintenance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human,</w:t>
      </w:r>
      <w:r w:rsidR="00D17A94">
        <w:t xml:space="preserve"> </w:t>
      </w:r>
      <w:r w:rsidRPr="008A0A12">
        <w:t>economic,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cultural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interest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decent</w:t>
      </w:r>
      <w:r w:rsidR="00D17A94">
        <w:t xml:space="preserve"> </w:t>
      </w:r>
      <w:r w:rsidRPr="008A0A12">
        <w:t>living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all.</w:t>
      </w:r>
      <w:r w:rsidR="00D17A94">
        <w:t xml:space="preserve"> </w:t>
      </w:r>
      <w:r w:rsidRPr="008A0A12">
        <w:t>Respect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principle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equal</w:t>
      </w:r>
      <w:r w:rsidR="00D17A94">
        <w:t xml:space="preserve"> </w:t>
      </w:r>
      <w:r w:rsidRPr="008A0A12">
        <w:t>treatment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one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essential</w:t>
      </w:r>
      <w:r w:rsidR="00D17A94">
        <w:t xml:space="preserve"> </w:t>
      </w:r>
      <w:r w:rsidRPr="008A0A12">
        <w:t>pillars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protection.</w:t>
      </w:r>
      <w:r w:rsidR="00D17A94">
        <w:t xml:space="preserve"> </w:t>
      </w:r>
      <w:r w:rsidRPr="008A0A12">
        <w:t>Multiple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protection,</w:t>
      </w:r>
      <w:r w:rsidR="00D17A94">
        <w:t xml:space="preserve"> </w:t>
      </w:r>
      <w:r w:rsidRPr="008A0A12">
        <w:t>either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instruments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employment,</w:t>
      </w:r>
      <w:r w:rsidR="00D17A94">
        <w:t xml:space="preserve"> </w:t>
      </w:r>
      <w:r w:rsidRPr="008A0A12">
        <w:t>lower</w:t>
      </w:r>
      <w:r w:rsidR="00D17A94">
        <w:t xml:space="preserve"> </w:t>
      </w:r>
      <w:r w:rsidRPr="008A0A12">
        <w:t>taxes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selected</w:t>
      </w:r>
      <w:r w:rsidR="00D17A94">
        <w:t xml:space="preserve"> </w:t>
      </w:r>
      <w:r w:rsidRPr="008A0A12">
        <w:t>groups,</w:t>
      </w:r>
      <w:r w:rsidR="00D17A94">
        <w:t xml:space="preserve"> </w:t>
      </w:r>
      <w:r w:rsidRPr="008A0A12">
        <w:t>emergency</w:t>
      </w:r>
      <w:r w:rsidR="00D17A94">
        <w:t xml:space="preserve"> </w:t>
      </w:r>
      <w:r w:rsidRPr="008A0A12">
        <w:t>benefit,</w:t>
      </w:r>
      <w:r w:rsidR="00D17A94">
        <w:t xml:space="preserve"> </w:t>
      </w:r>
      <w:r w:rsidRPr="008A0A12">
        <w:t>instruments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inclusion</w:t>
      </w:r>
      <w:r w:rsidR="00D17A94">
        <w:t xml:space="preserve"> </w:t>
      </w:r>
      <w:r w:rsidRPr="008A0A12">
        <w:t>(community</w:t>
      </w:r>
      <w:r w:rsidR="00D17A94">
        <w:t xml:space="preserve"> </w:t>
      </w:r>
      <w:r w:rsidRPr="008A0A12">
        <w:t>centres,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work),</w:t>
      </w:r>
      <w:r w:rsidR="00D17A94">
        <w:t xml:space="preserve"> </w:t>
      </w:r>
      <w:r w:rsidRPr="008A0A12">
        <w:t>instruments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reconciliation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life</w:t>
      </w:r>
      <w:r w:rsidR="00D17A94">
        <w:t xml:space="preserve"> </w:t>
      </w:r>
      <w:r w:rsidRPr="008A0A12">
        <w:t>(higher</w:t>
      </w:r>
      <w:r w:rsidR="00D17A94">
        <w:t xml:space="preserve"> </w:t>
      </w:r>
      <w:r w:rsidRPr="008A0A12">
        <w:t>maternity</w:t>
      </w:r>
      <w:r w:rsidR="00D17A94">
        <w:t xml:space="preserve"> </w:t>
      </w:r>
      <w:r w:rsidRPr="008A0A12">
        <w:t>benefit,</w:t>
      </w:r>
      <w:r w:rsidR="00D17A94">
        <w:t xml:space="preserve"> </w:t>
      </w:r>
      <w:r w:rsidRPr="008A0A12">
        <w:t>higher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benefit).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lastRenderedPageBreak/>
        <w:t>76.</w:t>
      </w:r>
      <w:r w:rsidRPr="008A0A12">
        <w:tab/>
        <w:t>State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families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primarily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system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benefits</w:t>
      </w:r>
      <w:r w:rsidR="00D17A94">
        <w:t xml:space="preserve"> </w:t>
      </w:r>
      <w:r w:rsidRPr="008A0A12">
        <w:t>representing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set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financial</w:t>
      </w:r>
      <w:r w:rsidR="00D17A94">
        <w:t xml:space="preserve"> </w:t>
      </w:r>
      <w:r w:rsidRPr="008A0A12">
        <w:t>benefits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participates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addressing</w:t>
      </w:r>
      <w:r w:rsidR="00D17A94">
        <w:t xml:space="preserve"> </w:t>
      </w:r>
      <w:r w:rsidRPr="008A0A12">
        <w:t>multiple</w:t>
      </w:r>
      <w:r w:rsidR="00D17A94">
        <w:t xml:space="preserve"> </w:t>
      </w:r>
      <w:r w:rsidRPr="008A0A12">
        <w:t>life</w:t>
      </w:r>
      <w:r w:rsidR="00D17A94">
        <w:t xml:space="preserve"> </w:t>
      </w:r>
      <w:r w:rsidRPr="008A0A12">
        <w:t>situations,</w:t>
      </w:r>
      <w:r w:rsidR="00D17A94">
        <w:t xml:space="preserve"> </w:t>
      </w:r>
      <w:r w:rsidRPr="008A0A12">
        <w:t>especially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families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dependent</w:t>
      </w:r>
      <w:r w:rsidR="00D17A94">
        <w:t xml:space="preserve"> </w:t>
      </w:r>
      <w:r w:rsidRPr="008A0A12">
        <w:t>children.</w:t>
      </w:r>
      <w:r w:rsidR="00D17A94">
        <w:t xml:space="preserve"> </w:t>
      </w:r>
      <w:r w:rsidRPr="008A0A12">
        <w:t>When</w:t>
      </w:r>
      <w:r w:rsidR="00D17A94">
        <w:t xml:space="preserve"> </w:t>
      </w:r>
      <w:r w:rsidRPr="008A0A12">
        <w:t>providing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families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children,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income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taken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account,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exception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substitute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maintenance.</w:t>
      </w:r>
      <w:r w:rsidR="00D17A94">
        <w:t xml:space="preserve"> </w:t>
      </w:r>
      <w:r w:rsidRPr="008A0A12">
        <w:t>Benefits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families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system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financed</w:t>
      </w:r>
      <w:r w:rsidR="00D17A94">
        <w:t xml:space="preserve"> </w:t>
      </w:r>
      <w:r w:rsidRPr="008A0A12">
        <w:t>exclusively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budget.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granting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individual</w:t>
      </w:r>
      <w:r w:rsidR="00D17A94">
        <w:t xml:space="preserve"> </w:t>
      </w:r>
      <w:r w:rsidRPr="008A0A12">
        <w:t>benefits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legislatively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separate</w:t>
      </w:r>
      <w:r w:rsidR="00D17A94">
        <w:t xml:space="preserve"> </w:t>
      </w:r>
      <w:r w:rsidRPr="008A0A12">
        <w:t>acts</w:t>
      </w:r>
      <w:r w:rsidR="00D17A94">
        <w:t xml:space="preserve"> </w:t>
      </w:r>
      <w:r w:rsidRPr="008A0A12">
        <w:t>stipulating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terms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entitlement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individual</w:t>
      </w:r>
      <w:r w:rsidR="00D17A94">
        <w:t xml:space="preserve"> </w:t>
      </w:r>
      <w:r w:rsidRPr="008A0A12">
        <w:t>benefits,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amount,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method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procedure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payment,</w:t>
      </w:r>
      <w:r w:rsidR="00D17A94">
        <w:t xml:space="preserve"> </w:t>
      </w:r>
      <w:r w:rsidRPr="008A0A12">
        <w:t>including</w:t>
      </w:r>
      <w:r w:rsidR="00D17A94">
        <w:t xml:space="preserve"> </w:t>
      </w:r>
      <w:r w:rsidRPr="008A0A12">
        <w:t>provisions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minimising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possibility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ineffective</w:t>
      </w:r>
      <w:r w:rsidR="00D17A94">
        <w:t xml:space="preserve"> </w:t>
      </w:r>
      <w:r w:rsidRPr="008A0A12">
        <w:t>use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funds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authorised</w:t>
      </w:r>
      <w:r w:rsidR="00D17A94">
        <w:t xml:space="preserve"> </w:t>
      </w:r>
      <w:r w:rsidRPr="008A0A12">
        <w:t>persons.</w:t>
      </w:r>
      <w:r w:rsidR="00D17A94">
        <w:t xml:space="preserve"> </w:t>
      </w:r>
      <w:r w:rsidRPr="008A0A12">
        <w:t>Each</w:t>
      </w:r>
      <w:r w:rsidR="00D17A94">
        <w:t xml:space="preserve"> </w:t>
      </w:r>
      <w:r w:rsidRPr="008A0A12">
        <w:t>act</w:t>
      </w:r>
      <w:r w:rsidR="00D17A94">
        <w:t xml:space="preserve"> </w:t>
      </w:r>
      <w:r w:rsidRPr="008A0A12">
        <w:t>adapts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terms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specific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benefit,</w:t>
      </w:r>
      <w:r w:rsidR="00D17A94">
        <w:t xml:space="preserve"> </w:t>
      </w:r>
      <w:r w:rsidRPr="008A0A12">
        <w:t>while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stipulates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terms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equally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each</w:t>
      </w:r>
      <w:r w:rsidR="00D17A94">
        <w:t xml:space="preserve"> </w:t>
      </w:r>
      <w:r w:rsidRPr="008A0A12">
        <w:t>applicant</w:t>
      </w:r>
      <w:r w:rsidR="00D17A94">
        <w:t xml:space="preserve"> </w:t>
      </w:r>
      <w:r w:rsidRPr="008A0A12">
        <w:t>without</w:t>
      </w:r>
      <w:r w:rsidR="00D17A94">
        <w:t xml:space="preserve"> </w:t>
      </w:r>
      <w:r w:rsidRPr="008A0A12">
        <w:t>possibility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apply</w:t>
      </w:r>
      <w:r w:rsidR="00D17A94">
        <w:t xml:space="preserve"> </w:t>
      </w:r>
      <w:r w:rsidRPr="008A0A12">
        <w:t>any</w:t>
      </w:r>
      <w:r w:rsidR="00D17A94">
        <w:t xml:space="preserve"> </w:t>
      </w:r>
      <w:r w:rsidRPr="008A0A12">
        <w:t>exception.</w:t>
      </w:r>
    </w:p>
    <w:p w:rsidR="00F33762" w:rsidRPr="008A0A12" w:rsidRDefault="00F33762" w:rsidP="00F33762">
      <w:pPr>
        <w:pStyle w:val="SingleTxtG"/>
      </w:pPr>
      <w:r w:rsidRPr="008A0A12">
        <w:t>77.</w:t>
      </w:r>
      <w:r w:rsidRPr="008A0A12">
        <w:tab/>
        <w:t>The</w:t>
      </w:r>
      <w:r w:rsidR="00D17A94">
        <w:t xml:space="preserve"> </w:t>
      </w:r>
      <w:r w:rsidRPr="008A0A12">
        <w:t>following</w:t>
      </w:r>
      <w:r w:rsidR="00D17A94">
        <w:t xml:space="preserve"> </w:t>
      </w:r>
      <w:r w:rsidRPr="008A0A12">
        <w:t>allowances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intended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families: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birth</w:t>
      </w:r>
      <w:r w:rsidR="00D17A94">
        <w:t xml:space="preserve"> </w:t>
      </w:r>
      <w:r w:rsidRPr="008A0A12">
        <w:t>allowance,</w:t>
      </w:r>
      <w:r w:rsidR="00D17A94">
        <w:t xml:space="preserve"> </w:t>
      </w:r>
      <w:r w:rsidRPr="008A0A12">
        <w:t>allowance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multiple</w:t>
      </w:r>
      <w:r w:rsidR="00D17A94">
        <w:t xml:space="preserve"> </w:t>
      </w:r>
      <w:r w:rsidRPr="008A0A12">
        <w:t>simultaneously</w:t>
      </w:r>
      <w:r w:rsidR="00D17A94">
        <w:t xml:space="preserve"> </w:t>
      </w:r>
      <w:r w:rsidRPr="008A0A12">
        <w:t>born</w:t>
      </w:r>
      <w:r w:rsidR="00D17A94">
        <w:t xml:space="preserve"> </w:t>
      </w:r>
      <w:r w:rsidRPr="008A0A12">
        <w:t>children,</w:t>
      </w:r>
      <w:r w:rsidR="00D17A94">
        <w:t xml:space="preserve"> </w:t>
      </w:r>
      <w:r w:rsidRPr="008A0A12">
        <w:t>parental</w:t>
      </w:r>
      <w:r w:rsidR="00D17A94">
        <w:t xml:space="preserve"> </w:t>
      </w:r>
      <w:r w:rsidRPr="008A0A12">
        <w:t>allowance,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benefit,</w:t>
      </w:r>
      <w:r w:rsidR="00D17A94">
        <w:t xml:space="preserve"> </w:t>
      </w:r>
      <w:r w:rsidRPr="008A0A12">
        <w:t>supplementary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benefit,</w:t>
      </w:r>
      <w:r w:rsidR="00D17A94">
        <w:t xml:space="preserve"> </w:t>
      </w:r>
      <w:r w:rsidRPr="008A0A12">
        <w:t>childcare</w:t>
      </w:r>
      <w:r w:rsidR="00D17A94">
        <w:t xml:space="preserve"> </w:t>
      </w:r>
      <w:r w:rsidRPr="008A0A12">
        <w:t>allowance,</w:t>
      </w:r>
      <w:r w:rsidR="00D17A94">
        <w:t xml:space="preserve"> </w:t>
      </w:r>
      <w:r w:rsidRPr="008A0A12">
        <w:t>allowances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substitute</w:t>
      </w:r>
      <w:r w:rsidR="00D17A94">
        <w:t xml:space="preserve"> </w:t>
      </w:r>
      <w:r w:rsidRPr="008A0A12">
        <w:t>care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child,</w:t>
      </w:r>
      <w:r w:rsidR="00D17A94">
        <w:t xml:space="preserve"> </w:t>
      </w:r>
      <w:r w:rsidRPr="008A0A12">
        <w:t>substitute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maintenance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funeral</w:t>
      </w:r>
      <w:r w:rsidR="00D17A94">
        <w:t xml:space="preserve"> </w:t>
      </w:r>
      <w:r w:rsidRPr="008A0A12">
        <w:t>allowance.</w:t>
      </w:r>
    </w:p>
    <w:p w:rsidR="00F33762" w:rsidRPr="008A0A12" w:rsidRDefault="00F33762" w:rsidP="00F33762">
      <w:pPr>
        <w:pStyle w:val="SingleTxtG"/>
      </w:pPr>
      <w:r w:rsidRPr="008A0A12">
        <w:t>78.</w:t>
      </w:r>
      <w:r w:rsidRPr="008A0A12">
        <w:tab/>
        <w:t>As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families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small</w:t>
      </w:r>
      <w:r w:rsidR="00D17A94">
        <w:t xml:space="preserve"> </w:t>
      </w:r>
      <w:r w:rsidRPr="008A0A12">
        <w:t>children,</w:t>
      </w:r>
      <w:r w:rsidR="00D17A94">
        <w:t xml:space="preserve"> </w:t>
      </w:r>
      <w:r w:rsidRPr="008A0A12">
        <w:t>increasing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amount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childcare</w:t>
      </w:r>
      <w:r w:rsidR="00D17A94">
        <w:t xml:space="preserve"> </w:t>
      </w:r>
      <w:r w:rsidRPr="008A0A12">
        <w:t>benefit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important.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effect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January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maximum</w:t>
      </w:r>
      <w:r w:rsidR="00D17A94">
        <w:t xml:space="preserve"> </w:t>
      </w:r>
      <w:r w:rsidRPr="008A0A12">
        <w:t>amount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childcare</w:t>
      </w:r>
      <w:r w:rsidR="00D17A94">
        <w:t xml:space="preserve"> </w:t>
      </w:r>
      <w:r w:rsidRPr="008A0A12">
        <w:t>benefit</w:t>
      </w:r>
      <w:r w:rsidR="00D17A94">
        <w:t xml:space="preserve"> </w:t>
      </w:r>
      <w:r w:rsidRPr="008A0A12">
        <w:t>increased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€230.00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€280.00.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parents</w:t>
      </w:r>
      <w:r w:rsidR="00413AEE">
        <w:t>’</w:t>
      </w:r>
      <w:r w:rsidR="00D17A94">
        <w:t xml:space="preserve"> </w:t>
      </w:r>
      <w:r w:rsidRPr="008A0A12">
        <w:t>administrative</w:t>
      </w:r>
      <w:r w:rsidR="00D17A94">
        <w:t xml:space="preserve"> </w:t>
      </w:r>
      <w:r w:rsidRPr="008A0A12">
        <w:t>burden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reduced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childcare</w:t>
      </w:r>
      <w:r w:rsidR="00D17A94">
        <w:t xml:space="preserve"> </w:t>
      </w:r>
      <w:r w:rsidRPr="008A0A12">
        <w:t>benefit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eliminating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monthly</w:t>
      </w:r>
      <w:r w:rsidR="00D17A94">
        <w:t xml:space="preserve"> </w:t>
      </w:r>
      <w:r w:rsidRPr="008A0A12">
        <w:t>obligation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demonstrate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payer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parent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actual</w:t>
      </w:r>
      <w:r w:rsidR="00D17A94">
        <w:t xml:space="preserve"> </w:t>
      </w:r>
      <w:r w:rsidRPr="008A0A12">
        <w:t>expenses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care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his</w:t>
      </w:r>
      <w:r w:rsidR="00D17A94">
        <w:t xml:space="preserve"> </w:t>
      </w:r>
      <w:r w:rsidRPr="008A0A12">
        <w:t>child.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79.</w:t>
      </w:r>
      <w:r w:rsidRPr="008A0A12">
        <w:tab/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services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care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up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three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age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community</w:t>
      </w:r>
      <w:r w:rsidR="00D17A94">
        <w:t xml:space="preserve"> </w:t>
      </w:r>
      <w:r w:rsidRPr="008A0A12">
        <w:t>level,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MLSAF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prepared,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amendment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Services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services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families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children,</w:t>
      </w:r>
      <w:r w:rsidR="00D17A94">
        <w:t xml:space="preserve"> </w:t>
      </w:r>
      <w:r w:rsidRPr="008A0A12">
        <w:t>while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amended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entered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effect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March</w:t>
      </w:r>
      <w:r w:rsidR="00D17A94">
        <w:t xml:space="preserve"> </w:t>
      </w:r>
      <w:r w:rsidRPr="008A0A12">
        <w:t>2017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40/2017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security</w:t>
      </w:r>
      <w:r w:rsidR="00D17A94">
        <w:t xml:space="preserve"> </w:t>
      </w:r>
      <w:r w:rsidRPr="008A0A12">
        <w:t>rights,</w:t>
      </w:r>
      <w:r w:rsidR="00D17A94">
        <w:t xml:space="preserve"> </w:t>
      </w:r>
      <w:r w:rsidRPr="008A0A12">
        <w:t>legal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created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access</w:t>
      </w:r>
      <w:r w:rsidR="00D17A94">
        <w:t xml:space="preserve"> </w:t>
      </w:r>
      <w:r w:rsidRPr="008A0A12">
        <w:t>to,</w:t>
      </w:r>
      <w:r w:rsidR="00D17A94">
        <w:t xml:space="preserve"> </w:t>
      </w:r>
      <w:r w:rsidRPr="008A0A12">
        <w:t>assertion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staying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parent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up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three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age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up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six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age,</w:t>
      </w:r>
      <w:r w:rsidR="00D17A94">
        <w:t xml:space="preserve"> </w:t>
      </w:r>
      <w:r w:rsidRPr="008A0A12">
        <w:t>if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impaired</w:t>
      </w:r>
      <w:r w:rsidR="00D17A94">
        <w:t xml:space="preserve"> </w:t>
      </w:r>
      <w:r w:rsidRPr="008A0A12">
        <w:t>health.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service</w:t>
      </w:r>
      <w:r w:rsidR="00D17A94">
        <w:t xml:space="preserve"> </w:t>
      </w:r>
      <w:r w:rsidRPr="008A0A12">
        <w:t>system,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single</w:t>
      </w:r>
      <w:r w:rsidR="00D17A94">
        <w:t xml:space="preserve"> </w:t>
      </w:r>
      <w:r w:rsidRPr="008A0A12">
        <w:t>framework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created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activity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childcare</w:t>
      </w:r>
      <w:r w:rsidR="00D17A94">
        <w:t xml:space="preserve"> </w:t>
      </w:r>
      <w:r w:rsidRPr="008A0A12">
        <w:t>facilities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up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three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age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activity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childminders</w:t>
      </w:r>
      <w:r w:rsidR="00D17A94">
        <w:t xml:space="preserve"> </w:t>
      </w:r>
      <w:r w:rsidRPr="008A0A12">
        <w:t>providing</w:t>
      </w:r>
      <w:r w:rsidR="00D17A94">
        <w:t xml:space="preserve"> </w:t>
      </w:r>
      <w:r w:rsidRPr="008A0A12">
        <w:t>services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reconciliation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working</w:t>
      </w:r>
      <w:r w:rsidR="00D17A94">
        <w:t xml:space="preserve"> </w:t>
      </w:r>
      <w:r w:rsidRPr="008A0A12">
        <w:t>life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quality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supervision</w:t>
      </w:r>
      <w:r w:rsidR="00D17A94">
        <w:t xml:space="preserve"> </w:t>
      </w:r>
      <w:r w:rsidRPr="008A0A12">
        <w:t>over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childcare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relevant</w:t>
      </w:r>
      <w:r w:rsidR="00D17A94">
        <w:t xml:space="preserve"> </w:t>
      </w:r>
      <w:r w:rsidRPr="008A0A12">
        <w:t>authorities.</w:t>
      </w:r>
    </w:p>
    <w:p w:rsidR="00F33762" w:rsidRPr="008A0A12" w:rsidRDefault="00F33762" w:rsidP="00F33762">
      <w:pPr>
        <w:pStyle w:val="SingleTxtG"/>
      </w:pPr>
      <w:r w:rsidRPr="008A0A12">
        <w:t>80.</w:t>
      </w:r>
      <w:r w:rsidRPr="008A0A12">
        <w:tab/>
        <w:t>More</w:t>
      </w:r>
      <w:r w:rsidR="00D17A94">
        <w:t xml:space="preserve"> </w:t>
      </w:r>
      <w:r w:rsidRPr="008A0A12">
        <w:t>detailed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children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third,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forth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fifth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</w:t>
      </w:r>
      <w:r w:rsidR="00D17A94">
        <w:t xml:space="preserve"> </w:t>
      </w:r>
      <w:r w:rsidRPr="008A0A12">
        <w:t>Convention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Child.</w:t>
      </w:r>
      <w:r w:rsidRPr="001878DB">
        <w:rPr>
          <w:rStyle w:val="FootnoteReference"/>
        </w:rPr>
        <w:footnoteReference w:id="9"/>
      </w:r>
      <w:r w:rsidR="00D17A94">
        <w:t xml:space="preserve"> </w:t>
      </w:r>
    </w:p>
    <w:p w:rsidR="00F33762" w:rsidRPr="008A0A12" w:rsidRDefault="00F33762" w:rsidP="00BA7DBC">
      <w:pPr>
        <w:pStyle w:val="H23G"/>
      </w:pPr>
      <w:r w:rsidRPr="008A0A12">
        <w:tab/>
      </w:r>
      <w:r w:rsidRPr="008A0A12">
        <w:tab/>
        <w:t>Protection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mothers</w:t>
      </w:r>
    </w:p>
    <w:p w:rsidR="00F33762" w:rsidRPr="008A0A12" w:rsidRDefault="00F33762" w:rsidP="00F33762">
      <w:pPr>
        <w:pStyle w:val="SingleTxtG"/>
      </w:pPr>
      <w:r w:rsidRPr="008A0A12">
        <w:t>81.</w:t>
      </w:r>
      <w:r w:rsidRPr="008A0A12">
        <w:tab/>
        <w:t>Special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mothers</w:t>
      </w:r>
      <w:r w:rsidR="00D17A94">
        <w:t xml:space="preserve"> </w:t>
      </w:r>
      <w:r w:rsidRPr="008A0A12">
        <w:t>during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before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birth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birth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working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pregnant</w:t>
      </w:r>
      <w:r w:rsidR="00D17A94">
        <w:t xml:space="preserve"> </w:t>
      </w:r>
      <w:r w:rsidRPr="008A0A12">
        <w:t>women,</w:t>
      </w:r>
      <w:r w:rsidR="00D17A94">
        <w:t xml:space="preserve"> </w:t>
      </w:r>
      <w:r w:rsidRPr="008A0A12">
        <w:t>mothers</w:t>
      </w:r>
      <w:r w:rsidR="00D17A94">
        <w:t xml:space="preserve"> </w:t>
      </w:r>
      <w:r w:rsidRPr="008A0A12">
        <w:t>until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ninth</w:t>
      </w:r>
      <w:r w:rsidR="00D17A94">
        <w:t xml:space="preserve"> </w:t>
      </w:r>
      <w:r w:rsidRPr="008A0A12">
        <w:t>month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childbirth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breast-feeding</w:t>
      </w:r>
      <w:r w:rsidR="00D17A94">
        <w:t xml:space="preserve"> </w:t>
      </w:r>
      <w:r w:rsidRPr="008A0A12">
        <w:t>women.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LC</w:t>
      </w:r>
      <w:r w:rsidR="00D17A94">
        <w:t xml:space="preserve"> </w:t>
      </w:r>
      <w:r w:rsidRPr="008A0A12">
        <w:t>guarantees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woman</w:t>
      </w:r>
      <w:r w:rsidR="00D17A94">
        <w:t xml:space="preserve"> </w:t>
      </w:r>
      <w:r w:rsidRPr="008A0A12">
        <w:t>maternity</w:t>
      </w:r>
      <w:r w:rsidR="00D17A94">
        <w:t xml:space="preserve"> </w:t>
      </w:r>
      <w:r w:rsidRPr="008A0A12">
        <w:t>leave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parental</w:t>
      </w:r>
      <w:r w:rsidR="00D17A94">
        <w:t xml:space="preserve"> </w:t>
      </w:r>
      <w:r w:rsidRPr="008A0A12">
        <w:t>leave</w:t>
      </w:r>
      <w:r w:rsidR="00D17A94">
        <w:t xml:space="preserve"> </w:t>
      </w:r>
      <w:r w:rsidRPr="008A0A12">
        <w:t>together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during</w:t>
      </w:r>
      <w:r w:rsidR="00D17A94">
        <w:t xml:space="preserve"> </w:t>
      </w:r>
      <w:r w:rsidRPr="008A0A12">
        <w:t>pregnancy</w:t>
      </w:r>
      <w:r w:rsidR="00D17A94">
        <w:t xml:space="preserve"> </w:t>
      </w:r>
      <w:r w:rsidRPr="008A0A12">
        <w:t>(prohibition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dismissal,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excusal</w:t>
      </w:r>
      <w:r w:rsidR="00D17A94">
        <w:t xml:space="preserve"> </w:t>
      </w:r>
      <w:r w:rsidRPr="008A0A12">
        <w:t>for</w:t>
      </w:r>
      <w:r w:rsidR="00D17A94">
        <w:t xml:space="preserve"> </w:t>
      </w:r>
      <w:r w:rsidR="00A50999">
        <w:t>antenatal</w:t>
      </w:r>
      <w:r w:rsidR="00D17A94">
        <w:t xml:space="preserve"> </w:t>
      </w:r>
      <w:r w:rsidRPr="008A0A12">
        <w:t>examinations,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transferred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another</w:t>
      </w:r>
      <w:r w:rsidR="00D17A94">
        <w:t xml:space="preserve"> </w:t>
      </w:r>
      <w:r w:rsidRPr="008A0A12">
        <w:t>job,</w:t>
      </w:r>
      <w:r w:rsidR="00D17A94">
        <w:t xml:space="preserve"> </w:t>
      </w:r>
      <w:r w:rsidRPr="008A0A12">
        <w:t>etc.)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parental</w:t>
      </w:r>
      <w:r w:rsidR="00D17A94">
        <w:t xml:space="preserve"> </w:t>
      </w:r>
      <w:r w:rsidRPr="008A0A12">
        <w:t>leave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man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childbirth.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changed</w:t>
      </w:r>
      <w:r w:rsidR="00D17A94">
        <w:t xml:space="preserve"> </w:t>
      </w:r>
      <w:r w:rsidRPr="008A0A12">
        <w:t>since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second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(points</w:t>
      </w:r>
      <w:r w:rsidR="00D17A94">
        <w:t xml:space="preserve"> </w:t>
      </w:r>
      <w:r w:rsidRPr="008A0A12">
        <w:t>210-217).</w:t>
      </w:r>
    </w:p>
    <w:p w:rsidR="00F33762" w:rsidRPr="008A0A12" w:rsidRDefault="00F33762" w:rsidP="00BA7DBC">
      <w:pPr>
        <w:pStyle w:val="H23G"/>
      </w:pPr>
      <w:r w:rsidRPr="008A0A12">
        <w:tab/>
      </w:r>
      <w:r w:rsidRPr="008A0A12">
        <w:tab/>
        <w:t>Employment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adolescents</w:t>
      </w:r>
    </w:p>
    <w:p w:rsidR="00F33762" w:rsidRPr="008A0A12" w:rsidRDefault="00F33762" w:rsidP="00F33762">
      <w:pPr>
        <w:pStyle w:val="SingleTxtG"/>
      </w:pPr>
      <w:r w:rsidRPr="008A0A12">
        <w:t>82.</w:t>
      </w:r>
      <w:r w:rsidRPr="008A0A12">
        <w:tab/>
        <w:t>Legislation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changed</w:t>
      </w:r>
      <w:r w:rsidR="00D17A94">
        <w:t xml:space="preserve"> </w:t>
      </w:r>
      <w:r w:rsidRPr="008A0A12">
        <w:t>since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second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(points</w:t>
      </w:r>
      <w:r w:rsidR="00D17A94">
        <w:t xml:space="preserve"> </w:t>
      </w:r>
      <w:r w:rsidRPr="008A0A12">
        <w:t>218-229).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LC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regulations</w:t>
      </w:r>
      <w:r w:rsidR="00D17A94">
        <w:t xml:space="preserve"> </w:t>
      </w:r>
      <w:r w:rsidRPr="008A0A12">
        <w:t>(SR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Regulation)</w:t>
      </w:r>
      <w:r w:rsidR="00D17A94">
        <w:t xml:space="preserve"> </w:t>
      </w:r>
      <w:r w:rsidRPr="008A0A12">
        <w:t>define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group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jobs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prohibited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adolescents</w:t>
      </w:r>
      <w:r w:rsidR="00D17A94">
        <w:t xml:space="preserve"> </w:t>
      </w:r>
      <w:r w:rsidRPr="008A0A12">
        <w:t>(for</w:t>
      </w:r>
      <w:r w:rsidR="00D17A94">
        <w:t xml:space="preserve"> </w:t>
      </w:r>
      <w:r w:rsidRPr="008A0A12">
        <w:t>instance</w:t>
      </w:r>
      <w:r w:rsidR="00D17A94">
        <w:t xml:space="preserve"> </w:t>
      </w:r>
      <w:r w:rsidRPr="008A0A12">
        <w:t>night</w:t>
      </w:r>
      <w:r w:rsidR="00D17A94">
        <w:t xml:space="preserve"> </w:t>
      </w:r>
      <w:r w:rsidRPr="008A0A12">
        <w:t>work,</w:t>
      </w:r>
      <w:r w:rsidR="00D17A94">
        <w:t xml:space="preserve"> </w:t>
      </w:r>
      <w:r w:rsidRPr="008A0A12">
        <w:t>underground</w:t>
      </w:r>
      <w:r w:rsidR="00D17A94">
        <w:t xml:space="preserve"> </w:t>
      </w:r>
      <w:r w:rsidRPr="008A0A12">
        <w:t>mining</w:t>
      </w:r>
      <w:r w:rsidR="00D17A94">
        <w:t xml:space="preserve"> </w:t>
      </w:r>
      <w:r w:rsidRPr="008A0A12">
        <w:t>work,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higher</w:t>
      </w:r>
      <w:r w:rsidR="00D17A94">
        <w:t xml:space="preserve"> </w:t>
      </w:r>
      <w:r w:rsidRPr="008A0A12">
        <w:t>possibility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injury,</w:t>
      </w:r>
      <w:r w:rsidR="00D17A94">
        <w:t xml:space="preserve"> </w:t>
      </w:r>
      <w:r w:rsidRPr="008A0A12">
        <w:t>etc.).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areas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working</w:t>
      </w:r>
      <w:r w:rsidR="00D17A94">
        <w:t xml:space="preserve"> </w:t>
      </w:r>
      <w:r w:rsidRPr="008A0A12">
        <w:t>time</w:t>
      </w:r>
      <w:r w:rsidR="00D17A94">
        <w:t xml:space="preserve"> </w:t>
      </w:r>
      <w:r w:rsidRPr="008A0A12">
        <w:t>(shorter),</w:t>
      </w:r>
      <w:r w:rsidR="00D17A94">
        <w:t xml:space="preserve"> </w:t>
      </w:r>
      <w:r w:rsidRPr="008A0A12">
        <w:t>breaks</w:t>
      </w:r>
      <w:r w:rsidR="00D17A94">
        <w:t xml:space="preserve"> </w:t>
      </w:r>
      <w:r w:rsidRPr="008A0A12">
        <w:t>during</w:t>
      </w:r>
      <w:r w:rsidR="00D17A94">
        <w:t xml:space="preserve"> </w:t>
      </w:r>
      <w:r w:rsidRPr="008A0A12">
        <w:t>working</w:t>
      </w:r>
      <w:r w:rsidR="00D17A94">
        <w:t xml:space="preserve"> </w:t>
      </w:r>
      <w:r w:rsidRPr="008A0A12">
        <w:t>time</w:t>
      </w:r>
      <w:r w:rsidR="00D17A94">
        <w:t xml:space="preserve"> </w:t>
      </w:r>
      <w:r w:rsidRPr="008A0A12">
        <w:t>(in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shorter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work);</w:t>
      </w:r>
      <w:r w:rsidR="00D17A94">
        <w:t xml:space="preserve"> </w:t>
      </w:r>
      <w:r w:rsidRPr="008A0A12">
        <w:t>rest</w:t>
      </w:r>
      <w:r w:rsidR="00D17A94">
        <w:t xml:space="preserve"> </w:t>
      </w:r>
      <w:r w:rsidRPr="008A0A12">
        <w:t>(prohibition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exceptions).</w:t>
      </w:r>
      <w:r w:rsidR="00D17A94">
        <w:t xml:space="preserve"> </w:t>
      </w:r>
    </w:p>
    <w:p w:rsidR="00F33762" w:rsidRPr="008A0A12" w:rsidRDefault="00F33762" w:rsidP="00BA7DBC">
      <w:pPr>
        <w:pStyle w:val="H1G"/>
      </w:pPr>
      <w:r w:rsidRPr="008A0A12">
        <w:lastRenderedPageBreak/>
        <w:tab/>
      </w:r>
      <w:r w:rsidRPr="008A0A12">
        <w:tab/>
        <w:t>Article</w:t>
      </w:r>
      <w:r w:rsidR="00D17A94">
        <w:t xml:space="preserve"> </w:t>
      </w:r>
      <w:r w:rsidRPr="008A0A12">
        <w:t>11</w:t>
      </w:r>
    </w:p>
    <w:p w:rsidR="00F33762" w:rsidRPr="008A0A12" w:rsidRDefault="00F33762" w:rsidP="00BA7DBC">
      <w:pPr>
        <w:pStyle w:val="H23G"/>
      </w:pPr>
      <w:r w:rsidRPr="008A0A12">
        <w:tab/>
      </w:r>
      <w:r w:rsidRPr="008A0A12">
        <w:tab/>
        <w:t>Right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adequate</w:t>
      </w:r>
      <w:r w:rsidR="00D17A94">
        <w:t xml:space="preserve"> </w:t>
      </w:r>
      <w:r w:rsidRPr="008A0A12">
        <w:t>standard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living</w:t>
      </w:r>
    </w:p>
    <w:p w:rsidR="00F33762" w:rsidRPr="008A0A12" w:rsidRDefault="00F33762" w:rsidP="00F33762">
      <w:pPr>
        <w:pStyle w:val="SingleTxtG"/>
      </w:pPr>
      <w:r w:rsidRPr="008A0A12">
        <w:t>83.</w:t>
      </w:r>
      <w:r w:rsidRPr="008A0A12">
        <w:tab/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provides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(individuals,</w:t>
      </w:r>
      <w:r w:rsidR="00D17A94">
        <w:t xml:space="preserve"> </w:t>
      </w:r>
      <w:r w:rsidRPr="008A0A12">
        <w:t>families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members)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have</w:t>
      </w:r>
      <w:r w:rsidR="00D17A94">
        <w:t xml:space="preserve"> </w:t>
      </w:r>
      <w:r w:rsidRPr="008A0A12">
        <w:t>found</w:t>
      </w:r>
      <w:r w:rsidR="00D17A94">
        <w:t xml:space="preserve"> </w:t>
      </w:r>
      <w:r w:rsidRPr="008A0A12">
        <w:t>themselves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need,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insufficient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no</w:t>
      </w:r>
      <w:r w:rsidR="00D17A94">
        <w:t xml:space="preserve"> </w:t>
      </w:r>
      <w:r w:rsidRPr="008A0A12">
        <w:t>income</w:t>
      </w:r>
      <w:r w:rsidR="00D17A94">
        <w:t xml:space="preserve"> </w:t>
      </w:r>
      <w:r w:rsidRPr="008A0A12">
        <w:t>due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various</w:t>
      </w:r>
      <w:r w:rsidR="00D17A94">
        <w:t xml:space="preserve"> </w:t>
      </w:r>
      <w:r w:rsidRPr="008A0A12">
        <w:t>causes.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system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primarily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instruments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aid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material</w:t>
      </w:r>
      <w:r w:rsidR="00D17A94">
        <w:t xml:space="preserve"> </w:t>
      </w:r>
      <w:r w:rsidRPr="008A0A12">
        <w:t>need.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84.</w:t>
      </w:r>
      <w:r w:rsidRPr="008A0A12">
        <w:tab/>
        <w:t>With</w:t>
      </w:r>
      <w:r w:rsidR="00D17A94">
        <w:t xml:space="preserve"> </w:t>
      </w:r>
      <w:r w:rsidRPr="008A0A12">
        <w:t>effect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January</w:t>
      </w:r>
      <w:r w:rsidR="00D17A94">
        <w:t xml:space="preserve"> </w:t>
      </w:r>
      <w:r w:rsidRPr="008A0A12">
        <w:t>2014,</w:t>
      </w:r>
      <w:r w:rsidR="00D17A94">
        <w:t xml:space="preserve"> </w:t>
      </w:r>
      <w:r w:rsidRPr="008A0A12">
        <w:t>emergency</w:t>
      </w:r>
      <w:r w:rsidR="00D17A94">
        <w:t xml:space="preserve"> </w:t>
      </w:r>
      <w:r w:rsidRPr="008A0A12">
        <w:t>benefit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governed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417/2013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Emergency</w:t>
      </w:r>
      <w:r w:rsidR="00D17A94">
        <w:t xml:space="preserve"> </w:t>
      </w:r>
      <w:r w:rsidRPr="008A0A12">
        <w:t>Benefit,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constitutional</w:t>
      </w:r>
      <w:r w:rsidR="00D17A94">
        <w:t xml:space="preserve"> </w:t>
      </w:r>
      <w:r w:rsidRPr="008A0A12">
        <w:t>guarantee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basic</w:t>
      </w:r>
      <w:r w:rsidR="00D17A94">
        <w:t xml:space="preserve"> </w:t>
      </w:r>
      <w:r w:rsidRPr="008A0A12">
        <w:t>living</w:t>
      </w:r>
      <w:r w:rsidR="00D17A94">
        <w:t xml:space="preserve"> </w:t>
      </w:r>
      <w:r w:rsidRPr="008A0A12">
        <w:t>conditions,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</w:t>
      </w:r>
      <w:r w:rsidR="00D17A94">
        <w:t xml:space="preserve"> </w:t>
      </w:r>
      <w:r w:rsidRPr="008A0A12">
        <w:t>37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85.</w:t>
      </w:r>
      <w:r w:rsidRPr="008A0A12">
        <w:tab/>
        <w:t>With</w:t>
      </w:r>
      <w:r w:rsidR="00D17A94">
        <w:t xml:space="preserve"> </w:t>
      </w:r>
      <w:r w:rsidRPr="008A0A12">
        <w:t>effect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January</w:t>
      </w:r>
      <w:r w:rsidR="00D17A94">
        <w:t xml:space="preserve"> </w:t>
      </w:r>
      <w:r w:rsidRPr="008A0A12">
        <w:t>2015,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introduction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possibility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concurrence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emergency</w:t>
      </w:r>
      <w:r w:rsidR="00D17A94">
        <w:t xml:space="preserve"> </w:t>
      </w:r>
      <w:r w:rsidRPr="008A0A12">
        <w:t>benefit,</w:t>
      </w:r>
      <w:r w:rsidR="00D17A94">
        <w:t xml:space="preserve"> </w:t>
      </w:r>
      <w:r w:rsidRPr="008A0A12">
        <w:t>income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contribution</w:t>
      </w:r>
      <w:r w:rsidR="00D17A94">
        <w:t xml:space="preserve"> </w:t>
      </w:r>
      <w:r w:rsidRPr="008A0A12">
        <w:t>resulted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redefinition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terms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entitlement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contribution.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measure</w:t>
      </w:r>
      <w:r w:rsidR="00D17A94">
        <w:t xml:space="preserve"> </w:t>
      </w:r>
      <w:r w:rsidRPr="008A0A12">
        <w:t>focuses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motivation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unemployed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non-active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emergency</w:t>
      </w:r>
      <w:r w:rsidR="00D17A94">
        <w:t xml:space="preserve"> </w:t>
      </w:r>
      <w:r w:rsidRPr="008A0A12">
        <w:t>benefit</w:t>
      </w:r>
      <w:r w:rsidR="00D17A94">
        <w:t xml:space="preserve"> </w:t>
      </w:r>
      <w:r w:rsidRPr="008A0A12">
        <w:t>system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enter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return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market.</w:t>
      </w:r>
    </w:p>
    <w:p w:rsidR="00F33762" w:rsidRPr="008A0A12" w:rsidRDefault="00F33762" w:rsidP="00F33762">
      <w:pPr>
        <w:pStyle w:val="SingleTxtG"/>
      </w:pPr>
      <w:r w:rsidRPr="008A0A12">
        <w:t>86.</w:t>
      </w:r>
      <w:r w:rsidRPr="008A0A12">
        <w:tab/>
        <w:t>Under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544/2010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Subsidies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Authority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MLSAF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subsidies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granted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upbringing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fulfilment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duties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threatened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exclusion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subsidies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upbringing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nutrition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threatened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exclusion.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measure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increasing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motivation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low-income</w:t>
      </w:r>
      <w:r w:rsidR="00D17A94">
        <w:t xml:space="preserve"> </w:t>
      </w:r>
      <w:r w:rsidRPr="008A0A12">
        <w:t>families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observe</w:t>
      </w:r>
      <w:r w:rsidR="00D17A94">
        <w:t xml:space="preserve"> </w:t>
      </w:r>
      <w:r w:rsidRPr="008A0A12">
        <w:t>compulsory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attendance.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current</w:t>
      </w:r>
      <w:r w:rsidR="00D17A94">
        <w:t xml:space="preserve"> </w:t>
      </w:r>
      <w:r w:rsidRPr="008A0A12">
        <w:t>legislation,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two</w:t>
      </w:r>
      <w:r w:rsidR="00D17A94">
        <w:t xml:space="preserve"> </w:t>
      </w:r>
      <w:r w:rsidRPr="008A0A12">
        <w:t>subsidies</w:t>
      </w:r>
      <w:r w:rsidR="00D17A94">
        <w:t xml:space="preserve"> </w:t>
      </w:r>
      <w:r w:rsidRPr="008A0A12">
        <w:t>will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granted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attending</w:t>
      </w:r>
      <w:r w:rsidR="00D17A94">
        <w:t xml:space="preserve"> </w:t>
      </w:r>
      <w:r w:rsidRPr="008A0A12">
        <w:t>kindergartens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elementary</w:t>
      </w:r>
      <w:r w:rsidR="00D17A94">
        <w:t xml:space="preserve"> </w:t>
      </w:r>
      <w:r w:rsidRPr="008A0A12">
        <w:t>schools,</w:t>
      </w:r>
      <w:r w:rsidR="00D17A94">
        <w:t xml:space="preserve"> </w:t>
      </w:r>
      <w:r w:rsidRPr="008A0A12">
        <w:t>coming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families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granted</w:t>
      </w:r>
      <w:r w:rsidR="00D17A94">
        <w:t xml:space="preserve"> </w:t>
      </w:r>
      <w:r w:rsidRPr="008A0A12">
        <w:t>emergency</w:t>
      </w:r>
      <w:r w:rsidR="00D17A94">
        <w:t xml:space="preserve"> </w:t>
      </w:r>
      <w:r w:rsidRPr="008A0A12">
        <w:t>benefit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families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income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does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exceed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subsistence</w:t>
      </w:r>
      <w:r w:rsidR="00D17A94">
        <w:t xml:space="preserve"> </w:t>
      </w:r>
      <w:r w:rsidRPr="008A0A12">
        <w:t>minimum.</w:t>
      </w:r>
      <w:r w:rsidR="00D17A94">
        <w:t xml:space="preserve"> </w:t>
      </w:r>
      <w:r w:rsidRPr="008A0A12">
        <w:t>If,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least</w:t>
      </w:r>
      <w:r w:rsidR="00D17A94">
        <w:t xml:space="preserve"> </w:t>
      </w:r>
      <w:r w:rsidRPr="008A0A12">
        <w:t>50</w:t>
      </w:r>
      <w:r w:rsidR="00CD3239">
        <w:t>%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kindergarten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elementary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come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such</w:t>
      </w:r>
      <w:r w:rsidR="00D17A94">
        <w:t xml:space="preserve"> </w:t>
      </w:r>
      <w:r w:rsidRPr="008A0A12">
        <w:t>families,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above</w:t>
      </w:r>
      <w:r w:rsidR="00D17A94">
        <w:t xml:space="preserve"> </w:t>
      </w:r>
      <w:r w:rsidRPr="008A0A12">
        <w:t>subsidies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granted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children.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87.</w:t>
      </w:r>
      <w:r w:rsidRPr="008A0A12">
        <w:tab/>
        <w:t>Under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above</w:t>
      </w:r>
      <w:r w:rsidR="00D17A94">
        <w:t xml:space="preserve"> </w:t>
      </w:r>
      <w:r w:rsidRPr="008A0A12">
        <w:t>acts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possible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grant</w:t>
      </w:r>
      <w:r w:rsidR="00D17A94">
        <w:t xml:space="preserve"> </w:t>
      </w:r>
      <w:r w:rsidRPr="008A0A12">
        <w:t>subsidies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humanitarian</w:t>
      </w:r>
      <w:r w:rsidR="00D17A94">
        <w:t xml:space="preserve"> </w:t>
      </w:r>
      <w:r w:rsidRPr="008A0A12">
        <w:t>aid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possibility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help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citizen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crisis</w:t>
      </w:r>
      <w:r w:rsidR="00D17A94">
        <w:t xml:space="preserve"> </w:t>
      </w:r>
      <w:r w:rsidRPr="008A0A12">
        <w:t>life</w:t>
      </w:r>
      <w:r w:rsidR="00D17A94">
        <w:t xml:space="preserve"> </w:t>
      </w:r>
      <w:r w:rsidRPr="008A0A12">
        <w:t>situation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extraordinarily</w:t>
      </w:r>
      <w:r w:rsidR="00D17A94">
        <w:t xml:space="preserve"> </w:t>
      </w:r>
      <w:r w:rsidRPr="008A0A12">
        <w:t>unfavourable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situation.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88.</w:t>
      </w:r>
      <w:r w:rsidRPr="008A0A12">
        <w:tab/>
        <w:t>The</w:t>
      </w:r>
      <w:r w:rsidR="00D17A94">
        <w:t xml:space="preserve"> </w:t>
      </w:r>
      <w:r w:rsidRPr="008A0A12">
        <w:t>Fund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European</w:t>
      </w:r>
      <w:r w:rsidR="00D17A94">
        <w:t xml:space="preserve"> </w:t>
      </w:r>
      <w:r w:rsidRPr="008A0A12">
        <w:t>Aid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Most</w:t>
      </w:r>
      <w:r w:rsidR="00D17A94">
        <w:t xml:space="preserve"> </w:t>
      </w:r>
      <w:r w:rsidRPr="008A0A12">
        <w:t>Deprived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another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instrument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elimination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exclusion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programming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2014-2020.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interest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fund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prepared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Food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Basic</w:t>
      </w:r>
      <w:r w:rsidR="00D17A94">
        <w:t xml:space="preserve"> </w:t>
      </w:r>
      <w:r w:rsidRPr="008A0A12">
        <w:t>Material</w:t>
      </w:r>
      <w:r w:rsidR="00D17A94">
        <w:t xml:space="preserve"> </w:t>
      </w:r>
      <w:r w:rsidRPr="008A0A12">
        <w:t>Assistance</w:t>
      </w:r>
      <w:r w:rsidR="00D17A94">
        <w:t xml:space="preserve"> </w:t>
      </w:r>
      <w:r w:rsidRPr="008A0A12">
        <w:t>Operational</w:t>
      </w:r>
      <w:r w:rsidR="00D17A94">
        <w:t xml:space="preserve"> </w:t>
      </w:r>
      <w:r w:rsidRPr="008A0A12">
        <w:t>Programme,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approved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EC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December</w:t>
      </w:r>
      <w:r w:rsidR="00D17A94">
        <w:t xml:space="preserve"> </w:t>
      </w:r>
      <w:r w:rsidRPr="008A0A12">
        <w:t>2014.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overall</w:t>
      </w:r>
      <w:r w:rsidR="00D17A94">
        <w:t xml:space="preserve"> </w:t>
      </w:r>
      <w:r w:rsidRPr="008A0A12">
        <w:t>allocation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represents</w:t>
      </w:r>
      <w:r w:rsidR="00D17A94">
        <w:t xml:space="preserve"> </w:t>
      </w:r>
      <w:r w:rsidRPr="008A0A12">
        <w:t>€64,838,286.00</w:t>
      </w:r>
      <w:r w:rsidR="00D17A94">
        <w:t xml:space="preserve"> </w:t>
      </w:r>
      <w:r w:rsidRPr="008A0A12">
        <w:t>including</w:t>
      </w:r>
      <w:r w:rsidR="00D17A94">
        <w:t xml:space="preserve"> </w:t>
      </w:r>
      <w:r w:rsidRPr="008A0A12">
        <w:t>co-financing.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amount</w:t>
      </w:r>
      <w:r w:rsidR="00D17A94">
        <w:t xml:space="preserve"> </w:t>
      </w:r>
      <w:r w:rsidRPr="008A0A12">
        <w:t>accounts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€8</w:t>
      </w:r>
      <w:r w:rsidR="00D17A94">
        <w:t xml:space="preserve"> </w:t>
      </w:r>
      <w:r w:rsidRPr="008A0A12">
        <w:t>million</w:t>
      </w:r>
      <w:r w:rsidR="00D17A94">
        <w:t xml:space="preserve"> </w:t>
      </w:r>
      <w:r w:rsidRPr="008A0A12">
        <w:t>annually.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practice,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programme</w:t>
      </w:r>
      <w:r w:rsidR="00D17A94">
        <w:t xml:space="preserve"> </w:t>
      </w:r>
      <w:r w:rsidRPr="008A0A12">
        <w:t>will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implemented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four</w:t>
      </w:r>
      <w:r w:rsidR="00D17A94">
        <w:t xml:space="preserve"> </w:t>
      </w:r>
      <w:r w:rsidRPr="008A0A12">
        <w:t>measures,</w:t>
      </w:r>
      <w:r w:rsidR="00D17A94">
        <w:t xml:space="preserve"> </w:t>
      </w:r>
      <w:r w:rsidRPr="008A0A12">
        <w:t>i.e.</w:t>
      </w:r>
      <w:r w:rsidR="00D17A94">
        <w:t xml:space="preserve"> </w:t>
      </w:r>
      <w:r w:rsidRPr="008A0A12">
        <w:t>providing</w:t>
      </w:r>
      <w:r w:rsidR="00D17A94">
        <w:t xml:space="preserve"> </w:t>
      </w:r>
      <w:r w:rsidRPr="008A0A12">
        <w:t>food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sanitation</w:t>
      </w:r>
      <w:r w:rsidR="00D17A94">
        <w:t xml:space="preserve"> </w:t>
      </w:r>
      <w:r w:rsidRPr="008A0A12">
        <w:t>packages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selected</w:t>
      </w:r>
      <w:r w:rsidR="00D17A94">
        <w:t xml:space="preserve"> </w:t>
      </w:r>
      <w:r w:rsidRPr="008A0A12">
        <w:t>groups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recipients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emergency</w:t>
      </w:r>
      <w:r w:rsidR="00D17A94">
        <w:t xml:space="preserve"> </w:t>
      </w:r>
      <w:r w:rsidRPr="008A0A12">
        <w:t>benefit,</w:t>
      </w:r>
      <w:r w:rsidR="00D17A94">
        <w:t xml:space="preserve"> </w:t>
      </w:r>
      <w:r w:rsidRPr="008A0A12">
        <w:t>providing</w:t>
      </w:r>
      <w:r w:rsidR="00D17A94">
        <w:t xml:space="preserve"> </w:t>
      </w:r>
      <w:r w:rsidRPr="008A0A12">
        <w:t>hot</w:t>
      </w:r>
      <w:r w:rsidR="00D17A94">
        <w:t xml:space="preserve"> </w:t>
      </w:r>
      <w:r w:rsidRPr="008A0A12">
        <w:t>meals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homeless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distribution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donated</w:t>
      </w:r>
      <w:r w:rsidR="00D17A94">
        <w:t xml:space="preserve"> </w:t>
      </w:r>
      <w:r w:rsidRPr="008A0A12">
        <w:t>food.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89.</w:t>
      </w:r>
      <w:r w:rsidRPr="008A0A12">
        <w:tab/>
        <w:t>Law</w:t>
      </w:r>
      <w:r w:rsidR="00D17A94">
        <w:t xml:space="preserve"> </w:t>
      </w:r>
      <w:r w:rsidRPr="008A0A12">
        <w:t>448/2008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Services,</w:t>
      </w:r>
      <w:r w:rsidR="00D17A94">
        <w:t xml:space="preserve"> </w:t>
      </w:r>
      <w:r w:rsidRPr="008A0A12">
        <w:t>provides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legal</w:t>
      </w:r>
      <w:r w:rsidR="00D17A94">
        <w:t xml:space="preserve"> </w:t>
      </w:r>
      <w:r w:rsidRPr="008A0A12">
        <w:t>relations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provision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services,</w:t>
      </w:r>
      <w:r w:rsidR="00D17A94">
        <w:t xml:space="preserve"> </w:t>
      </w:r>
      <w:r w:rsidRPr="008A0A12">
        <w:t>financing</w:t>
      </w:r>
      <w:r w:rsidR="00D17A94">
        <w:t xml:space="preserve"> </w:t>
      </w:r>
      <w:r w:rsidRPr="008A0A12">
        <w:t>thereof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supervision</w:t>
      </w:r>
      <w:r w:rsidR="00D17A94">
        <w:t xml:space="preserve"> </w:t>
      </w:r>
      <w:r w:rsidRPr="008A0A12">
        <w:t>over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provision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services.</w:t>
      </w:r>
      <w:r w:rsidR="00D17A94">
        <w:t xml:space="preserve"> </w:t>
      </w:r>
      <w:r w:rsidRPr="008A0A12">
        <w:t>Threat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natural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exclusion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limitation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ability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integrate</w:t>
      </w:r>
      <w:r w:rsidR="00D17A94">
        <w:t xml:space="preserve"> </w:t>
      </w:r>
      <w:r w:rsidRPr="008A0A12">
        <w:t>itself</w:t>
      </w:r>
      <w:r w:rsidR="00D17A94">
        <w:t xml:space="preserve"> </w:t>
      </w:r>
      <w:r w:rsidRPr="008A0A12">
        <w:t>socially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solve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problems</w:t>
      </w:r>
      <w:r w:rsidR="00D17A94">
        <w:t xml:space="preserve"> </w:t>
      </w:r>
      <w:r w:rsidRPr="008A0A12">
        <w:t>independently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considered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unfavourable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situation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specific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detailed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</w:t>
      </w:r>
      <w:r w:rsidR="00D17A94">
        <w:t xml:space="preserve"> </w:t>
      </w:r>
      <w:r w:rsidRPr="008A0A12">
        <w:t>38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priorities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action</w:t>
      </w:r>
      <w:r w:rsidR="00D17A94">
        <w:t xml:space="preserve"> </w:t>
      </w:r>
      <w:r w:rsidRPr="008A0A12">
        <w:t>plans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Services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39-40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F33762">
      <w:pPr>
        <w:pStyle w:val="SingleTxtG"/>
      </w:pPr>
      <w:r w:rsidRPr="008A0A12">
        <w:t>90.</w:t>
      </w:r>
      <w:r w:rsidRPr="008A0A12">
        <w:tab/>
        <w:t>Law</w:t>
      </w:r>
      <w:r w:rsidR="00D17A94">
        <w:t xml:space="preserve"> </w:t>
      </w:r>
      <w:r w:rsidRPr="008A0A12">
        <w:t>447/2008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Cash</w:t>
      </w:r>
      <w:r w:rsidR="00D17A94">
        <w:t xml:space="preserve"> </w:t>
      </w:r>
      <w:r w:rsidRPr="008A0A12">
        <w:t>Benefits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Compensate</w:t>
      </w:r>
      <w:r w:rsidR="00D17A94">
        <w:t xml:space="preserve"> </w:t>
      </w:r>
      <w:r w:rsidRPr="008A0A12">
        <w:t>Severe</w:t>
      </w:r>
      <w:r w:rsidR="00D17A94">
        <w:t xml:space="preserve"> </w:t>
      </w:r>
      <w:r w:rsidRPr="008A0A12">
        <w:t>Disability</w:t>
      </w:r>
      <w:r w:rsidR="00D17A94">
        <w:t xml:space="preserve"> </w:t>
      </w:r>
      <w:r w:rsidRPr="008A0A12">
        <w:t>entered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effect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January</w:t>
      </w:r>
      <w:r w:rsidR="00D17A94">
        <w:t xml:space="preserve"> </w:t>
      </w:r>
      <w:r w:rsidRPr="008A0A12">
        <w:t>2009.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objective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maintain,</w:t>
      </w:r>
      <w:r w:rsidR="00D17A94">
        <w:t xml:space="preserve"> </w:t>
      </w:r>
      <w:r w:rsidRPr="008A0A12">
        <w:t>renew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develop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abilities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natural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families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lead</w:t>
      </w:r>
      <w:r w:rsidR="00D17A94">
        <w:t xml:space="preserve"> </w:t>
      </w:r>
      <w:r w:rsidRPr="008A0A12">
        <w:t>independent</w:t>
      </w:r>
      <w:r w:rsidR="00D17A94">
        <w:t xml:space="preserve"> </w:t>
      </w:r>
      <w:r w:rsidRPr="008A0A12">
        <w:t>lives,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create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integration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natural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families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society,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active</w:t>
      </w:r>
      <w:r w:rsidR="00D17A94">
        <w:t xml:space="preserve"> </w:t>
      </w:r>
      <w:r w:rsidRPr="008A0A12">
        <w:t>participation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process,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overcome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mitigate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consequences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severe</w:t>
      </w:r>
      <w:r w:rsidR="00D17A94">
        <w:t xml:space="preserve"> </w:t>
      </w:r>
      <w:r w:rsidRPr="008A0A12">
        <w:t>disability.</w:t>
      </w:r>
      <w:r w:rsidR="00D17A94">
        <w:t xml:space="preserve"> </w:t>
      </w:r>
      <w:r w:rsidRPr="008A0A12">
        <w:t>Cash</w:t>
      </w:r>
      <w:r w:rsidR="00D17A94">
        <w:t xml:space="preserve"> </w:t>
      </w:r>
      <w:r w:rsidRPr="008A0A12">
        <w:t>benefits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compensation</w:t>
      </w:r>
      <w:r w:rsidR="00D17A94">
        <w:t xml:space="preserve"> </w:t>
      </w:r>
      <w:r w:rsidRPr="008A0A12">
        <w:t>represent</w:t>
      </w:r>
      <w:r w:rsidR="00D17A94">
        <w:t xml:space="preserve"> </w:t>
      </w:r>
      <w:r w:rsidRPr="008A0A12">
        <w:t>voluntary</w:t>
      </w:r>
      <w:r w:rsidR="00D17A94">
        <w:t xml:space="preserve"> </w:t>
      </w:r>
      <w:r w:rsidRPr="008A0A12">
        <w:t>benefits</w:t>
      </w:r>
      <w:r w:rsidR="00D17A94">
        <w:t xml:space="preserve"> </w:t>
      </w:r>
      <w:r w:rsidR="00500D75">
        <w:t>—</w:t>
      </w:r>
      <w:r w:rsidR="00D17A94">
        <w:t xml:space="preserve"> </w:t>
      </w:r>
      <w:r w:rsidRPr="008A0A12">
        <w:t>entitlement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cash</w:t>
      </w:r>
      <w:r w:rsidR="00D17A94">
        <w:t xml:space="preserve"> </w:t>
      </w:r>
      <w:r w:rsidRPr="008A0A12">
        <w:t>benefit</w:t>
      </w:r>
      <w:r w:rsidR="00D17A94">
        <w:t xml:space="preserve"> </w:t>
      </w:r>
      <w:r w:rsidRPr="008A0A12">
        <w:t>arises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basis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valid</w:t>
      </w:r>
      <w:r w:rsidR="00D17A94">
        <w:t xml:space="preserve"> </w:t>
      </w:r>
      <w:r w:rsidRPr="008A0A12">
        <w:t>decision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competent</w:t>
      </w:r>
      <w:r w:rsidR="00D17A94">
        <w:t xml:space="preserve"> </w:t>
      </w:r>
      <w:r w:rsidRPr="008A0A12">
        <w:t>authority.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provision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cash</w:t>
      </w:r>
      <w:r w:rsidR="00D17A94">
        <w:t xml:space="preserve"> </w:t>
      </w:r>
      <w:r w:rsidRPr="008A0A12">
        <w:t>benefits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compensate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consequences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severe</w:t>
      </w:r>
      <w:r w:rsidR="00D17A94">
        <w:t xml:space="preserve"> </w:t>
      </w:r>
      <w:r w:rsidRPr="008A0A12">
        <w:t>disability</w:t>
      </w:r>
      <w:r w:rsidR="00D17A94">
        <w:t xml:space="preserve"> </w:t>
      </w:r>
      <w:r w:rsidRPr="008A0A12">
        <w:t>is,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Cash</w:t>
      </w:r>
      <w:r w:rsidR="00D17A94">
        <w:t xml:space="preserve"> </w:t>
      </w:r>
      <w:r w:rsidRPr="008A0A12">
        <w:t>Benefits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Compensation,</w:t>
      </w:r>
      <w:r w:rsidR="00D17A94">
        <w:t xml:space="preserve"> </w:t>
      </w:r>
      <w:r w:rsidRPr="008A0A12">
        <w:t>financed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budget.</w:t>
      </w:r>
      <w:r w:rsidR="00D17A94">
        <w:t xml:space="preserve"> </w:t>
      </w:r>
      <w:r w:rsidRPr="008A0A12">
        <w:t>Simultaneously,</w:t>
      </w:r>
      <w:r w:rsidR="00D17A94">
        <w:t xml:space="preserve"> </w:t>
      </w:r>
      <w:r w:rsidRPr="008A0A12">
        <w:t>during</w:t>
      </w:r>
      <w:r w:rsidR="00D17A94">
        <w:t xml:space="preserve"> </w:t>
      </w:r>
      <w:r w:rsidRPr="008A0A12">
        <w:t>proceedings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cash</w:t>
      </w:r>
      <w:r w:rsidR="00D17A94">
        <w:t xml:space="preserve"> </w:t>
      </w:r>
      <w:r w:rsidRPr="008A0A12">
        <w:t>benefits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compensation,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necessary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ascertain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income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lastRenderedPageBreak/>
        <w:t>property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natural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severe</w:t>
      </w:r>
      <w:r w:rsidR="00D17A94">
        <w:t xml:space="preserve"> </w:t>
      </w:r>
      <w:r w:rsidRPr="008A0A12">
        <w:t>disability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income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property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assessed</w:t>
      </w:r>
      <w:r w:rsidR="00D17A94">
        <w:t xml:space="preserve"> </w:t>
      </w:r>
      <w:r w:rsidRPr="008A0A12">
        <w:t>together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natural</w:t>
      </w:r>
      <w:r w:rsidR="00D17A94">
        <w:t xml:space="preserve"> </w:t>
      </w:r>
      <w:r w:rsidRPr="008A0A12">
        <w:t>person.</w:t>
      </w:r>
    </w:p>
    <w:p w:rsidR="00F33762" w:rsidRPr="008A0A12" w:rsidRDefault="00F33762" w:rsidP="00F33762">
      <w:pPr>
        <w:pStyle w:val="SingleTxtG"/>
      </w:pPr>
      <w:r w:rsidRPr="008A0A12">
        <w:t>91.</w:t>
      </w:r>
      <w:r w:rsidRPr="008A0A12">
        <w:tab/>
        <w:t>In</w:t>
      </w:r>
      <w:r w:rsidR="00D17A94">
        <w:t xml:space="preserve"> </w:t>
      </w:r>
      <w:r w:rsidRPr="008A0A12">
        <w:t>January</w:t>
      </w:r>
      <w:r w:rsidR="00D17A94">
        <w:t xml:space="preserve"> </w:t>
      </w:r>
      <w:r w:rsidRPr="008A0A12">
        <w:t>2014,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approved</w:t>
      </w:r>
      <w:r w:rsidR="00D17A94">
        <w:t xml:space="preserve"> </w:t>
      </w:r>
      <w:r w:rsidRPr="008A0A12">
        <w:t>a</w:t>
      </w:r>
      <w:r w:rsidR="00D17A94">
        <w:t xml:space="preserve"> </w:t>
      </w:r>
      <w:r w:rsidR="00413AEE">
        <w:t>“</w:t>
      </w:r>
      <w:r w:rsidRPr="008A0A12">
        <w:t>National</w:t>
      </w:r>
      <w:r w:rsidR="00D17A94">
        <w:t xml:space="preserve"> </w:t>
      </w:r>
      <w:r w:rsidRPr="008A0A12">
        <w:t>Program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Living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Disabilities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2014-2020</w:t>
      </w:r>
      <w:r w:rsidR="00413AEE">
        <w:t>”</w:t>
      </w:r>
      <w:r w:rsidRPr="008A0A12">
        <w:t>,</w:t>
      </w:r>
      <w:r w:rsidR="00D17A94">
        <w:t xml:space="preserve"> </w:t>
      </w:r>
      <w:r w:rsidRPr="008A0A12">
        <w:t>developed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accordance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</w:t>
      </w:r>
      <w:r w:rsidR="00D17A94">
        <w:t xml:space="preserve"> </w:t>
      </w:r>
      <w:r w:rsidRPr="008A0A12">
        <w:t>Convention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Disabilities.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14</w:t>
      </w:r>
      <w:r w:rsidR="00D17A94">
        <w:t xml:space="preserve"> </w:t>
      </w:r>
      <w:r w:rsidRPr="008A0A12">
        <w:t>December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approved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first</w:t>
      </w:r>
      <w:r w:rsidR="00D17A94">
        <w:t xml:space="preserve"> </w:t>
      </w:r>
      <w:r w:rsidRPr="008A0A12">
        <w:t>summary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fulfilment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tasks</w:t>
      </w:r>
      <w:r w:rsidR="00D17A94">
        <w:t xml:space="preserve"> </w:t>
      </w:r>
      <w:r w:rsidRPr="008A0A12">
        <w:t>arising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Programme,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document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fulfilment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tasks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2014</w:t>
      </w:r>
      <w:r w:rsidR="00D17A94">
        <w:t xml:space="preserve"> </w:t>
      </w:r>
      <w:r w:rsidRPr="008A0A12">
        <w:t>until</w:t>
      </w:r>
      <w:r w:rsidR="00D17A94">
        <w:t xml:space="preserve"> </w:t>
      </w:r>
      <w:r w:rsidRPr="008A0A12">
        <w:t>2015.</w:t>
      </w:r>
    </w:p>
    <w:p w:rsidR="00F33762" w:rsidRPr="008A0A12" w:rsidRDefault="00F33762" w:rsidP="00F33762">
      <w:pPr>
        <w:pStyle w:val="SingleTxtG"/>
      </w:pPr>
      <w:r w:rsidRPr="008A0A12">
        <w:t>92.</w:t>
      </w:r>
      <w:r w:rsidRPr="008A0A12">
        <w:tab/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minors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minors</w:t>
      </w:r>
      <w:r w:rsidR="00413AEE">
        <w:t>’</w:t>
      </w:r>
      <w:r w:rsidR="00D17A94">
        <w:t xml:space="preserve"> </w:t>
      </w:r>
      <w:r w:rsidRPr="008A0A12">
        <w:t>interests</w:t>
      </w:r>
      <w:r w:rsidR="00D17A94">
        <w:t xml:space="preserve"> </w:t>
      </w:r>
      <w:r w:rsidRPr="008A0A12">
        <w:t>protected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law,</w:t>
      </w:r>
      <w:r w:rsidR="00D17A94">
        <w:t xml:space="preserve"> </w:t>
      </w:r>
      <w:r w:rsidRPr="008A0A12">
        <w:t>some</w:t>
      </w:r>
      <w:r w:rsidR="00D17A94">
        <w:t xml:space="preserve"> </w:t>
      </w:r>
      <w:r w:rsidRPr="008A0A12">
        <w:t>amendments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incorporated,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2012</w:t>
      </w:r>
      <w:r w:rsidR="00D17A94">
        <w:t xml:space="preserve"> </w:t>
      </w:r>
      <w:r w:rsidRPr="008A0A12">
        <w:t>until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wording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305/2005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Social-Legal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Guardianship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Amendments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Supplements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Certain</w:t>
      </w:r>
      <w:r w:rsidR="00D17A94">
        <w:t xml:space="preserve"> </w:t>
      </w:r>
      <w:r w:rsidRPr="008A0A12">
        <w:t>Law,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improve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taking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guardianship.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93.</w:t>
      </w:r>
      <w:r w:rsidRPr="008A0A12">
        <w:tab/>
        <w:t>The</w:t>
      </w:r>
      <w:r w:rsidR="00D17A94">
        <w:t xml:space="preserve"> </w:t>
      </w:r>
      <w:r w:rsidRPr="008A0A12">
        <w:t>most</w:t>
      </w:r>
      <w:r w:rsidR="00D17A94">
        <w:t xml:space="preserve"> </w:t>
      </w:r>
      <w:r w:rsidRPr="008A0A12">
        <w:t>significant</w:t>
      </w:r>
      <w:r w:rsidR="00D17A94">
        <w:t xml:space="preserve"> </w:t>
      </w:r>
      <w:r w:rsidRPr="008A0A12">
        <w:t>changes</w:t>
      </w:r>
      <w:r w:rsidR="00D17A94">
        <w:t xml:space="preserve"> </w:t>
      </w:r>
      <w:r w:rsidRPr="008A0A12">
        <w:t>include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expansion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range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limit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eliminate</w:t>
      </w:r>
      <w:r w:rsidR="00D17A94">
        <w:t xml:space="preserve"> </w:t>
      </w:r>
      <w:r w:rsidRPr="008A0A12">
        <w:t>negative</w:t>
      </w:r>
      <w:r w:rsidR="00D17A94">
        <w:t xml:space="preserve"> </w:t>
      </w:r>
      <w:r w:rsidRPr="008A0A12">
        <w:t>effects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threaten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psychological,</w:t>
      </w:r>
      <w:r w:rsidR="00D17A94">
        <w:t xml:space="preserve"> </w:t>
      </w:r>
      <w:r w:rsidRPr="008A0A12">
        <w:t>physical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child.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</w:t>
      </w:r>
      <w:r w:rsidR="00D17A94">
        <w:t xml:space="preserve"> </w:t>
      </w:r>
      <w:r w:rsidRPr="008A0A12">
        <w:t>includes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care</w:t>
      </w:r>
      <w:r w:rsidR="00D17A94">
        <w:t xml:space="preserve"> </w:t>
      </w:r>
      <w:r w:rsidRPr="008A0A12">
        <w:t>measures,</w:t>
      </w:r>
      <w:r w:rsidR="00D17A94">
        <w:t xml:space="preserve"> </w:t>
      </w:r>
      <w:r w:rsidRPr="008A0A12">
        <w:t>including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procedure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imposition</w:t>
      </w:r>
      <w:r w:rsidR="00D17A94">
        <w:t xml:space="preserve"> </w:t>
      </w:r>
      <w:r w:rsidRPr="008A0A12">
        <w:t>thereof</w:t>
      </w:r>
      <w:r w:rsidR="00D17A94">
        <w:t xml:space="preserve"> </w:t>
      </w:r>
      <w:r w:rsidRPr="008A0A12">
        <w:t>if</w:t>
      </w:r>
      <w:r w:rsidR="00D17A94">
        <w:t xml:space="preserve"> </w:t>
      </w:r>
      <w:r w:rsidRPr="008A0A12">
        <w:t>they</w:t>
      </w:r>
      <w:r w:rsidR="00D17A94">
        <w:t xml:space="preserve"> </w:t>
      </w:r>
      <w:r w:rsidRPr="008A0A12">
        <w:t>do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fulfil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purpose: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performance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foster</w:t>
      </w:r>
      <w:r w:rsidR="00D17A94">
        <w:t xml:space="preserve"> </w:t>
      </w:r>
      <w:r w:rsidRPr="008A0A12">
        <w:t>care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guardianship,</w:t>
      </w:r>
      <w:r w:rsidR="00D17A94">
        <w:t xml:space="preserve"> </w:t>
      </w:r>
      <w:r w:rsidRPr="008A0A12">
        <w:t>including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identification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child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opinion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matter</w:t>
      </w:r>
      <w:r w:rsidR="00D17A94">
        <w:t xml:space="preserve"> </w:t>
      </w:r>
      <w:r w:rsidRPr="008A0A12">
        <w:t>concerning</w:t>
      </w:r>
      <w:r w:rsidR="00D17A94">
        <w:t xml:space="preserve"> </w:t>
      </w:r>
      <w:r w:rsidRPr="008A0A12">
        <w:t>it.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defines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system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substitute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care,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taking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facilities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social-legal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guardianship</w:t>
      </w:r>
      <w:r w:rsidR="00D17A94">
        <w:t xml:space="preserve"> </w:t>
      </w:r>
      <w:r w:rsidRPr="008A0A12">
        <w:t>(children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homes,</w:t>
      </w:r>
      <w:r w:rsidR="00D17A94">
        <w:t xml:space="preserve"> </w:t>
      </w:r>
      <w:r w:rsidRPr="008A0A12">
        <w:t>crisis</w:t>
      </w:r>
      <w:r w:rsidR="00D17A94">
        <w:t xml:space="preserve"> </w:t>
      </w:r>
      <w:r w:rsidRPr="008A0A12">
        <w:t>centres,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reintegration</w:t>
      </w:r>
      <w:r w:rsidR="00D17A94">
        <w:t xml:space="preserve"> </w:t>
      </w:r>
      <w:r w:rsidRPr="008A0A12">
        <w:t>centres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drug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addictions).</w:t>
      </w:r>
      <w:r w:rsidR="00D17A94">
        <w:t xml:space="preserve"> </w:t>
      </w:r>
      <w:r w:rsidRPr="008A0A12">
        <w:t>New</w:t>
      </w:r>
      <w:r w:rsidR="00D17A94">
        <w:t xml:space="preserve"> </w:t>
      </w:r>
      <w:r w:rsidRPr="008A0A12">
        <w:t>powers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bodies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social-legal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guardianship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specified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detail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review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care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minors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verification</w:t>
      </w:r>
      <w:r w:rsidR="00D17A94">
        <w:t xml:space="preserve"> </w:t>
      </w:r>
      <w:r w:rsidRPr="008A0A12">
        <w:t>whether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threat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psychological,</w:t>
      </w:r>
      <w:r w:rsidR="00D17A94">
        <w:t xml:space="preserve"> </w:t>
      </w:r>
      <w:r w:rsidRPr="008A0A12">
        <w:t>physical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development.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system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social-legal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guardianship,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principle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primacy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environment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applied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situation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minor</w:t>
      </w:r>
      <w:r w:rsidR="00D17A94">
        <w:t xml:space="preserve"> </w:t>
      </w:r>
      <w:r w:rsidRPr="008A0A12">
        <w:t>child.</w:t>
      </w:r>
    </w:p>
    <w:p w:rsidR="00F33762" w:rsidRPr="008A0A12" w:rsidRDefault="00F33762" w:rsidP="00F33762">
      <w:pPr>
        <w:pStyle w:val="SingleTxtG"/>
      </w:pPr>
      <w:r w:rsidRPr="008A0A12">
        <w:t>94.</w:t>
      </w:r>
      <w:r w:rsidRPr="008A0A12">
        <w:tab/>
        <w:t>Law</w:t>
      </w:r>
      <w:r w:rsidR="00D17A94">
        <w:t xml:space="preserve"> </w:t>
      </w:r>
      <w:r w:rsidRPr="008A0A12">
        <w:t>219/2014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Exercise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Certain</w:t>
      </w:r>
      <w:r w:rsidR="00D17A94">
        <w:t xml:space="preserve"> </w:t>
      </w:r>
      <w:r w:rsidRPr="008A0A12">
        <w:t>Professional</w:t>
      </w:r>
      <w:r w:rsidR="00D17A94">
        <w:t xml:space="preserve"> </w:t>
      </w:r>
      <w:r w:rsidRPr="008A0A12">
        <w:t>Activities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Affairs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Amendments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Supplements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Certain</w:t>
      </w:r>
      <w:r w:rsidR="00D17A94">
        <w:t xml:space="preserve"> </w:t>
      </w:r>
      <w:r w:rsidRPr="008A0A12">
        <w:t>Laws</w:t>
      </w:r>
      <w:r w:rsidR="00D17A94">
        <w:t xml:space="preserve"> </w:t>
      </w:r>
      <w:r w:rsidRPr="008A0A12">
        <w:t>provides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exercise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certain</w:t>
      </w:r>
      <w:r w:rsidR="00D17A94">
        <w:t xml:space="preserve"> </w:t>
      </w:r>
      <w:r w:rsidRPr="008A0A12">
        <w:t>professional</w:t>
      </w:r>
      <w:r w:rsidR="00D17A94">
        <w:t xml:space="preserve"> </w:t>
      </w:r>
      <w:r w:rsidRPr="008A0A12">
        <w:t>activities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affairs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family.</w:t>
      </w:r>
    </w:p>
    <w:p w:rsidR="00F33762" w:rsidRPr="008A0A12" w:rsidRDefault="00F33762" w:rsidP="00F33762">
      <w:pPr>
        <w:pStyle w:val="SingleTxtG"/>
      </w:pPr>
      <w:r w:rsidRPr="008A0A12">
        <w:t>95.</w:t>
      </w:r>
      <w:r w:rsidRPr="008A0A12">
        <w:tab/>
        <w:t>Law</w:t>
      </w:r>
      <w:r w:rsidR="00D17A94">
        <w:t xml:space="preserve"> </w:t>
      </w:r>
      <w:r w:rsidRPr="008A0A12">
        <w:t>176/2015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Commissioner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Commissioner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Disabilities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Amendments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Supplements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Certain</w:t>
      </w:r>
      <w:r w:rsidR="00D17A94">
        <w:t xml:space="preserve"> </w:t>
      </w:r>
      <w:r w:rsidRPr="008A0A12">
        <w:t>Laws</w:t>
      </w:r>
      <w:r w:rsidR="00D17A94">
        <w:t xml:space="preserve"> </w:t>
      </w:r>
      <w:r w:rsidRPr="008A0A12">
        <w:t>entered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effect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September</w:t>
      </w:r>
      <w:r w:rsidR="00D17A94">
        <w:t xml:space="preserve"> </w:t>
      </w:r>
      <w:r w:rsidRPr="008A0A12">
        <w:t>2015</w:t>
      </w:r>
      <w:r w:rsidR="00D17A94">
        <w:t xml:space="preserve"> </w:t>
      </w:r>
      <w:r w:rsidRPr="008A0A12">
        <w:t>establishing</w:t>
      </w:r>
      <w:r w:rsidR="00D17A94">
        <w:t xml:space="preserve"> </w:t>
      </w:r>
      <w:r w:rsidRPr="008A0A12">
        <w:t>two</w:t>
      </w:r>
      <w:r w:rsidR="00D17A94">
        <w:t xml:space="preserve"> </w:t>
      </w:r>
      <w:r w:rsidRPr="008A0A12">
        <w:t>independent</w:t>
      </w:r>
      <w:r w:rsidR="00D17A94">
        <w:t xml:space="preserve"> </w:t>
      </w:r>
      <w:r w:rsidRPr="008A0A12">
        <w:t>institutions.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essence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activity</w:t>
      </w:r>
      <w:r w:rsidR="00D17A94">
        <w:t xml:space="preserve"> </w:t>
      </w:r>
      <w:r w:rsidRPr="008A0A12">
        <w:t>consists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specialised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recognised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</w:t>
      </w:r>
      <w:r w:rsidR="00D17A94">
        <w:t xml:space="preserve"> </w:t>
      </w:r>
      <w:r w:rsidRPr="008A0A12">
        <w:t>conventions.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deals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issue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acceptance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commissioner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representative</w:t>
      </w:r>
      <w:r w:rsidR="00D17A94">
        <w:t xml:space="preserve"> </w:t>
      </w:r>
      <w:r w:rsidRPr="008A0A12">
        <w:t>organisations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opinion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commissioner</w:t>
      </w:r>
      <w:r w:rsidR="00D17A94">
        <w:t xml:space="preserve"> </w:t>
      </w:r>
      <w:r w:rsidRPr="008A0A12">
        <w:t>before</w:t>
      </w:r>
      <w:r w:rsidR="00D17A94">
        <w:t xml:space="preserve"> </w:t>
      </w:r>
      <w:r w:rsidRPr="008A0A12">
        <w:t>he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elected.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2</w:t>
      </w:r>
      <w:r w:rsidR="00D17A94">
        <w:t xml:space="preserve"> </w:t>
      </w:r>
      <w:r w:rsidRPr="008A0A12">
        <w:t>December</w:t>
      </w:r>
      <w:r w:rsidR="00D17A94">
        <w:t xml:space="preserve"> </w:t>
      </w:r>
      <w:r w:rsidRPr="008A0A12">
        <w:t>2015,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Council</w:t>
      </w:r>
      <w:r w:rsidR="00D17A94">
        <w:t xml:space="preserve"> </w:t>
      </w:r>
      <w:r w:rsidRPr="008A0A12">
        <w:t>(Parliament)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elected</w:t>
      </w:r>
      <w:r w:rsidR="00D17A94">
        <w:t xml:space="preserve"> </w:t>
      </w:r>
      <w:r w:rsidRPr="008A0A12">
        <w:t>two</w:t>
      </w:r>
      <w:r w:rsidR="00D17A94">
        <w:t xml:space="preserve"> </w:t>
      </w:r>
      <w:r w:rsidRPr="008A0A12">
        <w:t>commissioners:</w:t>
      </w:r>
      <w:r w:rsidR="00D17A94">
        <w:t xml:space="preserve"> </w:t>
      </w:r>
      <w:proofErr w:type="spellStart"/>
      <w:r w:rsidRPr="008A0A12">
        <w:t>Viera</w:t>
      </w:r>
      <w:proofErr w:type="spellEnd"/>
      <w:r w:rsidR="00D17A94">
        <w:t xml:space="preserve"> </w:t>
      </w:r>
      <w:proofErr w:type="spellStart"/>
      <w:r w:rsidRPr="008A0A12">
        <w:t>Tomanová</w:t>
      </w:r>
      <w:proofErr w:type="spellEnd"/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commissioner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Zuzana</w:t>
      </w:r>
      <w:r w:rsidR="00D17A94">
        <w:t xml:space="preserve"> </w:t>
      </w:r>
      <w:proofErr w:type="spellStart"/>
      <w:r w:rsidRPr="008A0A12">
        <w:t>Stavrovská</w:t>
      </w:r>
      <w:proofErr w:type="spellEnd"/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commissioner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disabilities.</w:t>
      </w:r>
      <w:r w:rsidR="00D17A94">
        <w:t xml:space="preserve"> </w:t>
      </w:r>
    </w:p>
    <w:p w:rsidR="00F33762" w:rsidRPr="008A0A12" w:rsidRDefault="00F33762" w:rsidP="00BA7DBC">
      <w:pPr>
        <w:pStyle w:val="H1G"/>
      </w:pPr>
      <w:r w:rsidRPr="008A0A12">
        <w:tab/>
      </w:r>
      <w:r w:rsidRPr="008A0A12">
        <w:tab/>
        <w:t>Article</w:t>
      </w:r>
      <w:r w:rsidR="00D17A94">
        <w:t xml:space="preserve"> </w:t>
      </w:r>
      <w:r w:rsidRPr="008A0A12">
        <w:t>12</w:t>
      </w:r>
    </w:p>
    <w:p w:rsidR="00F33762" w:rsidRPr="008A0A12" w:rsidRDefault="00F33762" w:rsidP="00BA7DBC">
      <w:pPr>
        <w:pStyle w:val="H23G"/>
      </w:pPr>
      <w:r w:rsidRPr="008A0A12">
        <w:tab/>
      </w:r>
      <w:r w:rsidRPr="008A0A12">
        <w:tab/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physical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mental</w:t>
      </w:r>
      <w:r w:rsidR="00D17A94">
        <w:t xml:space="preserve"> </w:t>
      </w:r>
      <w:r w:rsidRPr="008A0A12">
        <w:t>health</w:t>
      </w:r>
    </w:p>
    <w:p w:rsidR="00F33762" w:rsidRPr="008A0A12" w:rsidRDefault="00F33762" w:rsidP="00F33762">
      <w:pPr>
        <w:pStyle w:val="SingleTxtG"/>
      </w:pPr>
      <w:r w:rsidRPr="008A0A12">
        <w:t>96.</w:t>
      </w:r>
      <w:r w:rsidRPr="008A0A12">
        <w:tab/>
        <w:t>The</w:t>
      </w:r>
      <w:r w:rsidR="00D17A94">
        <w:t xml:space="preserve"> </w:t>
      </w:r>
      <w:r w:rsidRPr="008A0A12">
        <w:t>following</w:t>
      </w:r>
      <w:r w:rsidR="00D17A94">
        <w:t xml:space="preserve"> </w:t>
      </w:r>
      <w:r w:rsidRPr="008A0A12">
        <w:t>facts</w:t>
      </w:r>
      <w:r w:rsidR="00D17A94">
        <w:t xml:space="preserve"> </w:t>
      </w:r>
      <w:r w:rsidRPr="008A0A12">
        <w:t>can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beyond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framework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second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(points</w:t>
      </w:r>
      <w:r w:rsidR="00D17A94">
        <w:t xml:space="preserve"> </w:t>
      </w:r>
      <w:r w:rsidRPr="008A0A12">
        <w:t>257-291).</w:t>
      </w:r>
    </w:p>
    <w:p w:rsidR="00F33762" w:rsidRPr="008A0A12" w:rsidRDefault="00F33762" w:rsidP="00BA7DBC">
      <w:pPr>
        <w:pStyle w:val="H23G"/>
      </w:pPr>
      <w:r w:rsidRPr="008A0A12">
        <w:tab/>
      </w:r>
      <w:r w:rsidRPr="008A0A12">
        <w:tab/>
        <w:t>The</w:t>
      </w:r>
      <w:r w:rsidR="00D17A94">
        <w:t xml:space="preserve"> </w:t>
      </w:r>
      <w:r w:rsidRPr="008A0A12">
        <w:t>improvement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external</w:t>
      </w:r>
      <w:r w:rsidR="00D17A94">
        <w:t xml:space="preserve"> </w:t>
      </w:r>
      <w:r w:rsidRPr="008A0A12">
        <w:t>living</w:t>
      </w:r>
      <w:r w:rsidR="00D17A94">
        <w:t xml:space="preserve"> </w:t>
      </w:r>
      <w:r w:rsidRPr="008A0A12">
        <w:t>conditions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97.</w:t>
      </w:r>
      <w:r w:rsidRPr="008A0A12">
        <w:tab/>
        <w:t>Increasing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share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population</w:t>
      </w:r>
      <w:r w:rsidR="00D17A94">
        <w:t xml:space="preserve"> </w:t>
      </w:r>
      <w:r w:rsidRPr="008A0A12">
        <w:t>supplied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safe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quality</w:t>
      </w:r>
      <w:r w:rsidR="00D17A94">
        <w:t xml:space="preserve"> </w:t>
      </w:r>
      <w:r w:rsidRPr="008A0A12">
        <w:t>drinking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systems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priority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supply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population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healthy</w:t>
      </w:r>
      <w:r w:rsidR="00D17A94">
        <w:t xml:space="preserve"> </w:t>
      </w:r>
      <w:r w:rsidRPr="008A0A12">
        <w:t>drinking</w:t>
      </w:r>
      <w:r w:rsidR="00D17A94">
        <w:t xml:space="preserve"> </w:t>
      </w:r>
      <w:r w:rsidRPr="008A0A12">
        <w:t>water.</w:t>
      </w:r>
      <w:r w:rsidR="00D17A94">
        <w:t xml:space="preserve"> </w:t>
      </w:r>
      <w:r w:rsidRPr="008A0A12">
        <w:t>88.7</w:t>
      </w:r>
      <w:r w:rsidR="00CD3239">
        <w:t>%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population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Slovakia</w:t>
      </w:r>
      <w:r w:rsidR="00D17A94">
        <w:t xml:space="preserve"> </w:t>
      </w:r>
      <w:r w:rsidRPr="008A0A12">
        <w:t>(a</w:t>
      </w:r>
      <w:r w:rsidR="00D17A94">
        <w:t xml:space="preserve"> </w:t>
      </w:r>
      <w:r w:rsidRPr="008A0A12">
        <w:t>2.2</w:t>
      </w:r>
      <w:r w:rsidR="00CD3239">
        <w:t>%</w:t>
      </w:r>
      <w:r w:rsidR="00D17A94">
        <w:t xml:space="preserve"> </w:t>
      </w:r>
      <w:r w:rsidRPr="008A0A12">
        <w:t>increase</w:t>
      </w:r>
      <w:r w:rsidR="00D17A94">
        <w:t xml:space="preserve"> </w:t>
      </w:r>
      <w:r w:rsidRPr="008A0A12">
        <w:t>compared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2007)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supplied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drinking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systems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2016.</w:t>
      </w:r>
      <w:r w:rsidR="00D17A94">
        <w:t xml:space="preserve"> </w:t>
      </w:r>
      <w:r w:rsidRPr="008A0A12">
        <w:t>Regional</w:t>
      </w:r>
      <w:r w:rsidR="00D17A94">
        <w:t xml:space="preserve"> </w:t>
      </w:r>
      <w:r w:rsidRPr="008A0A12">
        <w:t>differences,</w:t>
      </w:r>
      <w:r w:rsidR="00D17A94">
        <w:t xml:space="preserve"> </w:t>
      </w:r>
      <w:r w:rsidRPr="008A0A12">
        <w:t>however,</w:t>
      </w:r>
      <w:r w:rsidR="00D17A94">
        <w:t xml:space="preserve"> </w:t>
      </w:r>
      <w:r w:rsidRPr="008A0A12">
        <w:t>still</w:t>
      </w:r>
      <w:r w:rsidR="00D17A94">
        <w:t xml:space="preserve"> </w:t>
      </w:r>
      <w:r w:rsidRPr="008A0A12">
        <w:t>persist.</w:t>
      </w:r>
      <w:r w:rsidR="00D17A94">
        <w:t xml:space="preserve"> </w:t>
      </w:r>
      <w:r w:rsidRPr="008A0A12">
        <w:t>While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Bratislava</w:t>
      </w:r>
      <w:r w:rsidR="00D17A94">
        <w:t xml:space="preserve"> </w:t>
      </w:r>
      <w:r w:rsidRPr="008A0A12">
        <w:t>region</w:t>
      </w:r>
      <w:r w:rsidR="00D17A94">
        <w:t xml:space="preserve"> </w:t>
      </w:r>
      <w:r w:rsidRPr="008A0A12">
        <w:t>97.8</w:t>
      </w:r>
      <w:r w:rsidR="00CD3239">
        <w:t>%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population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supplied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drinking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systems</w:t>
      </w:r>
      <w:r w:rsidR="00D17A94">
        <w:t xml:space="preserve"> </w:t>
      </w:r>
      <w:r w:rsidRPr="008A0A12">
        <w:t>(a</w:t>
      </w:r>
      <w:r w:rsidR="00D17A94">
        <w:t xml:space="preserve"> </w:t>
      </w:r>
      <w:r w:rsidRPr="008A0A12">
        <w:t>1.3</w:t>
      </w:r>
      <w:r w:rsidR="00CD3239">
        <w:t>%</w:t>
      </w:r>
      <w:r w:rsidR="00D17A94">
        <w:t xml:space="preserve"> </w:t>
      </w:r>
      <w:r w:rsidRPr="008A0A12">
        <w:t>increase</w:t>
      </w:r>
      <w:r w:rsidR="00D17A94">
        <w:t xml:space="preserve"> </w:t>
      </w:r>
      <w:r w:rsidRPr="008A0A12">
        <w:t>compared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2007),</w:t>
      </w:r>
      <w:r w:rsidR="00D17A94">
        <w:t xml:space="preserve"> </w:t>
      </w:r>
      <w:r w:rsidRPr="008A0A12">
        <w:t>in</w:t>
      </w:r>
      <w:r w:rsidR="00D17A94">
        <w:t xml:space="preserve"> </w:t>
      </w:r>
      <w:proofErr w:type="spellStart"/>
      <w:r w:rsidRPr="008A0A12">
        <w:t>Prešov</w:t>
      </w:r>
      <w:proofErr w:type="spellEnd"/>
      <w:r w:rsidR="00D17A94">
        <w:t xml:space="preserve"> </w:t>
      </w:r>
      <w:r w:rsidRPr="008A0A12">
        <w:t>region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only</w:t>
      </w:r>
      <w:r w:rsidR="00D17A94">
        <w:t xml:space="preserve"> </w:t>
      </w:r>
      <w:r w:rsidRPr="008A0A12">
        <w:t>80.6</w:t>
      </w:r>
      <w:r w:rsidR="00CD3239">
        <w:t>%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population</w:t>
      </w:r>
      <w:r w:rsidR="00D17A94">
        <w:t xml:space="preserve"> </w:t>
      </w:r>
      <w:r w:rsidRPr="008A0A12">
        <w:t>(a</w:t>
      </w:r>
      <w:r w:rsidR="00D17A94">
        <w:t xml:space="preserve"> </w:t>
      </w:r>
      <w:r w:rsidRPr="008A0A12">
        <w:t>2.8</w:t>
      </w:r>
      <w:r w:rsidR="00CD3239">
        <w:t>%</w:t>
      </w:r>
      <w:r w:rsidR="00D17A94">
        <w:t xml:space="preserve"> </w:t>
      </w:r>
      <w:r w:rsidRPr="008A0A12">
        <w:t>increase</w:t>
      </w:r>
      <w:r w:rsidR="00D17A94">
        <w:t xml:space="preserve"> </w:t>
      </w:r>
      <w:r w:rsidRPr="008A0A12">
        <w:t>compared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2007).</w:t>
      </w:r>
      <w:r w:rsidR="00D17A94">
        <w:t xml:space="preserve"> </w:t>
      </w:r>
    </w:p>
    <w:p w:rsidR="00F33762" w:rsidRPr="008A0A12" w:rsidRDefault="00F33762" w:rsidP="000A208E">
      <w:pPr>
        <w:pStyle w:val="H23G"/>
      </w:pPr>
      <w:r w:rsidRPr="008A0A12">
        <w:lastRenderedPageBreak/>
        <w:tab/>
      </w:r>
      <w:r w:rsidRPr="008A0A12">
        <w:tab/>
        <w:t>Disease</w:t>
      </w:r>
      <w:r w:rsidR="00D17A94">
        <w:t xml:space="preserve"> </w:t>
      </w:r>
      <w:r w:rsidRPr="008A0A12">
        <w:t>prevention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98.</w:t>
      </w:r>
      <w:r w:rsidRPr="008A0A12">
        <w:tab/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among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European</w:t>
      </w:r>
      <w:r w:rsidR="00D17A94">
        <w:t xml:space="preserve"> </w:t>
      </w:r>
      <w:r w:rsidRPr="008A0A12">
        <w:t>Union</w:t>
      </w:r>
      <w:r w:rsidR="00D17A94">
        <w:t xml:space="preserve"> </w:t>
      </w:r>
      <w:r w:rsidRPr="008A0A12">
        <w:t>countries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highest</w:t>
      </w:r>
      <w:r w:rsidR="00D17A94">
        <w:t xml:space="preserve"> </w:t>
      </w:r>
      <w:r w:rsidRPr="008A0A12">
        <w:t>vaccination</w:t>
      </w:r>
      <w:r w:rsidR="00D17A94">
        <w:t xml:space="preserve"> </w:t>
      </w:r>
      <w:r w:rsidRPr="008A0A12">
        <w:t>coverage.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nationwide</w:t>
      </w:r>
      <w:r w:rsidR="00D17A94">
        <w:t xml:space="preserve"> </w:t>
      </w:r>
      <w:r w:rsidRPr="008A0A12">
        <w:t>results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vaccination</w:t>
      </w:r>
      <w:r w:rsidR="00D17A94">
        <w:t xml:space="preserve"> </w:t>
      </w:r>
      <w:r w:rsidRPr="008A0A12">
        <w:t>coverage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regular</w:t>
      </w:r>
      <w:r w:rsidR="00D17A94">
        <w:t xml:space="preserve"> </w:t>
      </w:r>
      <w:r w:rsidRPr="008A0A12">
        <w:t>compulsory</w:t>
      </w:r>
      <w:r w:rsidR="00D17A94">
        <w:t xml:space="preserve"> </w:t>
      </w:r>
      <w:r w:rsidRPr="008A0A12">
        <w:t>vaccination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have</w:t>
      </w:r>
      <w:r w:rsidR="00D17A94">
        <w:t xml:space="preserve"> </w:t>
      </w:r>
      <w:r w:rsidRPr="008A0A12">
        <w:t>exceeded</w:t>
      </w:r>
      <w:r w:rsidR="00D17A94">
        <w:t xml:space="preserve"> </w:t>
      </w:r>
      <w:r w:rsidRPr="008A0A12">
        <w:t>95</w:t>
      </w:r>
      <w:r w:rsidR="00CD3239">
        <w:t>%</w:t>
      </w:r>
      <w:r w:rsidRPr="008A0A12">
        <w:t>.</w:t>
      </w:r>
      <w:r w:rsidR="00D17A94">
        <w:t xml:space="preserve"> </w:t>
      </w:r>
      <w:r w:rsidRPr="008A0A12">
        <w:t>During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monitored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no</w:t>
      </w:r>
      <w:r w:rsidR="00D17A94">
        <w:t xml:space="preserve"> </w:t>
      </w:r>
      <w:r w:rsidRPr="008A0A12">
        <w:t>incidents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measles,</w:t>
      </w:r>
      <w:r w:rsidR="00D17A94">
        <w:t xml:space="preserve"> </w:t>
      </w:r>
      <w:r w:rsidRPr="008A0A12">
        <w:t>rubella,</w:t>
      </w:r>
      <w:r w:rsidR="00D17A94">
        <w:t xml:space="preserve"> </w:t>
      </w:r>
      <w:r w:rsidRPr="008A0A12">
        <w:t>diphtheria,</w:t>
      </w:r>
      <w:r w:rsidR="00D17A94">
        <w:t xml:space="preserve"> </w:t>
      </w:r>
      <w:r w:rsidRPr="008A0A12">
        <w:t>poliomyelitis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tetanus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reported.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2012,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Pandemic</w:t>
      </w:r>
      <w:r w:rsidR="00D17A94">
        <w:t xml:space="preserve"> </w:t>
      </w:r>
      <w:r w:rsidRPr="008A0A12">
        <w:t>Commission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approved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updated</w:t>
      </w:r>
      <w:r w:rsidR="00D17A94">
        <w:t xml:space="preserve"> </w:t>
      </w:r>
      <w:r w:rsidRPr="008A0A12">
        <w:t>Detailed</w:t>
      </w:r>
      <w:r w:rsidR="00D17A94">
        <w:t xml:space="preserve"> </w:t>
      </w:r>
      <w:r w:rsidRPr="008A0A12">
        <w:t>Plan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Incidents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Influenza</w:t>
      </w:r>
      <w:r w:rsidR="00D17A94">
        <w:t xml:space="preserve"> </w:t>
      </w:r>
      <w:r w:rsidRPr="008A0A12">
        <w:t>Pandemic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SR.</w:t>
      </w:r>
    </w:p>
    <w:p w:rsidR="00F33762" w:rsidRPr="008A0A12" w:rsidRDefault="00F33762" w:rsidP="000A208E">
      <w:pPr>
        <w:pStyle w:val="H23G"/>
      </w:pPr>
      <w:r w:rsidRPr="008A0A12">
        <w:tab/>
      </w:r>
      <w:r w:rsidRPr="008A0A12">
        <w:tab/>
        <w:t>Alcohol</w:t>
      </w:r>
      <w:r w:rsidR="00D17A94">
        <w:t xml:space="preserve"> </w:t>
      </w:r>
      <w:r w:rsidRPr="008A0A12">
        <w:t>abuse</w:t>
      </w:r>
    </w:p>
    <w:p w:rsidR="00F33762" w:rsidRPr="008A0A12" w:rsidRDefault="00F33762" w:rsidP="00F33762">
      <w:pPr>
        <w:pStyle w:val="SingleTxtG"/>
      </w:pPr>
      <w:r w:rsidRPr="008A0A12">
        <w:t>99.</w:t>
      </w:r>
      <w:r w:rsidRPr="008A0A12">
        <w:tab/>
        <w:t>The</w:t>
      </w:r>
      <w:r w:rsidR="00D17A94">
        <w:t xml:space="preserve"> </w:t>
      </w:r>
      <w:r w:rsidRPr="008A0A12">
        <w:t>main</w:t>
      </w:r>
      <w:r w:rsidR="00D17A94">
        <w:t xml:space="preserve"> </w:t>
      </w:r>
      <w:r w:rsidRPr="008A0A12">
        <w:t>aim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Action</w:t>
      </w:r>
      <w:r w:rsidR="00D17A94">
        <w:t xml:space="preserve"> </w:t>
      </w:r>
      <w:r w:rsidRPr="008A0A12">
        <w:t>Plan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Alcohol</w:t>
      </w:r>
      <w:r w:rsidR="00D17A94">
        <w:t xml:space="preserve"> </w:t>
      </w:r>
      <w:r w:rsidRPr="008A0A12">
        <w:t>Problems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2013-2020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increase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awareness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responsible,</w:t>
      </w:r>
      <w:r w:rsidR="00D17A94">
        <w:t xml:space="preserve"> </w:t>
      </w:r>
      <w:r w:rsidRPr="008A0A12">
        <w:t>civilised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controlled</w:t>
      </w:r>
      <w:r w:rsidR="00D17A94">
        <w:t xml:space="preserve"> </w:t>
      </w:r>
      <w:r w:rsidRPr="008A0A12">
        <w:t>use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alcohol,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regard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harmful</w:t>
      </w:r>
      <w:r w:rsidR="00D17A94">
        <w:t xml:space="preserve"> </w:t>
      </w:r>
      <w:r w:rsidRPr="008A0A12">
        <w:t>effects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health.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second</w:t>
      </w:r>
      <w:r w:rsidR="00D17A94">
        <w:t xml:space="preserve"> </w:t>
      </w:r>
      <w:r w:rsidRPr="008A0A12">
        <w:t>important</w:t>
      </w:r>
      <w:r w:rsidR="00D17A94">
        <w:t xml:space="preserve"> </w:t>
      </w:r>
      <w:r w:rsidRPr="008A0A12">
        <w:t>objective</w:t>
      </w:r>
      <w:r w:rsidR="00D17A94">
        <w:t xml:space="preserve"> </w:t>
      </w:r>
      <w:r w:rsidRPr="008A0A12">
        <w:t>relates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controlling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sale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alcoholic</w:t>
      </w:r>
      <w:r w:rsidR="00D17A94">
        <w:t xml:space="preserve"> </w:t>
      </w:r>
      <w:r w:rsidRPr="008A0A12">
        <w:t>beverages,</w:t>
      </w:r>
      <w:r w:rsidR="00D17A94">
        <w:t xml:space="preserve"> </w:t>
      </w:r>
      <w:r w:rsidRPr="008A0A12">
        <w:t>checking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age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customer,</w:t>
      </w:r>
      <w:r w:rsidR="00D17A94">
        <w:t xml:space="preserve"> </w:t>
      </w:r>
      <w:r w:rsidRPr="008A0A12">
        <w:t>controlling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alcohol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workplaces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transport.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41-43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</w:t>
      </w:r>
      <w:r w:rsidR="00D17A94">
        <w:t xml:space="preserve"> </w:t>
      </w:r>
      <w:r w:rsidRPr="008A0A12">
        <w:t>followed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about</w:t>
      </w:r>
      <w:r w:rsidR="00D17A94">
        <w:t xml:space="preserve"> </w:t>
      </w:r>
      <w:r w:rsidRPr="008A0A12">
        <w:t>transplantation</w:t>
      </w:r>
      <w:r w:rsidR="00D17A94">
        <w:t xml:space="preserve"> </w:t>
      </w:r>
      <w:r w:rsidRPr="008A0A12">
        <w:t>programme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44-46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0A208E">
      <w:pPr>
        <w:pStyle w:val="H1G"/>
      </w:pPr>
      <w:r w:rsidRPr="008A0A12">
        <w:tab/>
      </w:r>
      <w:r w:rsidRPr="008A0A12">
        <w:tab/>
        <w:t>Article</w:t>
      </w:r>
      <w:r w:rsidR="00D17A94">
        <w:t xml:space="preserve"> </w:t>
      </w:r>
      <w:r w:rsidRPr="008A0A12">
        <w:t>13</w:t>
      </w:r>
    </w:p>
    <w:p w:rsidR="00F33762" w:rsidRPr="008A0A12" w:rsidRDefault="00F33762" w:rsidP="000A208E">
      <w:pPr>
        <w:pStyle w:val="H23G"/>
      </w:pPr>
      <w:r w:rsidRPr="008A0A12">
        <w:tab/>
      </w:r>
      <w:r w:rsidRPr="008A0A12">
        <w:tab/>
        <w:t>School</w:t>
      </w:r>
      <w:r w:rsidR="00D17A94">
        <w:t xml:space="preserve"> </w:t>
      </w:r>
      <w:r w:rsidRPr="008A0A12">
        <w:t>system</w:t>
      </w:r>
      <w:r w:rsidR="00D17A94">
        <w:t xml:space="preserve"> </w:t>
      </w:r>
      <w:r w:rsidRPr="008A0A12">
        <w:t>development</w:t>
      </w:r>
    </w:p>
    <w:p w:rsidR="00F33762" w:rsidRPr="008A0A12" w:rsidRDefault="00F33762" w:rsidP="00F33762">
      <w:pPr>
        <w:pStyle w:val="SingleTxtG"/>
      </w:pPr>
      <w:r w:rsidRPr="008A0A12">
        <w:t>100.</w:t>
      </w:r>
      <w:r w:rsidRPr="008A0A12">
        <w:tab/>
        <w:t>The</w:t>
      </w:r>
      <w:r w:rsidR="00D17A94">
        <w:t xml:space="preserve"> </w:t>
      </w:r>
      <w:r w:rsidRPr="008A0A12">
        <w:t>Ministry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Education,</w:t>
      </w:r>
      <w:r w:rsidR="00D17A94">
        <w:t xml:space="preserve"> </w:t>
      </w:r>
      <w:r w:rsidRPr="008A0A12">
        <w:t>Science,</w:t>
      </w:r>
      <w:r w:rsidR="00D17A94">
        <w:t xml:space="preserve"> </w:t>
      </w:r>
      <w:r w:rsidRPr="008A0A12">
        <w:t>Research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Sport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MESRS</w:t>
      </w:r>
      <w:r w:rsidR="00D17A94">
        <w:t xml:space="preserve"> </w:t>
      </w:r>
      <w:r w:rsidRPr="008A0A12">
        <w:t>SR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dealing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long</w:t>
      </w:r>
      <w:r w:rsidR="00D17A94">
        <w:t xml:space="preserve"> </w:t>
      </w:r>
      <w:r w:rsidRPr="008A0A12">
        <w:t>time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responsibly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equal</w:t>
      </w:r>
      <w:r w:rsidR="00D17A94">
        <w:t xml:space="preserve"> </w:t>
      </w:r>
      <w:r w:rsidRPr="008A0A12">
        <w:t>access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members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nationalities,</w:t>
      </w:r>
      <w:r w:rsidR="00D17A94">
        <w:t xml:space="preserve"> </w:t>
      </w:r>
      <w:r w:rsidRPr="008A0A12">
        <w:t>ethnic</w:t>
      </w:r>
      <w:r w:rsidR="00D17A94">
        <w:t xml:space="preserve"> </w:t>
      </w:r>
      <w:r w:rsidRPr="008A0A12">
        <w:t>groups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disadvantaged</w:t>
      </w:r>
      <w:r w:rsidR="00D17A94">
        <w:t xml:space="preserve"> </w:t>
      </w:r>
      <w:r w:rsidRPr="008A0A12">
        <w:t>groups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population</w:t>
      </w:r>
      <w:r w:rsidR="00D17A94">
        <w:t xml:space="preserve"> </w:t>
      </w:r>
      <w:r w:rsidRPr="008A0A12">
        <w:t>living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territory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education,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increases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inclusion.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101.</w:t>
      </w:r>
      <w:r w:rsidRPr="008A0A12">
        <w:tab/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inclusive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schools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regional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systems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legislatively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245/2008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Training</w:t>
      </w:r>
      <w:r w:rsidR="00D17A94">
        <w:t xml:space="preserve"> </w:t>
      </w:r>
      <w:r w:rsidRPr="008A0A12">
        <w:t>(the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Law),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entered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effect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September</w:t>
      </w:r>
      <w:r w:rsidR="00D17A94">
        <w:t xml:space="preserve"> </w:t>
      </w:r>
      <w:r w:rsidRPr="008A0A12">
        <w:t>2008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prohibits</w:t>
      </w:r>
      <w:r w:rsidR="00D17A94">
        <w:t xml:space="preserve"> </w:t>
      </w:r>
      <w:r w:rsidRPr="008A0A12">
        <w:t>any</w:t>
      </w:r>
      <w:r w:rsidR="00D17A94">
        <w:t xml:space="preserve"> </w:t>
      </w:r>
      <w:r w:rsidRPr="008A0A12">
        <w:t>forms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discrimination,</w:t>
      </w:r>
      <w:r w:rsidR="00D17A94">
        <w:t xml:space="preserve"> </w:t>
      </w:r>
      <w:r w:rsidRPr="008A0A12">
        <w:t>particularly</w:t>
      </w:r>
      <w:r w:rsidR="00D17A94">
        <w:t xml:space="preserve"> </w:t>
      </w:r>
      <w:r w:rsidRPr="008A0A12">
        <w:t>segregation,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guarantees.</w:t>
      </w:r>
      <w:r w:rsidR="00D17A94">
        <w:t xml:space="preserve"> </w:t>
      </w:r>
      <w:r w:rsidRPr="008A0A12">
        <w:t>Subjects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detailed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</w:t>
      </w:r>
      <w:r w:rsidR="00D17A94">
        <w:t xml:space="preserve"> </w:t>
      </w:r>
      <w:r w:rsidRPr="008A0A12">
        <w:t>47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102.</w:t>
      </w:r>
      <w:r w:rsidRPr="008A0A12">
        <w:tab/>
        <w:t>In</w:t>
      </w:r>
      <w:r w:rsidR="00D17A94">
        <w:t xml:space="preserve"> </w:t>
      </w:r>
      <w:r w:rsidRPr="008A0A12">
        <w:t>connection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inclusive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primarily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marginalised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communities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MRC</w:t>
      </w:r>
      <w:r w:rsidR="00413AEE">
        <w:t>”</w:t>
      </w:r>
      <w:r w:rsidRPr="008A0A12">
        <w:t>),</w:t>
      </w:r>
      <w:r w:rsidR="00D17A94">
        <w:t xml:space="preserve"> </w:t>
      </w:r>
      <w:r w:rsidRPr="008A0A12">
        <w:t>three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projects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implemented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Operational</w:t>
      </w:r>
      <w:r w:rsidR="00D17A94">
        <w:t xml:space="preserve"> </w:t>
      </w:r>
      <w:r w:rsidRPr="008A0A12">
        <w:t>Programme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programming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2007</w:t>
      </w:r>
      <w:r w:rsidR="00D17A94">
        <w:t xml:space="preserve"> </w:t>
      </w:r>
      <w:r w:rsidRPr="008A0A12">
        <w:t>until</w:t>
      </w:r>
      <w:r w:rsidR="00D17A94">
        <w:t xml:space="preserve"> </w:t>
      </w:r>
      <w:r w:rsidRPr="008A0A12">
        <w:t>2013.</w:t>
      </w:r>
      <w:r w:rsidR="00D17A94">
        <w:t xml:space="preserve"> </w:t>
      </w:r>
      <w:r w:rsidRPr="008A0A12">
        <w:t>Details</w:t>
      </w:r>
      <w:r w:rsidR="00D17A94">
        <w:t xml:space="preserve"> </w:t>
      </w:r>
      <w:r w:rsidRPr="008A0A12">
        <w:t>about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projects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48-50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0A208E">
      <w:pPr>
        <w:pStyle w:val="H1G"/>
      </w:pPr>
      <w:r w:rsidRPr="008A0A12">
        <w:tab/>
      </w:r>
      <w:r w:rsidRPr="008A0A12">
        <w:tab/>
        <w:t>Article</w:t>
      </w:r>
      <w:r w:rsidR="00D17A94">
        <w:t xml:space="preserve"> </w:t>
      </w:r>
      <w:r w:rsidRPr="008A0A12">
        <w:t>15</w:t>
      </w:r>
    </w:p>
    <w:p w:rsidR="00F33762" w:rsidRPr="008A0A12" w:rsidRDefault="00F33762" w:rsidP="000A208E">
      <w:pPr>
        <w:pStyle w:val="H23G"/>
      </w:pPr>
      <w:r w:rsidRPr="008A0A12">
        <w:tab/>
      </w:r>
      <w:r w:rsidRPr="008A0A12">
        <w:tab/>
        <w:t>Right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cultural</w:t>
      </w:r>
      <w:r w:rsidR="00D17A94">
        <w:t xml:space="preserve"> </w:t>
      </w:r>
      <w:r w:rsidRPr="008A0A12">
        <w:t>life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scientific</w:t>
      </w:r>
      <w:r w:rsidR="00D17A94">
        <w:t xml:space="preserve"> </w:t>
      </w:r>
      <w:r w:rsidRPr="008A0A12">
        <w:t>progress</w:t>
      </w:r>
    </w:p>
    <w:p w:rsidR="00F33762" w:rsidRPr="008A0A12" w:rsidRDefault="00F33762" w:rsidP="00F33762">
      <w:pPr>
        <w:pStyle w:val="SingleTxtG"/>
      </w:pPr>
      <w:r w:rsidRPr="008A0A12">
        <w:t>103.</w:t>
      </w:r>
      <w:r w:rsidRPr="008A0A12">
        <w:tab/>
        <w:t>Since</w:t>
      </w:r>
      <w:r w:rsidR="00D17A94">
        <w:t xml:space="preserve"> </w:t>
      </w:r>
      <w:r w:rsidRPr="008A0A12">
        <w:t>2012,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Ministry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Culture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MC</w:t>
      </w:r>
      <w:r w:rsidR="00D17A94">
        <w:t xml:space="preserve"> </w:t>
      </w:r>
      <w:r w:rsidRPr="008A0A12">
        <w:t>SR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creating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space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better</w:t>
      </w:r>
      <w:r w:rsidR="00D17A94">
        <w:t xml:space="preserve"> </w:t>
      </w:r>
      <w:r w:rsidRPr="008A0A12">
        <w:t>availability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culture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free-of-charge</w:t>
      </w:r>
      <w:r w:rsidR="00D17A94">
        <w:t xml:space="preserve"> </w:t>
      </w:r>
      <w:r w:rsidRPr="008A0A12">
        <w:t>access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cultural</w:t>
      </w:r>
      <w:r w:rsidR="00D17A94">
        <w:t xml:space="preserve"> </w:t>
      </w:r>
      <w:r w:rsidRPr="008A0A12">
        <w:t>institutions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each</w:t>
      </w:r>
      <w:r w:rsidR="00D17A94">
        <w:t xml:space="preserve"> </w:t>
      </w:r>
      <w:r w:rsidRPr="008A0A12">
        <w:t>first</w:t>
      </w:r>
      <w:r w:rsidR="00D17A94">
        <w:t xml:space="preserve"> </w:t>
      </w:r>
      <w:r w:rsidRPr="008A0A12">
        <w:t>Sunday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month.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Slovak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Gallery,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Slovak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Museum,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Museum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Slovak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Uprising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Slovak</w:t>
      </w:r>
      <w:r w:rsidR="00D17A94">
        <w:t xml:space="preserve"> </w:t>
      </w:r>
      <w:r w:rsidRPr="008A0A12">
        <w:t>Technical</w:t>
      </w:r>
      <w:r w:rsidR="00D17A94">
        <w:t xml:space="preserve"> </w:t>
      </w:r>
      <w:r w:rsidRPr="008A0A12">
        <w:t>Museum</w:t>
      </w:r>
      <w:r w:rsidR="00D17A94">
        <w:t xml:space="preserve"> </w:t>
      </w:r>
      <w:r w:rsidRPr="008A0A12">
        <w:t>making</w:t>
      </w:r>
      <w:r w:rsidR="00D17A94">
        <w:t xml:space="preserve"> </w:t>
      </w:r>
      <w:r w:rsidRPr="008A0A12">
        <w:t>available</w:t>
      </w:r>
      <w:r w:rsidR="00D17A94">
        <w:t xml:space="preserve"> </w:t>
      </w:r>
      <w:r w:rsidRPr="008A0A12">
        <w:t>37</w:t>
      </w:r>
      <w:r w:rsidR="00D17A94">
        <w:t xml:space="preserve"> </w:t>
      </w:r>
      <w:r w:rsidRPr="008A0A12">
        <w:t>cultural</w:t>
      </w:r>
      <w:r w:rsidR="00D17A94">
        <w:t xml:space="preserve"> </w:t>
      </w:r>
      <w:r w:rsidRPr="008A0A12">
        <w:t>objects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way.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Slovak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Gallery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available</w:t>
      </w:r>
      <w:r w:rsidR="00D17A94">
        <w:t xml:space="preserve"> </w:t>
      </w:r>
      <w:r w:rsidRPr="008A0A12">
        <w:t>free-of-charge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target</w:t>
      </w:r>
      <w:r w:rsidR="00D17A94">
        <w:t xml:space="preserve"> </w:t>
      </w:r>
      <w:r w:rsidRPr="008A0A12">
        <w:t>groups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2014</w:t>
      </w:r>
      <w:r w:rsidR="00D17A94">
        <w:t xml:space="preserve"> </w:t>
      </w:r>
      <w:r w:rsidRPr="008A0A12">
        <w:t>until</w:t>
      </w:r>
      <w:r w:rsidR="00D17A94">
        <w:t xml:space="preserve"> </w:t>
      </w:r>
      <w:r w:rsidRPr="008A0A12">
        <w:t>2016.</w:t>
      </w:r>
    </w:p>
    <w:p w:rsidR="00F33762" w:rsidRPr="008A0A12" w:rsidRDefault="00F33762" w:rsidP="00F33762">
      <w:pPr>
        <w:pStyle w:val="SingleTxtG"/>
      </w:pPr>
      <w:r w:rsidRPr="008A0A12">
        <w:t>104.</w:t>
      </w:r>
      <w:r w:rsidRPr="008A0A12">
        <w:tab/>
        <w:t>Chapter</w:t>
      </w:r>
      <w:r w:rsidR="00D17A94">
        <w:t xml:space="preserve"> </w:t>
      </w:r>
      <w:r w:rsidRPr="008A0A12">
        <w:t>seven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11th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12th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Convention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Elimination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Forms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Racial</w:t>
      </w:r>
      <w:r w:rsidR="00D17A94">
        <w:t xml:space="preserve"> </w:t>
      </w:r>
      <w:r w:rsidRPr="008A0A12">
        <w:t>Discrimination</w:t>
      </w:r>
      <w:r w:rsidR="00D17A94">
        <w:t xml:space="preserve"> </w:t>
      </w:r>
      <w:r w:rsidRPr="008A0A12">
        <w:t>contains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detailed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implemented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culture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prevention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racial</w:t>
      </w:r>
      <w:r w:rsidR="00D17A94">
        <w:t xml:space="preserve"> </w:t>
      </w:r>
      <w:r w:rsidRPr="008A0A12">
        <w:t>discrimination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culture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minorities.</w:t>
      </w:r>
    </w:p>
    <w:p w:rsidR="00F33762" w:rsidRPr="008A0A12" w:rsidRDefault="00F33762" w:rsidP="00F33762">
      <w:pPr>
        <w:pStyle w:val="SingleTxtG"/>
      </w:pPr>
      <w:r w:rsidRPr="008A0A12">
        <w:t>105.</w:t>
      </w:r>
      <w:r w:rsidRPr="008A0A12">
        <w:tab/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Slovak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Museum,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specialised</w:t>
      </w:r>
      <w:r w:rsidR="00D17A94">
        <w:t xml:space="preserve"> </w:t>
      </w:r>
      <w:r w:rsidRPr="008A0A12">
        <w:t>documentation</w:t>
      </w:r>
      <w:r w:rsidR="00D17A94">
        <w:t xml:space="preserve"> </w:t>
      </w:r>
      <w:r w:rsidRPr="008A0A12">
        <w:t>departments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history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culture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</w:t>
      </w:r>
      <w:r w:rsidR="00D17A94">
        <w:t xml:space="preserve"> </w:t>
      </w:r>
      <w:r w:rsidRPr="008A0A12">
        <w:t>living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Slovakia.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detailed</w:t>
      </w:r>
      <w:r w:rsidR="00D17A94">
        <w:t xml:space="preserve"> </w:t>
      </w:r>
      <w:r w:rsidRPr="008A0A12">
        <w:t>information,</w:t>
      </w:r>
      <w:r w:rsidR="00D17A94">
        <w:t xml:space="preserve"> </w:t>
      </w:r>
      <w:r w:rsidRPr="008A0A12">
        <w:t>see</w:t>
      </w:r>
      <w:r w:rsidR="00D17A94">
        <w:t xml:space="preserve"> </w:t>
      </w:r>
      <w:r w:rsidRPr="008A0A12">
        <w:t>point</w:t>
      </w:r>
      <w:r w:rsidR="00D17A94">
        <w:t xml:space="preserve"> </w:t>
      </w:r>
      <w:r w:rsidRPr="008A0A12">
        <w:t>51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F33762">
      <w:pPr>
        <w:pStyle w:val="SingleTxtG"/>
      </w:pPr>
      <w:r w:rsidRPr="008A0A12">
        <w:t>106.</w:t>
      </w:r>
      <w:r w:rsidRPr="008A0A12">
        <w:tab/>
        <w:t>The</w:t>
      </w:r>
      <w:r w:rsidR="00D17A94">
        <w:t xml:space="preserve"> </w:t>
      </w:r>
      <w:r w:rsidRPr="008A0A12">
        <w:t>Slovak</w:t>
      </w:r>
      <w:r w:rsidR="00D17A94">
        <w:t xml:space="preserve"> </w:t>
      </w:r>
      <w:r w:rsidRPr="008A0A12">
        <w:t>Art</w:t>
      </w:r>
      <w:r w:rsidR="00D17A94">
        <w:t xml:space="preserve"> </w:t>
      </w:r>
      <w:r w:rsidRPr="008A0A12">
        <w:t>Council,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institution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cultural</w:t>
      </w:r>
      <w:r w:rsidR="00D17A94">
        <w:t xml:space="preserve"> </w:t>
      </w:r>
      <w:r w:rsidRPr="008A0A12">
        <w:t>activities,</w:t>
      </w:r>
      <w:r w:rsidR="00D17A94">
        <w:t xml:space="preserve"> </w:t>
      </w:r>
      <w:r w:rsidRPr="008A0A12">
        <w:t>culture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creative</w:t>
      </w:r>
      <w:r w:rsidR="00D17A94">
        <w:t xml:space="preserve"> </w:t>
      </w:r>
      <w:r w:rsidRPr="008A0A12">
        <w:t>industry,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established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284/2014.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main</w:t>
      </w:r>
      <w:r w:rsidR="00D17A94">
        <w:t xml:space="preserve"> </w:t>
      </w:r>
      <w:r w:rsidRPr="008A0A12">
        <w:t>mission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="00413AEE">
        <w:lastRenderedPageBreak/>
        <w:t>“</w:t>
      </w:r>
      <w:r w:rsidRPr="008A0A12">
        <w:t>live</w:t>
      </w:r>
      <w:r w:rsidR="00413AEE">
        <w:t>”</w:t>
      </w:r>
      <w:r w:rsidR="00D17A94">
        <w:t xml:space="preserve"> </w:t>
      </w:r>
      <w:r w:rsidRPr="008A0A12">
        <w:t>arts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culture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non-governmental</w:t>
      </w:r>
      <w:r w:rsidR="00D17A94">
        <w:t xml:space="preserve"> </w:t>
      </w:r>
      <w:r w:rsidRPr="008A0A12">
        <w:t>entities.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council</w:t>
      </w:r>
      <w:r w:rsidR="00D17A94">
        <w:t xml:space="preserve"> </w:t>
      </w:r>
      <w:r w:rsidRPr="008A0A12">
        <w:t>provides</w:t>
      </w:r>
      <w:r w:rsidR="00D17A94">
        <w:t xml:space="preserve"> </w:t>
      </w:r>
      <w:r w:rsidRPr="008A0A12">
        <w:t>funds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creation,</w:t>
      </w:r>
      <w:r w:rsidR="00D17A94">
        <w:t xml:space="preserve"> </w:t>
      </w:r>
      <w:r w:rsidRPr="008A0A12">
        <w:t>dissemination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presentation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artworks,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international</w:t>
      </w:r>
      <w:r w:rsidR="00D17A94">
        <w:t xml:space="preserve"> </w:t>
      </w:r>
      <w:r w:rsidRPr="008A0A12">
        <w:t>cooperation,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programmes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art,</w:t>
      </w:r>
      <w:r w:rsidR="00D17A94">
        <w:t xml:space="preserve"> </w:t>
      </w:r>
      <w:r w:rsidRPr="008A0A12">
        <w:t>culture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creative</w:t>
      </w:r>
      <w:r w:rsidR="00D17A94">
        <w:t xml:space="preserve"> </w:t>
      </w:r>
      <w:r w:rsidRPr="008A0A12">
        <w:t>industry,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scholarship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natural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participate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art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culture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creative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scientific</w:t>
      </w:r>
      <w:r w:rsidR="00D17A94">
        <w:t xml:space="preserve"> </w:t>
      </w:r>
      <w:r w:rsidRPr="008A0A12">
        <w:t>manner.</w:t>
      </w:r>
    </w:p>
    <w:p w:rsidR="00F33762" w:rsidRPr="008A0A12" w:rsidRDefault="00F33762" w:rsidP="000A208E">
      <w:pPr>
        <w:pStyle w:val="H23G"/>
      </w:pPr>
      <w:r w:rsidRPr="008A0A12">
        <w:tab/>
      </w:r>
      <w:r w:rsidRPr="008A0A12">
        <w:tab/>
        <w:t>The</w:t>
      </w:r>
      <w:r w:rsidR="00D17A94">
        <w:t xml:space="preserve"> </w:t>
      </w:r>
      <w:r w:rsidRPr="008A0A12">
        <w:t>culture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disadvantaged</w:t>
      </w:r>
      <w:r w:rsidR="00D17A94">
        <w:t xml:space="preserve"> </w:t>
      </w:r>
      <w:r w:rsidRPr="008A0A12">
        <w:t>groups</w:t>
      </w:r>
    </w:p>
    <w:p w:rsidR="00F33762" w:rsidRPr="008A0A12" w:rsidRDefault="00F33762" w:rsidP="00F33762">
      <w:pPr>
        <w:pStyle w:val="SingleTxtG"/>
      </w:pPr>
      <w:r w:rsidRPr="008A0A12">
        <w:t>107.</w:t>
      </w:r>
      <w:r w:rsidRPr="008A0A12">
        <w:tab/>
        <w:t>The</w:t>
      </w:r>
      <w:r w:rsidR="00D17A94">
        <w:t xml:space="preserve"> </w:t>
      </w:r>
      <w:r w:rsidRPr="008A0A12">
        <w:t>subsidy</w:t>
      </w:r>
      <w:r w:rsidR="00D17A94">
        <w:t xml:space="preserve"> </w:t>
      </w:r>
      <w:r w:rsidRPr="008A0A12">
        <w:t>scheme</w:t>
      </w:r>
      <w:r w:rsidR="00D17A94">
        <w:t xml:space="preserve"> </w:t>
      </w:r>
      <w:r w:rsidRPr="008A0A12">
        <w:t>Culture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Disadvantaged</w:t>
      </w:r>
      <w:r w:rsidR="00D17A94">
        <w:t xml:space="preserve"> </w:t>
      </w:r>
      <w:r w:rsidRPr="008A0A12">
        <w:t>Groups,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makes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possible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fulfil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develop</w:t>
      </w:r>
      <w:r w:rsidR="00D17A94">
        <w:t xml:space="preserve"> </w:t>
      </w:r>
      <w:r w:rsidRPr="008A0A12">
        <w:t>cultural</w:t>
      </w:r>
      <w:r w:rsidR="00D17A94">
        <w:t xml:space="preserve"> </w:t>
      </w:r>
      <w:r w:rsidRPr="008A0A12">
        <w:t>needs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disabilities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disadvantaged</w:t>
      </w:r>
      <w:r w:rsidR="00D17A94">
        <w:t xml:space="preserve"> </w:t>
      </w:r>
      <w:r w:rsidRPr="008A0A12">
        <w:t>groups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population,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effective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financial</w:t>
      </w:r>
      <w:r w:rsidR="00D17A94">
        <w:t xml:space="preserve"> </w:t>
      </w:r>
      <w:r w:rsidRPr="008A0A12">
        <w:t>instrument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task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MC</w:t>
      </w:r>
      <w:r w:rsidR="00D17A94">
        <w:t xml:space="preserve"> </w:t>
      </w:r>
      <w:r w:rsidRPr="008A0A12">
        <w:t>SR.</w:t>
      </w:r>
      <w:r w:rsidR="00D17A94">
        <w:t xml:space="preserve"> </w:t>
      </w:r>
      <w:r w:rsidRPr="008A0A12">
        <w:t>€377,775.00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allocated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subsidy</w:t>
      </w:r>
      <w:r w:rsidR="00D17A94">
        <w:t xml:space="preserve"> </w:t>
      </w:r>
      <w:r w:rsidRPr="008A0A12">
        <w:t>programme</w:t>
      </w:r>
      <w:r w:rsidR="00D17A94">
        <w:t xml:space="preserve"> </w:t>
      </w:r>
      <w:r w:rsidRPr="008A0A12">
        <w:t>Culture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Disadvantaged</w:t>
      </w:r>
      <w:r w:rsidR="00D17A94">
        <w:t xml:space="preserve"> </w:t>
      </w:r>
      <w:r w:rsidRPr="008A0A12">
        <w:t>Groups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2016.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2017,</w:t>
      </w:r>
      <w:r w:rsidR="00D17A94">
        <w:t xml:space="preserve"> </w:t>
      </w:r>
      <w:r w:rsidRPr="008A0A12">
        <w:t>€980,000.00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allocated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culture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disadvantaged</w:t>
      </w:r>
      <w:r w:rsidR="00D17A94">
        <w:t xml:space="preserve"> </w:t>
      </w:r>
      <w:r w:rsidRPr="008A0A12">
        <w:t>groups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programme.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</w:t>
      </w:r>
      <w:r w:rsidR="00D17A94">
        <w:t xml:space="preserve"> </w:t>
      </w:r>
      <w:r w:rsidRPr="008A0A12">
        <w:t>52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appendix.</w:t>
      </w:r>
    </w:p>
    <w:p w:rsidR="00F33762" w:rsidRPr="008A0A12" w:rsidRDefault="00F33762" w:rsidP="000A208E">
      <w:pPr>
        <w:pStyle w:val="H23G"/>
      </w:pPr>
      <w:r w:rsidRPr="008A0A12">
        <w:tab/>
      </w:r>
      <w:r w:rsidRPr="008A0A12">
        <w:tab/>
        <w:t>Churches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religious</w:t>
      </w:r>
      <w:r w:rsidR="00D17A94">
        <w:t xml:space="preserve"> </w:t>
      </w:r>
      <w:r w:rsidRPr="008A0A12">
        <w:t>communities</w:t>
      </w:r>
    </w:p>
    <w:p w:rsidR="00F33762" w:rsidRPr="008A0A12" w:rsidRDefault="00F33762" w:rsidP="00F33762">
      <w:pPr>
        <w:pStyle w:val="SingleTxtG"/>
      </w:pPr>
      <w:r w:rsidRPr="008A0A12">
        <w:t>108.</w:t>
      </w:r>
      <w:r w:rsidRPr="008A0A12">
        <w:tab/>
        <w:t>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last</w:t>
      </w:r>
      <w:r w:rsidR="00D17A94">
        <w:t xml:space="preserve"> </w:t>
      </w:r>
      <w:r w:rsidRPr="008A0A12">
        <w:t>population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housing</w:t>
      </w:r>
      <w:r w:rsidR="00D17A94">
        <w:t xml:space="preserve"> </w:t>
      </w:r>
      <w:r w:rsidRPr="008A0A12">
        <w:t>census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2011,</w:t>
      </w:r>
      <w:r w:rsidR="00D17A94">
        <w:t xml:space="preserve"> </w:t>
      </w:r>
      <w:r w:rsidRPr="008A0A12">
        <w:t>75.5</w:t>
      </w:r>
      <w:r w:rsidR="00CD3239">
        <w:t>%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population</w:t>
      </w:r>
      <w:r w:rsidR="00D17A94">
        <w:t xml:space="preserve"> </w:t>
      </w:r>
      <w:r w:rsidRPr="008A0A12">
        <w:t>declared</w:t>
      </w:r>
      <w:r w:rsidR="00D17A94">
        <w:t xml:space="preserve"> </w:t>
      </w:r>
      <w:r w:rsidRPr="008A0A12">
        <w:t>affiliation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churches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religious</w:t>
      </w:r>
      <w:r w:rsidR="00D17A94">
        <w:t xml:space="preserve"> </w:t>
      </w:r>
      <w:r w:rsidRPr="008A0A12">
        <w:t>communities</w:t>
      </w:r>
      <w:r w:rsidR="00D17A94">
        <w:t xml:space="preserve"> </w:t>
      </w:r>
      <w:r w:rsidRPr="008A0A12">
        <w:t>registered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SR.</w:t>
      </w:r>
      <w:r w:rsidR="00D17A94">
        <w:t xml:space="preserve"> </w:t>
      </w:r>
      <w:r w:rsidRPr="008A0A12">
        <w:t>Churches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religious</w:t>
      </w:r>
      <w:r w:rsidR="00D17A94">
        <w:t xml:space="preserve"> </w:t>
      </w:r>
      <w:r w:rsidRPr="008A0A12">
        <w:t>communities</w:t>
      </w:r>
      <w:r w:rsidR="00D17A94">
        <w:t xml:space="preserve"> </w:t>
      </w:r>
      <w:r w:rsidRPr="008A0A12">
        <w:t>play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important</w:t>
      </w:r>
      <w:r w:rsidR="00D17A94">
        <w:t xml:space="preserve"> </w:t>
      </w:r>
      <w:r w:rsidRPr="008A0A12">
        <w:t>role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Slovak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cultural</w:t>
      </w:r>
      <w:r w:rsidR="00D17A94">
        <w:t xml:space="preserve"> </w:t>
      </w:r>
      <w:r w:rsidRPr="008A0A12">
        <w:t>life.</w:t>
      </w:r>
      <w:r w:rsidR="00D17A94">
        <w:t xml:space="preserve"> </w:t>
      </w:r>
      <w:r w:rsidRPr="008A0A12"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surveys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trustworthiness,</w:t>
      </w:r>
      <w:r w:rsidR="00D17A94">
        <w:t xml:space="preserve"> </w:t>
      </w:r>
      <w:r w:rsidRPr="008A0A12">
        <w:t>they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among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institutions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stable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lasting</w:t>
      </w:r>
      <w:r w:rsidR="00D17A94">
        <w:t xml:space="preserve"> </w:t>
      </w:r>
      <w:r w:rsidRPr="008A0A12">
        <w:t>high</w:t>
      </w:r>
      <w:r w:rsidR="00D17A94">
        <w:t xml:space="preserve"> </w:t>
      </w:r>
      <w:r w:rsidRPr="008A0A12">
        <w:t>credibility.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109.</w:t>
      </w:r>
      <w:r w:rsidRPr="008A0A12">
        <w:tab/>
        <w:t>The</w:t>
      </w:r>
      <w:r w:rsidR="00D17A94">
        <w:t xml:space="preserve"> </w:t>
      </w:r>
      <w:r w:rsidRPr="008A0A12">
        <w:t>legislative</w:t>
      </w:r>
      <w:r w:rsidR="00D17A94">
        <w:t xml:space="preserve"> </w:t>
      </w:r>
      <w:r w:rsidRPr="008A0A12">
        <w:t>framework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includes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wide</w:t>
      </w:r>
      <w:r w:rsidR="00D17A94">
        <w:t xml:space="preserve"> </w:t>
      </w:r>
      <w:r w:rsidRPr="008A0A12">
        <w:t>concept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legal</w:t>
      </w:r>
      <w:r w:rsidR="00D17A94">
        <w:t xml:space="preserve"> </w:t>
      </w:r>
      <w:r w:rsidRPr="008A0A12">
        <w:t>regulations</w:t>
      </w:r>
      <w:r w:rsidR="00D17A94">
        <w:t xml:space="preserve"> </w:t>
      </w:r>
      <w:r w:rsidRPr="008A0A12">
        <w:t>governing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general</w:t>
      </w:r>
      <w:r w:rsidR="00D17A94">
        <w:t xml:space="preserve"> </w:t>
      </w:r>
      <w:r w:rsidRPr="008A0A12">
        <w:t>relations</w:t>
      </w:r>
      <w:r w:rsidR="00D17A94">
        <w:t xml:space="preserve"> </w:t>
      </w:r>
      <w:r w:rsidRPr="008A0A12">
        <w:t>between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church,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53-55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0A208E">
      <w:pPr>
        <w:pStyle w:val="H23G"/>
      </w:pPr>
      <w:r w:rsidRPr="008A0A12">
        <w:tab/>
      </w:r>
      <w:r w:rsidRPr="008A0A12">
        <w:tab/>
        <w:t>The</w:t>
      </w:r>
      <w:r w:rsidR="00D17A94">
        <w:t xml:space="preserve"> </w:t>
      </w:r>
      <w:r w:rsidRPr="008A0A12">
        <w:t>media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110.</w:t>
      </w:r>
      <w:r w:rsidRPr="008A0A12">
        <w:tab/>
        <w:t>The</w:t>
      </w:r>
      <w:r w:rsidR="00D17A94">
        <w:t xml:space="preserve"> </w:t>
      </w:r>
      <w:r w:rsidRPr="008A0A12">
        <w:t>adoption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532/2010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Radio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Television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Slovakia,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entered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effect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January</w:t>
      </w:r>
      <w:r w:rsidR="00D17A94">
        <w:t xml:space="preserve"> </w:t>
      </w:r>
      <w:r w:rsidRPr="008A0A12">
        <w:t>2011,</w:t>
      </w:r>
      <w:r w:rsidR="00D17A94">
        <w:t xml:space="preserve"> </w:t>
      </w:r>
      <w:r w:rsidRPr="008A0A12">
        <w:t>resulted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merger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Slovak</w:t>
      </w:r>
      <w:r w:rsidR="00D17A94">
        <w:t xml:space="preserve"> </w:t>
      </w:r>
      <w:r w:rsidRPr="008A0A12">
        <w:t>Television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Slovak</w:t>
      </w:r>
      <w:r w:rsidR="00D17A94">
        <w:t xml:space="preserve"> </w:t>
      </w:r>
      <w:r w:rsidRPr="008A0A12">
        <w:t>Radio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one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institution</w:t>
      </w:r>
      <w:r w:rsidR="00D17A94">
        <w:t xml:space="preserve"> </w:t>
      </w:r>
      <w:r w:rsidR="00500D75">
        <w:t>—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Radio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Television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Slovakia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RTVS</w:t>
      </w:r>
      <w:r w:rsidR="00413AEE">
        <w:t>”</w:t>
      </w:r>
      <w:r w:rsidRPr="008A0A12">
        <w:t>).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RTVS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public,</w:t>
      </w:r>
      <w:r w:rsidR="00D17A94">
        <w:t xml:space="preserve"> </w:t>
      </w:r>
      <w:r w:rsidRPr="008A0A12">
        <w:t>national,</w:t>
      </w:r>
      <w:r w:rsidR="00D17A94">
        <w:t xml:space="preserve"> </w:t>
      </w:r>
      <w:r w:rsidRPr="008A0A12">
        <w:t>independent,</w:t>
      </w:r>
      <w:r w:rsidR="00D17A94">
        <w:t xml:space="preserve"> </w:t>
      </w:r>
      <w:r w:rsidRPr="008A0A12">
        <w:t>information,</w:t>
      </w:r>
      <w:r w:rsidR="00D17A94">
        <w:t xml:space="preserve"> </w:t>
      </w:r>
      <w:r w:rsidRPr="008A0A12">
        <w:t>cultural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institution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mission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provide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services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radio</w:t>
      </w:r>
      <w:r w:rsidR="00D17A94">
        <w:t xml:space="preserve"> </w:t>
      </w:r>
      <w:r w:rsidRPr="008A0A12">
        <w:t>broadcast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television</w:t>
      </w:r>
      <w:r w:rsidR="00D17A94">
        <w:t xml:space="preserve"> </w:t>
      </w:r>
      <w:r w:rsidRPr="008A0A12">
        <w:t>broadcast.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main</w:t>
      </w:r>
      <w:r w:rsidR="00D17A94">
        <w:t xml:space="preserve"> </w:t>
      </w:r>
      <w:r w:rsidRPr="008A0A12">
        <w:t>activities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RTVS</w:t>
      </w:r>
      <w:r w:rsidR="00D17A94">
        <w:t xml:space="preserve"> </w:t>
      </w:r>
      <w:r w:rsidRPr="008A0A12">
        <w:t>include,</w:t>
      </w:r>
      <w:r w:rsidR="00D17A94">
        <w:t xml:space="preserve"> </w:t>
      </w:r>
      <w:r w:rsidRPr="008A0A12">
        <w:t>among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things,</w:t>
      </w:r>
      <w:r w:rsidR="00D17A94">
        <w:t xml:space="preserve"> </w:t>
      </w:r>
      <w:r w:rsidRPr="008A0A12">
        <w:t>taking</w:t>
      </w:r>
      <w:r w:rsidR="00D17A94">
        <w:t xml:space="preserve"> </w:t>
      </w:r>
      <w:r w:rsidRPr="008A0A12">
        <w:t>account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needs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deaf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minorities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broadcast.</w:t>
      </w:r>
    </w:p>
    <w:p w:rsidR="00F33762" w:rsidRPr="008A0A12" w:rsidRDefault="00F33762" w:rsidP="00F33762">
      <w:pPr>
        <w:pStyle w:val="SingleTxtG"/>
      </w:pPr>
      <w:r w:rsidRPr="008A0A12">
        <w:t>111.</w:t>
      </w:r>
      <w:r w:rsidRPr="008A0A12">
        <w:tab/>
        <w:t>Duties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multi-modal</w:t>
      </w:r>
      <w:r w:rsidR="00D17A94">
        <w:t xml:space="preserve"> </w:t>
      </w:r>
      <w:r w:rsidRPr="008A0A12">
        <w:t>access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several</w:t>
      </w:r>
      <w:r w:rsidR="00D17A94">
        <w:t xml:space="preserve"> </w:t>
      </w:r>
      <w:r w:rsidRPr="008A0A12">
        <w:t>legal</w:t>
      </w:r>
      <w:r w:rsidR="00D17A94">
        <w:t xml:space="preserve"> </w:t>
      </w:r>
      <w:r w:rsidRPr="008A0A12">
        <w:t>regulations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broadcasters,</w:t>
      </w:r>
      <w:r w:rsidR="00D17A94">
        <w:t xml:space="preserve"> </w:t>
      </w:r>
      <w:r w:rsidRPr="008A0A12">
        <w:t>providers</w:t>
      </w:r>
      <w:r w:rsidR="00D17A94">
        <w:t xml:space="preserve"> </w:t>
      </w:r>
      <w:r w:rsidRPr="008A0A12">
        <w:t>of</w:t>
      </w:r>
      <w:r w:rsidR="00D17A94">
        <w:t xml:space="preserve"> </w:t>
      </w:r>
      <w:proofErr w:type="spellStart"/>
      <w:r w:rsidR="00500D75">
        <w:t>audio</w:t>
      </w:r>
      <w:r w:rsidRPr="008A0A12">
        <w:t>visual</w:t>
      </w:r>
      <w:proofErr w:type="spellEnd"/>
      <w:r w:rsidR="00D17A94">
        <w:t xml:space="preserve"> </w:t>
      </w:r>
      <w:r w:rsidRPr="008A0A12">
        <w:t>media</w:t>
      </w:r>
      <w:r w:rsidR="00D17A94">
        <w:t xml:space="preserve"> </w:t>
      </w:r>
      <w:r w:rsidRPr="008A0A12">
        <w:t>services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request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entities.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legal</w:t>
      </w:r>
      <w:r w:rsidR="00D17A94">
        <w:t xml:space="preserve"> </w:t>
      </w:r>
      <w:r w:rsidRPr="008A0A12">
        <w:t>regulations</w:t>
      </w:r>
      <w:r w:rsidR="00D17A94">
        <w:t xml:space="preserve"> </w:t>
      </w:r>
      <w:r w:rsidRPr="008A0A12">
        <w:t>providing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exemption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paying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payment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services,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duties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performing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activity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proofErr w:type="spellStart"/>
      <w:r w:rsidR="00A50999">
        <w:t>audiovisual</w:t>
      </w:r>
      <w:proofErr w:type="spellEnd"/>
      <w:r w:rsidR="00D17A94">
        <w:t xml:space="preserve"> </w:t>
      </w:r>
      <w:r w:rsidRPr="008A0A12">
        <w:t>field,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activity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Slovak</w:t>
      </w:r>
      <w:r w:rsidR="00D17A94">
        <w:t xml:space="preserve"> </w:t>
      </w:r>
      <w:r w:rsidRPr="008A0A12">
        <w:t>Film</w:t>
      </w:r>
      <w:r w:rsidR="00D17A94">
        <w:t xml:space="preserve"> </w:t>
      </w:r>
      <w:r w:rsidRPr="008A0A12">
        <w:t>Institution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exercise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hearing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visual</w:t>
      </w:r>
      <w:r w:rsidR="00D17A94">
        <w:t xml:space="preserve"> </w:t>
      </w:r>
      <w:r w:rsidRPr="008A0A12">
        <w:t>disability,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provision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funds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proofErr w:type="spellStart"/>
      <w:r w:rsidR="00A50999">
        <w:t>audiovisual</w:t>
      </w:r>
      <w:proofErr w:type="spellEnd"/>
      <w:r w:rsidR="00D17A94">
        <w:t xml:space="preserve"> </w:t>
      </w:r>
      <w:r w:rsidRPr="008A0A12">
        <w:t>culture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industry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connection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multi-modal</w:t>
      </w:r>
      <w:r w:rsidR="00D17A94">
        <w:t xml:space="preserve"> </w:t>
      </w:r>
      <w:r w:rsidRPr="008A0A12">
        <w:t>access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listed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defined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56-72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definition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copyright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73-77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005BE7">
      <w:pPr>
        <w:pStyle w:val="H1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concluding</w:t>
      </w:r>
      <w:r w:rsidR="00D17A94">
        <w:t xml:space="preserve"> </w:t>
      </w:r>
      <w:r w:rsidRPr="008A0A12">
        <w:t>recommendations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committee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005BE7">
        <w:br/>
      </w:r>
      <w:r w:rsidRPr="008A0A12">
        <w:t>SR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8</w:t>
      </w:r>
      <w:r w:rsidR="00D17A94">
        <w:t xml:space="preserve"> </w:t>
      </w:r>
      <w:r w:rsidRPr="008A0A12">
        <w:t>June</w:t>
      </w:r>
      <w:r w:rsidR="00D17A94">
        <w:t xml:space="preserve"> </w:t>
      </w:r>
      <w:r w:rsidRPr="008A0A12">
        <w:t>2012</w:t>
      </w:r>
    </w:p>
    <w:p w:rsidR="00F33762" w:rsidRPr="008A0A12" w:rsidRDefault="00F33762" w:rsidP="00005BE7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6</w:t>
      </w:r>
    </w:p>
    <w:p w:rsidR="00F33762" w:rsidRPr="008A0A12" w:rsidRDefault="00F33762" w:rsidP="00F33762">
      <w:pPr>
        <w:pStyle w:val="SingleTxtG"/>
      </w:pPr>
      <w:r w:rsidRPr="008A0A12">
        <w:t>112.</w:t>
      </w:r>
      <w:r w:rsidRPr="008A0A12">
        <w:tab/>
        <w:t>Awareness</w:t>
      </w:r>
      <w:r w:rsidR="00D17A94">
        <w:t xml:space="preserve"> </w:t>
      </w:r>
      <w:r w:rsidRPr="008A0A12">
        <w:t>about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covenant</w:t>
      </w:r>
      <w:r w:rsidR="00D17A94">
        <w:t xml:space="preserve"> </w:t>
      </w:r>
      <w:r w:rsidRPr="008A0A12">
        <w:t>among</w:t>
      </w:r>
      <w:r w:rsidR="00D17A94">
        <w:t xml:space="preserve"> </w:t>
      </w:r>
      <w:r w:rsidRPr="008A0A12">
        <w:t>judges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prosecutors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increasing</w:t>
      </w:r>
      <w:r w:rsidR="00D17A94">
        <w:t xml:space="preserve"> </w:t>
      </w:r>
      <w:r w:rsidRPr="008A0A12">
        <w:t>continuously</w:t>
      </w:r>
      <w:r w:rsidR="00D17A94">
        <w:t xml:space="preserve"> </w:t>
      </w:r>
      <w:r w:rsidRPr="008A0A12">
        <w:t>during</w:t>
      </w:r>
      <w:r w:rsidR="00D17A94">
        <w:t xml:space="preserve"> </w:t>
      </w:r>
      <w:r w:rsidRPr="008A0A12">
        <w:t>events</w:t>
      </w:r>
      <w:r w:rsidR="00D17A94">
        <w:t xml:space="preserve"> </w:t>
      </w:r>
      <w:r w:rsidRPr="008A0A12">
        <w:t>organised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premises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Justice</w:t>
      </w:r>
      <w:r w:rsidR="00D17A94">
        <w:t xml:space="preserve"> </w:t>
      </w:r>
      <w:r w:rsidRPr="008A0A12">
        <w:t>Academy</w:t>
      </w:r>
      <w:r w:rsidR="00D17A94">
        <w:t xml:space="preserve"> </w:t>
      </w:r>
      <w:r w:rsidRPr="008A0A12"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relevant</w:t>
      </w:r>
      <w:r w:rsidR="00D17A94">
        <w:t xml:space="preserve"> </w:t>
      </w:r>
      <w:r w:rsidRPr="008A0A12">
        <w:t>approved</w:t>
      </w:r>
      <w:r w:rsidR="00D17A94">
        <w:t xml:space="preserve"> </w:t>
      </w:r>
      <w:r w:rsidRPr="008A0A12">
        <w:t>academic</w:t>
      </w:r>
      <w:r w:rsidR="00D17A94">
        <w:t xml:space="preserve"> </w:t>
      </w:r>
      <w:r w:rsidRPr="008A0A12">
        <w:t>plan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given</w:t>
      </w:r>
      <w:r w:rsidR="00D17A94">
        <w:t xml:space="preserve"> </w:t>
      </w:r>
      <w:r w:rsidRPr="008A0A12">
        <w:t>calendar</w:t>
      </w:r>
      <w:r w:rsidR="00D17A94">
        <w:t xml:space="preserve"> </w:t>
      </w:r>
      <w:r w:rsidRPr="008A0A12">
        <w:t>year.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113.</w:t>
      </w:r>
      <w:r w:rsidRPr="008A0A12">
        <w:tab/>
        <w:t>The</w:t>
      </w:r>
      <w:r w:rsidR="00D17A94">
        <w:t xml:space="preserve"> </w:t>
      </w:r>
      <w:r w:rsidRPr="008A0A12">
        <w:t>Ministry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Justice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MJ</w:t>
      </w:r>
      <w:r w:rsidR="00D17A94">
        <w:t xml:space="preserve"> </w:t>
      </w:r>
      <w:r w:rsidRPr="008A0A12">
        <w:t>SR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found</w:t>
      </w:r>
      <w:r w:rsidR="00D17A94">
        <w:t xml:space="preserve"> </w:t>
      </w:r>
      <w:r w:rsidRPr="008A0A12">
        <w:t>out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some</w:t>
      </w:r>
      <w:r w:rsidR="00D17A94">
        <w:t xml:space="preserve"> </w:t>
      </w:r>
      <w:r w:rsidRPr="008A0A12">
        <w:t>addressed</w:t>
      </w:r>
      <w:r w:rsidR="00D17A94">
        <w:t xml:space="preserve"> </w:t>
      </w:r>
      <w:r w:rsidRPr="008A0A12">
        <w:t>regional</w:t>
      </w:r>
      <w:r w:rsidR="00D17A94">
        <w:t xml:space="preserve"> </w:t>
      </w:r>
      <w:r w:rsidRPr="008A0A12">
        <w:t>courts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district</w:t>
      </w:r>
      <w:r w:rsidR="00D17A94">
        <w:t xml:space="preserve"> </w:t>
      </w:r>
      <w:r w:rsidRPr="008A0A12">
        <w:t>courts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jurisdiction</w:t>
      </w:r>
      <w:r w:rsidR="00D17A94">
        <w:t xml:space="preserve"> </w:t>
      </w:r>
      <w:r w:rsidRPr="008A0A12">
        <w:t>(RC</w:t>
      </w:r>
      <w:r w:rsidR="00D17A94">
        <w:t xml:space="preserve"> </w:t>
      </w:r>
      <w:r w:rsidRPr="008A0A12">
        <w:t>in</w:t>
      </w:r>
      <w:r w:rsidR="00D17A94">
        <w:t xml:space="preserve"> </w:t>
      </w:r>
      <w:proofErr w:type="spellStart"/>
      <w:r w:rsidRPr="008A0A12">
        <w:t>Trenčín</w:t>
      </w:r>
      <w:proofErr w:type="spellEnd"/>
      <w:r w:rsidRPr="008A0A12">
        <w:t>,</w:t>
      </w:r>
      <w:r w:rsidR="00D17A94">
        <w:t xml:space="preserve"> </w:t>
      </w:r>
      <w:r w:rsidRPr="008A0A12">
        <w:t>RC</w:t>
      </w:r>
      <w:r w:rsidR="00D17A94">
        <w:t xml:space="preserve"> </w:t>
      </w:r>
      <w:r w:rsidRPr="008A0A12">
        <w:t>in</w:t>
      </w:r>
      <w:r w:rsidR="00D17A94">
        <w:t xml:space="preserve"> </w:t>
      </w:r>
      <w:proofErr w:type="spellStart"/>
      <w:r w:rsidRPr="008A0A12">
        <w:t>Košice</w:t>
      </w:r>
      <w:proofErr w:type="spellEnd"/>
      <w:r w:rsidRPr="008A0A12">
        <w:t>)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record</w:t>
      </w:r>
      <w:r w:rsidR="00D17A94">
        <w:t xml:space="preserve"> </w:t>
      </w:r>
      <w:r w:rsidRPr="008A0A12">
        <w:t>decisions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judges</w:t>
      </w:r>
      <w:r w:rsidR="00D17A94">
        <w:t xml:space="preserve"> </w:t>
      </w:r>
      <w:r w:rsidRPr="008A0A12">
        <w:t>directly</w:t>
      </w:r>
      <w:r w:rsidR="00D17A94">
        <w:t xml:space="preserve"> </w:t>
      </w:r>
      <w:r w:rsidRPr="008A0A12">
        <w:t>applied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covenant.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chairs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most</w:t>
      </w:r>
      <w:r w:rsidR="00D17A94">
        <w:t xml:space="preserve"> </w:t>
      </w:r>
      <w:r w:rsidRPr="008A0A12">
        <w:t>regional</w:t>
      </w:r>
      <w:r w:rsidR="00D17A94">
        <w:t xml:space="preserve"> </w:t>
      </w:r>
      <w:r w:rsidRPr="008A0A12">
        <w:t>courts</w:t>
      </w:r>
      <w:r w:rsidR="00D17A94">
        <w:t xml:space="preserve"> </w:t>
      </w:r>
      <w:r w:rsidRPr="008A0A12">
        <w:t>(RC</w:t>
      </w:r>
      <w:r w:rsidR="00D17A94">
        <w:t xml:space="preserve"> </w:t>
      </w:r>
      <w:r w:rsidRPr="008A0A12">
        <w:t>in</w:t>
      </w:r>
      <w:r w:rsidR="00D17A94">
        <w:t xml:space="preserve"> </w:t>
      </w:r>
      <w:proofErr w:type="spellStart"/>
      <w:r w:rsidRPr="008A0A12">
        <w:t>Žilina</w:t>
      </w:r>
      <w:proofErr w:type="spellEnd"/>
      <w:r w:rsidRPr="008A0A12">
        <w:t>,</w:t>
      </w:r>
      <w:r w:rsidR="00D17A94">
        <w:t xml:space="preserve"> </w:t>
      </w:r>
      <w:r w:rsidRPr="008A0A12">
        <w:t>RC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Nitra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RC</w:t>
      </w:r>
      <w:r w:rsidR="00D17A94">
        <w:t xml:space="preserve"> </w:t>
      </w:r>
      <w:r w:rsidRPr="008A0A12">
        <w:t>in</w:t>
      </w:r>
      <w:r w:rsidR="00D17A94">
        <w:t xml:space="preserve"> </w:t>
      </w:r>
      <w:proofErr w:type="spellStart"/>
      <w:r w:rsidRPr="008A0A12">
        <w:t>Trnava</w:t>
      </w:r>
      <w:proofErr w:type="spellEnd"/>
      <w:r w:rsidRPr="008A0A12">
        <w:t>)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well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lastRenderedPageBreak/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Supreme</w:t>
      </w:r>
      <w:r w:rsidR="00D17A94">
        <w:t xml:space="preserve"> </w:t>
      </w:r>
      <w:r w:rsidRPr="008A0A12">
        <w:t>Court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confirmed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judges</w:t>
      </w:r>
      <w:r w:rsidR="00D17A94">
        <w:t xml:space="preserve"> </w:t>
      </w:r>
      <w:r w:rsidRPr="008A0A12">
        <w:t>had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acquainted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covenant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they</w:t>
      </w:r>
      <w:r w:rsidR="00D17A94">
        <w:t xml:space="preserve"> </w:t>
      </w:r>
      <w:r w:rsidRPr="008A0A12">
        <w:t>know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content,</w:t>
      </w:r>
      <w:r w:rsidR="00D17A94">
        <w:t xml:space="preserve"> </w:t>
      </w:r>
      <w:r w:rsidRPr="008A0A12">
        <w:t>however,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monitored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regional</w:t>
      </w:r>
      <w:r w:rsidR="00D17A94">
        <w:t xml:space="preserve"> </w:t>
      </w:r>
      <w:r w:rsidRPr="008A0A12">
        <w:t>courts</w:t>
      </w:r>
      <w:r w:rsidR="00D17A94">
        <w:t xml:space="preserve"> </w:t>
      </w:r>
      <w:r w:rsidRPr="008A0A12">
        <w:t>in</w:t>
      </w:r>
      <w:r w:rsidR="00D17A94">
        <w:t xml:space="preserve"> </w:t>
      </w:r>
      <w:proofErr w:type="spellStart"/>
      <w:r w:rsidRPr="008A0A12">
        <w:t>Žilina</w:t>
      </w:r>
      <w:proofErr w:type="spellEnd"/>
      <w:r w:rsidRPr="008A0A12">
        <w:t>,</w:t>
      </w:r>
      <w:r w:rsidR="00D17A94">
        <w:t xml:space="preserve"> </w:t>
      </w:r>
      <w:r w:rsidRPr="008A0A12">
        <w:t>Nitra</w:t>
      </w:r>
      <w:r w:rsidR="00D17A94">
        <w:t xml:space="preserve"> </w:t>
      </w:r>
      <w:r w:rsidRPr="008A0A12">
        <w:t>and</w:t>
      </w:r>
      <w:r w:rsidR="00D17A94">
        <w:t xml:space="preserve"> </w:t>
      </w:r>
      <w:proofErr w:type="spellStart"/>
      <w:r w:rsidRPr="008A0A12">
        <w:t>Trnava</w:t>
      </w:r>
      <w:proofErr w:type="spellEnd"/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Supreme</w:t>
      </w:r>
      <w:r w:rsidR="00D17A94">
        <w:t xml:space="preserve"> </w:t>
      </w:r>
      <w:r w:rsidRPr="008A0A12">
        <w:t>Court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did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issue</w:t>
      </w:r>
      <w:r w:rsidR="00D17A94">
        <w:t xml:space="preserve"> </w:t>
      </w:r>
      <w:r w:rsidRPr="008A0A12">
        <w:t>any</w:t>
      </w:r>
      <w:r w:rsidR="00D17A94">
        <w:t xml:space="preserve"> </w:t>
      </w:r>
      <w:r w:rsidRPr="008A0A12">
        <w:t>decisions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provisions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pact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directly</w:t>
      </w:r>
      <w:r w:rsidR="00D17A94">
        <w:t xml:space="preserve"> </w:t>
      </w:r>
      <w:r w:rsidRPr="008A0A12">
        <w:t>applied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quoted.</w:t>
      </w:r>
      <w:r w:rsidR="00D17A94">
        <w:t xml:space="preserve"> </w:t>
      </w:r>
    </w:p>
    <w:p w:rsidR="00F33762" w:rsidRPr="008A0A12" w:rsidRDefault="00F33762" w:rsidP="00005BE7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7</w:t>
      </w:r>
    </w:p>
    <w:p w:rsidR="00F33762" w:rsidRPr="008A0A12" w:rsidRDefault="00F33762" w:rsidP="00F33762">
      <w:pPr>
        <w:pStyle w:val="SingleTxtG"/>
      </w:pPr>
      <w:r w:rsidRPr="008A0A12">
        <w:t>114.</w:t>
      </w:r>
      <w:r w:rsidRPr="008A0A12">
        <w:tab/>
        <w:t>The</w:t>
      </w:r>
      <w:r w:rsidR="00D17A94">
        <w:t xml:space="preserve"> </w:t>
      </w:r>
      <w:r w:rsidRPr="008A0A12">
        <w:t>amendment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575/2001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Structure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Activities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Central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Administration</w:t>
      </w:r>
      <w:r w:rsidR="00D17A94">
        <w:t xml:space="preserve"> </w:t>
      </w:r>
      <w:r w:rsidRPr="008A0A12">
        <w:t>Authorities,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Competency</w:t>
      </w:r>
      <w:r w:rsidR="00D17A94">
        <w:t xml:space="preserve"> </w:t>
      </w:r>
      <w:r w:rsidRPr="008A0A12">
        <w:t>Law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resulted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September</w:t>
      </w:r>
      <w:r w:rsidR="00D17A94">
        <w:t xml:space="preserve"> </w:t>
      </w:r>
      <w:r w:rsidRPr="008A0A12">
        <w:t>2015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shift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competences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policy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coordination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fulfilment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tasks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MFEA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MJ</w:t>
      </w:r>
      <w:r w:rsidR="00D17A94">
        <w:t xml:space="preserve"> </w:t>
      </w:r>
      <w:r w:rsidRPr="008A0A12">
        <w:t>SR.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115.</w:t>
      </w:r>
      <w:r w:rsidRPr="008A0A12">
        <w:tab/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Strategy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Promotion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(adopted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18</w:t>
      </w:r>
      <w:r w:rsidR="00D17A94">
        <w:t xml:space="preserve"> </w:t>
      </w:r>
      <w:r w:rsidRPr="008A0A12">
        <w:t>February</w:t>
      </w:r>
      <w:r w:rsidR="00D17A94">
        <w:t xml:space="preserve"> </w:t>
      </w:r>
      <w:r w:rsidRPr="008A0A12">
        <w:t>2015),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Slovak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Centre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Centre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fulfils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only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tasks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Body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relevant</w:t>
      </w:r>
      <w:r w:rsidR="00D17A94">
        <w:t xml:space="preserve"> </w:t>
      </w:r>
      <w:r w:rsidRPr="008A0A12">
        <w:t>guidelines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EU,</w:t>
      </w:r>
      <w:r w:rsidR="00D17A94">
        <w:t xml:space="preserve"> </w:t>
      </w:r>
      <w:r w:rsidRPr="008A0A12">
        <w:t>but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tasks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institution</w:t>
      </w:r>
      <w:r w:rsidR="00D17A94">
        <w:t xml:space="preserve"> </w:t>
      </w:r>
      <w:r w:rsidRPr="008A0A12">
        <w:t>(NHRI)</w:t>
      </w:r>
      <w:r w:rsidR="00D17A94">
        <w:t xml:space="preserve"> </w:t>
      </w:r>
      <w:r w:rsidRPr="008A0A12"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requirements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so-called</w:t>
      </w:r>
      <w:r w:rsidR="00D17A94">
        <w:t xml:space="preserve"> </w:t>
      </w:r>
      <w:r w:rsidRPr="008A0A12">
        <w:t>Paris</w:t>
      </w:r>
      <w:r w:rsidR="00D17A94">
        <w:t xml:space="preserve"> </w:t>
      </w:r>
      <w:r w:rsidRPr="008A0A12">
        <w:t>Principles.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Resolution</w:t>
      </w:r>
      <w:r w:rsidR="00D17A94">
        <w:t xml:space="preserve"> </w:t>
      </w:r>
      <w:r w:rsidRPr="008A0A12">
        <w:t>71/2015,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MJ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prepare,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participative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professional</w:t>
      </w:r>
      <w:r w:rsidR="00D17A94">
        <w:t xml:space="preserve"> </w:t>
      </w:r>
      <w:r w:rsidRPr="008A0A12">
        <w:t>manner,</w:t>
      </w:r>
      <w:r w:rsidR="00D17A94">
        <w:t xml:space="preserve"> </w:t>
      </w:r>
      <w:r w:rsidRPr="008A0A12">
        <w:t>comprehensive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Centre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submit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meeting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fulfil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task,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MJ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formed,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working</w:t>
      </w:r>
      <w:r w:rsidR="00D17A94">
        <w:t xml:space="preserve"> </w:t>
      </w:r>
      <w:r w:rsidRPr="008A0A12">
        <w:t>group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participated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preparation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draft</w:t>
      </w:r>
      <w:r w:rsidR="00D17A94">
        <w:t xml:space="preserve"> </w:t>
      </w:r>
      <w:r w:rsidRPr="008A0A12">
        <w:t>amending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establishment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Centre.</w:t>
      </w:r>
      <w:r w:rsidR="00D17A94">
        <w:t xml:space="preserve"> </w:t>
      </w:r>
      <w:r w:rsidRPr="008A0A12">
        <w:t>Both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representatives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administration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representatives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non-governmental</w:t>
      </w:r>
      <w:r w:rsidR="00D17A94">
        <w:t xml:space="preserve"> </w:t>
      </w:r>
      <w:r w:rsidRPr="008A0A12">
        <w:t>sector</w:t>
      </w:r>
      <w:r w:rsidR="00D17A94">
        <w:t xml:space="preserve"> </w:t>
      </w:r>
      <w:r w:rsidRPr="008A0A12">
        <w:t>actively</w:t>
      </w:r>
      <w:r w:rsidR="00D17A94">
        <w:t xml:space="preserve"> </w:t>
      </w:r>
      <w:r w:rsidRPr="008A0A12">
        <w:t>participated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works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working</w:t>
      </w:r>
      <w:r w:rsidR="00D17A94">
        <w:t xml:space="preserve"> </w:t>
      </w:r>
      <w:r w:rsidRPr="008A0A12">
        <w:t>group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MJ</w:t>
      </w:r>
      <w:r w:rsidR="00D17A94">
        <w:t xml:space="preserve"> </w:t>
      </w:r>
      <w:r w:rsidRPr="008A0A12">
        <w:t>SR.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discussion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issue</w:t>
      </w:r>
      <w:r w:rsidR="00D17A94">
        <w:t xml:space="preserve"> </w:t>
      </w:r>
      <w:r w:rsidRPr="008A0A12">
        <w:t>resulted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requirement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changes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institutions</w:t>
      </w:r>
      <w:r w:rsidR="00D17A94">
        <w:t xml:space="preserve"> </w:t>
      </w:r>
      <w:r w:rsidRPr="008A0A12">
        <w:t>should</w:t>
      </w:r>
      <w:r w:rsidR="00D17A94">
        <w:t xml:space="preserve"> </w:t>
      </w:r>
      <w:r w:rsidRPr="008A0A12">
        <w:t>become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part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wider</w:t>
      </w:r>
      <w:r w:rsidR="00D17A94">
        <w:t xml:space="preserve"> </w:t>
      </w:r>
      <w:r w:rsidRPr="008A0A12">
        <w:t>concept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institutional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promotion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SR.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new</w:t>
      </w:r>
      <w:r w:rsidR="00D17A94">
        <w:t xml:space="preserve"> </w:t>
      </w:r>
      <w:r w:rsidRPr="008A0A12">
        <w:t>concept</w:t>
      </w:r>
      <w:r w:rsidR="00D17A94">
        <w:t xml:space="preserve"> </w:t>
      </w:r>
      <w:r w:rsidRPr="008A0A12">
        <w:t>should</w:t>
      </w:r>
      <w:r w:rsidR="00D17A94">
        <w:t xml:space="preserve"> </w:t>
      </w:r>
      <w:r w:rsidRPr="008A0A12">
        <w:t>react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society,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establishment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various</w:t>
      </w:r>
      <w:r w:rsidR="00D17A94">
        <w:t xml:space="preserve"> </w:t>
      </w:r>
      <w:r w:rsidRPr="008A0A12">
        <w:t>authorities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institutions</w:t>
      </w:r>
      <w:r w:rsidR="00D17A94">
        <w:t xml:space="preserve"> </w:t>
      </w:r>
      <w:r w:rsidRPr="008A0A12">
        <w:t>established</w:t>
      </w:r>
      <w:r w:rsidR="00D17A94">
        <w:t xml:space="preserve"> </w:t>
      </w:r>
      <w:r w:rsidRPr="008A0A12">
        <w:t>since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establishment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Centre</w:t>
      </w:r>
      <w:r w:rsidR="00D17A94">
        <w:t xml:space="preserve"> </w:t>
      </w:r>
      <w:r w:rsidRPr="008A0A12">
        <w:t>(i.e.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1993).</w:t>
      </w:r>
      <w:r w:rsidR="00D17A94">
        <w:t xml:space="preserve"> </w:t>
      </w:r>
      <w:r w:rsidRPr="008A0A12">
        <w:t>Therefore,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MJ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adopted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conclusions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working</w:t>
      </w:r>
      <w:r w:rsidR="00D17A94">
        <w:t xml:space="preserve"> </w:t>
      </w:r>
      <w:r w:rsidRPr="008A0A12">
        <w:t>group,</w:t>
      </w:r>
      <w:r w:rsidR="00D17A94">
        <w:t xml:space="preserve"> </w:t>
      </w:r>
      <w:r w:rsidRPr="008A0A12">
        <w:t>namely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prepare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overview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tasks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status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institutions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promotion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overview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consider</w:t>
      </w:r>
      <w:r w:rsidR="00D17A94">
        <w:t xml:space="preserve"> </w:t>
      </w:r>
      <w:r w:rsidRPr="008A0A12">
        <w:t>legislative</w:t>
      </w:r>
      <w:r w:rsidR="00D17A94">
        <w:t xml:space="preserve"> </w:t>
      </w:r>
      <w:r w:rsidRPr="008A0A12">
        <w:t>changes.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connection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conclusions,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deadline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fulfilment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task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shifted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end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2017.</w:t>
      </w:r>
    </w:p>
    <w:p w:rsidR="00F33762" w:rsidRPr="008A0A12" w:rsidRDefault="00F33762" w:rsidP="00005BE7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8</w:t>
      </w:r>
    </w:p>
    <w:p w:rsidR="00F33762" w:rsidRPr="008A0A12" w:rsidRDefault="00F33762" w:rsidP="00F33762">
      <w:pPr>
        <w:pStyle w:val="SingleTxtG"/>
      </w:pPr>
      <w:r w:rsidRPr="008A0A12">
        <w:t>116.</w:t>
      </w:r>
      <w:r w:rsidRPr="008A0A12">
        <w:tab/>
        <w:t>Following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amendment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Competency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2012,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MLSAF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become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central</w:t>
      </w:r>
      <w:r w:rsidR="00D17A94">
        <w:t xml:space="preserve"> </w:t>
      </w:r>
      <w:r w:rsidRPr="008A0A12">
        <w:t>body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administration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opportunities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coordination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policy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field.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organisational</w:t>
      </w:r>
      <w:r w:rsidR="00D17A94">
        <w:t xml:space="preserve"> </w:t>
      </w:r>
      <w:r w:rsidRPr="008A0A12">
        <w:t>structure,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Opportunities</w:t>
      </w:r>
      <w:r w:rsidR="00D17A94">
        <w:t xml:space="preserve"> </w:t>
      </w:r>
      <w:r w:rsidRPr="008A0A12">
        <w:t>Department</w:t>
      </w:r>
      <w:r w:rsidR="00D17A94">
        <w:t xml:space="preserve"> </w:t>
      </w:r>
      <w:r w:rsidRPr="008A0A12">
        <w:t>reports</w:t>
      </w:r>
      <w:r w:rsidR="00D17A94">
        <w:t xml:space="preserve"> </w:t>
      </w:r>
      <w:r w:rsidRPr="008A0A12">
        <w:t>directly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minister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labour,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affairs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SR.</w:t>
      </w:r>
      <w:r w:rsidR="00D17A94">
        <w:t xml:space="preserve"> </w:t>
      </w:r>
      <w:r w:rsidRPr="008A0A12">
        <w:t>Priorities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include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following</w:t>
      </w:r>
      <w:r w:rsidR="00D17A94">
        <w:t xml:space="preserve"> </w:t>
      </w:r>
      <w:r w:rsidRPr="008A0A12">
        <w:t>tasks: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make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possible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inspectorates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better</w:t>
      </w:r>
      <w:r w:rsidR="00D17A94">
        <w:t xml:space="preserve"> </w:t>
      </w:r>
      <w:r w:rsidRPr="008A0A12">
        <w:t>inspect</w:t>
      </w:r>
      <w:r w:rsidR="00D17A94">
        <w:t xml:space="preserve"> </w:t>
      </w:r>
      <w:r w:rsidRPr="008A0A12">
        <w:t>compliance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principle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equal</w:t>
      </w:r>
      <w:r w:rsidR="00D17A94">
        <w:t xml:space="preserve"> </w:t>
      </w:r>
      <w:r w:rsidRPr="008A0A12">
        <w:t>pay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develop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relevant</w:t>
      </w:r>
      <w:r w:rsidR="00D17A94">
        <w:t xml:space="preserve"> </w:t>
      </w:r>
      <w:r w:rsidRPr="008A0A12">
        <w:t>methodology</w:t>
      </w:r>
      <w:r w:rsidR="00D17A94">
        <w:t xml:space="preserve"> </w:t>
      </w:r>
      <w:r w:rsidRPr="008A0A12">
        <w:t>(within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Programme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NP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Prevention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Elimination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Discrimination);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objective</w:t>
      </w:r>
      <w:r w:rsidR="00D17A94">
        <w:t xml:space="preserve"> </w:t>
      </w:r>
      <w:r w:rsidRPr="008A0A12">
        <w:t>criteria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evaluation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resulting</w:t>
      </w:r>
      <w:r w:rsidR="00D17A94">
        <w:t xml:space="preserve"> </w:t>
      </w:r>
      <w:r w:rsidRPr="008A0A12">
        <w:t>transparently</w:t>
      </w:r>
      <w:r w:rsidR="00D17A94">
        <w:t xml:space="preserve"> </w:t>
      </w:r>
      <w:r w:rsidRPr="008A0A12">
        <w:t>set</w:t>
      </w:r>
      <w:r w:rsidR="00D17A94">
        <w:t xml:space="preserve"> </w:t>
      </w:r>
      <w:r w:rsidRPr="008A0A12">
        <w:t>personal</w:t>
      </w:r>
      <w:r w:rsidR="00D17A94">
        <w:t xml:space="preserve"> </w:t>
      </w:r>
      <w:r w:rsidRPr="008A0A12">
        <w:t>evaluations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variable</w:t>
      </w:r>
      <w:r w:rsidR="00D17A94">
        <w:t xml:space="preserve"> </w:t>
      </w:r>
      <w:r w:rsidRPr="008A0A12">
        <w:t>components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salary</w:t>
      </w:r>
      <w:r w:rsidR="00D17A94">
        <w:t xml:space="preserve"> </w:t>
      </w:r>
      <w:r w:rsidRPr="008A0A12">
        <w:t>(within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NP</w:t>
      </w:r>
      <w:r w:rsidR="00D17A94">
        <w:t xml:space="preserve"> </w:t>
      </w:r>
      <w:r w:rsidRPr="008A0A12">
        <w:t>Prevention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Elimination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Discrimination);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audits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workplaces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least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sphere;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legal</w:t>
      </w:r>
      <w:r w:rsidR="00D17A94">
        <w:t xml:space="preserve"> </w:t>
      </w:r>
      <w:r w:rsidRPr="008A0A12">
        <w:t>awareness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exercise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="00500D75">
        <w:t>—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LC</w:t>
      </w:r>
      <w:r w:rsidR="00D17A94">
        <w:t xml:space="preserve"> </w:t>
      </w:r>
      <w:r w:rsidR="00500D75">
        <w:t>—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practice;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develop</w:t>
      </w:r>
      <w:r w:rsidR="00D17A94">
        <w:t xml:space="preserve"> </w:t>
      </w:r>
      <w:r w:rsidRPr="008A0A12">
        <w:t>systemic</w:t>
      </w:r>
      <w:r w:rsidR="00D17A94">
        <w:t xml:space="preserve"> </w:t>
      </w:r>
      <w:r w:rsidRPr="008A0A12">
        <w:t>instruments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motivation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employers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flexible</w:t>
      </w:r>
      <w:r w:rsidR="00D17A94">
        <w:t xml:space="preserve"> </w:t>
      </w:r>
      <w:r w:rsidRPr="008A0A12">
        <w:t>forms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better</w:t>
      </w:r>
      <w:r w:rsidR="00D17A94">
        <w:t xml:space="preserve"> </w:t>
      </w:r>
      <w:r w:rsidRPr="008A0A12">
        <w:t>reconcile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life</w:t>
      </w:r>
      <w:r w:rsidR="00D17A94">
        <w:t xml:space="preserve"> </w:t>
      </w:r>
      <w:r w:rsidRPr="008A0A12">
        <w:t>(e.g.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call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NP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="00456170">
        <w:t>—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</w:t>
      </w:r>
      <w:r w:rsidR="00D17A94">
        <w:t xml:space="preserve"> </w:t>
      </w:r>
      <w:r w:rsidRPr="008A0A12">
        <w:t>13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appendix);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research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quantification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unpaid</w:t>
      </w:r>
      <w:r w:rsidR="00D17A94">
        <w:t xml:space="preserve"> </w:t>
      </w:r>
      <w:r w:rsidRPr="008A0A12">
        <w:t>work,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well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projects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solutions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remunerating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nursing</w:t>
      </w:r>
      <w:r w:rsidR="00D17A94">
        <w:t xml:space="preserve"> </w:t>
      </w:r>
      <w:r w:rsidRPr="008A0A12">
        <w:t>care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members,</w:t>
      </w:r>
      <w:r w:rsidR="00D17A94">
        <w:t xml:space="preserve"> </w:t>
      </w:r>
      <w:r w:rsidRPr="008A0A12">
        <w:t>including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possibility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adequate</w:t>
      </w:r>
      <w:r w:rsidR="00D17A94">
        <w:t xml:space="preserve"> </w:t>
      </w:r>
      <w:r w:rsidRPr="008A0A12">
        <w:t>evaluation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nurses</w:t>
      </w:r>
      <w:r w:rsidR="00D17A94">
        <w:t xml:space="preserve"> </w:t>
      </w:r>
      <w:r w:rsidRPr="008A0A12">
        <w:t>(within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NP</w:t>
      </w:r>
      <w:r w:rsidR="00D17A94">
        <w:t xml:space="preserve"> </w:t>
      </w:r>
      <w:r w:rsidRPr="008A0A12">
        <w:t>Prevention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Elimination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Discrimination).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so-called</w:t>
      </w:r>
      <w:r w:rsidR="00D17A94">
        <w:t xml:space="preserve"> </w:t>
      </w:r>
      <w:r w:rsidRPr="008A0A12">
        <w:t>Equal</w:t>
      </w:r>
      <w:r w:rsidR="00D17A94">
        <w:t xml:space="preserve"> </w:t>
      </w:r>
      <w:r w:rsidRPr="008A0A12">
        <w:t>Pay</w:t>
      </w:r>
      <w:r w:rsidR="00D17A94">
        <w:t xml:space="preserve"> </w:t>
      </w:r>
      <w:r w:rsidRPr="008A0A12">
        <w:t>Day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evaluated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promoted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media</w:t>
      </w:r>
      <w:r w:rsidR="00D17A94">
        <w:t xml:space="preserve"> </w:t>
      </w:r>
      <w:r w:rsidRPr="008A0A12">
        <w:t>every</w:t>
      </w:r>
      <w:r w:rsidR="00D17A94">
        <w:t xml:space="preserve"> </w:t>
      </w:r>
      <w:r w:rsidRPr="008A0A12">
        <w:t>year.</w:t>
      </w:r>
    </w:p>
    <w:p w:rsidR="00F33762" w:rsidRPr="008A0A12" w:rsidRDefault="00F33762" w:rsidP="00F33762">
      <w:pPr>
        <w:pStyle w:val="SingleTxtG"/>
      </w:pPr>
      <w:r w:rsidRPr="008A0A12">
        <w:t>117.</w:t>
      </w:r>
      <w:r w:rsidRPr="008A0A12">
        <w:tab/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ensure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fulfilment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tasks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status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members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set</w:t>
      </w:r>
      <w:r w:rsidR="00D17A94">
        <w:t xml:space="preserve"> </w:t>
      </w:r>
      <w:r w:rsidRPr="008A0A12">
        <w:t>up,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13</w:t>
      </w:r>
      <w:r w:rsidR="00D17A94">
        <w:t xml:space="preserve"> </w:t>
      </w:r>
      <w:r w:rsidRPr="008A0A12">
        <w:t>June</w:t>
      </w:r>
      <w:r w:rsidR="00D17A94">
        <w:t xml:space="preserve"> </w:t>
      </w:r>
      <w:r w:rsidRPr="008A0A12">
        <w:t>2012,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lastRenderedPageBreak/>
        <w:t>function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plenipotentiary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Plenipotentiary</w:t>
      </w:r>
      <w:r w:rsidR="00413AEE">
        <w:t>”</w:t>
      </w:r>
      <w:r w:rsidRPr="008A0A12">
        <w:t>).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Plenipotentiary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status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advisory</w:t>
      </w:r>
      <w:r w:rsidR="00D17A94">
        <w:t xml:space="preserve"> </w:t>
      </w:r>
      <w:r w:rsidRPr="008A0A12">
        <w:t>body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fairly</w:t>
      </w:r>
      <w:r w:rsidR="00D17A94">
        <w:t xml:space="preserve"> </w:t>
      </w:r>
      <w:r w:rsidRPr="008A0A12">
        <w:t>broad</w:t>
      </w:r>
      <w:r w:rsidR="00D17A94">
        <w:t xml:space="preserve"> </w:t>
      </w:r>
      <w:r w:rsidRPr="008A0A12">
        <w:t>competences.</w:t>
      </w:r>
      <w:r w:rsidR="00D17A94">
        <w:t xml:space="preserve"> </w:t>
      </w:r>
      <w:r w:rsidRPr="008A0A12">
        <w:t>His</w:t>
      </w:r>
      <w:r w:rsidR="00D17A94">
        <w:t xml:space="preserve"> </w:t>
      </w:r>
      <w:r w:rsidRPr="008A0A12">
        <w:t>main</w:t>
      </w:r>
      <w:r w:rsidR="00D17A94">
        <w:t xml:space="preserve"> </w:t>
      </w:r>
      <w:r w:rsidRPr="008A0A12">
        <w:t>tasks</w:t>
      </w:r>
      <w:r w:rsidR="00D17A94">
        <w:t xml:space="preserve"> </w:t>
      </w:r>
      <w:r w:rsidRPr="008A0A12">
        <w:t>include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monitoring,</w:t>
      </w:r>
      <w:r w:rsidR="00D17A94">
        <w:t xml:space="preserve"> </w:t>
      </w:r>
      <w:r w:rsidRPr="008A0A12">
        <w:t>analysis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evaluation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respecting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members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administration</w:t>
      </w:r>
      <w:r w:rsidR="00D17A94">
        <w:t xml:space="preserve"> </w:t>
      </w:r>
      <w:r w:rsidRPr="008A0A12">
        <w:t>authorities,</w:t>
      </w:r>
      <w:r w:rsidR="00D17A94">
        <w:t xml:space="preserve"> </w:t>
      </w:r>
      <w:r w:rsidRPr="008A0A12">
        <w:t>local</w:t>
      </w:r>
      <w:r w:rsidR="00D17A94">
        <w:t xml:space="preserve"> </w:t>
      </w:r>
      <w:r w:rsidRPr="008A0A12">
        <w:t>authorities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relevant</w:t>
      </w:r>
      <w:r w:rsidR="00D17A94">
        <w:t xml:space="preserve"> </w:t>
      </w:r>
      <w:r w:rsidRPr="008A0A12">
        <w:t>entities,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submits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annual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Status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Members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Minorities.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his</w:t>
      </w:r>
      <w:r w:rsidR="00D17A94">
        <w:t xml:space="preserve"> </w:t>
      </w:r>
      <w:r w:rsidRPr="008A0A12">
        <w:t>area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competence,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Plenipotentiary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fulfils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function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administrator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subsidy</w:t>
      </w:r>
      <w:r w:rsidR="00D17A94">
        <w:t xml:space="preserve"> </w:t>
      </w:r>
      <w:r w:rsidRPr="008A0A12">
        <w:t>system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Office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allocation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funds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promotion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preservation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identity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culture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minorities.</w:t>
      </w:r>
    </w:p>
    <w:p w:rsidR="00F33762" w:rsidRPr="008A0A12" w:rsidRDefault="00F33762" w:rsidP="00F33762">
      <w:pPr>
        <w:pStyle w:val="SingleTxtG"/>
      </w:pPr>
      <w:r w:rsidRPr="008A0A12">
        <w:t>118.</w:t>
      </w:r>
      <w:r w:rsidRPr="008A0A12">
        <w:tab/>
        <w:t>The</w:t>
      </w:r>
      <w:r w:rsidR="00D17A94">
        <w:t xml:space="preserve"> </w:t>
      </w:r>
      <w:r w:rsidRPr="008A0A12">
        <w:t>Plenipotentiary</w:t>
      </w:r>
      <w:r w:rsidR="00D17A94">
        <w:t xml:space="preserve"> </w:t>
      </w:r>
      <w:r w:rsidRPr="008A0A12">
        <w:t>chairs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Committee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Ethnic</w:t>
      </w:r>
      <w:r w:rsidR="00D17A94">
        <w:t xml:space="preserve"> </w:t>
      </w:r>
      <w:r w:rsidRPr="008A0A12">
        <w:t>Groups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Committee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permanent</w:t>
      </w:r>
      <w:r w:rsidR="00D17A94">
        <w:t xml:space="preserve"> </w:t>
      </w:r>
      <w:r w:rsidRPr="008A0A12">
        <w:t>professional</w:t>
      </w:r>
      <w:r w:rsidR="00D17A94">
        <w:t xml:space="preserve"> </w:t>
      </w:r>
      <w:r w:rsidRPr="008A0A12">
        <w:t>body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Council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Rights,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issues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ethnic</w:t>
      </w:r>
      <w:r w:rsidR="00D17A94">
        <w:t xml:space="preserve"> </w:t>
      </w:r>
      <w:r w:rsidRPr="008A0A12">
        <w:t>groups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members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European</w:t>
      </w:r>
      <w:r w:rsidR="00D17A94">
        <w:t xml:space="preserve"> </w:t>
      </w:r>
      <w:r w:rsidRPr="008A0A12">
        <w:t>Charter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Regional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Minority</w:t>
      </w:r>
      <w:r w:rsidR="00D17A94">
        <w:t xml:space="preserve"> </w:t>
      </w:r>
      <w:r w:rsidRPr="008A0A12">
        <w:t>Languages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Framework</w:t>
      </w:r>
      <w:r w:rsidR="00D17A94">
        <w:t xml:space="preserve"> </w:t>
      </w:r>
      <w:r w:rsidRPr="008A0A12">
        <w:t>Convention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Minorities.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participative</w:t>
      </w:r>
      <w:r w:rsidR="00D17A94">
        <w:t xml:space="preserve"> </w:t>
      </w:r>
      <w:r w:rsidRPr="008A0A12">
        <w:t>mechanism</w:t>
      </w:r>
      <w:r w:rsidR="00D17A94">
        <w:t xml:space="preserve"> </w:t>
      </w:r>
      <w:r w:rsidRPr="008A0A12">
        <w:t>ensures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participation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members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addressing</w:t>
      </w:r>
      <w:r w:rsidR="00D17A94">
        <w:t xml:space="preserve"> </w:t>
      </w:r>
      <w:r w:rsidRPr="008A0A12">
        <w:t>issues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relate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them.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committee</w:t>
      </w:r>
      <w:r w:rsidR="00D17A94">
        <w:t xml:space="preserve"> </w:t>
      </w:r>
      <w:r w:rsidRPr="008A0A12">
        <w:t>deals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legislative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non-legislative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authorities,</w:t>
      </w:r>
      <w:r w:rsidR="00D17A94">
        <w:t xml:space="preserve"> </w:t>
      </w:r>
      <w:r w:rsidRPr="008A0A12">
        <w:t>local</w:t>
      </w:r>
      <w:r w:rsidR="00D17A94">
        <w:t xml:space="preserve"> </w:t>
      </w:r>
      <w:r w:rsidRPr="008A0A12">
        <w:t>authorities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entities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members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committee</w:t>
      </w:r>
      <w:r w:rsidR="00D17A94">
        <w:t xml:space="preserve"> </w:t>
      </w:r>
      <w:r w:rsidRPr="008A0A12">
        <w:t>submits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Council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Rights,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three</w:t>
      </w:r>
      <w:r w:rsidR="00D17A94">
        <w:t xml:space="preserve"> </w:t>
      </w:r>
      <w:r w:rsidRPr="008A0A12">
        <w:t>evaluation</w:t>
      </w:r>
      <w:r w:rsidR="00D17A94">
        <w:t xml:space="preserve"> </w:t>
      </w:r>
      <w:r w:rsidRPr="008A0A12">
        <w:t>reports</w:t>
      </w:r>
      <w:r w:rsidR="00D17A94">
        <w:t xml:space="preserve"> </w:t>
      </w:r>
      <w:r w:rsidRPr="008A0A12">
        <w:t>every</w:t>
      </w:r>
      <w:r w:rsidR="00D17A94">
        <w:t xml:space="preserve"> </w:t>
      </w:r>
      <w:r w:rsidRPr="008A0A12">
        <w:t>year: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Evaluation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Languages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Minorities,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Evaluation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Promotion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Cultures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Evaluation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Minority</w:t>
      </w:r>
      <w:r w:rsidR="00D17A94">
        <w:t xml:space="preserve"> </w:t>
      </w:r>
      <w:r w:rsidRPr="008A0A12">
        <w:t>Education.</w:t>
      </w:r>
    </w:p>
    <w:p w:rsidR="00F33762" w:rsidRPr="008A0A12" w:rsidRDefault="00F33762" w:rsidP="0026209C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9</w:t>
      </w:r>
    </w:p>
    <w:p w:rsidR="00F33762" w:rsidRPr="008A0A12" w:rsidRDefault="00F33762" w:rsidP="00F33762">
      <w:pPr>
        <w:pStyle w:val="SingleTxtG"/>
      </w:pPr>
      <w:r w:rsidRPr="008A0A12">
        <w:t>119.</w:t>
      </w:r>
      <w:r w:rsidRPr="008A0A12">
        <w:tab/>
        <w:t>The</w:t>
      </w:r>
      <w:r w:rsidR="00D17A94">
        <w:t xml:space="preserve"> </w:t>
      </w:r>
      <w:r w:rsidRPr="008A0A12">
        <w:t>Office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Plenipotentiary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Communities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OPGRC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charge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community</w:t>
      </w:r>
      <w:r w:rsidR="00D17A94">
        <w:t xml:space="preserve"> </w:t>
      </w:r>
      <w:r w:rsidRPr="008A0A12">
        <w:t>agenda.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prepares</w:t>
      </w:r>
      <w:r w:rsidR="00D17A94">
        <w:t xml:space="preserve"> </w:t>
      </w:r>
      <w:r w:rsidRPr="008A0A12">
        <w:t>strategic</w:t>
      </w:r>
      <w:r w:rsidR="00D17A94">
        <w:t xml:space="preserve"> </w:t>
      </w:r>
      <w:r w:rsidRPr="008A0A12">
        <w:t>documents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issue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integration.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Plenipotentiary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Communities</w:t>
      </w:r>
      <w:r w:rsidR="00D17A94">
        <w:t xml:space="preserve"> </w:t>
      </w:r>
      <w:r w:rsidRPr="008A0A12">
        <w:t>reports</w:t>
      </w:r>
      <w:r w:rsidR="00D17A94">
        <w:t xml:space="preserve"> </w:t>
      </w:r>
      <w:r w:rsidRPr="008A0A12">
        <w:t>directly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SR.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his</w:t>
      </w:r>
      <w:r w:rsidR="00D17A94">
        <w:t xml:space="preserve"> </w:t>
      </w:r>
      <w:r w:rsidRPr="008A0A12">
        <w:t>activities,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Presidency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EU</w:t>
      </w:r>
      <w:r w:rsidR="00D17A94">
        <w:t xml:space="preserve"> </w:t>
      </w:r>
      <w:r w:rsidRPr="008A0A12">
        <w:t>Council,</w:t>
      </w:r>
      <w:r w:rsidR="00D17A94">
        <w:t xml:space="preserve"> </w:t>
      </w:r>
      <w:r w:rsidRPr="008A0A12">
        <w:t>member</w:t>
      </w:r>
      <w:r w:rsidR="00D17A94">
        <w:t xml:space="preserve"> </w:t>
      </w:r>
      <w:r w:rsidRPr="008A0A12">
        <w:t>states</w:t>
      </w:r>
      <w:r w:rsidR="00D17A94">
        <w:t xml:space="preserve"> </w:t>
      </w:r>
      <w:r w:rsidRPr="008A0A12">
        <w:t>adopted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8</w:t>
      </w:r>
      <w:r w:rsidR="00D17A94">
        <w:t xml:space="preserve"> </w:t>
      </w:r>
      <w:r w:rsidRPr="008A0A12">
        <w:t>December</w:t>
      </w:r>
      <w:r w:rsidR="00D17A94">
        <w:t xml:space="preserve"> </w:t>
      </w:r>
      <w:r w:rsidRPr="008A0A12">
        <w:t>2016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conclusions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EU</w:t>
      </w:r>
      <w:r w:rsidR="00D17A94">
        <w:t xml:space="preserve"> </w:t>
      </w:r>
      <w:r w:rsidRPr="008A0A12">
        <w:t>Council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acceleration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process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integration,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comprehensively</w:t>
      </w:r>
      <w:r w:rsidR="00D17A94">
        <w:t xml:space="preserve"> </w:t>
      </w:r>
      <w:r w:rsidRPr="008A0A12">
        <w:t>establish</w:t>
      </w:r>
      <w:r w:rsidR="00D17A94">
        <w:t xml:space="preserve"> </w:t>
      </w:r>
      <w:r w:rsidRPr="008A0A12">
        <w:t>calls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member</w:t>
      </w:r>
      <w:r w:rsidR="00D17A94">
        <w:t xml:space="preserve"> </w:t>
      </w:r>
      <w:r w:rsidRPr="008A0A12">
        <w:t>states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commission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accelerate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integration.</w:t>
      </w:r>
    </w:p>
    <w:p w:rsidR="00F33762" w:rsidRPr="008A0A12" w:rsidRDefault="00F33762" w:rsidP="00F33762">
      <w:pPr>
        <w:pStyle w:val="SingleTxtG"/>
      </w:pPr>
      <w:r w:rsidRPr="008A0A12">
        <w:t>120.</w:t>
      </w:r>
      <w:r w:rsidRPr="008A0A12">
        <w:tab/>
        <w:t>Strategy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Integration</w:t>
      </w:r>
      <w:r w:rsidR="00D17A94">
        <w:t xml:space="preserve"> </w:t>
      </w:r>
      <w:r w:rsidRPr="008A0A12">
        <w:t>until</w:t>
      </w:r>
      <w:r w:rsidR="00D17A94">
        <w:t xml:space="preserve"> </w:t>
      </w:r>
      <w:r w:rsidRPr="008A0A12">
        <w:t>2020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basic</w:t>
      </w:r>
      <w:r w:rsidR="00D17A94">
        <w:t xml:space="preserve"> </w:t>
      </w:r>
      <w:r w:rsidRPr="008A0A12">
        <w:t>document,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ambition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comprehensively</w:t>
      </w:r>
      <w:r w:rsidR="00D17A94">
        <w:t xml:space="preserve"> </w:t>
      </w:r>
      <w:r w:rsidRPr="008A0A12">
        <w:t>improve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living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MRC.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issue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permanent</w:t>
      </w:r>
      <w:r w:rsidR="00D17A94">
        <w:t xml:space="preserve"> </w:t>
      </w:r>
      <w:r w:rsidRPr="008A0A12">
        <w:t>improvement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situation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community,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strategy</w:t>
      </w:r>
      <w:r w:rsidR="00D17A94">
        <w:t xml:space="preserve"> </w:t>
      </w:r>
      <w:r w:rsidRPr="008A0A12">
        <w:t>emphasises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need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implement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education,</w:t>
      </w:r>
      <w:r w:rsidR="00D17A94">
        <w:t xml:space="preserve"> </w:t>
      </w:r>
      <w:r w:rsidRPr="008A0A12">
        <w:t>employment,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care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housing</w:t>
      </w:r>
      <w:r w:rsidR="00D17A94">
        <w:t xml:space="preserve"> </w:t>
      </w:r>
      <w:r w:rsidRPr="008A0A12">
        <w:t>simultaneously,</w:t>
      </w:r>
      <w:r w:rsidR="00D17A94">
        <w:t xml:space="preserve"> </w:t>
      </w:r>
      <w:r w:rsidRPr="008A0A12">
        <w:t>since</w:t>
      </w:r>
      <w:r w:rsidR="00D17A94">
        <w:t xml:space="preserve"> </w:t>
      </w:r>
      <w:r w:rsidRPr="008A0A12">
        <w:t>improvement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only</w:t>
      </w:r>
      <w:r w:rsidR="00D17A94">
        <w:t xml:space="preserve"> </w:t>
      </w:r>
      <w:r w:rsidRPr="008A0A12">
        <w:t>one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does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have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mean</w:t>
      </w:r>
      <w:r w:rsidR="00D17A94">
        <w:t xml:space="preserve"> </w:t>
      </w:r>
      <w:r w:rsidRPr="008A0A12">
        <w:t>improvement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fields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life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group.</w:t>
      </w:r>
    </w:p>
    <w:p w:rsidR="00F33762" w:rsidRPr="008A0A12" w:rsidRDefault="00F33762" w:rsidP="00F33762">
      <w:pPr>
        <w:pStyle w:val="SingleTxtG"/>
      </w:pPr>
      <w:r w:rsidRPr="008A0A12">
        <w:t>121.</w:t>
      </w:r>
      <w:r w:rsidRPr="008A0A12">
        <w:tab/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purposes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inclusion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citizens,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funds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European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Fund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ESF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used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Operational</w:t>
      </w:r>
      <w:r w:rsidR="00D17A94">
        <w:t xml:space="preserve"> </w:t>
      </w:r>
      <w:r w:rsidRPr="008A0A12">
        <w:t>Programme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Resources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OP</w:t>
      </w:r>
      <w:r w:rsidR="00D17A94">
        <w:t xml:space="preserve"> </w:t>
      </w:r>
      <w:r w:rsidRPr="008A0A12">
        <w:t>HR</w:t>
      </w:r>
      <w:r w:rsidR="00413AEE">
        <w:t>”</w:t>
      </w:r>
      <w:r w:rsidRPr="008A0A12">
        <w:t>).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three</w:t>
      </w:r>
      <w:r w:rsidR="00D17A94">
        <w:t xml:space="preserve"> </w:t>
      </w:r>
      <w:r w:rsidRPr="008A0A12">
        <w:t>axes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OP</w:t>
      </w:r>
      <w:r w:rsidR="00D17A94">
        <w:t xml:space="preserve"> </w:t>
      </w:r>
      <w:r w:rsidRPr="008A0A12">
        <w:t>HR,</w:t>
      </w:r>
      <w:r w:rsidR="00D17A94">
        <w:t xml:space="preserve"> </w:t>
      </w:r>
      <w:r w:rsidRPr="008A0A12">
        <w:t>both</w:t>
      </w:r>
      <w:r w:rsidR="00D17A94">
        <w:t xml:space="preserve"> </w:t>
      </w:r>
      <w:r w:rsidRPr="008A0A12">
        <w:t>explicitly</w:t>
      </w:r>
      <w:r w:rsidR="00D17A94">
        <w:t xml:space="preserve"> </w:t>
      </w:r>
      <w:r w:rsidRPr="008A0A12">
        <w:t>(PA</w:t>
      </w:r>
      <w:r w:rsidR="00D17A94">
        <w:t xml:space="preserve"> </w:t>
      </w:r>
      <w:r w:rsidRPr="008A0A12">
        <w:t>5</w:t>
      </w:r>
      <w:r w:rsidR="00D17A94">
        <w:t xml:space="preserve"> </w:t>
      </w:r>
      <w:r w:rsidRPr="008A0A12">
        <w:t>Integration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Marginalised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Communities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PA</w:t>
      </w:r>
      <w:r w:rsidR="00D17A94">
        <w:t xml:space="preserve"> </w:t>
      </w:r>
      <w:r w:rsidRPr="008A0A12">
        <w:t>6</w:t>
      </w:r>
      <w:r w:rsidR="00D17A94">
        <w:t xml:space="preserve"> </w:t>
      </w:r>
      <w:r w:rsidRPr="008A0A12">
        <w:t>Technical</w:t>
      </w:r>
      <w:r w:rsidR="00D17A94">
        <w:t xml:space="preserve"> </w:t>
      </w:r>
      <w:r w:rsidRPr="008A0A12">
        <w:t>Equipment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Municipalities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Presence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Communities)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implicitly</w:t>
      </w:r>
      <w:r w:rsidR="00D17A94">
        <w:t xml:space="preserve"> </w:t>
      </w:r>
      <w:r w:rsidRPr="008A0A12">
        <w:t>(PA</w:t>
      </w:r>
      <w:r w:rsidR="00D17A94">
        <w:t xml:space="preserve"> </w:t>
      </w:r>
      <w:r w:rsidRPr="008A0A12">
        <w:t>4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Inclusion)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inclusion.</w:t>
      </w:r>
      <w:r w:rsidR="00D17A94">
        <w:t xml:space="preserve"> </w:t>
      </w:r>
      <w:r w:rsidRPr="008A0A12">
        <w:t>Individual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projects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objectives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listed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described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78-80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F33762">
      <w:pPr>
        <w:pStyle w:val="SingleTxtG"/>
      </w:pPr>
      <w:r w:rsidRPr="008A0A12">
        <w:t>122.</w:t>
      </w:r>
      <w:r w:rsidRPr="008A0A12">
        <w:tab/>
        <w:t>The</w:t>
      </w:r>
      <w:r w:rsidR="00D17A94">
        <w:t xml:space="preserve"> </w:t>
      </w:r>
      <w:r w:rsidRPr="008A0A12">
        <w:t>principle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non-discrimination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thoroughly</w:t>
      </w:r>
      <w:r w:rsidR="00D17A94">
        <w:t xml:space="preserve"> </w:t>
      </w:r>
      <w:r w:rsidRPr="008A0A12">
        <w:t>implemented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preparation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legislative</w:t>
      </w:r>
      <w:r w:rsidR="00D17A94">
        <w:t xml:space="preserve"> </w:t>
      </w:r>
      <w:r w:rsidRPr="008A0A12">
        <w:t>standards.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inclusion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MRCs,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most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risk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exclusion</w:t>
      </w:r>
      <w:r w:rsidR="00D17A94">
        <w:t xml:space="preserve"> </w:t>
      </w:r>
      <w:r w:rsidRPr="008A0A12">
        <w:t>due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unemployment,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implemented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Strategy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Integration</w:t>
      </w:r>
      <w:r w:rsidR="00D17A94">
        <w:t xml:space="preserve"> </w:t>
      </w:r>
      <w:r w:rsidRPr="008A0A12">
        <w:t>until</w:t>
      </w:r>
      <w:r w:rsidR="00D17A94">
        <w:t xml:space="preserve"> </w:t>
      </w:r>
      <w:r w:rsidRPr="008A0A12">
        <w:t>2020,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2011</w:t>
      </w:r>
      <w:r w:rsidR="00D17A94">
        <w:t xml:space="preserve"> </w:t>
      </w:r>
      <w:r w:rsidRPr="008A0A12">
        <w:t>until</w:t>
      </w:r>
      <w:r w:rsidR="00D17A94">
        <w:t xml:space="preserve"> </w:t>
      </w:r>
      <w:r w:rsidRPr="008A0A12">
        <w:t>2015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integration</w:t>
      </w:r>
      <w:r w:rsidR="00D17A94">
        <w:t xml:space="preserve"> </w:t>
      </w:r>
      <w:r w:rsidRPr="008A0A12">
        <w:t>continuity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action</w:t>
      </w:r>
      <w:r w:rsidR="00D17A94">
        <w:t xml:space="preserve"> </w:t>
      </w:r>
      <w:r w:rsidRPr="008A0A12">
        <w:t>plans</w:t>
      </w:r>
      <w:r w:rsidR="00D17A94">
        <w:t xml:space="preserve"> </w:t>
      </w:r>
      <w:r w:rsidRPr="008A0A12">
        <w:t>(revised)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2005-2015</w:t>
      </w:r>
      <w:r w:rsidR="00D17A94">
        <w:t xml:space="preserve"> </w:t>
      </w:r>
      <w:r w:rsidRPr="008A0A12">
        <w:t>Decade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Inclusion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Population.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updated</w:t>
      </w:r>
      <w:r w:rsidR="00D17A94">
        <w:t xml:space="preserve"> </w:t>
      </w:r>
      <w:r w:rsidRPr="008A0A12">
        <w:t>Strategy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Integration</w:t>
      </w:r>
      <w:r w:rsidR="00D17A94">
        <w:t xml:space="preserve"> </w:t>
      </w:r>
      <w:r w:rsidRPr="008A0A12">
        <w:t>until</w:t>
      </w:r>
      <w:r w:rsidR="00D17A94">
        <w:t xml:space="preserve"> </w:t>
      </w:r>
      <w:r w:rsidRPr="008A0A12">
        <w:t>2020,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section</w:t>
      </w:r>
      <w:r w:rsidR="00D17A94">
        <w:t xml:space="preserve"> </w:t>
      </w:r>
      <w:r w:rsidRPr="008A0A12">
        <w:t>Employment,</w:t>
      </w:r>
      <w:r w:rsidR="00D17A94">
        <w:t xml:space="preserve"> </w:t>
      </w:r>
      <w:r w:rsidRPr="008A0A12">
        <w:t>defines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new</w:t>
      </w:r>
      <w:r w:rsidR="00D17A94">
        <w:t xml:space="preserve"> </w:t>
      </w:r>
      <w:r w:rsidRPr="008A0A12">
        <w:t>global</w:t>
      </w:r>
      <w:r w:rsidR="00D17A94">
        <w:t xml:space="preserve"> </w:t>
      </w:r>
      <w:r w:rsidRPr="008A0A12">
        <w:t>objective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partial</w:t>
      </w:r>
      <w:r w:rsidR="00D17A94">
        <w:t xml:space="preserve"> </w:t>
      </w:r>
      <w:r w:rsidRPr="008A0A12">
        <w:t>objectives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react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current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MRCs.</w:t>
      </w:r>
    </w:p>
    <w:p w:rsidR="00F33762" w:rsidRPr="008A0A12" w:rsidRDefault="00F33762" w:rsidP="00F33762">
      <w:pPr>
        <w:pStyle w:val="SingleTxtG"/>
      </w:pPr>
      <w:r w:rsidRPr="008A0A12">
        <w:lastRenderedPageBreak/>
        <w:t>123.</w:t>
      </w:r>
      <w:r w:rsidRPr="008A0A12">
        <w:tab/>
        <w:t>The</w:t>
      </w:r>
      <w:r w:rsidR="00D17A94">
        <w:t xml:space="preserve"> </w:t>
      </w:r>
      <w:r w:rsidRPr="008A0A12">
        <w:t>Ministry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Transport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Construction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MTC</w:t>
      </w:r>
      <w:r w:rsidR="00D17A94">
        <w:t xml:space="preserve"> </w:t>
      </w:r>
      <w:r w:rsidRPr="008A0A12">
        <w:t>SR</w:t>
      </w:r>
      <w:r w:rsidR="00413AEE">
        <w:t>”</w:t>
      </w:r>
      <w:r w:rsidRPr="008A0A12">
        <w:t>),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terms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competences,</w:t>
      </w:r>
      <w:r w:rsidR="00D17A94">
        <w:t xml:space="preserve"> </w:t>
      </w:r>
      <w:r w:rsidRPr="008A0A12">
        <w:t>enters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MRC</w:t>
      </w:r>
      <w:r w:rsidR="00D17A94">
        <w:t xml:space="preserve"> </w:t>
      </w:r>
      <w:r w:rsidRPr="008A0A12">
        <w:t>integration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housing</w:t>
      </w:r>
      <w:r w:rsidR="00D17A94">
        <w:t xml:space="preserve"> </w:t>
      </w:r>
      <w:r w:rsidRPr="008A0A12">
        <w:t>policy</w:t>
      </w:r>
      <w:r w:rsidR="00D17A94">
        <w:t xml:space="preserve"> </w:t>
      </w:r>
      <w:r w:rsidRPr="008A0A12">
        <w:t>measures.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direction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objectives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housing</w:t>
      </w:r>
      <w:r w:rsidR="00D17A94">
        <w:t xml:space="preserve"> </w:t>
      </w:r>
      <w:r w:rsidRPr="008A0A12">
        <w:t>policy</w:t>
      </w:r>
      <w:r w:rsidR="00D17A94">
        <w:t xml:space="preserve"> </w:t>
      </w:r>
      <w:r w:rsidRPr="008A0A12">
        <w:t>have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set</w:t>
      </w:r>
      <w:r w:rsidR="00D17A94">
        <w:t xml:space="preserve"> </w:t>
      </w:r>
      <w:r w:rsidRPr="008A0A12">
        <w:t>since</w:t>
      </w:r>
      <w:r w:rsidR="00D17A94">
        <w:t xml:space="preserve"> </w:t>
      </w:r>
      <w:r w:rsidRPr="008A0A12">
        <w:t>1994,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approximately</w:t>
      </w:r>
      <w:r w:rsidR="00D17A94">
        <w:t xml:space="preserve"> </w:t>
      </w:r>
      <w:r w:rsidRPr="008A0A12">
        <w:t>5-year</w:t>
      </w:r>
      <w:r w:rsidR="00D17A94">
        <w:t xml:space="preserve"> </w:t>
      </w:r>
      <w:r w:rsidRPr="008A0A12">
        <w:t>cycles,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framework</w:t>
      </w:r>
      <w:r w:rsidR="00D17A94">
        <w:t xml:space="preserve"> </w:t>
      </w:r>
      <w:r w:rsidRPr="008A0A12">
        <w:t>document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called</w:t>
      </w:r>
      <w:r w:rsidR="00D17A94">
        <w:t xml:space="preserve"> </w:t>
      </w:r>
      <w:r w:rsidR="00413AEE">
        <w:t>“</w:t>
      </w:r>
      <w:r w:rsidRPr="008A0A12">
        <w:t>State</w:t>
      </w:r>
      <w:r w:rsidR="00D17A94">
        <w:t xml:space="preserve"> </w:t>
      </w:r>
      <w:r w:rsidRPr="008A0A12">
        <w:t>Housing</w:t>
      </w:r>
      <w:r w:rsidR="00D17A94">
        <w:t xml:space="preserve"> </w:t>
      </w:r>
      <w:r w:rsidRPr="008A0A12">
        <w:t>Policy</w:t>
      </w:r>
      <w:r w:rsidR="00D17A94">
        <w:t xml:space="preserve"> </w:t>
      </w:r>
      <w:r w:rsidRPr="008A0A12">
        <w:t>Concept</w:t>
      </w:r>
      <w:r w:rsidR="00413AEE">
        <w:t>”</w:t>
      </w:r>
      <w:r w:rsidRPr="008A0A12">
        <w:t>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124.</w:t>
      </w:r>
      <w:r w:rsidRPr="008A0A12">
        <w:tab/>
        <w:t>The</w:t>
      </w:r>
      <w:r w:rsidR="00D17A94">
        <w:t xml:space="preserve"> </w:t>
      </w:r>
      <w:r w:rsidR="00413AEE">
        <w:t>“</w:t>
      </w:r>
      <w:r w:rsidRPr="008A0A12">
        <w:t>State</w:t>
      </w:r>
      <w:r w:rsidR="00D17A94">
        <w:t xml:space="preserve"> </w:t>
      </w:r>
      <w:r w:rsidRPr="008A0A12">
        <w:t>Housing</w:t>
      </w:r>
      <w:r w:rsidR="00D17A94">
        <w:t xml:space="preserve"> </w:t>
      </w:r>
      <w:r w:rsidRPr="008A0A12">
        <w:t>Policy</w:t>
      </w:r>
      <w:r w:rsidR="00D17A94">
        <w:t xml:space="preserve"> </w:t>
      </w:r>
      <w:r w:rsidRPr="008A0A12">
        <w:t>Concept</w:t>
      </w:r>
      <w:r w:rsidR="00D17A94">
        <w:t xml:space="preserve"> </w:t>
      </w:r>
      <w:r w:rsidRPr="008A0A12">
        <w:t>up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2020</w:t>
      </w:r>
      <w:r w:rsidR="00413AEE">
        <w:t>”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currently</w:t>
      </w:r>
      <w:r w:rsidR="00D17A94">
        <w:t xml:space="preserve"> </w:t>
      </w:r>
      <w:r w:rsidRPr="008A0A12">
        <w:t>valid</w:t>
      </w:r>
      <w:r w:rsidR="00D17A94">
        <w:t xml:space="preserve"> </w:t>
      </w:r>
      <w:r w:rsidRPr="008A0A12">
        <w:t>document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field,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approved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7</w:t>
      </w:r>
      <w:r w:rsidR="00D17A94">
        <w:t xml:space="preserve"> </w:t>
      </w:r>
      <w:r w:rsidRPr="008A0A12">
        <w:t>January</w:t>
      </w:r>
      <w:r w:rsidR="00D17A94">
        <w:t xml:space="preserve"> </w:t>
      </w:r>
      <w:r w:rsidRPr="008A0A12">
        <w:t>2015.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concept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deals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issue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housing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disadvantaged</w:t>
      </w:r>
      <w:r w:rsidR="00D17A94">
        <w:t xml:space="preserve"> </w:t>
      </w:r>
      <w:r w:rsidRPr="008A0A12">
        <w:t>groups.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primary</w:t>
      </w:r>
      <w:r w:rsidR="00D17A94">
        <w:t xml:space="preserve"> </w:t>
      </w:r>
      <w:r w:rsidRPr="008A0A12">
        <w:t>objective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ensure</w:t>
      </w:r>
      <w:r w:rsidR="00D17A94">
        <w:t xml:space="preserve"> </w:t>
      </w:r>
      <w:r w:rsidRPr="008A0A12">
        <w:t>suitable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so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they</w:t>
      </w:r>
      <w:r w:rsidR="00D17A94">
        <w:t xml:space="preserve"> </w:t>
      </w:r>
      <w:r w:rsidRPr="008A0A12">
        <w:t>can</w:t>
      </w:r>
      <w:r w:rsidR="00D17A94">
        <w:t xml:space="preserve"> </w:t>
      </w:r>
      <w:r w:rsidRPr="008A0A12">
        <w:t>procure</w:t>
      </w:r>
      <w:r w:rsidR="00D17A94">
        <w:t xml:space="preserve"> </w:t>
      </w:r>
      <w:r w:rsidRPr="008A0A12">
        <w:t>adequate</w:t>
      </w:r>
      <w:r w:rsidR="00D17A94">
        <w:t xml:space="preserve"> </w:t>
      </w:r>
      <w:r w:rsidRPr="008A0A12">
        <w:t>housing</w:t>
      </w:r>
      <w:r w:rsidR="00D17A94">
        <w:t xml:space="preserve"> </w:t>
      </w:r>
      <w:r w:rsidRPr="008A0A12">
        <w:t>depending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possibilities.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125.</w:t>
      </w:r>
      <w:r w:rsidRPr="008A0A12">
        <w:tab/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Housing</w:t>
      </w:r>
      <w:r w:rsidR="00D17A94">
        <w:t xml:space="preserve"> </w:t>
      </w:r>
      <w:r w:rsidRPr="008A0A12">
        <w:t>Policy</w:t>
      </w:r>
      <w:r w:rsidR="00D17A94">
        <w:t xml:space="preserve"> </w:t>
      </w:r>
      <w:r w:rsidRPr="008A0A12">
        <w:t>Concept</w:t>
      </w:r>
      <w:r w:rsidR="00D17A94">
        <w:t xml:space="preserve"> </w:t>
      </w:r>
      <w:r w:rsidRPr="008A0A12">
        <w:t>until</w:t>
      </w:r>
      <w:r w:rsidR="00D17A94">
        <w:t xml:space="preserve"> </w:t>
      </w:r>
      <w:r w:rsidRPr="008A0A12">
        <w:t>2020</w:t>
      </w:r>
      <w:r w:rsidR="00D17A94">
        <w:t xml:space="preserve"> </w:t>
      </w:r>
      <w:r w:rsidRPr="008A0A12">
        <w:t>defines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next</w:t>
      </w:r>
      <w:r w:rsidR="00D17A94">
        <w:t xml:space="preserve"> </w:t>
      </w:r>
      <w:r w:rsidRPr="008A0A12">
        <w:t>five</w:t>
      </w:r>
      <w:r w:rsidR="00D17A94">
        <w:t xml:space="preserve"> </w:t>
      </w:r>
      <w:r w:rsidRPr="008A0A12">
        <w:t>years,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should</w:t>
      </w:r>
      <w:r w:rsidR="00D17A94">
        <w:t xml:space="preserve"> </w:t>
      </w:r>
      <w:r w:rsidRPr="008A0A12">
        <w:t>positively</w:t>
      </w:r>
      <w:r w:rsidR="00D17A94">
        <w:t xml:space="preserve"> </w:t>
      </w:r>
      <w:r w:rsidRPr="008A0A12">
        <w:t>influence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availability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adequate</w:t>
      </w:r>
      <w:r w:rsidR="00D17A94">
        <w:t xml:space="preserve"> </w:t>
      </w:r>
      <w:r w:rsidRPr="008A0A12">
        <w:t>housing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SR.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include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need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legislative</w:t>
      </w:r>
      <w:r w:rsidR="00D17A94">
        <w:t xml:space="preserve"> </w:t>
      </w:r>
      <w:r w:rsidRPr="008A0A12">
        <w:t>amendment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housing</w:t>
      </w:r>
      <w:r w:rsidR="00D17A94">
        <w:t xml:space="preserve"> </w:t>
      </w:r>
      <w:r w:rsidRPr="008A0A12">
        <w:t>allowance,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system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multi-level</w:t>
      </w:r>
      <w:r w:rsidR="00D17A94">
        <w:t xml:space="preserve"> </w:t>
      </w:r>
      <w:r w:rsidRPr="008A0A12">
        <w:t>transitional</w:t>
      </w:r>
      <w:r w:rsidR="00D17A94">
        <w:t xml:space="preserve"> </w:t>
      </w:r>
      <w:r w:rsidRPr="008A0A12">
        <w:t>housing,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would</w:t>
      </w:r>
      <w:r w:rsidR="00D17A94">
        <w:t xml:space="preserve"> </w:t>
      </w:r>
      <w:r w:rsidRPr="008A0A12">
        <w:t>take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account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situation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households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would</w:t>
      </w:r>
      <w:r w:rsidR="00D17A94">
        <w:t xml:space="preserve"> </w:t>
      </w:r>
      <w:r w:rsidRPr="008A0A12">
        <w:t>create</w:t>
      </w:r>
      <w:r w:rsidR="00D17A94">
        <w:t xml:space="preserve"> </w:t>
      </w:r>
      <w:r w:rsidRPr="008A0A12">
        <w:t>preconditions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gradual</w:t>
      </w:r>
      <w:r w:rsidR="00D17A94">
        <w:t xml:space="preserve"> </w:t>
      </w:r>
      <w:r w:rsidRPr="008A0A12">
        <w:t>increasing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housing</w:t>
      </w:r>
      <w:r w:rsidR="00D17A94">
        <w:t xml:space="preserve"> </w:t>
      </w:r>
      <w:r w:rsidRPr="008A0A12">
        <w:t>standards.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126.</w:t>
      </w:r>
      <w:r w:rsidRPr="008A0A12">
        <w:tab/>
        <w:t>The</w:t>
      </w:r>
      <w:r w:rsidR="00D17A94">
        <w:t xml:space="preserve"> </w:t>
      </w:r>
      <w:r w:rsidRPr="008A0A12">
        <w:t>MLSAF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OPGRC</w:t>
      </w:r>
      <w:r w:rsidR="00D17A94">
        <w:t xml:space="preserve"> </w:t>
      </w:r>
      <w:r w:rsidRPr="008A0A12">
        <w:t>intervenes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improvement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access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housing</w:t>
      </w:r>
      <w:r w:rsidR="00D17A94">
        <w:t xml:space="preserve"> </w:t>
      </w:r>
      <w:r w:rsidRPr="008A0A12">
        <w:t>through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measures.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127.</w:t>
      </w:r>
      <w:r w:rsidRPr="008A0A12">
        <w:tab/>
        <w:t>Public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authorities,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compliance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355/2007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Protection,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Health,</w:t>
      </w:r>
      <w:r w:rsidR="00D17A94">
        <w:t xml:space="preserve"> </w:t>
      </w:r>
      <w:r w:rsidRPr="008A0A12">
        <w:t>focus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protection,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SR.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initiatives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aimed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each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every</w:t>
      </w:r>
      <w:r w:rsidR="00D17A94">
        <w:t xml:space="preserve"> </w:t>
      </w:r>
      <w:r w:rsidRPr="008A0A12">
        <w:t>citizen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SR.</w:t>
      </w:r>
      <w:r w:rsidR="00D17A94">
        <w:t xml:space="preserve"> </w:t>
      </w:r>
      <w:r w:rsidRPr="008A0A12">
        <w:t>Any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discrimination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excluded.</w:t>
      </w:r>
    </w:p>
    <w:p w:rsidR="00F33762" w:rsidRPr="008A0A12" w:rsidRDefault="00F33762" w:rsidP="00F33762">
      <w:pPr>
        <w:pStyle w:val="SingleTxtG"/>
      </w:pPr>
      <w:r w:rsidRPr="008A0A12">
        <w:t>128.</w:t>
      </w:r>
      <w:r w:rsidRPr="008A0A12">
        <w:tab/>
        <w:t>There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no</w:t>
      </w:r>
      <w:r w:rsidR="00D17A94">
        <w:t xml:space="preserve"> </w:t>
      </w:r>
      <w:r w:rsidRPr="008A0A12">
        <w:t>differences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monitoring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condition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population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citizens.</w:t>
      </w:r>
      <w:r w:rsidR="00D17A94">
        <w:t xml:space="preserve"> </w:t>
      </w:r>
      <w:r w:rsidRPr="008A0A12">
        <w:t>Ethnicity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statistical</w:t>
      </w:r>
      <w:r w:rsidR="00D17A94">
        <w:t xml:space="preserve"> </w:t>
      </w:r>
      <w:r w:rsidRPr="008A0A12">
        <w:t>indicator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used.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allowed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Personal</w:t>
      </w:r>
      <w:r w:rsidR="00D17A94">
        <w:t xml:space="preserve"> </w:t>
      </w:r>
      <w:r w:rsidRPr="008A0A12">
        <w:t>Data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prohibits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processing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personal</w:t>
      </w:r>
      <w:r w:rsidR="00D17A94">
        <w:t xml:space="preserve"> </w:t>
      </w:r>
      <w:r w:rsidRPr="008A0A12">
        <w:t>data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disclose</w:t>
      </w:r>
      <w:r w:rsidR="00D17A94">
        <w:t xml:space="preserve"> </w:t>
      </w:r>
      <w:r w:rsidRPr="008A0A12">
        <w:t>ethnic</w:t>
      </w:r>
      <w:r w:rsidR="00D17A94">
        <w:t xml:space="preserve"> </w:t>
      </w:r>
      <w:r w:rsidRPr="008A0A12">
        <w:t>origin.</w:t>
      </w:r>
      <w:r w:rsidR="00D17A94">
        <w:t xml:space="preserve"> </w:t>
      </w:r>
      <w:r w:rsidRPr="008A0A12">
        <w:t>Simultaneously,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possible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ethnicity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Centre,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authorities</w:t>
      </w:r>
      <w:r w:rsidR="00D17A94">
        <w:t xml:space="preserve"> </w:t>
      </w:r>
      <w:r w:rsidRPr="008A0A12">
        <w:t>(report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communicable</w:t>
      </w:r>
      <w:r w:rsidR="00D17A94">
        <w:t xml:space="preserve"> </w:t>
      </w:r>
      <w:r w:rsidRPr="008A0A12">
        <w:t>diseases)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medical</w:t>
      </w:r>
      <w:r w:rsidR="00D17A94">
        <w:t xml:space="preserve"> </w:t>
      </w:r>
      <w:r w:rsidRPr="008A0A12">
        <w:t>records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therefore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impossible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evaluate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population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indicator.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status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monitored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case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incident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selected</w:t>
      </w:r>
      <w:r w:rsidR="00D17A94">
        <w:t xml:space="preserve"> </w:t>
      </w:r>
      <w:r w:rsidRPr="008A0A12">
        <w:t>infectious</w:t>
      </w:r>
      <w:r w:rsidR="00D17A94">
        <w:t xml:space="preserve"> </w:t>
      </w:r>
      <w:r w:rsidRPr="008A0A12">
        <w:t>diseases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application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anti-epidemic</w:t>
      </w:r>
      <w:r w:rsidR="00D17A94">
        <w:t xml:space="preserve"> </w:t>
      </w:r>
      <w:r w:rsidRPr="008A0A12">
        <w:t>measures.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case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infectious</w:t>
      </w:r>
      <w:r w:rsidR="00D17A94">
        <w:t xml:space="preserve"> </w:t>
      </w:r>
      <w:r w:rsidRPr="008A0A12">
        <w:t>disease</w:t>
      </w:r>
      <w:r w:rsidR="00D17A94">
        <w:t xml:space="preserve"> </w:t>
      </w:r>
      <w:r w:rsidRPr="008A0A12">
        <w:t>incident,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low</w:t>
      </w:r>
      <w:r w:rsidR="00D17A94">
        <w:t xml:space="preserve"> </w:t>
      </w:r>
      <w:r w:rsidRPr="008A0A12">
        <w:t>hygienic</w:t>
      </w:r>
      <w:r w:rsidR="00D17A94">
        <w:t xml:space="preserve"> </w:t>
      </w:r>
      <w:r w:rsidRPr="008A0A12">
        <w:t>standard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such</w:t>
      </w:r>
      <w:r w:rsidR="00D17A94">
        <w:t xml:space="preserve"> </w:t>
      </w:r>
      <w:r w:rsidRPr="008A0A12">
        <w:t>disease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monitored</w:t>
      </w:r>
      <w:r w:rsidR="00D17A94">
        <w:t xml:space="preserve"> </w:t>
      </w:r>
      <w:r w:rsidR="007C38AF">
        <w:t>—</w:t>
      </w:r>
      <w:r w:rsidR="00D17A94">
        <w:t xml:space="preserve"> </w:t>
      </w:r>
      <w:r w:rsidRPr="008A0A12">
        <w:t>patients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settlements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group.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status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population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evaluated</w:t>
      </w:r>
      <w:r w:rsidR="00D17A94">
        <w:t xml:space="preserve"> </w:t>
      </w:r>
      <w:r w:rsidRPr="008A0A12">
        <w:t>only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targeted</w:t>
      </w:r>
      <w:r w:rsidR="00D17A94">
        <w:t xml:space="preserve"> </w:t>
      </w:r>
      <w:r w:rsidRPr="008A0A12">
        <w:t>projects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programmes.</w:t>
      </w:r>
    </w:p>
    <w:p w:rsidR="00F33762" w:rsidRPr="008A0A12" w:rsidRDefault="00F33762" w:rsidP="00F33762">
      <w:pPr>
        <w:pStyle w:val="SingleTxtG"/>
      </w:pPr>
      <w:r w:rsidRPr="008A0A12">
        <w:t>129.</w:t>
      </w:r>
      <w:r w:rsidRPr="008A0A12">
        <w:tab/>
        <w:t>The</w:t>
      </w:r>
      <w:r w:rsidR="00D17A94">
        <w:t xml:space="preserve"> </w:t>
      </w:r>
      <w:r w:rsidRPr="008A0A12">
        <w:t>main</w:t>
      </w:r>
      <w:r w:rsidR="00D17A94">
        <w:t xml:space="preserve"> </w:t>
      </w:r>
      <w:r w:rsidRPr="008A0A12">
        <w:t>objective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Healthy</w:t>
      </w:r>
      <w:r w:rsidR="00D17A94">
        <w:t xml:space="preserve"> </w:t>
      </w:r>
      <w:r w:rsidRPr="008A0A12">
        <w:t>Communities</w:t>
      </w:r>
      <w:r w:rsidR="00D17A94">
        <w:t xml:space="preserve"> </w:t>
      </w:r>
      <w:r w:rsidRPr="008A0A12">
        <w:t>project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2016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access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care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health,</w:t>
      </w:r>
      <w:r w:rsidR="00D17A94">
        <w:t xml:space="preserve"> </w:t>
      </w:r>
      <w:r w:rsidRPr="008A0A12">
        <w:t>including</w:t>
      </w:r>
      <w:r w:rsidR="00D17A94">
        <w:t xml:space="preserve"> </w:t>
      </w:r>
      <w:r w:rsidRPr="008A0A12">
        <w:t>preventive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care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reduce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difference</w:t>
      </w:r>
      <w:r w:rsidR="00D17A94">
        <w:t xml:space="preserve"> </w:t>
      </w:r>
      <w:r w:rsidRPr="008A0A12">
        <w:t>between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status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majority</w:t>
      </w:r>
      <w:r w:rsidR="00D17A94">
        <w:t xml:space="preserve"> </w:t>
      </w:r>
      <w:r w:rsidRPr="008A0A12">
        <w:t>population.</w:t>
      </w:r>
    </w:p>
    <w:p w:rsidR="00F33762" w:rsidRPr="008A0A12" w:rsidRDefault="00F33762" w:rsidP="00F33762">
      <w:pPr>
        <w:pStyle w:val="SingleTxtG"/>
      </w:pPr>
      <w:r w:rsidRPr="008A0A12">
        <w:t>130.</w:t>
      </w:r>
      <w:r w:rsidRPr="008A0A12">
        <w:tab/>
        <w:t>In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Healthy</w:t>
      </w:r>
      <w:r w:rsidR="00D17A94">
        <w:t xml:space="preserve"> </w:t>
      </w:r>
      <w:r w:rsidRPr="008A0A12">
        <w:t>Communities</w:t>
      </w:r>
      <w:r w:rsidR="00D17A94">
        <w:t xml:space="preserve"> </w:t>
      </w:r>
      <w:r w:rsidRPr="008A0A12">
        <w:t>non-profit</w:t>
      </w:r>
      <w:r w:rsidR="00D17A94">
        <w:t xml:space="preserve"> </w:t>
      </w:r>
      <w:r w:rsidRPr="008A0A12">
        <w:t>organisation</w:t>
      </w:r>
      <w:r w:rsidR="00D17A94">
        <w:t xml:space="preserve"> </w:t>
      </w:r>
      <w:r w:rsidRPr="008A0A12">
        <w:t>employed</w:t>
      </w:r>
      <w:r w:rsidR="00D17A94">
        <w:t xml:space="preserve"> </w:t>
      </w:r>
      <w:r w:rsidRPr="008A0A12">
        <w:t>234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assistants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23</w:t>
      </w:r>
      <w:r w:rsidR="00D17A94">
        <w:t xml:space="preserve"> </w:t>
      </w:r>
      <w:r w:rsidRPr="008A0A12">
        <w:t>coordinators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assistants.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employees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operating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239</w:t>
      </w:r>
      <w:r w:rsidR="00D17A94">
        <w:t xml:space="preserve"> </w:t>
      </w:r>
      <w:r w:rsidRPr="008A0A12">
        <w:t>locations.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field,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cooperation</w:t>
      </w:r>
      <w:r w:rsidR="00D17A94">
        <w:t xml:space="preserve"> </w:t>
      </w:r>
      <w:r w:rsidRPr="008A0A12">
        <w:t>network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care</w:t>
      </w:r>
      <w:r w:rsidR="00D17A94">
        <w:t xml:space="preserve"> </w:t>
      </w:r>
      <w:r w:rsidRPr="008A0A12">
        <w:t>providers</w:t>
      </w:r>
      <w:r w:rsidR="00D17A94">
        <w:t xml:space="preserve"> </w:t>
      </w:r>
      <w:r w:rsidRPr="008A0A12">
        <w:t>consisting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750</w:t>
      </w:r>
      <w:r w:rsidR="00D17A94">
        <w:t xml:space="preserve"> </w:t>
      </w:r>
      <w:r w:rsidRPr="008A0A12">
        <w:t>doctors.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number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clients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first</w:t>
      </w:r>
      <w:r w:rsidR="00D17A94">
        <w:t xml:space="preserve"> </w:t>
      </w:r>
      <w:r w:rsidRPr="008A0A12">
        <w:t>half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2016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48,068.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</w:t>
      </w:r>
      <w:r w:rsidR="00D17A94">
        <w:t xml:space="preserve"> </w:t>
      </w:r>
      <w:r w:rsidRPr="008A0A12">
        <w:t>81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appendix.</w:t>
      </w:r>
    </w:p>
    <w:p w:rsidR="00F33762" w:rsidRPr="008A0A12" w:rsidRDefault="00F33762" w:rsidP="00F33762">
      <w:pPr>
        <w:pStyle w:val="SingleTxtG"/>
      </w:pPr>
      <w:r w:rsidRPr="008A0A12">
        <w:t>131.</w:t>
      </w:r>
      <w:r w:rsidRPr="008A0A12">
        <w:tab/>
        <w:t>The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authorities</w:t>
      </w:r>
      <w:r w:rsidR="00D17A94">
        <w:t xml:space="preserve"> </w:t>
      </w:r>
      <w:r w:rsidRPr="008A0A12">
        <w:t>rendered</w:t>
      </w:r>
      <w:r w:rsidR="00D17A94">
        <w:t xml:space="preserve"> </w:t>
      </w:r>
      <w:r w:rsidRPr="008A0A12">
        <w:t>assistance</w:t>
      </w:r>
      <w:r w:rsidR="00D17A94">
        <w:t xml:space="preserve"> </w:t>
      </w:r>
      <w:r w:rsidRPr="008A0A12">
        <w:t>services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Healthy</w:t>
      </w:r>
      <w:r w:rsidR="00D17A94">
        <w:t xml:space="preserve"> </w:t>
      </w:r>
      <w:r w:rsidRPr="008A0A12">
        <w:t>Communities</w:t>
      </w:r>
      <w:r w:rsidR="00413AEE">
        <w:t>”</w:t>
      </w:r>
      <w:r w:rsidR="00D17A94">
        <w:t xml:space="preserve"> </w:t>
      </w:r>
      <w:r w:rsidRPr="008A0A12">
        <w:t>project,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intervene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several</w:t>
      </w:r>
      <w:r w:rsidR="00D17A94">
        <w:t xml:space="preserve"> </w:t>
      </w:r>
      <w:r w:rsidRPr="008A0A12">
        <w:t>fields</w:t>
      </w:r>
      <w:r w:rsidR="00D17A94">
        <w:t xml:space="preserve"> </w:t>
      </w:r>
      <w:r w:rsidRPr="008A0A12">
        <w:t>(for</w:t>
      </w:r>
      <w:r w:rsidR="00D17A94">
        <w:t xml:space="preserve"> </w:t>
      </w:r>
      <w:r w:rsidRPr="008A0A12">
        <w:t>instance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education,</w:t>
      </w:r>
      <w:r w:rsidR="00D17A94">
        <w:t xml:space="preserve"> </w:t>
      </w:r>
      <w:r w:rsidRPr="008A0A12">
        <w:t>improvement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hygiene</w:t>
      </w:r>
      <w:r w:rsidR="00D17A94">
        <w:t xml:space="preserve"> </w:t>
      </w:r>
      <w:r w:rsidRPr="008A0A12">
        <w:t>standards,</w:t>
      </w:r>
      <w:r w:rsidR="00D17A94">
        <w:t xml:space="preserve"> </w:t>
      </w:r>
      <w:r w:rsidRPr="008A0A12">
        <w:t>etc.).</w:t>
      </w:r>
      <w:r w:rsidR="00D17A94">
        <w:t xml:space="preserve"> </w:t>
      </w:r>
      <w:r w:rsidRPr="008A0A12">
        <w:t>They</w:t>
      </w:r>
      <w:r w:rsidR="00D17A94">
        <w:t xml:space="preserve"> </w:t>
      </w:r>
      <w:r w:rsidRPr="008A0A12">
        <w:t>contacted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socially</w:t>
      </w:r>
      <w:r w:rsidR="00D17A94">
        <w:t xml:space="preserve"> </w:t>
      </w:r>
      <w:r w:rsidRPr="008A0A12">
        <w:t>disadvantaged</w:t>
      </w:r>
      <w:r w:rsidR="00D17A94">
        <w:t xml:space="preserve"> </w:t>
      </w:r>
      <w:r w:rsidRPr="008A0A12">
        <w:t>background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SDB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MRCs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area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healthy</w:t>
      </w:r>
      <w:r w:rsidR="00D17A94">
        <w:t xml:space="preserve"> </w:t>
      </w:r>
      <w:r w:rsidRPr="008A0A12">
        <w:t>way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life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environmental</w:t>
      </w:r>
      <w:r w:rsidR="00D17A94">
        <w:t xml:space="preserve"> </w:t>
      </w:r>
      <w:r w:rsidRPr="008A0A12">
        <w:t>hygiene</w:t>
      </w:r>
      <w:r w:rsidR="00D17A94">
        <w:t xml:space="preserve"> </w:t>
      </w:r>
      <w:r w:rsidRPr="008A0A12">
        <w:t>(first</w:t>
      </w:r>
      <w:r w:rsidR="00D17A94">
        <w:t xml:space="preserve"> </w:t>
      </w:r>
      <w:r w:rsidRPr="008A0A12">
        <w:t>aid,</w:t>
      </w:r>
      <w:r w:rsidR="00D17A94">
        <w:t xml:space="preserve"> </w:t>
      </w:r>
      <w:r w:rsidRPr="008A0A12">
        <w:t>dental</w:t>
      </w:r>
      <w:r w:rsidR="00D17A94">
        <w:t xml:space="preserve"> </w:t>
      </w:r>
      <w:r w:rsidRPr="008A0A12">
        <w:t>hygiene,</w:t>
      </w:r>
      <w:r w:rsidR="00D17A94">
        <w:t xml:space="preserve"> </w:t>
      </w:r>
      <w:r w:rsidRPr="008A0A12">
        <w:t>injury</w:t>
      </w:r>
      <w:r w:rsidR="00D17A94">
        <w:t xml:space="preserve"> </w:t>
      </w:r>
      <w:r w:rsidRPr="008A0A12">
        <w:t>prevention,</w:t>
      </w:r>
      <w:r w:rsidR="00D17A94">
        <w:t xml:space="preserve"> </w:t>
      </w:r>
      <w:r w:rsidRPr="008A0A12">
        <w:t>healthy</w:t>
      </w:r>
      <w:r w:rsidR="00D17A94">
        <w:t xml:space="preserve"> </w:t>
      </w:r>
      <w:r w:rsidRPr="008A0A12">
        <w:t>diet,</w:t>
      </w:r>
      <w:r w:rsidR="00D17A94">
        <w:t xml:space="preserve"> </w:t>
      </w:r>
      <w:r w:rsidRPr="008A0A12">
        <w:t>care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body,</w:t>
      </w:r>
      <w:r w:rsidR="00D17A94">
        <w:t xml:space="preserve"> </w:t>
      </w:r>
      <w:r w:rsidRPr="008A0A12">
        <w:t>harmfulness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drugs,</w:t>
      </w:r>
      <w:r w:rsidR="00D17A94">
        <w:t xml:space="preserve"> </w:t>
      </w:r>
      <w:r w:rsidRPr="008A0A12">
        <w:t>smoking,</w:t>
      </w:r>
      <w:r w:rsidR="00D17A94">
        <w:t xml:space="preserve"> </w:t>
      </w:r>
      <w:r w:rsidRPr="008A0A12">
        <w:t>alcohol,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prevention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parasitic</w:t>
      </w:r>
      <w:r w:rsidR="00D17A94">
        <w:t xml:space="preserve"> </w:t>
      </w:r>
      <w:r w:rsidRPr="008A0A12">
        <w:t>diseases).</w:t>
      </w:r>
      <w:r w:rsidR="00D17A94">
        <w:t xml:space="preserve"> </w:t>
      </w:r>
      <w:r w:rsidRPr="008A0A12">
        <w:t>They</w:t>
      </w:r>
      <w:r w:rsidR="00D17A94">
        <w:t xml:space="preserve"> </w:t>
      </w:r>
      <w:r w:rsidRPr="008A0A12">
        <w:t>ensured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inspection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selected</w:t>
      </w:r>
      <w:r w:rsidR="00D17A94">
        <w:t xml:space="preserve"> </w:t>
      </w:r>
      <w:r w:rsidRPr="008A0A12">
        <w:t>infectious</w:t>
      </w:r>
      <w:r w:rsidR="00D17A94">
        <w:t xml:space="preserve"> </w:t>
      </w:r>
      <w:r w:rsidRPr="008A0A12">
        <w:t>diseases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living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environment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low</w:t>
      </w:r>
      <w:r w:rsidR="00D17A94">
        <w:t xml:space="preserve"> </w:t>
      </w:r>
      <w:r w:rsidRPr="008A0A12">
        <w:t>hygienic</w:t>
      </w:r>
      <w:r w:rsidR="00D17A94">
        <w:t xml:space="preserve"> </w:t>
      </w:r>
      <w:r w:rsidRPr="008A0A12">
        <w:t>standards.</w:t>
      </w:r>
    </w:p>
    <w:p w:rsidR="00F33762" w:rsidRPr="008A0A12" w:rsidRDefault="00F33762" w:rsidP="00F33762">
      <w:pPr>
        <w:pStyle w:val="SingleTxtG"/>
      </w:pPr>
      <w:r w:rsidRPr="008A0A12">
        <w:t>132.</w:t>
      </w:r>
      <w:r w:rsidRPr="008A0A12">
        <w:tab/>
        <w:t>Regional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authorities</w:t>
      </w:r>
      <w:r w:rsidR="00D17A94">
        <w:t xml:space="preserve"> </w:t>
      </w:r>
      <w:r w:rsidRPr="008A0A12">
        <w:t>have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cooperating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long</w:t>
      </w:r>
      <w:r w:rsidR="00D17A94">
        <w:t xml:space="preserve"> </w:t>
      </w:r>
      <w:r w:rsidRPr="008A0A12">
        <w:t>time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schools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highest</w:t>
      </w:r>
      <w:r w:rsidR="00D17A94">
        <w:t xml:space="preserve"> </w:t>
      </w:r>
      <w:r w:rsidRPr="008A0A12">
        <w:t>concentration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SDB.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repeatedly</w:t>
      </w:r>
      <w:r w:rsidR="00D17A94">
        <w:t xml:space="preserve"> </w:t>
      </w:r>
      <w:r w:rsidRPr="008A0A12">
        <w:t>subject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intervention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areas</w:t>
      </w:r>
      <w:r w:rsidR="00D17A94">
        <w:t xml:space="preserve"> </w:t>
      </w:r>
      <w:r w:rsidRPr="008A0A12">
        <w:t>such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healthy</w:t>
      </w:r>
      <w:r w:rsidR="00D17A94">
        <w:t xml:space="preserve"> </w:t>
      </w:r>
      <w:r w:rsidRPr="008A0A12">
        <w:t>way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life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environmental</w:t>
      </w:r>
      <w:r w:rsidR="00D17A94">
        <w:t xml:space="preserve"> </w:t>
      </w:r>
      <w:r w:rsidRPr="008A0A12">
        <w:t>hygiene,</w:t>
      </w:r>
      <w:r w:rsidR="00D17A94">
        <w:t xml:space="preserve"> </w:t>
      </w:r>
      <w:r w:rsidRPr="008A0A12">
        <w:lastRenderedPageBreak/>
        <w:t>dental</w:t>
      </w:r>
      <w:r w:rsidR="00D17A94">
        <w:t xml:space="preserve"> </w:t>
      </w:r>
      <w:r w:rsidRPr="008A0A12">
        <w:t>hygiene,</w:t>
      </w:r>
      <w:r w:rsidR="00D17A94">
        <w:t xml:space="preserve"> </w:t>
      </w:r>
      <w:r w:rsidRPr="008A0A12">
        <w:t>first</w:t>
      </w:r>
      <w:r w:rsidR="00D17A94">
        <w:t xml:space="preserve"> </w:t>
      </w:r>
      <w:r w:rsidRPr="008A0A12">
        <w:t>aid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injury</w:t>
      </w:r>
      <w:r w:rsidR="00D17A94">
        <w:t xml:space="preserve"> </w:t>
      </w:r>
      <w:r w:rsidRPr="008A0A12">
        <w:t>prevention,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about</w:t>
      </w:r>
      <w:r w:rsidR="00D17A94">
        <w:t xml:space="preserve"> </w:t>
      </w:r>
      <w:r w:rsidRPr="008A0A12">
        <w:t>responsible</w:t>
      </w:r>
      <w:r w:rsidR="00D17A94">
        <w:t xml:space="preserve"> </w:t>
      </w:r>
      <w:r w:rsidRPr="008A0A12">
        <w:t>marriage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parenthood,</w:t>
      </w:r>
      <w:r w:rsidR="00D17A94">
        <w:t xml:space="preserve"> </w:t>
      </w:r>
      <w:r w:rsidRPr="008A0A12">
        <w:t>healthy</w:t>
      </w:r>
      <w:r w:rsidR="00D17A94">
        <w:t xml:space="preserve"> </w:t>
      </w:r>
      <w:r w:rsidRPr="008A0A12">
        <w:t>diet,</w:t>
      </w:r>
      <w:r w:rsidR="00D17A94">
        <w:t xml:space="preserve"> </w:t>
      </w:r>
      <w:r w:rsidRPr="008A0A12">
        <w:t>care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body,</w:t>
      </w:r>
      <w:r w:rsidR="00D17A94">
        <w:t xml:space="preserve"> </w:t>
      </w:r>
      <w:r w:rsidRPr="008A0A12">
        <w:t>harmfulness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substance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non-substance</w:t>
      </w:r>
      <w:r w:rsidR="00D17A94">
        <w:t xml:space="preserve"> </w:t>
      </w:r>
      <w:r w:rsidRPr="008A0A12">
        <w:t>abuse,</w:t>
      </w:r>
      <w:r w:rsidR="00D17A94">
        <w:t xml:space="preserve"> </w:t>
      </w:r>
      <w:r w:rsidRPr="008A0A12">
        <w:t>smoking,</w:t>
      </w:r>
      <w:r w:rsidR="00D17A94">
        <w:t xml:space="preserve"> </w:t>
      </w:r>
      <w:r w:rsidRPr="008A0A12">
        <w:t>alcohol,</w:t>
      </w:r>
      <w:r w:rsidR="00D17A94">
        <w:t xml:space="preserve"> </w:t>
      </w:r>
      <w:r w:rsidRPr="008A0A12">
        <w:t>prevention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parasitic</w:t>
      </w:r>
      <w:r w:rsidR="00D17A94">
        <w:t xml:space="preserve"> </w:t>
      </w:r>
      <w:r w:rsidRPr="008A0A12">
        <w:t>infections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infectious</w:t>
      </w:r>
      <w:r w:rsidR="00D17A94">
        <w:t xml:space="preserve"> </w:t>
      </w:r>
      <w:r w:rsidRPr="008A0A12">
        <w:t>diseases,</w:t>
      </w:r>
      <w:r w:rsidR="00D17A94">
        <w:t xml:space="preserve"> </w:t>
      </w:r>
      <w:r w:rsidRPr="008A0A12">
        <w:t>maturation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physical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mental</w:t>
      </w:r>
      <w:r w:rsidR="00D17A94">
        <w:t xml:space="preserve"> </w:t>
      </w:r>
      <w:r w:rsidRPr="008A0A12">
        <w:t>changes.</w:t>
      </w:r>
    </w:p>
    <w:p w:rsidR="00F33762" w:rsidRPr="008A0A12" w:rsidRDefault="00F33762" w:rsidP="0026209C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recommendations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9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26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133.</w:t>
      </w:r>
      <w:r w:rsidRPr="008A0A12">
        <w:tab/>
        <w:t>The</w:t>
      </w:r>
      <w:r w:rsidR="00D17A94">
        <w:t xml:space="preserve"> </w:t>
      </w:r>
      <w:r w:rsidRPr="008A0A12">
        <w:t>MESRS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working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long</w:t>
      </w:r>
      <w:r w:rsidR="00D17A94">
        <w:t xml:space="preserve"> </w:t>
      </w:r>
      <w:r w:rsidRPr="008A0A12">
        <w:t>time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segregation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discrimination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achieve</w:t>
      </w:r>
      <w:r w:rsidR="00D17A94">
        <w:t xml:space="preserve"> </w:t>
      </w:r>
      <w:r w:rsidRPr="008A0A12">
        <w:t>such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application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would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allow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exchange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needs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handicap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needs</w:t>
      </w:r>
      <w:r w:rsidR="00D17A94">
        <w:t xml:space="preserve"> </w:t>
      </w:r>
      <w:r w:rsidRPr="008A0A12">
        <w:t>arising</w:t>
      </w:r>
      <w:r w:rsidR="00D17A94">
        <w:t xml:space="preserve"> </w:t>
      </w:r>
      <w:r w:rsidRPr="008A0A12">
        <w:t>only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reason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</w:t>
      </w:r>
      <w:r w:rsidR="00D17A94">
        <w:t xml:space="preserve"> </w:t>
      </w:r>
      <w:r w:rsidRPr="008A0A12">
        <w:t>does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automatically</w:t>
      </w:r>
      <w:r w:rsidR="00D17A94">
        <w:t xml:space="preserve"> </w:t>
      </w:r>
      <w:r w:rsidRPr="008A0A12">
        <w:t>mean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handicap,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decisive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inclusion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pupil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class.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improvement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situation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SDB,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significant</w:t>
      </w:r>
      <w:r w:rsidR="00D17A94">
        <w:t xml:space="preserve"> </w:t>
      </w:r>
      <w:r w:rsidRPr="008A0A12">
        <w:t>part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consists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MRCs.</w:t>
      </w:r>
    </w:p>
    <w:p w:rsidR="00F33762" w:rsidRPr="008A0A12" w:rsidRDefault="00F33762" w:rsidP="00F33762">
      <w:pPr>
        <w:pStyle w:val="SingleTxtG"/>
      </w:pPr>
      <w:r w:rsidRPr="008A0A12">
        <w:t>134.</w:t>
      </w:r>
      <w:r w:rsidRPr="008A0A12">
        <w:tab/>
        <w:t>On</w:t>
      </w:r>
      <w:r w:rsidR="00D17A94">
        <w:t xml:space="preserve"> </w:t>
      </w:r>
      <w:r w:rsidRPr="008A0A12">
        <w:t>30</w:t>
      </w:r>
      <w:r w:rsidR="00D17A94">
        <w:t xml:space="preserve"> </w:t>
      </w:r>
      <w:r w:rsidRPr="008A0A12">
        <w:t>June</w:t>
      </w:r>
      <w:r w:rsidR="00D17A94">
        <w:t xml:space="preserve"> </w:t>
      </w:r>
      <w:r w:rsidRPr="008A0A12">
        <w:t>2015,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Council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approved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amendment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improve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situation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significant</w:t>
      </w:r>
      <w:r w:rsidR="00D17A94">
        <w:t xml:space="preserve"> </w:t>
      </w:r>
      <w:r w:rsidRPr="008A0A12">
        <w:t>number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whom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MRCs.</w:t>
      </w:r>
    </w:p>
    <w:p w:rsidR="00F33762" w:rsidRPr="008A0A12" w:rsidRDefault="00F33762" w:rsidP="00F33762">
      <w:pPr>
        <w:pStyle w:val="SingleTxtG"/>
      </w:pPr>
      <w:r w:rsidRPr="008A0A12">
        <w:t>135.</w:t>
      </w:r>
      <w:r w:rsidRPr="008A0A12">
        <w:tab/>
        <w:t>The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Law,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107,</w:t>
      </w:r>
      <w:r w:rsidR="00D17A94">
        <w:t xml:space="preserve"> </w:t>
      </w:r>
      <w:r w:rsidRPr="008A0A12">
        <w:t>stipulated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pupil</w:t>
      </w:r>
      <w:r w:rsidR="00D17A94">
        <w:t xml:space="preserve"> </w:t>
      </w:r>
      <w:r w:rsidRPr="008A0A12">
        <w:t>whose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needs</w:t>
      </w:r>
      <w:r w:rsidR="00D17A94">
        <w:t xml:space="preserve"> </w:t>
      </w:r>
      <w:r w:rsidRPr="008A0A12">
        <w:t>arise</w:t>
      </w:r>
      <w:r w:rsidR="00D17A94">
        <w:t xml:space="preserve"> </w:t>
      </w:r>
      <w:r w:rsidRPr="008A0A12">
        <w:t>only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his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</w:t>
      </w:r>
      <w:r w:rsidR="00D17A94">
        <w:t xml:space="preserve"> </w:t>
      </w:r>
      <w:r w:rsidRPr="008A0A12">
        <w:t>could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admitted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class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kindergarten,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class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class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secondary</w:t>
      </w:r>
      <w:r w:rsidR="00D17A94">
        <w:t xml:space="preserve"> </w:t>
      </w:r>
      <w:r w:rsidRPr="008A0A12">
        <w:t>school.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practice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</w:t>
      </w:r>
      <w:r w:rsidR="00D17A94">
        <w:t xml:space="preserve"> </w:t>
      </w:r>
      <w:r w:rsidRPr="008A0A12">
        <w:t>cannot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reason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being</w:t>
      </w:r>
      <w:r w:rsidR="00D17A94">
        <w:t xml:space="preserve"> </w:t>
      </w:r>
      <w:r w:rsidRPr="008A0A12">
        <w:t>admitted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school.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inclusion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classes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explicitly</w:t>
      </w:r>
      <w:r w:rsidR="00D17A94">
        <w:t xml:space="preserve"> </w:t>
      </w:r>
      <w:r w:rsidRPr="008A0A12">
        <w:t>stipulated.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measure</w:t>
      </w:r>
      <w:r w:rsidR="00D17A94">
        <w:t xml:space="preserve"> </w:t>
      </w:r>
      <w:r w:rsidRPr="008A0A12">
        <w:t>definitely</w:t>
      </w:r>
      <w:r w:rsidR="00D17A94">
        <w:t xml:space="preserve"> </w:t>
      </w:r>
      <w:r w:rsidRPr="008A0A12">
        <w:t>prevents</w:t>
      </w:r>
      <w:r w:rsidR="00D17A94">
        <w:t xml:space="preserve"> </w:t>
      </w:r>
      <w:r w:rsidRPr="008A0A12">
        <w:t>segregation.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applies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activity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specialised</w:t>
      </w:r>
      <w:r w:rsidR="00D17A94">
        <w:t xml:space="preserve"> </w:t>
      </w:r>
      <w:r w:rsidRPr="008A0A12">
        <w:t>class</w:t>
      </w:r>
      <w:r w:rsidR="00D17A94">
        <w:t xml:space="preserve"> </w:t>
      </w:r>
      <w:r w:rsidR="007C38AF">
        <w:t>—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class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intended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did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master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given</w:t>
      </w:r>
      <w:r w:rsidR="00D17A94">
        <w:t xml:space="preserve"> </w:t>
      </w:r>
      <w:r w:rsidRPr="008A0A12">
        <w:t>year</w:t>
      </w:r>
      <w:r w:rsidR="00D17A94">
        <w:t xml:space="preserve"> </w:t>
      </w:r>
      <w:r w:rsidRPr="008A0A12">
        <w:t>to</w:t>
      </w:r>
      <w:r w:rsidR="00D17A94">
        <w:t xml:space="preserve"> </w:t>
      </w:r>
      <w:r w:rsidR="00413AEE">
        <w:t>“</w:t>
      </w:r>
      <w:r w:rsidRPr="008A0A12">
        <w:t>catch</w:t>
      </w:r>
      <w:r w:rsidR="00D17A94">
        <w:t xml:space="preserve"> </w:t>
      </w:r>
      <w:r w:rsidRPr="008A0A12">
        <w:t>up</w:t>
      </w:r>
      <w:r w:rsidR="00413AEE">
        <w:t>”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missing</w:t>
      </w:r>
      <w:r w:rsidR="00D17A94">
        <w:t xml:space="preserve"> </w:t>
      </w:r>
      <w:r w:rsidRPr="008A0A12">
        <w:t>knowledge.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class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class</w:t>
      </w:r>
      <w:r w:rsidR="00D17A94">
        <w:t xml:space="preserve"> </w:t>
      </w:r>
      <w:r w:rsidRPr="008A0A12">
        <w:t>teacher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proposal,</w:t>
      </w:r>
      <w:r w:rsidR="00D17A94">
        <w:t xml:space="preserve"> </w:t>
      </w:r>
      <w:r w:rsidRPr="008A0A12">
        <w:t>after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guidance</w:t>
      </w:r>
      <w:r w:rsidR="00D17A94">
        <w:t xml:space="preserve"> </w:t>
      </w:r>
      <w:r w:rsidRPr="008A0A12">
        <w:t>counsellor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opinion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parent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(legal</w:t>
      </w:r>
      <w:r w:rsidR="00D17A94">
        <w:t xml:space="preserve"> </w:t>
      </w:r>
      <w:r w:rsidRPr="008A0A12">
        <w:t>representative</w:t>
      </w:r>
      <w:r w:rsidR="00413AEE">
        <w:t>’</w:t>
      </w:r>
      <w:r w:rsidRPr="008A0A12">
        <w:t>s)</w:t>
      </w:r>
      <w:r w:rsidR="00D17A94">
        <w:t xml:space="preserve"> </w:t>
      </w:r>
      <w:r w:rsidRPr="008A0A12">
        <w:t>consent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one</w:t>
      </w:r>
      <w:r w:rsidR="00D17A94">
        <w:t xml:space="preserve"> </w:t>
      </w:r>
      <w:r w:rsidRPr="008A0A12">
        <w:t>year.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136.</w:t>
      </w:r>
      <w:r w:rsidRPr="008A0A12">
        <w:tab/>
        <w:t>The</w:t>
      </w:r>
      <w:r w:rsidR="00D17A94">
        <w:t xml:space="preserve"> </w:t>
      </w:r>
      <w:r w:rsidRPr="008A0A12">
        <w:t>changes</w:t>
      </w:r>
      <w:r w:rsidR="00D17A94">
        <w:t xml:space="preserve"> </w:t>
      </w:r>
      <w:r w:rsidRPr="008A0A12">
        <w:t>apply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provision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allowance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amount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allowance</w:t>
      </w:r>
      <w:r w:rsidR="00D17A94">
        <w:t xml:space="preserve"> </w:t>
      </w:r>
      <w:r w:rsidRPr="008A0A12">
        <w:t>per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pupil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€109.00.</w:t>
      </w:r>
      <w:r w:rsidR="00D17A94">
        <w:t xml:space="preserve"> </w:t>
      </w:r>
      <w:r w:rsidRPr="008A0A12">
        <w:t>Since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September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allowance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given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="00413AEE">
        <w:t>“</w:t>
      </w:r>
      <w:r w:rsidRPr="008A0A12">
        <w:t>regular</w:t>
      </w:r>
      <w:r w:rsidR="00D17A94">
        <w:t xml:space="preserve"> </w:t>
      </w:r>
      <w:r w:rsidRPr="008A0A12">
        <w:t>classroom</w:t>
      </w:r>
      <w:r w:rsidR="00413AEE">
        <w:t>”</w:t>
      </w:r>
      <w:r w:rsidRPr="008A0A12">
        <w:t>.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detailed</w:t>
      </w:r>
      <w:r w:rsidR="00D17A94">
        <w:t xml:space="preserve"> </w:t>
      </w:r>
      <w:r w:rsidRPr="008A0A12">
        <w:t>data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2016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available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website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MESRS</w:t>
      </w:r>
      <w:r w:rsidR="00D17A94">
        <w:t xml:space="preserve"> </w:t>
      </w:r>
      <w:r w:rsidRPr="008A0A12">
        <w:t>SR.</w:t>
      </w:r>
      <w:r w:rsidRPr="001878DB">
        <w:rPr>
          <w:rStyle w:val="FootnoteReference"/>
        </w:rPr>
        <w:footnoteReference w:id="10"/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2017,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allowance</w:t>
      </w:r>
      <w:r w:rsidR="00D17A94">
        <w:t xml:space="preserve"> </w:t>
      </w:r>
      <w:r w:rsidRPr="008A0A12">
        <w:t>per</w:t>
      </w:r>
      <w:r w:rsidR="00D17A94">
        <w:t xml:space="preserve"> </w:t>
      </w:r>
      <w:r w:rsidRPr="008A0A12">
        <w:t>pupil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€260.00.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794</w:t>
      </w:r>
      <w:r w:rsidR="00D17A94">
        <w:t xml:space="preserve"> </w:t>
      </w:r>
      <w:r w:rsidRPr="008A0A12">
        <w:t>schools,</w:t>
      </w:r>
      <w:r w:rsidR="00D17A94">
        <w:t xml:space="preserve"> </w:t>
      </w:r>
      <w:r w:rsidRPr="008A0A12">
        <w:t>21,718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total</w:t>
      </w:r>
      <w:r w:rsidR="00D17A94">
        <w:t xml:space="preserve"> </w:t>
      </w:r>
      <w:r w:rsidRPr="008A0A12">
        <w:t>amount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€5,646,680.00.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detailed</w:t>
      </w:r>
      <w:r w:rsidR="00D17A94">
        <w:t xml:space="preserve"> </w:t>
      </w:r>
      <w:r w:rsidRPr="008A0A12">
        <w:t>data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individual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available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website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MESRS</w:t>
      </w:r>
      <w:r w:rsidR="00D17A94">
        <w:t xml:space="preserve"> </w:t>
      </w:r>
      <w:r w:rsidRPr="008A0A12">
        <w:t>SR.</w:t>
      </w:r>
      <w:r w:rsidRPr="001878DB">
        <w:rPr>
          <w:rStyle w:val="FootnoteReference"/>
        </w:rPr>
        <w:footnoteReference w:id="11"/>
      </w:r>
    </w:p>
    <w:p w:rsidR="00F33762" w:rsidRPr="008A0A12" w:rsidRDefault="00F33762" w:rsidP="00F33762">
      <w:pPr>
        <w:pStyle w:val="SingleTxtG"/>
      </w:pPr>
      <w:r w:rsidRPr="008A0A12">
        <w:t>137.</w:t>
      </w:r>
      <w:r w:rsidRPr="008A0A12">
        <w:tab/>
        <w:t>The</w:t>
      </w:r>
      <w:r w:rsidR="00D17A94">
        <w:t xml:space="preserve"> </w:t>
      </w:r>
      <w:r w:rsidRPr="008A0A12">
        <w:t>granting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allowance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arranged</w:t>
      </w:r>
      <w:r w:rsidR="00D17A94">
        <w:t xml:space="preserve"> </w:t>
      </w:r>
      <w:r w:rsidRPr="008A0A12">
        <w:t>so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would</w:t>
      </w:r>
      <w:r w:rsidR="00D17A94">
        <w:t xml:space="preserve"> </w:t>
      </w:r>
      <w:r w:rsidRPr="008A0A12">
        <w:t>fulfil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purpose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elementary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taking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account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needs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pupil,</w:t>
      </w:r>
      <w:r w:rsidR="00D17A94">
        <w:t xml:space="preserve"> </w:t>
      </w:r>
      <w:r w:rsidRPr="008A0A12">
        <w:t>i.e.</w:t>
      </w:r>
      <w:r w:rsidR="00D17A94">
        <w:t xml:space="preserve"> </w:t>
      </w:r>
      <w:r w:rsidRPr="008A0A12">
        <w:t>requirements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ensuring</w:t>
      </w:r>
      <w:r w:rsidR="00D17A94">
        <w:t xml:space="preserve"> </w:t>
      </w:r>
      <w:r w:rsidRPr="008A0A12">
        <w:t>conditions,</w:t>
      </w:r>
      <w:r w:rsidR="00D17A94">
        <w:t xml:space="preserve"> </w:t>
      </w:r>
      <w:r w:rsidRPr="008A0A12">
        <w:t>consent,</w:t>
      </w:r>
      <w:r w:rsidR="00D17A94">
        <w:t xml:space="preserve"> </w:t>
      </w:r>
      <w:r w:rsidRPr="008A0A12">
        <w:t>forms,</w:t>
      </w:r>
      <w:r w:rsidR="00D17A94">
        <w:t xml:space="preserve"> </w:t>
      </w:r>
      <w:r w:rsidRPr="008A0A12">
        <w:t>methods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access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education,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necessary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develop</w:t>
      </w:r>
      <w:r w:rsidR="00D17A94">
        <w:t xml:space="preserve"> </w:t>
      </w:r>
      <w:r w:rsidRPr="008A0A12">
        <w:t>abilities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personality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pupil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achieve</w:t>
      </w:r>
      <w:r w:rsidR="00D17A94">
        <w:t xml:space="preserve"> </w:t>
      </w:r>
      <w:r w:rsidRPr="008A0A12">
        <w:t>adequate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adequate</w:t>
      </w:r>
      <w:r w:rsidR="00D17A94">
        <w:t xml:space="preserve"> </w:t>
      </w:r>
      <w:r w:rsidRPr="008A0A12">
        <w:t>inclusion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society</w:t>
      </w:r>
      <w:r w:rsidR="00D17A94">
        <w:t xml:space="preserve"> </w:t>
      </w:r>
      <w:r w:rsidRPr="008A0A12">
        <w:t>(§</w:t>
      </w:r>
      <w:r w:rsidR="00D17A94">
        <w:t xml:space="preserve"> </w:t>
      </w:r>
      <w:r w:rsidRPr="008A0A12">
        <w:t>2</w:t>
      </w:r>
      <w:r w:rsidR="00D17A94">
        <w:t xml:space="preserve"> </w:t>
      </w:r>
      <w:r w:rsidRPr="008A0A12">
        <w:t>(</w:t>
      </w:r>
      <w:proofErr w:type="spellStart"/>
      <w:r w:rsidRPr="008A0A12">
        <w:t>i</w:t>
      </w:r>
      <w:proofErr w:type="spellEnd"/>
      <w:r w:rsidRPr="008A0A12">
        <w:t>)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Law).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138.</w:t>
      </w:r>
      <w:r w:rsidRPr="008A0A12">
        <w:tab/>
        <w:t>The</w:t>
      </w:r>
      <w:r w:rsidR="00D17A94">
        <w:t xml:space="preserve"> </w:t>
      </w:r>
      <w:r w:rsidRPr="008A0A12">
        <w:t>allowance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used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improve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process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pedagogical-psychological</w:t>
      </w:r>
      <w:r w:rsidR="00D17A94">
        <w:t xml:space="preserve"> </w:t>
      </w:r>
      <w:r w:rsidRPr="008A0A12">
        <w:t>influence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pupil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terms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his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needs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balance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disadvantage</w:t>
      </w:r>
      <w:r w:rsidR="00D17A94">
        <w:t xml:space="preserve"> </w:t>
      </w:r>
      <w:r w:rsidRPr="008A0A12">
        <w:t>reflected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his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terms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poverty.</w:t>
      </w:r>
    </w:p>
    <w:p w:rsidR="00F33762" w:rsidRPr="008A0A12" w:rsidRDefault="00F33762" w:rsidP="00F33762">
      <w:pPr>
        <w:pStyle w:val="SingleTxtG"/>
      </w:pPr>
      <w:r w:rsidRPr="008A0A12">
        <w:t>139.</w:t>
      </w:r>
      <w:r w:rsidRPr="008A0A12">
        <w:tab/>
        <w:t>Since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September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allowance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given</w:t>
      </w:r>
      <w:r w:rsidR="00D17A94">
        <w:t xml:space="preserve"> </w:t>
      </w:r>
      <w:r w:rsidRPr="008A0A12">
        <w:t>only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have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opinion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centre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psychological</w:t>
      </w:r>
      <w:r w:rsidR="00D17A94">
        <w:t xml:space="preserve"> </w:t>
      </w:r>
      <w:r w:rsidRPr="008A0A12">
        <w:t>counselling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prevention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regular</w:t>
      </w:r>
      <w:r w:rsidR="00D17A94">
        <w:t xml:space="preserve"> </w:t>
      </w:r>
      <w:r w:rsidRPr="008A0A12">
        <w:t>classroom</w:t>
      </w:r>
      <w:r w:rsidR="00413AEE">
        <w:t>”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elementary</w:t>
      </w:r>
      <w:r w:rsidR="00D17A94">
        <w:t xml:space="preserve"> </w:t>
      </w:r>
      <w:r w:rsidRPr="008A0A12">
        <w:t>school.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allowance</w:t>
      </w:r>
      <w:r w:rsidR="00D17A94">
        <w:t xml:space="preserve"> </w:t>
      </w:r>
      <w:r w:rsidRPr="008A0A12">
        <w:t>will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given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of:</w:t>
      </w:r>
      <w:r w:rsidR="00D17A94">
        <w:t xml:space="preserve"> </w:t>
      </w:r>
    </w:p>
    <w:p w:rsidR="00F33762" w:rsidRPr="008A0A12" w:rsidRDefault="00F33762" w:rsidP="0026209C">
      <w:pPr>
        <w:pStyle w:val="Bullet1G"/>
      </w:pPr>
      <w:r w:rsidRPr="008A0A12">
        <w:t>Special</w:t>
      </w:r>
      <w:r w:rsidR="00D17A94">
        <w:t xml:space="preserve"> </w:t>
      </w:r>
      <w:r w:rsidRPr="008A0A12">
        <w:t>elementary</w:t>
      </w:r>
      <w:r w:rsidR="00D17A94">
        <w:t xml:space="preserve"> </w:t>
      </w:r>
      <w:r w:rsidRPr="008A0A12">
        <w:t>schools</w:t>
      </w:r>
      <w:r w:rsidR="008E550A">
        <w:t>;</w:t>
      </w:r>
    </w:p>
    <w:p w:rsidR="00F33762" w:rsidRPr="008A0A12" w:rsidRDefault="00F33762" w:rsidP="0026209C">
      <w:pPr>
        <w:pStyle w:val="Bullet1G"/>
      </w:pPr>
      <w:r w:rsidRPr="008A0A12">
        <w:t>Special</w:t>
      </w:r>
      <w:r w:rsidR="00D17A94">
        <w:t xml:space="preserve"> </w:t>
      </w:r>
      <w:r w:rsidRPr="008A0A12">
        <w:t>classes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elementary</w:t>
      </w:r>
      <w:r w:rsidR="00D17A94">
        <w:t xml:space="preserve"> </w:t>
      </w:r>
      <w:r w:rsidRPr="008A0A12">
        <w:t>schools</w:t>
      </w:r>
      <w:r w:rsidR="008E550A">
        <w:t>;</w:t>
      </w:r>
      <w:r w:rsidR="00D17A94">
        <w:t xml:space="preserve"> </w:t>
      </w:r>
      <w:r w:rsidRPr="008A0A12">
        <w:t>and</w:t>
      </w:r>
    </w:p>
    <w:p w:rsidR="00F33762" w:rsidRPr="008A0A12" w:rsidRDefault="00F33762" w:rsidP="0026209C">
      <w:pPr>
        <w:pStyle w:val="Bullet1G"/>
      </w:pPr>
      <w:r w:rsidRPr="008A0A12">
        <w:lastRenderedPageBreak/>
        <w:t>Individually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due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handicap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general</w:t>
      </w:r>
      <w:r w:rsidR="00D17A94">
        <w:t xml:space="preserve"> </w:t>
      </w:r>
      <w:r w:rsidRPr="008A0A12">
        <w:t>intellectual</w:t>
      </w:r>
      <w:r w:rsidR="00D17A94">
        <w:t xml:space="preserve"> </w:t>
      </w:r>
      <w:r w:rsidRPr="008A0A12">
        <w:t>talent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elementary</w:t>
      </w:r>
      <w:r w:rsidR="00D17A94">
        <w:t xml:space="preserve"> </w:t>
      </w:r>
      <w:r w:rsidRPr="008A0A12">
        <w:t>schools.</w:t>
      </w:r>
    </w:p>
    <w:p w:rsidR="00F33762" w:rsidRPr="008A0A12" w:rsidRDefault="00F33762" w:rsidP="00F33762">
      <w:pPr>
        <w:pStyle w:val="SingleTxtG"/>
      </w:pPr>
      <w:r w:rsidRPr="008A0A12">
        <w:t>140.</w:t>
      </w:r>
      <w:r w:rsidRPr="008A0A12">
        <w:tab/>
        <w:t>Amendment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made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control</w:t>
      </w:r>
      <w:r w:rsidR="00D17A94">
        <w:t xml:space="preserve"> </w:t>
      </w:r>
      <w:r w:rsidRPr="008A0A12">
        <w:t>mechanism</w:t>
      </w:r>
      <w:r w:rsidR="00D17A94">
        <w:t xml:space="preserve"> </w:t>
      </w:r>
      <w:r w:rsidRPr="008A0A12">
        <w:t>over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facilities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counselling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prevention</w:t>
      </w:r>
      <w:r w:rsidR="00D17A94">
        <w:t xml:space="preserve"> </w:t>
      </w:r>
      <w:r w:rsidRPr="008A0A12">
        <w:t>stricter,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made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possible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relevant</w:t>
      </w:r>
      <w:r w:rsidR="00D17A94">
        <w:t xml:space="preserve"> </w:t>
      </w:r>
      <w:r w:rsidRPr="008A0A12">
        <w:t>entities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re-value</w:t>
      </w:r>
      <w:r w:rsidR="00D17A94">
        <w:t xml:space="preserve"> </w:t>
      </w:r>
      <w:r w:rsidRPr="008A0A12">
        <w:t>diagnostic</w:t>
      </w:r>
      <w:r w:rsidR="00D17A94">
        <w:t xml:space="preserve"> </w:t>
      </w:r>
      <w:r w:rsidRPr="008A0A12">
        <w:t>procedures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proposals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inclusion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pupil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specific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education.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Inspection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SSI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can</w:t>
      </w:r>
      <w:r w:rsidR="00D17A94">
        <w:t xml:space="preserve"> </w:t>
      </w:r>
      <w:r w:rsidRPr="008A0A12">
        <w:t>consider,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instance,</w:t>
      </w:r>
      <w:r w:rsidR="00D17A94">
        <w:t xml:space="preserve"> </w:t>
      </w:r>
      <w:r w:rsidRPr="008A0A12">
        <w:t>incorrect</w:t>
      </w:r>
      <w:r w:rsidR="00D17A94">
        <w:t xml:space="preserve"> </w:t>
      </w:r>
      <w:r w:rsidRPr="008A0A12">
        <w:t>diagnostics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serious</w:t>
      </w:r>
      <w:r w:rsidR="00D17A94">
        <w:t xml:space="preserve"> </w:t>
      </w:r>
      <w:r w:rsidRPr="008A0A12">
        <w:t>shortcoming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activity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facility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facility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counselling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prevention.</w:t>
      </w:r>
    </w:p>
    <w:p w:rsidR="00F33762" w:rsidRPr="008A0A12" w:rsidRDefault="00F33762" w:rsidP="00F33762">
      <w:pPr>
        <w:pStyle w:val="SingleTxtG"/>
      </w:pPr>
      <w:r w:rsidRPr="008A0A12">
        <w:t>141.</w:t>
      </w:r>
      <w:r w:rsidRPr="008A0A12">
        <w:tab/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year</w:t>
      </w:r>
      <w:r w:rsidR="00D17A94">
        <w:t xml:space="preserve"> </w:t>
      </w:r>
      <w:r w:rsidRPr="008A0A12">
        <w:t>2014/2015,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SSI,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initiative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MESRS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started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deal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inclusive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schools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detail.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SSI,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cooperation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non-governmental</w:t>
      </w:r>
      <w:r w:rsidR="00D17A94">
        <w:t xml:space="preserve"> </w:t>
      </w:r>
      <w:r w:rsidRPr="008A0A12">
        <w:t>organisations,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set</w:t>
      </w:r>
      <w:r w:rsidR="00D17A94">
        <w:t xml:space="preserve"> </w:t>
      </w:r>
      <w:r w:rsidRPr="008A0A12">
        <w:t>criteria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segregation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schools.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SSI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level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schools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facilities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year</w:t>
      </w:r>
      <w:r w:rsidR="00D17A94">
        <w:t xml:space="preserve"> </w:t>
      </w:r>
      <w:r w:rsidRPr="008A0A12">
        <w:t>2014/2015</w:t>
      </w:r>
      <w:r w:rsidR="00D17A94">
        <w:t xml:space="preserve"> </w:t>
      </w:r>
      <w:r w:rsidRPr="008A0A12">
        <w:t>contains</w:t>
      </w:r>
      <w:r w:rsidR="00D17A94">
        <w:t xml:space="preserve"> </w:t>
      </w:r>
      <w:r w:rsidRPr="008A0A12">
        <w:t>spatial</w:t>
      </w:r>
      <w:r w:rsidR="00D17A94">
        <w:t xml:space="preserve"> </w:t>
      </w:r>
      <w:r w:rsidRPr="008A0A12">
        <w:t>segregation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3</w:t>
      </w:r>
      <w:r w:rsidR="00D17A94">
        <w:t xml:space="preserve"> </w:t>
      </w:r>
      <w:r w:rsidRPr="008A0A12">
        <w:t>cases.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SSI</w:t>
      </w:r>
      <w:r w:rsidR="00D17A94">
        <w:t xml:space="preserve"> </w:t>
      </w:r>
      <w:r w:rsidRPr="008A0A12">
        <w:t>imposed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elimination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identified</w:t>
      </w:r>
      <w:r w:rsidR="00D17A94">
        <w:t xml:space="preserve"> </w:t>
      </w:r>
      <w:r w:rsidRPr="008A0A12">
        <w:t>shortcomings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head</w:t>
      </w:r>
      <w:r w:rsidR="00D17A94">
        <w:t xml:space="preserve"> </w:t>
      </w:r>
      <w:r w:rsidRPr="008A0A12">
        <w:t>teachers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sent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findings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Centre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Consultancy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Civil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Rights.</w:t>
      </w:r>
    </w:p>
    <w:p w:rsidR="00F33762" w:rsidRPr="008A0A12" w:rsidRDefault="00F33762" w:rsidP="00F33762">
      <w:pPr>
        <w:pStyle w:val="SingleTxtG"/>
      </w:pPr>
      <w:r w:rsidRPr="008A0A12">
        <w:t>142.</w:t>
      </w:r>
      <w:r w:rsidRPr="008A0A12">
        <w:tab/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ensure</w:t>
      </w:r>
      <w:r w:rsidR="00D17A94">
        <w:t xml:space="preserve"> </w:t>
      </w:r>
      <w:r w:rsidRPr="008A0A12">
        <w:t>inclusive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SDB,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inspection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conducted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57</w:t>
      </w:r>
      <w:r w:rsidR="00D17A94">
        <w:t xml:space="preserve"> </w:t>
      </w:r>
      <w:r w:rsidRPr="008A0A12">
        <w:t>elementary</w:t>
      </w:r>
      <w:r w:rsidR="00D17A94">
        <w:t xml:space="preserve"> </w:t>
      </w:r>
      <w:r w:rsidRPr="008A0A12">
        <w:t>schools,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53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schools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4</w:t>
      </w:r>
      <w:r w:rsidR="00D17A94">
        <w:t xml:space="preserve"> </w:t>
      </w:r>
      <w:r w:rsidRPr="008A0A12">
        <w:t>church</w:t>
      </w:r>
      <w:r w:rsidR="00D17A94">
        <w:t xml:space="preserve"> </w:t>
      </w:r>
      <w:r w:rsidRPr="008A0A12">
        <w:t>schools.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inspected</w:t>
      </w:r>
      <w:r w:rsidR="00D17A94">
        <w:t xml:space="preserve"> </w:t>
      </w:r>
      <w:r w:rsidRPr="008A0A12">
        <w:t>entities,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12,794</w:t>
      </w:r>
      <w:r w:rsidR="00D17A94">
        <w:t xml:space="preserve"> </w:t>
      </w:r>
      <w:r w:rsidRPr="008A0A12">
        <w:t>pupils,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1,808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SDB.</w:t>
      </w:r>
      <w:r w:rsidR="00D17A94">
        <w:t xml:space="preserve"> </w:t>
      </w:r>
      <w:r w:rsidRPr="008A0A12">
        <w:t>Criteria,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status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creation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inclusive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evaluated,</w:t>
      </w:r>
      <w:r w:rsidR="00D17A94">
        <w:t xml:space="preserve"> </w:t>
      </w:r>
      <w:r w:rsidRPr="008A0A12">
        <w:t>consisted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programmes,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definition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objectives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strategies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curricula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schools</w:t>
      </w:r>
      <w:r w:rsidR="00D17A94">
        <w:t xml:space="preserve"> </w:t>
      </w:r>
      <w:r w:rsidRPr="008A0A12">
        <w:t>considering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specific</w:t>
      </w:r>
      <w:r w:rsidR="00D17A94">
        <w:t xml:space="preserve"> </w:t>
      </w:r>
      <w:r w:rsidRPr="008A0A12">
        <w:t>needs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SDB.</w:t>
      </w:r>
      <w:r w:rsidR="00D17A94">
        <w:t xml:space="preserve"> </w:t>
      </w:r>
      <w:r w:rsidRPr="008A0A12">
        <w:t>No</w:t>
      </w:r>
      <w:r w:rsidR="00D17A94">
        <w:t xml:space="preserve"> </w:t>
      </w:r>
      <w:r w:rsidRPr="008A0A12">
        <w:t>unauthorised</w:t>
      </w:r>
      <w:r w:rsidR="00D17A94">
        <w:t xml:space="preserve"> </w:t>
      </w:r>
      <w:r w:rsidRPr="008A0A12">
        <w:t>inclusion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classes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elementary</w:t>
      </w:r>
      <w:r w:rsidR="00D17A94">
        <w:t xml:space="preserve"> </w:t>
      </w:r>
      <w:r w:rsidRPr="008A0A12">
        <w:t>schools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disabled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identified.</w:t>
      </w:r>
    </w:p>
    <w:p w:rsidR="00F33762" w:rsidRPr="008A0A12" w:rsidRDefault="00F33762" w:rsidP="00F33762">
      <w:pPr>
        <w:pStyle w:val="SingleTxtG"/>
      </w:pPr>
      <w:r w:rsidRPr="008A0A12">
        <w:t>143.</w:t>
      </w:r>
      <w:r w:rsidRPr="008A0A12">
        <w:tab/>
        <w:t>An</w:t>
      </w:r>
      <w:r w:rsidR="00D17A94">
        <w:t xml:space="preserve"> </w:t>
      </w:r>
      <w:r w:rsidRPr="008A0A12">
        <w:t>alarming</w:t>
      </w:r>
      <w:r w:rsidR="00D17A94">
        <w:t xml:space="preserve"> </w:t>
      </w:r>
      <w:r w:rsidRPr="008A0A12">
        <w:t>finding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inspected</w:t>
      </w:r>
      <w:r w:rsidR="00D17A94">
        <w:t xml:space="preserve"> </w:t>
      </w:r>
      <w:r w:rsidRPr="008A0A12">
        <w:t>entities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second</w:t>
      </w:r>
      <w:r w:rsidR="00D17A94">
        <w:t xml:space="preserve"> </w:t>
      </w:r>
      <w:r w:rsidRPr="008A0A12">
        <w:t>half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year</w:t>
      </w:r>
      <w:r w:rsidR="00D17A94">
        <w:t xml:space="preserve"> </w:t>
      </w:r>
      <w:r w:rsidRPr="008A0A12">
        <w:t>2013/2014</w:t>
      </w:r>
      <w:r w:rsidR="00D17A94">
        <w:t xml:space="preserve"> </w:t>
      </w:r>
      <w:r w:rsidRPr="008A0A12">
        <w:t>had</w:t>
      </w:r>
      <w:r w:rsidR="00D17A94">
        <w:t xml:space="preserve"> </w:t>
      </w:r>
      <w:r w:rsidRPr="008A0A12">
        <w:t>21,800</w:t>
      </w:r>
      <w:r w:rsidR="00D17A94">
        <w:t xml:space="preserve"> </w:t>
      </w:r>
      <w:r w:rsidRPr="008A0A12">
        <w:t>unauthorised</w:t>
      </w:r>
      <w:r w:rsidR="00D17A94">
        <w:t xml:space="preserve"> </w:t>
      </w:r>
      <w:r w:rsidRPr="008A0A12">
        <w:t>absences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8,762</w:t>
      </w:r>
      <w:r w:rsidR="00D17A94">
        <w:t xml:space="preserve"> </w:t>
      </w:r>
      <w:r w:rsidRPr="008A0A12">
        <w:t>absences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first</w:t>
      </w:r>
      <w:r w:rsidR="00D17A94">
        <w:t xml:space="preserve"> </w:t>
      </w:r>
      <w:r w:rsidRPr="008A0A12">
        <w:t>half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year</w:t>
      </w:r>
      <w:r w:rsidR="00D17A94">
        <w:t xml:space="preserve"> </w:t>
      </w:r>
      <w:r w:rsidRPr="008A0A12">
        <w:t>2014/2015.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reason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absenteeism</w:t>
      </w:r>
      <w:r w:rsidR="00D17A94">
        <w:t xml:space="preserve"> </w:t>
      </w:r>
      <w:r w:rsidRPr="008A0A12">
        <w:t>consisted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bad</w:t>
      </w:r>
      <w:r w:rsidR="00D17A94">
        <w:t xml:space="preserve"> </w:t>
      </w:r>
      <w:r w:rsidRPr="008A0A12">
        <w:t>financial</w:t>
      </w:r>
      <w:r w:rsidR="00D17A94">
        <w:t xml:space="preserve"> </w:t>
      </w:r>
      <w:r w:rsidRPr="008A0A12">
        <w:t>situation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families,</w:t>
      </w:r>
      <w:r w:rsidR="00D17A94">
        <w:t xml:space="preserve"> </w:t>
      </w:r>
      <w:r w:rsidRPr="008A0A12">
        <w:t>low</w:t>
      </w:r>
      <w:r w:rsidR="00D17A94">
        <w:t xml:space="preserve"> </w:t>
      </w:r>
      <w:r w:rsidRPr="008A0A12">
        <w:t>motivation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study,</w:t>
      </w:r>
      <w:r w:rsidR="00D17A94">
        <w:t xml:space="preserve"> </w:t>
      </w:r>
      <w:r w:rsidRPr="008A0A12">
        <w:t>indifferent</w:t>
      </w:r>
      <w:r w:rsidR="00D17A94">
        <w:t xml:space="preserve"> </w:t>
      </w:r>
      <w:r w:rsidRPr="008A0A12">
        <w:t>approach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parents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fulfilment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duties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regular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attendance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homework.</w:t>
      </w:r>
      <w:r w:rsidR="00D17A94">
        <w:t xml:space="preserve"> </w:t>
      </w:r>
      <w:r w:rsidRPr="008A0A12">
        <w:t>Teachers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dealing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absenteeism</w:t>
      </w:r>
      <w:r w:rsidR="00D17A94">
        <w:t xml:space="preserve"> </w:t>
      </w:r>
      <w:r w:rsidRPr="008A0A12">
        <w:t>together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relevant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administration</w:t>
      </w:r>
      <w:r w:rsidR="00D17A94">
        <w:t xml:space="preserve"> </w:t>
      </w:r>
      <w:r w:rsidRPr="008A0A12">
        <w:t>authorities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municipality.</w:t>
      </w:r>
      <w:r w:rsidR="00D17A94">
        <w:t xml:space="preserve"> </w:t>
      </w:r>
      <w:r w:rsidRPr="008A0A12">
        <w:t>Effective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improvement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pupils</w:t>
      </w:r>
      <w:r w:rsidR="00413AEE">
        <w:t>’</w:t>
      </w:r>
      <w:r w:rsidR="00D17A94">
        <w:t xml:space="preserve"> </w:t>
      </w:r>
      <w:r w:rsidRPr="008A0A12">
        <w:t>attendance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regular</w:t>
      </w:r>
      <w:r w:rsidR="00D17A94">
        <w:t xml:space="preserve"> </w:t>
      </w:r>
      <w:r w:rsidRPr="008A0A12">
        <w:t>monitoring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attendance,</w:t>
      </w:r>
      <w:r w:rsidR="00D17A94">
        <w:t xml:space="preserve"> </w:t>
      </w:r>
      <w:r w:rsidRPr="008A0A12">
        <w:t>home</w:t>
      </w:r>
      <w:r w:rsidR="00D17A94">
        <w:t xml:space="preserve"> </w:t>
      </w:r>
      <w:r w:rsidRPr="008A0A12">
        <w:t>visits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teaching</w:t>
      </w:r>
      <w:r w:rsidR="00D17A94">
        <w:t xml:space="preserve"> </w:t>
      </w:r>
      <w:r w:rsidRPr="008A0A12">
        <w:t>assistants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families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individual</w:t>
      </w:r>
      <w:r w:rsidR="00D17A94">
        <w:t xml:space="preserve"> </w:t>
      </w:r>
      <w:r w:rsidRPr="008A0A12">
        <w:t>discussions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legal</w:t>
      </w:r>
      <w:r w:rsidR="00D17A94">
        <w:t xml:space="preserve"> </w:t>
      </w:r>
      <w:r w:rsidRPr="008A0A12">
        <w:t>representatives.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above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available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website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SSI.</w:t>
      </w:r>
      <w:r w:rsidRPr="001878DB">
        <w:rPr>
          <w:rStyle w:val="FootnoteReference"/>
        </w:rPr>
        <w:footnoteReference w:id="12"/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144.</w:t>
      </w:r>
      <w:r w:rsidRPr="008A0A12">
        <w:tab/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inspected</w:t>
      </w:r>
      <w:r w:rsidR="00D17A94">
        <w:t xml:space="preserve"> </w:t>
      </w:r>
      <w:r w:rsidRPr="008A0A12">
        <w:t>entities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SSI</w:t>
      </w:r>
      <w:r w:rsidR="00D17A94">
        <w:t xml:space="preserve"> </w:t>
      </w:r>
      <w:r w:rsidRPr="008A0A12">
        <w:t>found</w:t>
      </w:r>
      <w:r w:rsidR="00D17A94">
        <w:t xml:space="preserve"> </w:t>
      </w:r>
      <w:r w:rsidRPr="008A0A12">
        <w:t>out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31</w:t>
      </w:r>
      <w:r w:rsidR="00D17A94">
        <w:t xml:space="preserve"> </w:t>
      </w:r>
      <w:r w:rsidRPr="008A0A12">
        <w:t>elementary</w:t>
      </w:r>
      <w:r w:rsidR="00D17A94">
        <w:t xml:space="preserve"> </w:t>
      </w:r>
      <w:r w:rsidRPr="008A0A12">
        <w:t>schools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possible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assess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creation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inclusive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due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high</w:t>
      </w:r>
      <w:r w:rsidR="00D17A94">
        <w:t xml:space="preserve"> </w:t>
      </w:r>
      <w:r w:rsidRPr="008A0A12">
        <w:t>share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marginalised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communities</w:t>
      </w:r>
      <w:r w:rsidR="00D17A94">
        <w:t xml:space="preserve"> </w:t>
      </w:r>
      <w:r w:rsidRPr="008A0A12">
        <w:t>(70</w:t>
      </w:r>
      <w:r w:rsidR="00CD3239">
        <w:t>%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100</w:t>
      </w:r>
      <w:r w:rsidR="00CD3239">
        <w:t>%</w:t>
      </w:r>
      <w:r w:rsidRPr="008A0A12">
        <w:t>).</w:t>
      </w:r>
      <w:r w:rsidR="00D17A94">
        <w:t xml:space="preserve"> </w:t>
      </w:r>
      <w:r w:rsidRPr="008A0A12">
        <w:t>Further,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three</w:t>
      </w:r>
      <w:r w:rsidR="00D17A94">
        <w:t xml:space="preserve"> </w:t>
      </w:r>
      <w:r w:rsidRPr="008A0A12">
        <w:t>elementary</w:t>
      </w:r>
      <w:r w:rsidR="00D17A94">
        <w:t xml:space="preserve"> </w:t>
      </w:r>
      <w:r w:rsidRPr="008A0A12">
        <w:t>schools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conducted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two</w:t>
      </w:r>
      <w:r w:rsidR="00D17A94">
        <w:t xml:space="preserve"> </w:t>
      </w:r>
      <w:r w:rsidRPr="008A0A12">
        <w:t>shifts</w:t>
      </w:r>
      <w:r w:rsidR="00D17A94">
        <w:t xml:space="preserve"> </w:t>
      </w:r>
      <w:r w:rsidRPr="008A0A12">
        <w:t>due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insufficient</w:t>
      </w:r>
      <w:r w:rsidR="00D17A94">
        <w:t xml:space="preserve"> </w:t>
      </w:r>
      <w:r w:rsidRPr="008A0A12">
        <w:t>space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classic</w:t>
      </w:r>
      <w:r w:rsidR="00D17A94">
        <w:t xml:space="preserve"> </w:t>
      </w:r>
      <w:r w:rsidRPr="008A0A12">
        <w:t>classrooms,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no</w:t>
      </w:r>
      <w:r w:rsidR="00D17A94">
        <w:t xml:space="preserve"> </w:t>
      </w:r>
      <w:r w:rsidRPr="008A0A12">
        <w:t>gymnasium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10</w:t>
      </w:r>
      <w:r w:rsidR="00D17A94">
        <w:t xml:space="preserve"> </w:t>
      </w:r>
      <w:r w:rsidRPr="008A0A12">
        <w:t>entities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no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canteen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3</w:t>
      </w:r>
      <w:r w:rsidR="00D17A94">
        <w:t xml:space="preserve"> </w:t>
      </w:r>
      <w:r w:rsidRPr="008A0A12">
        <w:t>schools.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145.</w:t>
      </w:r>
      <w:r w:rsidRPr="008A0A12">
        <w:tab/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Creating</w:t>
      </w:r>
      <w:r w:rsidR="00D17A94">
        <w:t xml:space="preserve"> </w:t>
      </w:r>
      <w:r w:rsidRPr="008A0A12">
        <w:t>Preconditions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Ensuring</w:t>
      </w:r>
      <w:r w:rsidR="00D17A94">
        <w:t xml:space="preserve"> </w:t>
      </w:r>
      <w:r w:rsidRPr="008A0A12">
        <w:t>Inclusive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Elementary</w:t>
      </w:r>
      <w:r w:rsidR="00D17A94">
        <w:t xml:space="preserve"> </w:t>
      </w:r>
      <w:r w:rsidRPr="008A0A12">
        <w:t>Schools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Year</w:t>
      </w:r>
      <w:r w:rsidR="00D17A94">
        <w:t xml:space="preserve"> </w:t>
      </w:r>
      <w:r w:rsidRPr="008A0A12">
        <w:t>2015/2016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SSI</w:t>
      </w:r>
      <w:r w:rsidR="00D17A94">
        <w:t xml:space="preserve"> </w:t>
      </w:r>
      <w:r w:rsidRPr="008A0A12">
        <w:t>states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connection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inspection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creating</w:t>
      </w:r>
      <w:r w:rsidR="00D17A94">
        <w:t xml:space="preserve"> </w:t>
      </w:r>
      <w:r w:rsidRPr="008A0A12">
        <w:t>preconditions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ensuring</w:t>
      </w:r>
      <w:r w:rsidR="00D17A94">
        <w:t xml:space="preserve"> </w:t>
      </w:r>
      <w:r w:rsidRPr="008A0A12">
        <w:t>inclusive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MRC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found</w:t>
      </w:r>
      <w:r w:rsidR="00D17A94">
        <w:t xml:space="preserve"> </w:t>
      </w:r>
      <w:r w:rsidRPr="008A0A12">
        <w:t>serious</w:t>
      </w:r>
      <w:r w:rsidR="00D17A94">
        <w:t xml:space="preserve"> </w:t>
      </w:r>
      <w:r w:rsidRPr="008A0A12">
        <w:t>breaches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general</w:t>
      </w:r>
      <w:r w:rsidR="00D17A94">
        <w:t xml:space="preserve"> </w:t>
      </w:r>
      <w:r w:rsidRPr="008A0A12">
        <w:t>binding</w:t>
      </w:r>
      <w:r w:rsidR="00D17A94">
        <w:t xml:space="preserve"> </w:t>
      </w:r>
      <w:r w:rsidRPr="008A0A12">
        <w:t>legal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internal</w:t>
      </w:r>
      <w:r w:rsidR="00D17A94">
        <w:t xml:space="preserve"> </w:t>
      </w:r>
      <w:r w:rsidRPr="008A0A12">
        <w:t>regulations,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had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negative</w:t>
      </w:r>
      <w:r w:rsidR="00D17A94">
        <w:t xml:space="preserve"> </w:t>
      </w:r>
      <w:r w:rsidRPr="008A0A12">
        <w:t>impact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quality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(spatial</w:t>
      </w:r>
      <w:r w:rsidR="00D17A94">
        <w:t xml:space="preserve"> </w:t>
      </w:r>
      <w:r w:rsidRPr="008A0A12">
        <w:t>exclusion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MRC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creating</w:t>
      </w:r>
      <w:r w:rsidR="00D17A94">
        <w:t xml:space="preserve"> </w:t>
      </w:r>
      <w:r w:rsidRPr="008A0A12">
        <w:t>classes</w:t>
      </w:r>
      <w:r w:rsidR="00D17A94">
        <w:t xml:space="preserve"> </w:t>
      </w:r>
      <w:r w:rsidRPr="008A0A12">
        <w:t>attended</w:t>
      </w:r>
      <w:r w:rsidR="00D17A94">
        <w:t xml:space="preserve"> </w:t>
      </w:r>
      <w:r w:rsidRPr="008A0A12">
        <w:t>only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MRC,</w:t>
      </w:r>
      <w:r w:rsidR="00D17A94">
        <w:t xml:space="preserve"> </w:t>
      </w:r>
      <w:r w:rsidRPr="008A0A12">
        <w:t>separate</w:t>
      </w:r>
      <w:r w:rsidR="00D17A94">
        <w:t xml:space="preserve"> </w:t>
      </w:r>
      <w:r w:rsidRPr="008A0A12">
        <w:t>eating</w:t>
      </w:r>
      <w:r w:rsidR="00D17A94">
        <w:t xml:space="preserve"> </w:t>
      </w:r>
      <w:r w:rsidRPr="008A0A12">
        <w:t>places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MRC;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without</w:t>
      </w:r>
      <w:r w:rsidR="00D17A94">
        <w:t xml:space="preserve"> </w:t>
      </w:r>
      <w:r w:rsidRPr="008A0A12">
        <w:t>diagnosed</w:t>
      </w:r>
      <w:r w:rsidR="00D17A94">
        <w:t xml:space="preserve"> </w:t>
      </w:r>
      <w:r w:rsidRPr="008A0A12">
        <w:t>handicap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first</w:t>
      </w:r>
      <w:r w:rsidR="00D17A94">
        <w:t xml:space="preserve"> </w:t>
      </w:r>
      <w:r w:rsidRPr="008A0A12">
        <w:t>year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specialised</w:t>
      </w:r>
      <w:r w:rsidR="00D17A94">
        <w:t xml:space="preserve"> </w:t>
      </w:r>
      <w:r w:rsidRPr="008A0A12">
        <w:t>class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mild</w:t>
      </w:r>
      <w:r w:rsidR="00D17A94">
        <w:t xml:space="preserve"> </w:t>
      </w:r>
      <w:r w:rsidRPr="008A0A12">
        <w:t>degree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mental</w:t>
      </w:r>
      <w:r w:rsidR="00D17A94">
        <w:t xml:space="preserve"> </w:t>
      </w:r>
      <w:r w:rsidRPr="008A0A12">
        <w:t>disability;</w:t>
      </w:r>
      <w:r w:rsidR="00D17A94">
        <w:t xml:space="preserve"> </w:t>
      </w:r>
      <w:r w:rsidRPr="008A0A12">
        <w:t>no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programmes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developed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moderate</w:t>
      </w:r>
      <w:r w:rsidR="00D17A94">
        <w:t xml:space="preserve"> </w:t>
      </w:r>
      <w:r w:rsidRPr="008A0A12">
        <w:t>degree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mental</w:t>
      </w:r>
      <w:r w:rsidR="00D17A94">
        <w:t xml:space="preserve"> </w:t>
      </w:r>
      <w:r w:rsidRPr="008A0A12">
        <w:t>disability;</w:t>
      </w:r>
      <w:r w:rsidR="00D17A94">
        <w:t xml:space="preserve"> </w:t>
      </w:r>
      <w:r w:rsidRPr="008A0A12">
        <w:t>teaching</w:t>
      </w:r>
      <w:r w:rsidR="00D17A94">
        <w:t xml:space="preserve"> </w:t>
      </w:r>
      <w:r w:rsidRPr="008A0A12">
        <w:t>expertise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lastRenderedPageBreak/>
        <w:t>not</w:t>
      </w:r>
      <w:r w:rsidR="00D17A94">
        <w:t xml:space="preserve"> </w:t>
      </w:r>
      <w:r w:rsidRPr="008A0A12">
        <w:t>ensured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specialised</w:t>
      </w:r>
      <w:r w:rsidR="00D17A94">
        <w:t xml:space="preserve"> </w:t>
      </w:r>
      <w:r w:rsidRPr="008A0A12">
        <w:t>class;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maximum</w:t>
      </w:r>
      <w:r w:rsidR="00D17A94">
        <w:t xml:space="preserve"> </w:t>
      </w:r>
      <w:r w:rsidRPr="008A0A12">
        <w:t>number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specialised</w:t>
      </w:r>
      <w:r w:rsidR="00D17A94">
        <w:t xml:space="preserve"> </w:t>
      </w:r>
      <w:r w:rsidRPr="008A0A12">
        <w:t>class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exceeded;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prepared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Institute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Policy).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146.</w:t>
      </w:r>
      <w:r w:rsidRPr="008A0A12">
        <w:tab/>
        <w:t>The</w:t>
      </w:r>
      <w:r w:rsidR="00D17A94">
        <w:t xml:space="preserve"> </w:t>
      </w:r>
      <w:r w:rsidRPr="008A0A12">
        <w:t>SSI</w:t>
      </w:r>
      <w:r w:rsidR="00D17A94">
        <w:t xml:space="preserve"> </w:t>
      </w:r>
      <w:r w:rsidRPr="008A0A12">
        <w:t>imposed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head</w:t>
      </w:r>
      <w:r w:rsidR="00D17A94">
        <w:t xml:space="preserve"> </w:t>
      </w:r>
      <w:r w:rsidRPr="008A0A12">
        <w:t>masters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inspected</w:t>
      </w:r>
      <w:r w:rsidR="00D17A94">
        <w:t xml:space="preserve"> </w:t>
      </w:r>
      <w:r w:rsidRPr="008A0A12">
        <w:t>entities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duty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take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identified</w:t>
      </w:r>
      <w:r w:rsidR="00D17A94">
        <w:t xml:space="preserve"> </w:t>
      </w:r>
      <w:r w:rsidRPr="008A0A12">
        <w:t>shortcomings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eliminate</w:t>
      </w:r>
      <w:r w:rsidR="00D17A94">
        <w:t xml:space="preserve"> </w:t>
      </w:r>
      <w:r w:rsidRPr="008A0A12">
        <w:t>them.</w:t>
      </w:r>
      <w:r w:rsidR="00D17A94">
        <w:t xml:space="preserve"> </w:t>
      </w:r>
      <w:r w:rsidRPr="008A0A12">
        <w:t>Further,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implemented</w:t>
      </w:r>
      <w:r w:rsidR="00D17A94">
        <w:t xml:space="preserve"> </w:t>
      </w:r>
      <w:r w:rsidRPr="008A0A12">
        <w:t>20</w:t>
      </w:r>
      <w:r w:rsidR="00D17A94">
        <w:t xml:space="preserve"> </w:t>
      </w:r>
      <w:r w:rsidRPr="008A0A12">
        <w:t>recommendations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ensuring</w:t>
      </w:r>
      <w:r w:rsidR="00D17A94">
        <w:t xml:space="preserve"> </w:t>
      </w:r>
      <w:r w:rsidRPr="008A0A12">
        <w:t>preconditions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inclusive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MRC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schools.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147.</w:t>
      </w:r>
      <w:r w:rsidRPr="008A0A12">
        <w:tab/>
        <w:t>The</w:t>
      </w:r>
      <w:r w:rsidR="00D17A94">
        <w:t xml:space="preserve"> </w:t>
      </w:r>
      <w:r w:rsidRPr="008A0A12">
        <w:t>creation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preconditions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ensuring</w:t>
      </w:r>
      <w:r w:rsidR="00D17A94">
        <w:t xml:space="preserve"> </w:t>
      </w:r>
      <w:r w:rsidRPr="008A0A12">
        <w:t>inclusive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year</w:t>
      </w:r>
      <w:r w:rsidR="00D17A94">
        <w:t xml:space="preserve"> </w:t>
      </w:r>
      <w:r w:rsidRPr="008A0A12">
        <w:t>2015/2016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monitored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21</w:t>
      </w:r>
      <w:r w:rsidR="00D17A94">
        <w:t xml:space="preserve"> </w:t>
      </w:r>
      <w:r w:rsidRPr="008A0A12">
        <w:t>elementary</w:t>
      </w:r>
      <w:r w:rsidR="00D17A94">
        <w:t xml:space="preserve"> </w:t>
      </w:r>
      <w:r w:rsidRPr="008A0A12">
        <w:t>schools.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schools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attended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186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685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MRC,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whom</w:t>
      </w:r>
      <w:r w:rsidR="00D17A94">
        <w:t xml:space="preserve"> </w:t>
      </w:r>
      <w:r w:rsidRPr="008A0A12">
        <w:t>required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application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specific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methods.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143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MRC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82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classes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mental</w:t>
      </w:r>
      <w:r w:rsidR="00D17A94">
        <w:t xml:space="preserve"> </w:t>
      </w:r>
      <w:r w:rsidRPr="008A0A12">
        <w:t>disability.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allowance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improving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given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schools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433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MRC.</w:t>
      </w:r>
      <w:r w:rsidR="00D17A94">
        <w:t xml:space="preserve"> </w:t>
      </w:r>
      <w:r w:rsidRPr="008A0A12">
        <w:t>Basic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documents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developed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schools</w:t>
      </w:r>
      <w:r w:rsidR="00D17A94">
        <w:t xml:space="preserve"> </w:t>
      </w:r>
      <w:r w:rsidRPr="008A0A12"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principles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objectives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stipulated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Law,</w:t>
      </w:r>
      <w:r w:rsidR="00D17A94">
        <w:t xml:space="preserve"> </w:t>
      </w:r>
      <w:r w:rsidRPr="008A0A12">
        <w:t>but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them</w:t>
      </w:r>
      <w:r w:rsidR="00D17A94">
        <w:t xml:space="preserve"> </w:t>
      </w:r>
      <w:r w:rsidRPr="008A0A12">
        <w:t>did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always</w:t>
      </w:r>
      <w:r w:rsidR="00D17A94">
        <w:t xml:space="preserve"> </w:t>
      </w:r>
      <w:r w:rsidRPr="008A0A12">
        <w:t>lead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creation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preconditions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inclusive</w:t>
      </w:r>
      <w:r w:rsidR="00D17A94">
        <w:t xml:space="preserve"> </w:t>
      </w:r>
      <w:r w:rsidRPr="008A0A12">
        <w:t>education,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acceptance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needs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pupils,</w:t>
      </w:r>
      <w:r w:rsidR="00D17A94">
        <w:t xml:space="preserve"> </w:t>
      </w:r>
      <w:r w:rsidRPr="008A0A12">
        <w:t>including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needs,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SDB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MRC.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148.</w:t>
      </w:r>
      <w:r w:rsidRPr="008A0A12">
        <w:tab/>
        <w:t>Educational</w:t>
      </w:r>
      <w:r w:rsidR="00D17A94">
        <w:t xml:space="preserve"> </w:t>
      </w:r>
      <w:r w:rsidRPr="008A0A12">
        <w:t>programmes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mental</w:t>
      </w:r>
      <w:r w:rsidR="00D17A94">
        <w:t xml:space="preserve"> </w:t>
      </w:r>
      <w:r w:rsidRPr="008A0A12">
        <w:t>disability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thoroughly</w:t>
      </w:r>
      <w:r w:rsidR="00D17A94">
        <w:t xml:space="preserve"> </w:t>
      </w:r>
      <w:r w:rsidRPr="008A0A12">
        <w:t>developed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some</w:t>
      </w:r>
      <w:r w:rsidR="00D17A94">
        <w:t xml:space="preserve"> </w:t>
      </w:r>
      <w:r w:rsidRPr="008A0A12">
        <w:t>schools.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mild</w:t>
      </w:r>
      <w:r w:rsidR="00D17A94">
        <w:t xml:space="preserve"> </w:t>
      </w:r>
      <w:r w:rsidRPr="008A0A12">
        <w:t>mental</w:t>
      </w:r>
      <w:r w:rsidR="00D17A94">
        <w:t xml:space="preserve"> </w:t>
      </w:r>
      <w:r w:rsidRPr="008A0A12">
        <w:t>retardation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mainly</w:t>
      </w:r>
      <w:r w:rsidR="00D17A94">
        <w:t xml:space="preserve"> </w:t>
      </w:r>
      <w:r w:rsidRPr="008A0A12">
        <w:t>taught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classes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regular</w:t>
      </w:r>
      <w:r w:rsidR="00D17A94">
        <w:t xml:space="preserve"> </w:t>
      </w:r>
      <w:r w:rsidRPr="008A0A12">
        <w:t>classes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mainstream</w:t>
      </w:r>
      <w:r w:rsidR="00D17A94">
        <w:t xml:space="preserve"> </w:t>
      </w:r>
      <w:r w:rsidRPr="008A0A12">
        <w:t>education.</w:t>
      </w:r>
      <w:r w:rsidR="00D17A94">
        <w:t xml:space="preserve"> </w:t>
      </w:r>
      <w:r w:rsidRPr="008A0A12">
        <w:t>Two</w:t>
      </w:r>
      <w:r w:rsidR="00D17A94">
        <w:t xml:space="preserve"> </w:t>
      </w:r>
      <w:r w:rsidRPr="008A0A12">
        <w:t>schools</w:t>
      </w:r>
      <w:r w:rsidR="00D17A94">
        <w:t xml:space="preserve"> </w:t>
      </w:r>
      <w:r w:rsidRPr="008A0A12">
        <w:t>had</w:t>
      </w:r>
      <w:r w:rsidR="00D17A94">
        <w:t xml:space="preserve"> </w:t>
      </w:r>
      <w:r w:rsidRPr="008A0A12">
        <w:t>classes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only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another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organisation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separate</w:t>
      </w:r>
      <w:r w:rsidR="00D17A94">
        <w:t xml:space="preserve"> </w:t>
      </w:r>
      <w:r w:rsidRPr="008A0A12">
        <w:t>eating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conducted</w:t>
      </w:r>
      <w:r w:rsidR="00D17A94">
        <w:t xml:space="preserve"> </w:t>
      </w:r>
      <w:r w:rsidRPr="008A0A12">
        <w:t>contrary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principles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stipulated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Law.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regular</w:t>
      </w:r>
      <w:r w:rsidR="00D17A94">
        <w:t xml:space="preserve"> </w:t>
      </w:r>
      <w:r w:rsidRPr="008A0A12">
        <w:t>classes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1st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2nd</w:t>
      </w:r>
      <w:r w:rsidR="00D17A94">
        <w:t xml:space="preserve"> </w:t>
      </w:r>
      <w:r w:rsidRPr="008A0A12">
        <w:t>level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conducted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teachers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met</w:t>
      </w:r>
      <w:r w:rsidR="00D17A94">
        <w:t xml:space="preserve"> </w:t>
      </w:r>
      <w:r w:rsidRPr="008A0A12">
        <w:t>qualification</w:t>
      </w:r>
      <w:r w:rsidR="00D17A94">
        <w:t xml:space="preserve"> </w:t>
      </w:r>
      <w:r w:rsidRPr="008A0A12">
        <w:t>preconditions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qualification</w:t>
      </w:r>
      <w:r w:rsidR="00D17A94">
        <w:t xml:space="preserve"> </w:t>
      </w:r>
      <w:r w:rsidRPr="008A0A12">
        <w:t>preconditions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teaching</w:t>
      </w:r>
      <w:r w:rsidR="00D17A94">
        <w:t xml:space="preserve"> </w:t>
      </w:r>
      <w:r w:rsidRPr="008A0A12">
        <w:t>activity.</w:t>
      </w:r>
      <w:r w:rsidR="00D17A94">
        <w:t xml:space="preserve"> </w:t>
      </w:r>
      <w:r w:rsidRPr="008A0A12">
        <w:t>Teaching</w:t>
      </w:r>
      <w:r w:rsidR="00D17A94">
        <w:t xml:space="preserve"> </w:t>
      </w:r>
      <w:r w:rsidRPr="008A0A12">
        <w:t>expertise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always</w:t>
      </w:r>
      <w:r w:rsidR="00D17A94">
        <w:t xml:space="preserve"> </w:t>
      </w:r>
      <w:r w:rsidRPr="008A0A12">
        <w:t>thoroughly</w:t>
      </w:r>
      <w:r w:rsidR="00D17A94">
        <w:t xml:space="preserve"> </w:t>
      </w:r>
      <w:r w:rsidRPr="008A0A12">
        <w:t>ensured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classes.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regard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1st</w:t>
      </w:r>
      <w:r w:rsidR="00D17A94">
        <w:t xml:space="preserve"> </w:t>
      </w:r>
      <w:r w:rsidRPr="008A0A12">
        <w:t>level,</w:t>
      </w:r>
      <w:r w:rsidR="00D17A94">
        <w:t xml:space="preserve"> </w:t>
      </w:r>
      <w:r w:rsidRPr="008A0A12">
        <w:t>teachers</w:t>
      </w:r>
      <w:r w:rsidR="00D17A94">
        <w:t xml:space="preserve"> </w:t>
      </w:r>
      <w:r w:rsidRPr="008A0A12">
        <w:t>had</w:t>
      </w:r>
      <w:r w:rsidR="00D17A94">
        <w:t xml:space="preserve"> </w:t>
      </w:r>
      <w:r w:rsidRPr="008A0A12">
        <w:t>assistants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could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speak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native</w:t>
      </w:r>
      <w:r w:rsidR="00D17A94">
        <w:t xml:space="preserve"> </w:t>
      </w:r>
      <w:r w:rsidRPr="008A0A12">
        <w:t>language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MRC.</w:t>
      </w:r>
    </w:p>
    <w:p w:rsidR="00F33762" w:rsidRPr="008A0A12" w:rsidRDefault="00F33762" w:rsidP="00F33762">
      <w:pPr>
        <w:pStyle w:val="SingleTxtG"/>
      </w:pPr>
      <w:r w:rsidRPr="008A0A12">
        <w:t>149.</w:t>
      </w:r>
      <w:r w:rsidRPr="008A0A12">
        <w:tab/>
        <w:t>A</w:t>
      </w:r>
      <w:r w:rsidR="00D17A94">
        <w:t xml:space="preserve"> </w:t>
      </w:r>
      <w:r w:rsidRPr="008A0A12">
        <w:t>project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day-long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care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implemented</w:t>
      </w:r>
      <w:r w:rsidR="00D17A94">
        <w:t xml:space="preserve"> </w:t>
      </w:r>
      <w:r w:rsidRPr="008A0A12">
        <w:t>only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three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inspected</w:t>
      </w:r>
      <w:r w:rsidR="00D17A94">
        <w:t xml:space="preserve"> </w:t>
      </w:r>
      <w:r w:rsidRPr="008A0A12">
        <w:t>schools.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interested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afternoon</w:t>
      </w:r>
      <w:r w:rsidR="00D17A94">
        <w:t xml:space="preserve"> </w:t>
      </w:r>
      <w:r w:rsidRPr="008A0A12">
        <w:t>activity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children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club</w:t>
      </w:r>
      <w:r w:rsidR="00D17A94">
        <w:t xml:space="preserve"> </w:t>
      </w:r>
      <w:r w:rsidRPr="008A0A12">
        <w:t>(SCC).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attention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attracted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extra-curricular</w:t>
      </w:r>
      <w:r w:rsidR="00D17A94">
        <w:t xml:space="preserve"> </w:t>
      </w:r>
      <w:r w:rsidRPr="008A0A12">
        <w:t>activities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interest</w:t>
      </w:r>
      <w:r w:rsidR="00D17A94">
        <w:t xml:space="preserve"> </w:t>
      </w:r>
      <w:r w:rsidRPr="008A0A12">
        <w:t>groups.</w:t>
      </w:r>
    </w:p>
    <w:p w:rsidR="00F33762" w:rsidRPr="008A0A12" w:rsidRDefault="00F33762" w:rsidP="00F33762">
      <w:pPr>
        <w:pStyle w:val="SingleTxtG"/>
      </w:pPr>
      <w:r w:rsidRPr="008A0A12">
        <w:t>150.</w:t>
      </w:r>
      <w:r w:rsidRPr="008A0A12">
        <w:tab/>
        <w:t>Cooperation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legal</w:t>
      </w:r>
      <w:r w:rsidR="00D17A94">
        <w:t xml:space="preserve"> </w:t>
      </w:r>
      <w:r w:rsidRPr="008A0A12">
        <w:t>representatives</w:t>
      </w:r>
      <w:r w:rsidR="00D17A94">
        <w:t xml:space="preserve"> </w:t>
      </w:r>
      <w:r w:rsidRPr="008A0A12">
        <w:t>seemed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less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efficient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teachers</w:t>
      </w:r>
      <w:r w:rsidR="00413AEE">
        <w:t>’</w:t>
      </w:r>
      <w:r w:rsidR="00D17A94">
        <w:t xml:space="preserve"> </w:t>
      </w:r>
      <w:r w:rsidRPr="008A0A12">
        <w:t>point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view.</w:t>
      </w:r>
      <w:r w:rsidR="00D17A94">
        <w:t xml:space="preserve"> </w:t>
      </w:r>
      <w:r w:rsidRPr="008A0A12">
        <w:t>Parents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interested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results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children.</w:t>
      </w:r>
      <w:r w:rsidR="00D17A94">
        <w:t xml:space="preserve"> </w:t>
      </w:r>
      <w:r w:rsidRPr="008A0A12">
        <w:t>They</w:t>
      </w:r>
      <w:r w:rsidR="00D17A94">
        <w:t xml:space="preserve"> </w:t>
      </w:r>
      <w:r w:rsidRPr="008A0A12">
        <w:t>did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thoroughly</w:t>
      </w:r>
      <w:r w:rsidR="00D17A94">
        <w:t xml:space="preserve"> </w:t>
      </w:r>
      <w:r w:rsidRPr="008A0A12">
        <w:t>ensure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attendance.</w:t>
      </w:r>
      <w:r w:rsidR="00D17A94">
        <w:t xml:space="preserve"> </w:t>
      </w:r>
      <w:r w:rsidRPr="008A0A12">
        <w:t>Cooperation</w:t>
      </w:r>
      <w:r w:rsidR="00D17A94">
        <w:t xml:space="preserve"> </w:t>
      </w:r>
      <w:r w:rsidRPr="008A0A12">
        <w:t>possibilities</w:t>
      </w:r>
      <w:r w:rsidR="00D17A94">
        <w:t xml:space="preserve"> </w:t>
      </w:r>
      <w:r w:rsidRPr="008A0A12">
        <w:t>offered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schools</w:t>
      </w:r>
      <w:r w:rsidR="00D17A94">
        <w:t xml:space="preserve"> </w:t>
      </w:r>
      <w:r w:rsidRPr="008A0A12">
        <w:t>remained</w:t>
      </w:r>
      <w:r w:rsidR="00D17A94">
        <w:t xml:space="preserve"> </w:t>
      </w:r>
      <w:r w:rsidRPr="008A0A12">
        <w:t>basically</w:t>
      </w:r>
      <w:r w:rsidR="00D17A94">
        <w:t xml:space="preserve"> </w:t>
      </w:r>
      <w:r w:rsidRPr="008A0A12">
        <w:t>unanswered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legal</w:t>
      </w:r>
      <w:r w:rsidR="00D17A94">
        <w:t xml:space="preserve"> </w:t>
      </w:r>
      <w:r w:rsidRPr="008A0A12">
        <w:t>representatives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pupils.</w:t>
      </w:r>
      <w:r w:rsidR="00D17A94">
        <w:t xml:space="preserve"> </w:t>
      </w:r>
      <w:r w:rsidRPr="008A0A12">
        <w:t>Cooperation</w:t>
      </w:r>
      <w:r w:rsidR="00D17A94">
        <w:t xml:space="preserve"> </w:t>
      </w:r>
      <w:r w:rsidRPr="008A0A12">
        <w:t>between</w:t>
      </w:r>
      <w:r w:rsidR="00D17A94">
        <w:t xml:space="preserve"> </w:t>
      </w:r>
      <w:r w:rsidRPr="008A0A12">
        <w:t>teachers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advisory</w:t>
      </w:r>
      <w:r w:rsidR="00D17A94">
        <w:t xml:space="preserve"> </w:t>
      </w:r>
      <w:r w:rsidRPr="008A0A12">
        <w:t>services,</w:t>
      </w:r>
      <w:r w:rsidR="00D17A94">
        <w:t xml:space="preserve"> </w:t>
      </w:r>
      <w:r w:rsidRPr="008A0A12">
        <w:t>municipalities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community</w:t>
      </w:r>
      <w:r w:rsidR="00D17A94">
        <w:t xml:space="preserve"> </w:t>
      </w:r>
      <w:r w:rsidRPr="008A0A12">
        <w:t>centres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relatively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effective.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process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conducted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open</w:t>
      </w:r>
      <w:r w:rsidR="00D17A94">
        <w:t xml:space="preserve"> </w:t>
      </w:r>
      <w:r w:rsidRPr="008A0A12">
        <w:t>working</w:t>
      </w:r>
      <w:r w:rsidR="00D17A94">
        <w:t xml:space="preserve"> </w:t>
      </w:r>
      <w:r w:rsidRPr="008A0A12">
        <w:t>atmosphere,</w:t>
      </w:r>
      <w:r w:rsidR="00D17A94">
        <w:t xml:space="preserve"> </w:t>
      </w:r>
      <w:r w:rsidRPr="008A0A12">
        <w:t>without</w:t>
      </w:r>
      <w:r w:rsidR="00D17A94">
        <w:t xml:space="preserve"> </w:t>
      </w:r>
      <w:r w:rsidRPr="008A0A12">
        <w:t>indications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discrimination</w:t>
      </w:r>
      <w:r w:rsidR="00D17A94">
        <w:t xml:space="preserve"> </w:t>
      </w:r>
      <w:r w:rsidRPr="008A0A12">
        <w:t>behaviour,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suitable</w:t>
      </w:r>
      <w:r w:rsidR="00D17A94">
        <w:t xml:space="preserve"> </w:t>
      </w:r>
      <w:r w:rsidRPr="008A0A12">
        <w:t>spatial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classes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good</w:t>
      </w:r>
      <w:r w:rsidR="00D17A94">
        <w:t xml:space="preserve"> </w:t>
      </w:r>
      <w:r w:rsidRPr="008A0A12">
        <w:t>material-technical</w:t>
      </w:r>
      <w:r w:rsidR="00D17A94">
        <w:t xml:space="preserve"> </w:t>
      </w:r>
      <w:r w:rsidRPr="008A0A12">
        <w:t>equipment.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selection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forms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methods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teaching</w:t>
      </w:r>
      <w:r w:rsidR="00D17A94">
        <w:t xml:space="preserve"> </w:t>
      </w:r>
      <w:r w:rsidRPr="008A0A12">
        <w:t>predominantly</w:t>
      </w:r>
      <w:r w:rsidR="00D17A94">
        <w:t xml:space="preserve"> </w:t>
      </w:r>
      <w:r w:rsidRPr="008A0A12">
        <w:t>respected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age</w:t>
      </w:r>
      <w:r w:rsidR="00D17A94">
        <w:t xml:space="preserve"> </w:t>
      </w:r>
      <w:r w:rsidRPr="008A0A12">
        <w:t>specificities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pupils,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abilities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possibilities,</w:t>
      </w:r>
      <w:r w:rsidR="00D17A94">
        <w:t xml:space="preserve"> </w:t>
      </w:r>
      <w:r w:rsidRPr="008A0A12">
        <w:t>but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limitations</w:t>
      </w:r>
      <w:r w:rsidR="00D17A94">
        <w:t xml:space="preserve"> </w:t>
      </w:r>
      <w:r w:rsidRPr="008A0A12">
        <w:t>arising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background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they</w:t>
      </w:r>
      <w:r w:rsidR="00D17A94">
        <w:t xml:space="preserve"> </w:t>
      </w:r>
      <w:r w:rsidRPr="008A0A12">
        <w:t>lived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handicap.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stronger</w:t>
      </w:r>
      <w:r w:rsidR="00D17A94">
        <w:t xml:space="preserve"> </w:t>
      </w:r>
      <w:r w:rsidRPr="008A0A12">
        <w:t>application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specific</w:t>
      </w:r>
      <w:r w:rsidR="00D17A94">
        <w:t xml:space="preserve"> </w:t>
      </w:r>
      <w:r w:rsidRPr="008A0A12">
        <w:t>methods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forms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classes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classes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pupils</w:t>
      </w:r>
      <w:r w:rsidR="00D17A94">
        <w:t xml:space="preserve"> </w:t>
      </w:r>
      <w:r w:rsidRPr="008A0A12">
        <w:t>only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absent.</w:t>
      </w:r>
    </w:p>
    <w:p w:rsidR="00F33762" w:rsidRPr="008A0A12" w:rsidRDefault="00F33762" w:rsidP="00246704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10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151.</w:t>
      </w:r>
      <w:r w:rsidRPr="008A0A12">
        <w:tab/>
        <w:t>At</w:t>
      </w:r>
      <w:r w:rsidR="00D17A94">
        <w:t xml:space="preserve"> </w:t>
      </w:r>
      <w:r w:rsidRPr="008A0A12">
        <w:t>present,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legislation,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includes</w:t>
      </w:r>
      <w:r w:rsidR="00D17A94">
        <w:t xml:space="preserve"> </w:t>
      </w:r>
      <w:r w:rsidRPr="008A0A12">
        <w:t>international</w:t>
      </w:r>
      <w:r w:rsidR="00D17A94">
        <w:t xml:space="preserve"> </w:t>
      </w:r>
      <w:r w:rsidRPr="008A0A12">
        <w:t>treaties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fundamental</w:t>
      </w:r>
      <w:r w:rsidR="00D17A94">
        <w:t xml:space="preserve"> </w:t>
      </w:r>
      <w:r w:rsidRPr="008A0A12">
        <w:t>freedoms</w:t>
      </w:r>
      <w:r w:rsidR="00D17A94">
        <w:t xml:space="preserve"> </w:t>
      </w:r>
      <w:r w:rsidRPr="008A0A12">
        <w:t>ratified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prohibits</w:t>
      </w:r>
      <w:r w:rsidR="00D17A94">
        <w:t xml:space="preserve"> </w:t>
      </w:r>
      <w:r w:rsidRPr="008A0A12">
        <w:t>discrimination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any</w:t>
      </w:r>
      <w:r w:rsidR="00D17A94">
        <w:t xml:space="preserve"> </w:t>
      </w:r>
      <w:r w:rsidRPr="008A0A12">
        <w:t>grounds,</w:t>
      </w:r>
      <w:r w:rsidR="00D17A94">
        <w:t xml:space="preserve"> </w:t>
      </w:r>
      <w:r w:rsidRPr="008A0A12">
        <w:t>including</w:t>
      </w:r>
      <w:r w:rsidR="00D17A94">
        <w:t xml:space="preserve"> </w:t>
      </w:r>
      <w:r w:rsidRPr="008A0A12">
        <w:t>discrimination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sexual</w:t>
      </w:r>
      <w:r w:rsidR="00D17A94">
        <w:t xml:space="preserve"> </w:t>
      </w:r>
      <w:r w:rsidRPr="008A0A12">
        <w:t>orientation.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152.</w:t>
      </w:r>
      <w:r w:rsidRPr="008A0A12">
        <w:tab/>
        <w:t>A</w:t>
      </w:r>
      <w:r w:rsidR="00D17A94">
        <w:t xml:space="preserve"> </w:t>
      </w:r>
      <w:r w:rsidRPr="008A0A12">
        <w:t>Committee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Lesbian,</w:t>
      </w:r>
      <w:r w:rsidR="00D17A94">
        <w:t xml:space="preserve"> </w:t>
      </w:r>
      <w:r w:rsidRPr="008A0A12">
        <w:t>Gay,</w:t>
      </w:r>
      <w:r w:rsidR="00D17A94">
        <w:t xml:space="preserve"> </w:t>
      </w:r>
      <w:r w:rsidRPr="008A0A12">
        <w:t>Bisexual,</w:t>
      </w:r>
      <w:r w:rsidR="00D17A94">
        <w:t xml:space="preserve"> </w:t>
      </w:r>
      <w:r w:rsidRPr="008A0A12">
        <w:t>Transgender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Intersex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formed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Resolution</w:t>
      </w:r>
      <w:r w:rsidR="00D17A94">
        <w:t xml:space="preserve"> </w:t>
      </w:r>
      <w:r w:rsidRPr="008A0A12">
        <w:t>516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3</w:t>
      </w:r>
      <w:r w:rsidR="00D17A94">
        <w:t xml:space="preserve"> </w:t>
      </w:r>
      <w:r w:rsidRPr="008A0A12">
        <w:t>October</w:t>
      </w:r>
      <w:r w:rsidR="00D17A94">
        <w:t xml:space="preserve"> </w:t>
      </w:r>
      <w:r w:rsidRPr="008A0A12">
        <w:t>2012.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153.</w:t>
      </w:r>
      <w:r w:rsidRPr="008A0A12">
        <w:tab/>
        <w:t>On</w:t>
      </w:r>
      <w:r w:rsidR="00D17A94">
        <w:t xml:space="preserve"> </w:t>
      </w:r>
      <w:r w:rsidRPr="008A0A12">
        <w:t>4</w:t>
      </w:r>
      <w:r w:rsidR="00D17A94">
        <w:t xml:space="preserve"> </w:t>
      </w:r>
      <w:r w:rsidRPr="008A0A12">
        <w:t>June</w:t>
      </w:r>
      <w:r w:rsidR="00D17A94">
        <w:t xml:space="preserve"> </w:t>
      </w:r>
      <w:r w:rsidRPr="008A0A12">
        <w:t>2014,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parliament</w:t>
      </w:r>
      <w:r w:rsidR="00D17A94">
        <w:t xml:space="preserve"> </w:t>
      </w:r>
      <w:r w:rsidRPr="008A0A12">
        <w:t>approved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amendment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Constitution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which,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effect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September</w:t>
      </w:r>
      <w:r w:rsidR="00D17A94">
        <w:t xml:space="preserve"> </w:t>
      </w:r>
      <w:r w:rsidRPr="008A0A12">
        <w:t>2014,</w:t>
      </w:r>
      <w:r w:rsidR="00D17A94">
        <w:t xml:space="preserve"> </w:t>
      </w:r>
      <w:r w:rsidR="00413AEE">
        <w:t>“</w:t>
      </w:r>
      <w:r w:rsidRPr="008A0A12">
        <w:t>marriage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unique</w:t>
      </w:r>
      <w:r w:rsidR="00D17A94">
        <w:t xml:space="preserve"> </w:t>
      </w:r>
      <w:r w:rsidRPr="008A0A12">
        <w:t>bond</w:t>
      </w:r>
      <w:r w:rsidR="00D17A94">
        <w:t xml:space="preserve"> </w:t>
      </w:r>
      <w:r w:rsidRPr="008A0A12">
        <w:t>between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man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woman</w:t>
      </w:r>
      <w:r w:rsidR="00413AEE">
        <w:t>”</w:t>
      </w:r>
      <w:r w:rsidR="00D17A94">
        <w:t xml:space="preserve"> </w:t>
      </w:r>
      <w:r w:rsidRPr="008A0A12">
        <w:t>(</w:t>
      </w:r>
      <w:r w:rsidR="00505C54">
        <w:t>a</w:t>
      </w:r>
      <w:r w:rsidRPr="008A0A12">
        <w:t>rt</w:t>
      </w:r>
      <w:r w:rsidR="00505C54">
        <w:t>.</w:t>
      </w:r>
      <w:r w:rsidR="00D17A94">
        <w:t xml:space="preserve"> </w:t>
      </w:r>
      <w:r w:rsidRPr="008A0A12">
        <w:t>41,</w:t>
      </w:r>
      <w:r w:rsidR="00D17A94">
        <w:t xml:space="preserve"> </w:t>
      </w:r>
      <w:r w:rsidR="00505C54">
        <w:t>p</w:t>
      </w:r>
      <w:r w:rsidRPr="008A0A12">
        <w:t>ara</w:t>
      </w:r>
      <w:r w:rsidR="00505C54">
        <w:t>.</w:t>
      </w:r>
      <w:r w:rsidR="00D17A94">
        <w:t xml:space="preserve"> </w:t>
      </w:r>
      <w:r w:rsidRPr="008A0A12">
        <w:t>1).</w:t>
      </w:r>
    </w:p>
    <w:p w:rsidR="00F33762" w:rsidRPr="008A0A12" w:rsidRDefault="00F33762" w:rsidP="00F33762">
      <w:pPr>
        <w:pStyle w:val="SingleTxtG"/>
      </w:pPr>
      <w:r w:rsidRPr="008A0A12">
        <w:t>154.</w:t>
      </w:r>
      <w:r w:rsidRPr="008A0A12">
        <w:tab/>
        <w:t>In</w:t>
      </w:r>
      <w:r w:rsidR="00D17A94">
        <w:t xml:space="preserve"> </w:t>
      </w:r>
      <w:r w:rsidRPr="008A0A12">
        <w:t>July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August</w:t>
      </w:r>
      <w:r w:rsidR="00D17A94">
        <w:t xml:space="preserve"> </w:t>
      </w:r>
      <w:r w:rsidRPr="008A0A12">
        <w:t>2014,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MFEA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organised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series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meetings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experts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Strategy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Promotion.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lastRenderedPageBreak/>
        <w:t>155.</w:t>
      </w:r>
      <w:r w:rsidRPr="008A0A12">
        <w:tab/>
        <w:t>In</w:t>
      </w:r>
      <w:r w:rsidR="00D17A94">
        <w:t xml:space="preserve"> </w:t>
      </w:r>
      <w:r w:rsidRPr="008A0A12">
        <w:t>September</w:t>
      </w:r>
      <w:r w:rsidR="00D17A94">
        <w:t xml:space="preserve"> </w:t>
      </w:r>
      <w:r w:rsidRPr="008A0A12">
        <w:t>2014,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400,000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signed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petition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declare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referendum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marriages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same</w:t>
      </w:r>
      <w:r w:rsidR="00D17A94">
        <w:t xml:space="preserve"> </w:t>
      </w:r>
      <w:r w:rsidRPr="008A0A12">
        <w:t>sex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registered</w:t>
      </w:r>
      <w:r w:rsidR="00D17A94">
        <w:t xml:space="preserve"> </w:t>
      </w:r>
      <w:r w:rsidRPr="008A0A12">
        <w:t>partnerships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same</w:t>
      </w:r>
      <w:r w:rsidR="00D17A94">
        <w:t xml:space="preserve"> </w:t>
      </w:r>
      <w:r w:rsidRPr="008A0A12">
        <w:t>sex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sexual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schools.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referendum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held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February</w:t>
      </w:r>
      <w:r w:rsidR="00D17A94">
        <w:t xml:space="preserve"> </w:t>
      </w:r>
      <w:r w:rsidRPr="008A0A12">
        <w:t>2015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participation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only</w:t>
      </w:r>
      <w:r w:rsidR="00D17A94">
        <w:t xml:space="preserve"> </w:t>
      </w:r>
      <w:r w:rsidRPr="008A0A12">
        <w:t>20</w:t>
      </w:r>
      <w:r w:rsidR="00CD3239">
        <w:t>%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entitled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participate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referendum.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regard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fact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constitutionally</w:t>
      </w:r>
      <w:r w:rsidR="00D17A94">
        <w:t xml:space="preserve"> </w:t>
      </w:r>
      <w:r w:rsidRPr="008A0A12">
        <w:t>required</w:t>
      </w:r>
      <w:r w:rsidR="00D17A94">
        <w:t xml:space="preserve"> </w:t>
      </w:r>
      <w:r w:rsidRPr="008A0A12">
        <w:t>50</w:t>
      </w:r>
      <w:r w:rsidR="00CD3239">
        <w:t>%</w:t>
      </w:r>
      <w:r w:rsidR="00D17A94">
        <w:t xml:space="preserve"> </w:t>
      </w:r>
      <w:r w:rsidRPr="008A0A12">
        <w:t>participation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achieved,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referendum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invalid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unsuccessful.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156.</w:t>
      </w:r>
      <w:r w:rsidRPr="008A0A12">
        <w:tab/>
        <w:t>The</w:t>
      </w:r>
      <w:r w:rsidR="00D17A94">
        <w:t xml:space="preserve"> </w:t>
      </w:r>
      <w:r w:rsidRPr="008A0A12">
        <w:t>current</w:t>
      </w:r>
      <w:r w:rsidR="00D17A94">
        <w:t xml:space="preserve"> </w:t>
      </w:r>
      <w:r w:rsidRPr="008A0A12">
        <w:t>plan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legislative</w:t>
      </w:r>
      <w:r w:rsidR="00D17A94">
        <w:t xml:space="preserve"> </w:t>
      </w:r>
      <w:r w:rsidRPr="008A0A12">
        <w:t>tasks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MJ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does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include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legal</w:t>
      </w:r>
      <w:r w:rsidR="00D17A94">
        <w:t xml:space="preserve"> </w:t>
      </w:r>
      <w:r w:rsidRPr="008A0A12">
        <w:t>status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homosexual</w:t>
      </w:r>
      <w:r w:rsidR="00D17A94">
        <w:t xml:space="preserve"> </w:t>
      </w:r>
      <w:r w:rsidRPr="008A0A12">
        <w:t>couples.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157.</w:t>
      </w:r>
      <w:r w:rsidRPr="008A0A12">
        <w:tab/>
        <w:t>Amendment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Penal</w:t>
      </w:r>
      <w:r w:rsidR="00D17A94">
        <w:t xml:space="preserve"> </w:t>
      </w:r>
      <w:r w:rsidRPr="008A0A12">
        <w:t>Code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2015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motive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relates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crimes</w:t>
      </w:r>
      <w:r w:rsidR="00D17A94">
        <w:t xml:space="preserve"> </w:t>
      </w:r>
      <w:r w:rsidRPr="008A0A12">
        <w:t>motivated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hatred</w:t>
      </w:r>
      <w:r w:rsidR="00D17A94">
        <w:t xml:space="preserve"> </w:t>
      </w:r>
      <w:r w:rsidRPr="008A0A12">
        <w:t>toward</w:t>
      </w:r>
      <w:r w:rsidR="00D17A94">
        <w:t xml:space="preserve"> </w:t>
      </w:r>
      <w:r w:rsidRPr="008A0A12">
        <w:t>any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group.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140</w:t>
      </w:r>
      <w:r w:rsidR="00D17A94">
        <w:t xml:space="preserve"> </w:t>
      </w:r>
      <w:r w:rsidRPr="008A0A12">
        <w:t>(d)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(f),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motive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commitment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crime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publicly</w:t>
      </w:r>
      <w:r w:rsidR="00D17A94">
        <w:t xml:space="preserve"> </w:t>
      </w:r>
      <w:r w:rsidRPr="008A0A12">
        <w:t>incite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hatred</w:t>
      </w:r>
      <w:r w:rsidR="00D17A94">
        <w:t xml:space="preserve"> </w:t>
      </w:r>
      <w:r w:rsidRPr="008A0A12">
        <w:t>toward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group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individuals</w:t>
      </w:r>
      <w:r w:rsidR="00D17A94">
        <w:t xml:space="preserve"> </w:t>
      </w:r>
      <w:r w:rsidRPr="008A0A12">
        <w:t>due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membership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race,</w:t>
      </w:r>
      <w:r w:rsidR="00D17A94">
        <w:t xml:space="preserve"> </w:t>
      </w:r>
      <w:r w:rsidRPr="008A0A12">
        <w:t>nation,</w:t>
      </w:r>
      <w:r w:rsidR="00D17A94">
        <w:t xml:space="preserve"> </w:t>
      </w:r>
      <w:r w:rsidRPr="008A0A12">
        <w:t>nationality,</w:t>
      </w:r>
      <w:r w:rsidR="00D17A94">
        <w:t xml:space="preserve"> </w:t>
      </w:r>
      <w:r w:rsidRPr="008A0A12">
        <w:t>colour,</w:t>
      </w:r>
      <w:r w:rsidR="00D17A94">
        <w:t xml:space="preserve"> </w:t>
      </w:r>
      <w:r w:rsidRPr="008A0A12">
        <w:t>ethnic</w:t>
      </w:r>
      <w:r w:rsidR="00D17A94">
        <w:t xml:space="preserve"> </w:t>
      </w:r>
      <w:r w:rsidRPr="008A0A12">
        <w:t>group,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origin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religion</w:t>
      </w:r>
      <w:r w:rsidR="00D17A94">
        <w:t xml:space="preserve"> </w:t>
      </w:r>
      <w:r w:rsidRPr="008A0A12">
        <w:t>if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pretext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threats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previous</w:t>
      </w:r>
      <w:r w:rsidR="00D17A94">
        <w:t xml:space="preserve"> </w:t>
      </w:r>
      <w:r w:rsidRPr="008A0A12">
        <w:t>reasons,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simultaneously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commitment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crime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national,</w:t>
      </w:r>
      <w:r w:rsidR="00D17A94">
        <w:t xml:space="preserve"> </w:t>
      </w:r>
      <w:r w:rsidRPr="008A0A12">
        <w:t>ethnic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racial</w:t>
      </w:r>
      <w:r w:rsidR="00D17A94">
        <w:t xml:space="preserve"> </w:t>
      </w:r>
      <w:r w:rsidRPr="008A0A12">
        <w:t>hatred,</w:t>
      </w:r>
      <w:r w:rsidR="00D17A94">
        <w:t xml:space="preserve"> </w:t>
      </w:r>
      <w:r w:rsidRPr="008A0A12">
        <w:t>hatred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skin</w:t>
      </w:r>
      <w:r w:rsidR="00D17A94">
        <w:t xml:space="preserve"> </w:t>
      </w:r>
      <w:r w:rsidRPr="008A0A12">
        <w:t>colour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hatred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sexual</w:t>
      </w:r>
      <w:r w:rsidR="00D17A94">
        <w:t xml:space="preserve"> </w:t>
      </w:r>
      <w:r w:rsidRPr="008A0A12">
        <w:t>orientation.</w:t>
      </w:r>
    </w:p>
    <w:p w:rsidR="00F33762" w:rsidRPr="008A0A12" w:rsidRDefault="00F33762" w:rsidP="00246704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11</w:t>
      </w:r>
    </w:p>
    <w:p w:rsidR="00F33762" w:rsidRPr="008A0A12" w:rsidRDefault="00F33762" w:rsidP="00F33762">
      <w:pPr>
        <w:pStyle w:val="SingleTxtG"/>
      </w:pPr>
      <w:r w:rsidRPr="008A0A12">
        <w:t>158.</w:t>
      </w:r>
      <w:r w:rsidRPr="008A0A12">
        <w:tab/>
        <w:t>The</w:t>
      </w:r>
      <w:r w:rsidR="00D17A94">
        <w:t xml:space="preserve"> </w:t>
      </w:r>
      <w:r w:rsidRPr="008A0A12">
        <w:t>issue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institutionally</w:t>
      </w:r>
      <w:r w:rsidR="00D17A94">
        <w:t xml:space="preserve"> </w:t>
      </w:r>
      <w:r w:rsidRPr="008A0A12">
        <w:t>strengthened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2014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approval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fundamental</w:t>
      </w:r>
      <w:r w:rsidR="00D17A94">
        <w:t xml:space="preserve"> </w:t>
      </w:r>
      <w:r w:rsidRPr="008A0A12">
        <w:t>strategic</w:t>
      </w:r>
      <w:r w:rsidR="00D17A94">
        <w:t xml:space="preserve"> </w:t>
      </w:r>
      <w:r w:rsidRPr="008A0A12">
        <w:t>documents: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Strategy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Action</w:t>
      </w:r>
      <w:r w:rsidR="00D17A94">
        <w:t xml:space="preserve"> </w:t>
      </w:r>
      <w:r w:rsidRPr="008A0A12">
        <w:t>Plan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2014-2019</w:t>
      </w:r>
      <w:r w:rsidR="00D17A94">
        <w:t xml:space="preserve"> </w:t>
      </w:r>
      <w:r w:rsidRPr="008A0A12">
        <w:t>(more</w:t>
      </w:r>
      <w:r w:rsidR="00D17A94">
        <w:t xml:space="preserve"> </w:t>
      </w:r>
      <w:r w:rsidRPr="008A0A12">
        <w:t>detailed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Article</w:t>
      </w:r>
      <w:r w:rsidR="00D17A94">
        <w:t xml:space="preserve"> </w:t>
      </w:r>
      <w:r w:rsidRPr="008A0A12">
        <w:t>3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report).</w:t>
      </w:r>
    </w:p>
    <w:p w:rsidR="00F33762" w:rsidRPr="008A0A12" w:rsidRDefault="00F33762" w:rsidP="00246704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12</w:t>
      </w:r>
      <w:r w:rsidRPr="008A0A12">
        <w:br/>
        <w:t>Measures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reducing</w:t>
      </w:r>
      <w:r w:rsidR="00D17A94">
        <w:t xml:space="preserve"> </w:t>
      </w:r>
      <w:r w:rsidRPr="008A0A12">
        <w:t>big</w:t>
      </w:r>
      <w:r w:rsidR="00D17A94">
        <w:t xml:space="preserve"> </w:t>
      </w:r>
      <w:r w:rsidRPr="008A0A12">
        <w:t>regional</w:t>
      </w:r>
      <w:r w:rsidR="00D17A94">
        <w:t xml:space="preserve"> </w:t>
      </w:r>
      <w:r w:rsidRPr="008A0A12">
        <w:t>differences</w:t>
      </w:r>
    </w:p>
    <w:p w:rsidR="00F33762" w:rsidRPr="008A0A12" w:rsidRDefault="00F33762" w:rsidP="00F33762">
      <w:pPr>
        <w:pStyle w:val="SingleTxtG"/>
      </w:pPr>
      <w:r w:rsidRPr="008A0A12">
        <w:t>159.</w:t>
      </w:r>
      <w:r w:rsidRPr="008A0A12">
        <w:tab/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intensively</w:t>
      </w:r>
      <w:r w:rsidR="00D17A94">
        <w:t xml:space="preserve"> </w:t>
      </w:r>
      <w:r w:rsidRPr="008A0A12">
        <w:t>addressing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creation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new</w:t>
      </w:r>
      <w:r w:rsidR="00D17A94">
        <w:t xml:space="preserve"> </w:t>
      </w:r>
      <w:r w:rsidRPr="008A0A12">
        <w:t>jobs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districts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highest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reduce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regional</w:t>
      </w:r>
      <w:r w:rsidR="00D17A94">
        <w:t xml:space="preserve"> </w:t>
      </w:r>
      <w:r w:rsidRPr="008A0A12">
        <w:t>differences.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context,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336/2015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Least</w:t>
      </w:r>
      <w:r w:rsidR="00D17A94">
        <w:t xml:space="preserve"> </w:t>
      </w:r>
      <w:r w:rsidRPr="008A0A12">
        <w:t>Developed</w:t>
      </w:r>
      <w:r w:rsidR="00D17A94">
        <w:t xml:space="preserve"> </w:t>
      </w:r>
      <w:r w:rsidRPr="008A0A12">
        <w:t>Districts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adopted.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Central</w:t>
      </w:r>
      <w:r w:rsidR="00D17A94">
        <w:t xml:space="preserve"> </w:t>
      </w:r>
      <w:r w:rsidRPr="008A0A12">
        <w:t>Office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Labour,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Affairs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keeps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publishes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list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least</w:t>
      </w:r>
      <w:r w:rsidR="00D17A94">
        <w:t xml:space="preserve"> </w:t>
      </w:r>
      <w:r w:rsidRPr="008A0A12">
        <w:t>developed</w:t>
      </w:r>
      <w:r w:rsidR="00D17A94">
        <w:t xml:space="preserve"> </w:t>
      </w:r>
      <w:r w:rsidRPr="008A0A12">
        <w:t>districts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headquarters.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list</w:t>
      </w:r>
      <w:r w:rsidR="00D17A94">
        <w:t xml:space="preserve"> </w:t>
      </w:r>
      <w:r w:rsidRPr="008A0A12">
        <w:t>includes</w:t>
      </w:r>
      <w:r w:rsidR="00D17A94">
        <w:t xml:space="preserve"> </w:t>
      </w:r>
      <w:r w:rsidRPr="008A0A12">
        <w:t>districts,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least</w:t>
      </w:r>
      <w:r w:rsidR="00D17A94">
        <w:t xml:space="preserve"> </w:t>
      </w:r>
      <w:r w:rsidRPr="008A0A12">
        <w:t>nine</w:t>
      </w:r>
      <w:r w:rsidR="00D17A94">
        <w:t xml:space="preserve"> </w:t>
      </w:r>
      <w:r w:rsidRPr="008A0A12">
        <w:t>calendar</w:t>
      </w:r>
      <w:r w:rsidR="00D17A94">
        <w:t xml:space="preserve"> </w:t>
      </w:r>
      <w:r w:rsidRPr="008A0A12">
        <w:t>quarters</w:t>
      </w:r>
      <w:r w:rsidR="00D17A94">
        <w:t xml:space="preserve"> </w:t>
      </w:r>
      <w:r w:rsidRPr="008A0A12">
        <w:t>during</w:t>
      </w:r>
      <w:r w:rsidR="00D17A94">
        <w:t xml:space="preserve"> </w:t>
      </w:r>
      <w:r w:rsidRPr="008A0A12">
        <w:t>previous</w:t>
      </w:r>
      <w:r w:rsidR="00D17A94">
        <w:t xml:space="preserve"> </w:t>
      </w:r>
      <w:r w:rsidRPr="008A0A12">
        <w:t>twelve</w:t>
      </w:r>
      <w:r w:rsidR="00D17A94">
        <w:t xml:space="preserve"> </w:t>
      </w:r>
      <w:r w:rsidRPr="008A0A12">
        <w:t>consecutive</w:t>
      </w:r>
      <w:r w:rsidR="00D17A94">
        <w:t xml:space="preserve"> </w:t>
      </w:r>
      <w:r w:rsidRPr="008A0A12">
        <w:t>calendar</w:t>
      </w:r>
      <w:r w:rsidR="00D17A94">
        <w:t xml:space="preserve"> </w:t>
      </w:r>
      <w:r w:rsidRPr="008A0A12">
        <w:t>quarters</w:t>
      </w:r>
      <w:r w:rsidR="00D17A94">
        <w:t xml:space="preserve"> </w:t>
      </w:r>
      <w:r w:rsidRPr="008A0A12">
        <w:t>higher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1.6</w:t>
      </w:r>
      <w:r w:rsidR="00D17A94">
        <w:t xml:space="preserve"> </w:t>
      </w:r>
      <w:r w:rsidRPr="008A0A12">
        <w:t>times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average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registered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same</w:t>
      </w:r>
      <w:r w:rsidR="00D17A94">
        <w:t xml:space="preserve"> </w:t>
      </w:r>
      <w:r w:rsidRPr="008A0A12">
        <w:t>period.</w:t>
      </w:r>
      <w:r w:rsidR="00D17A94">
        <w:t xml:space="preserve"> </w:t>
      </w:r>
      <w:r w:rsidRPr="008A0A12">
        <w:t>Beneficiaries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least</w:t>
      </w:r>
      <w:r w:rsidR="00D17A94">
        <w:t xml:space="preserve"> </w:t>
      </w:r>
      <w:r w:rsidRPr="008A0A12">
        <w:t>developed</w:t>
      </w:r>
      <w:r w:rsidR="00D17A94">
        <w:t xml:space="preserve"> </w:t>
      </w:r>
      <w:r w:rsidRPr="008A0A12">
        <w:t>districts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municipalities</w:t>
      </w:r>
      <w:r w:rsidR="00D17A94">
        <w:t xml:space="preserve"> </w:t>
      </w:r>
      <w:r w:rsidRPr="008A0A12">
        <w:t>located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least</w:t>
      </w:r>
      <w:r w:rsidR="00D17A94">
        <w:t xml:space="preserve"> </w:t>
      </w:r>
      <w:r w:rsidRPr="008A0A12">
        <w:t>developed</w:t>
      </w:r>
      <w:r w:rsidR="00D17A94">
        <w:t xml:space="preserve"> </w:t>
      </w:r>
      <w:r w:rsidRPr="008A0A12">
        <w:t>district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entities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local</w:t>
      </w:r>
      <w:r w:rsidR="00D17A94">
        <w:t xml:space="preserve"> </w:t>
      </w:r>
      <w:r w:rsidRPr="008A0A12">
        <w:t>cooperation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compliance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Action</w:t>
      </w:r>
      <w:r w:rsidR="00D17A94">
        <w:t xml:space="preserve"> </w:t>
      </w:r>
      <w:r w:rsidRPr="008A0A12">
        <w:t>Plan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Least</w:t>
      </w:r>
      <w:r w:rsidR="00D17A94">
        <w:t xml:space="preserve"> </w:t>
      </w:r>
      <w:r w:rsidRPr="008A0A12">
        <w:t>Developed</w:t>
      </w:r>
      <w:r w:rsidR="00D17A94">
        <w:t xml:space="preserve"> </w:t>
      </w:r>
      <w:r w:rsidRPr="008A0A12">
        <w:t>District.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160.</w:t>
      </w:r>
      <w:r w:rsidRPr="008A0A12">
        <w:tab/>
        <w:t>In</w:t>
      </w:r>
      <w:r w:rsidR="00D17A94">
        <w:t xml:space="preserve"> </w:t>
      </w:r>
      <w:r w:rsidRPr="008A0A12">
        <w:t>December</w:t>
      </w:r>
      <w:r w:rsidR="00D17A94">
        <w:t xml:space="preserve"> </w:t>
      </w:r>
      <w:r w:rsidRPr="008A0A12">
        <w:t>2015,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above</w:t>
      </w:r>
      <w:r w:rsidR="00D17A94">
        <w:t xml:space="preserve"> </w:t>
      </w:r>
      <w:r w:rsidRPr="008A0A12">
        <w:t>act,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list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12</w:t>
      </w:r>
      <w:r w:rsidR="00D17A94">
        <w:t xml:space="preserve"> </w:t>
      </w:r>
      <w:r w:rsidRPr="008A0A12">
        <w:t>least</w:t>
      </w:r>
      <w:r w:rsidR="00D17A94">
        <w:t xml:space="preserve"> </w:t>
      </w:r>
      <w:r w:rsidRPr="008A0A12">
        <w:t>developed</w:t>
      </w:r>
      <w:r w:rsidR="00D17A94">
        <w:t xml:space="preserve"> </w:t>
      </w:r>
      <w:r w:rsidRPr="008A0A12">
        <w:t>districts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prepared,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proofErr w:type="spellStart"/>
      <w:r w:rsidRPr="008A0A12">
        <w:t>Prešov</w:t>
      </w:r>
      <w:proofErr w:type="spellEnd"/>
      <w:r w:rsidRPr="008A0A12">
        <w:t>,</w:t>
      </w:r>
      <w:r w:rsidR="00D17A94">
        <w:t xml:space="preserve"> </w:t>
      </w:r>
      <w:proofErr w:type="spellStart"/>
      <w:r w:rsidRPr="008A0A12">
        <w:t>Banská</w:t>
      </w:r>
      <w:proofErr w:type="spellEnd"/>
      <w:r w:rsidR="00D17A94">
        <w:t xml:space="preserve"> </w:t>
      </w:r>
      <w:proofErr w:type="spellStart"/>
      <w:r w:rsidRPr="008A0A12">
        <w:t>Bystrica</w:t>
      </w:r>
      <w:proofErr w:type="spellEnd"/>
      <w:r w:rsidR="00D17A94">
        <w:t xml:space="preserve"> </w:t>
      </w:r>
      <w:r w:rsidRPr="008A0A12">
        <w:t>and</w:t>
      </w:r>
      <w:r w:rsidR="00D17A94">
        <w:t xml:space="preserve"> </w:t>
      </w:r>
      <w:proofErr w:type="spellStart"/>
      <w:r w:rsidRPr="008A0A12">
        <w:t>Košice</w:t>
      </w:r>
      <w:proofErr w:type="spellEnd"/>
      <w:r w:rsidR="00D17A94">
        <w:t xml:space="preserve"> </w:t>
      </w:r>
      <w:r w:rsidRPr="008A0A12">
        <w:t>regions.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districts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follows</w:t>
      </w:r>
      <w:r w:rsidR="00D17A94">
        <w:t xml:space="preserve"> </w:t>
      </w:r>
      <w:r w:rsidR="00456170">
        <w:t>—</w:t>
      </w:r>
      <w:r w:rsidR="00D17A94">
        <w:t xml:space="preserve"> </w:t>
      </w:r>
      <w:proofErr w:type="spellStart"/>
      <w:r w:rsidRPr="008A0A12">
        <w:t>Lučenec</w:t>
      </w:r>
      <w:proofErr w:type="spellEnd"/>
      <w:r w:rsidRPr="008A0A12">
        <w:t>,</w:t>
      </w:r>
      <w:r w:rsidR="00D17A94">
        <w:t xml:space="preserve"> </w:t>
      </w:r>
      <w:proofErr w:type="spellStart"/>
      <w:r w:rsidRPr="008A0A12">
        <w:t>Poltár</w:t>
      </w:r>
      <w:proofErr w:type="spellEnd"/>
      <w:r w:rsidRPr="008A0A12">
        <w:t>,</w:t>
      </w:r>
      <w:r w:rsidR="00D17A94">
        <w:t xml:space="preserve"> </w:t>
      </w:r>
      <w:proofErr w:type="spellStart"/>
      <w:r w:rsidRPr="008A0A12">
        <w:t>Revúca</w:t>
      </w:r>
      <w:proofErr w:type="spellEnd"/>
      <w:r w:rsidRPr="008A0A12">
        <w:t>,</w:t>
      </w:r>
      <w:r w:rsidR="00D17A94">
        <w:t xml:space="preserve"> </w:t>
      </w:r>
      <w:proofErr w:type="spellStart"/>
      <w:r w:rsidRPr="008A0A12">
        <w:t>Rimavská</w:t>
      </w:r>
      <w:proofErr w:type="spellEnd"/>
      <w:r w:rsidR="00D17A94">
        <w:t xml:space="preserve"> </w:t>
      </w:r>
      <w:proofErr w:type="spellStart"/>
      <w:r w:rsidRPr="008A0A12">
        <w:t>Sobota</w:t>
      </w:r>
      <w:proofErr w:type="spellEnd"/>
      <w:r w:rsidRPr="008A0A12">
        <w:t>,</w:t>
      </w:r>
      <w:r w:rsidR="00D17A94">
        <w:t xml:space="preserve"> </w:t>
      </w:r>
      <w:proofErr w:type="spellStart"/>
      <w:r w:rsidRPr="008A0A12">
        <w:t>Veľký</w:t>
      </w:r>
      <w:proofErr w:type="spellEnd"/>
      <w:r w:rsidR="00D17A94">
        <w:t xml:space="preserve"> </w:t>
      </w:r>
      <w:proofErr w:type="spellStart"/>
      <w:r w:rsidRPr="008A0A12">
        <w:t>Krtíš</w:t>
      </w:r>
      <w:proofErr w:type="spellEnd"/>
      <w:r w:rsidRPr="008A0A12">
        <w:t>,</w:t>
      </w:r>
      <w:r w:rsidR="00D17A94">
        <w:t xml:space="preserve"> </w:t>
      </w:r>
      <w:proofErr w:type="spellStart"/>
      <w:r w:rsidRPr="008A0A12">
        <w:t>Kežmarok</w:t>
      </w:r>
      <w:proofErr w:type="spellEnd"/>
      <w:r w:rsidRPr="008A0A12">
        <w:t>,</w:t>
      </w:r>
      <w:r w:rsidR="00D17A94">
        <w:t xml:space="preserve"> </w:t>
      </w:r>
      <w:proofErr w:type="spellStart"/>
      <w:r w:rsidRPr="008A0A12">
        <w:t>Sabinov</w:t>
      </w:r>
      <w:proofErr w:type="spellEnd"/>
      <w:r w:rsidRPr="008A0A12">
        <w:t>,</w:t>
      </w:r>
      <w:r w:rsidR="00D17A94">
        <w:t xml:space="preserve"> </w:t>
      </w:r>
      <w:proofErr w:type="spellStart"/>
      <w:r w:rsidRPr="008A0A12">
        <w:t>Svidník</w:t>
      </w:r>
      <w:proofErr w:type="spellEnd"/>
      <w:r w:rsidRPr="008A0A12">
        <w:t>,</w:t>
      </w:r>
      <w:r w:rsidR="00D17A94">
        <w:t xml:space="preserve"> </w:t>
      </w:r>
      <w:proofErr w:type="spellStart"/>
      <w:r w:rsidRPr="008A0A12">
        <w:t>Vranov</w:t>
      </w:r>
      <w:proofErr w:type="spellEnd"/>
      <w:r w:rsidR="00D17A94">
        <w:t xml:space="preserve"> </w:t>
      </w:r>
      <w:proofErr w:type="spellStart"/>
      <w:r w:rsidRPr="008A0A12">
        <w:t>nad</w:t>
      </w:r>
      <w:proofErr w:type="spellEnd"/>
      <w:r w:rsidR="00D17A94">
        <w:t xml:space="preserve"> </w:t>
      </w:r>
      <w:proofErr w:type="spellStart"/>
      <w:r w:rsidRPr="008A0A12">
        <w:t>Topľou</w:t>
      </w:r>
      <w:proofErr w:type="spellEnd"/>
      <w:r w:rsidRPr="008A0A12">
        <w:t>,</w:t>
      </w:r>
      <w:r w:rsidR="00D17A94">
        <w:t xml:space="preserve"> </w:t>
      </w:r>
      <w:proofErr w:type="spellStart"/>
      <w:r w:rsidRPr="008A0A12">
        <w:t>Rožňava</w:t>
      </w:r>
      <w:proofErr w:type="spellEnd"/>
      <w:r w:rsidRPr="008A0A12">
        <w:t>,</w:t>
      </w:r>
      <w:r w:rsidR="00D17A94">
        <w:t xml:space="preserve"> </w:t>
      </w:r>
      <w:proofErr w:type="spellStart"/>
      <w:r w:rsidRPr="008A0A12">
        <w:t>Sobrance</w:t>
      </w:r>
      <w:proofErr w:type="spellEnd"/>
      <w:r w:rsidR="00D17A94">
        <w:t xml:space="preserve"> </w:t>
      </w:r>
      <w:r w:rsidRPr="008A0A12">
        <w:t>and</w:t>
      </w:r>
      <w:r w:rsidR="00D17A94">
        <w:t xml:space="preserve"> </w:t>
      </w:r>
      <w:proofErr w:type="spellStart"/>
      <w:r w:rsidRPr="008A0A12">
        <w:t>Trebišov</w:t>
      </w:r>
      <w:proofErr w:type="spellEnd"/>
      <w:r w:rsidRPr="008A0A12">
        <w:t>.</w:t>
      </w:r>
      <w:r w:rsidR="00D17A94">
        <w:t xml:space="preserve"> </w:t>
      </w:r>
      <w:r w:rsidRPr="008A0A12">
        <w:t>Subsequently,</w:t>
      </w:r>
      <w:r w:rsidR="00D17A94">
        <w:t xml:space="preserve"> </w:t>
      </w:r>
      <w:r w:rsidRPr="008A0A12">
        <w:t>action</w:t>
      </w:r>
      <w:r w:rsidR="00D17A94">
        <w:t xml:space="preserve"> </w:t>
      </w:r>
      <w:r w:rsidRPr="008A0A12">
        <w:t>plans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developed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them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team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experts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several</w:t>
      </w:r>
      <w:r w:rsidR="00D17A94">
        <w:t xml:space="preserve"> </w:t>
      </w:r>
      <w:r w:rsidRPr="008A0A12">
        <w:t>sectors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cooperation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regional</w:t>
      </w:r>
      <w:r w:rsidR="00D17A94">
        <w:t xml:space="preserve"> </w:t>
      </w:r>
      <w:r w:rsidRPr="008A0A12">
        <w:t>partners,</w:t>
      </w:r>
      <w:r w:rsidR="00D17A94">
        <w:t xml:space="preserve"> </w:t>
      </w:r>
      <w:r w:rsidRPr="008A0A12">
        <w:t>representatives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municipalities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selected</w:t>
      </w:r>
      <w:r w:rsidR="00D17A94">
        <w:t xml:space="preserve"> </w:t>
      </w:r>
      <w:r w:rsidRPr="008A0A12">
        <w:t>districts,</w:t>
      </w:r>
      <w:r w:rsidR="00D17A94">
        <w:t xml:space="preserve"> </w:t>
      </w:r>
      <w:r w:rsidRPr="008A0A12">
        <w:t>self-governing</w:t>
      </w:r>
      <w:r w:rsidR="00D17A94">
        <w:t xml:space="preserve"> </w:t>
      </w:r>
      <w:r w:rsidRPr="008A0A12">
        <w:t>regions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offices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labour,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affairs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family.</w:t>
      </w:r>
    </w:p>
    <w:p w:rsidR="00F33762" w:rsidRPr="008A0A12" w:rsidRDefault="00F33762" w:rsidP="00F33762">
      <w:pPr>
        <w:pStyle w:val="SingleTxtG"/>
      </w:pPr>
      <w:r w:rsidRPr="008A0A12">
        <w:t>161.</w:t>
      </w:r>
      <w:r w:rsidRPr="008A0A12">
        <w:tab/>
        <w:t>Regional</w:t>
      </w:r>
      <w:r w:rsidR="00D17A94">
        <w:t xml:space="preserve"> </w:t>
      </w:r>
      <w:r w:rsidRPr="008A0A12">
        <w:t>action</w:t>
      </w:r>
      <w:r w:rsidR="00D17A94">
        <w:t xml:space="preserve"> </w:t>
      </w:r>
      <w:r w:rsidRPr="008A0A12">
        <w:t>plans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include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Road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</w:t>
      </w:r>
      <w:r w:rsidR="00413AEE">
        <w:t>”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project,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being</w:t>
      </w:r>
      <w:r w:rsidR="00D17A94">
        <w:t xml:space="preserve"> </w:t>
      </w:r>
      <w:r w:rsidRPr="008A0A12">
        <w:t>prepared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will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used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perform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following</w:t>
      </w:r>
      <w:r w:rsidR="00D17A94">
        <w:t xml:space="preserve"> </w:t>
      </w:r>
      <w:r w:rsidRPr="008A0A12">
        <w:t>activities: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creation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jobs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jobseekers,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creation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jobs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disadvantaged</w:t>
      </w:r>
      <w:r w:rsidR="00D17A94">
        <w:t xml:space="preserve"> </w:t>
      </w:r>
      <w:r w:rsidRPr="008A0A12">
        <w:t>jobseekers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enterprises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integration</w:t>
      </w:r>
      <w:r w:rsidR="00D17A94">
        <w:t xml:space="preserve"> </w:t>
      </w:r>
      <w:r w:rsidRPr="008A0A12">
        <w:t>established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Services,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creation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jobs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employers,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self-employment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primary</w:t>
      </w:r>
      <w:r w:rsidR="00D17A94">
        <w:t xml:space="preserve"> </w:t>
      </w:r>
      <w:r w:rsidRPr="008A0A12">
        <w:t>agricultural</w:t>
      </w:r>
      <w:r w:rsidR="00D17A94">
        <w:t xml:space="preserve"> </w:t>
      </w:r>
      <w:r w:rsidRPr="008A0A12">
        <w:t>production,</w:t>
      </w:r>
      <w:r w:rsidR="00D17A94">
        <w:t xml:space="preserve"> </w:t>
      </w:r>
      <w:r w:rsidRPr="008A0A12">
        <w:t>providing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financial</w:t>
      </w:r>
      <w:r w:rsidR="00D17A94">
        <w:t xml:space="preserve"> </w:t>
      </w:r>
      <w:r w:rsidRPr="008A0A12">
        <w:t>contribution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promote</w:t>
      </w:r>
      <w:r w:rsidR="00D17A94">
        <w:t xml:space="preserve"> </w:t>
      </w:r>
      <w:r w:rsidRPr="008A0A12">
        <w:t>mobility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providing</w:t>
      </w:r>
      <w:r w:rsidR="00D17A94">
        <w:t xml:space="preserve"> </w:t>
      </w:r>
      <w:r w:rsidRPr="008A0A12">
        <w:t>individualised</w:t>
      </w:r>
      <w:r w:rsidR="00D17A94">
        <w:t xml:space="preserve"> </w:t>
      </w:r>
      <w:r w:rsidRPr="008A0A12">
        <w:t>services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jobseekers.</w:t>
      </w:r>
    </w:p>
    <w:p w:rsidR="00F33762" w:rsidRPr="008A0A12" w:rsidRDefault="00F33762" w:rsidP="0032685C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13</w:t>
      </w:r>
    </w:p>
    <w:p w:rsidR="00F33762" w:rsidRPr="008A0A12" w:rsidRDefault="00F33762" w:rsidP="00F33762">
      <w:pPr>
        <w:pStyle w:val="SingleTxtG"/>
      </w:pPr>
      <w:r w:rsidRPr="008A0A12">
        <w:t>162.</w:t>
      </w:r>
      <w:r w:rsidRPr="008A0A12">
        <w:tab/>
        <w:t>On</w:t>
      </w:r>
      <w:r w:rsidR="00D17A94">
        <w:t xml:space="preserve"> </w:t>
      </w:r>
      <w:r w:rsidRPr="008A0A12">
        <w:t>27</w:t>
      </w:r>
      <w:r w:rsidR="00D17A94">
        <w:t xml:space="preserve"> </w:t>
      </w:r>
      <w:r w:rsidRPr="008A0A12">
        <w:t>February</w:t>
      </w:r>
      <w:r w:rsidR="00D17A94">
        <w:t xml:space="preserve"> </w:t>
      </w:r>
      <w:r w:rsidRPr="008A0A12">
        <w:t>2017,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adopted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new</w:t>
      </w:r>
      <w:r w:rsidR="00D17A94">
        <w:t xml:space="preserve"> </w:t>
      </w:r>
      <w:r w:rsidRPr="008A0A12">
        <w:t>action</w:t>
      </w:r>
      <w:r w:rsidR="00D17A94">
        <w:t xml:space="preserve"> </w:t>
      </w:r>
      <w:r w:rsidRPr="008A0A12">
        <w:t>plan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Strategy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Integration</w:t>
      </w:r>
      <w:r w:rsidR="00D17A94">
        <w:t xml:space="preserve"> </w:t>
      </w:r>
      <w:r w:rsidRPr="008A0A12">
        <w:t>until</w:t>
      </w:r>
      <w:r w:rsidR="00D17A94">
        <w:t xml:space="preserve"> </w:t>
      </w:r>
      <w:r w:rsidRPr="008A0A12">
        <w:t>2020,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growth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will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influenced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projects</w:t>
      </w:r>
      <w:r w:rsidR="00D17A94">
        <w:t xml:space="preserve"> </w:t>
      </w:r>
      <w:r w:rsidRPr="008A0A12">
        <w:t>implemented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Office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Plenipotentiary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Communities,</w:t>
      </w:r>
      <w:r w:rsidR="00D17A94">
        <w:t xml:space="preserve"> </w:t>
      </w:r>
      <w:r w:rsidRPr="008A0A12">
        <w:t>especially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NP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NP</w:t>
      </w:r>
      <w:r w:rsidR="00D17A94">
        <w:t xml:space="preserve"> </w:t>
      </w:r>
      <w:r w:rsidRPr="008A0A12">
        <w:t>Community</w:t>
      </w:r>
      <w:r w:rsidR="00D17A94">
        <w:t xml:space="preserve"> </w:t>
      </w:r>
      <w:r w:rsidRPr="008A0A12">
        <w:t>Centres.</w:t>
      </w:r>
    </w:p>
    <w:p w:rsidR="00F33762" w:rsidRPr="008A0A12" w:rsidRDefault="00F33762" w:rsidP="00F33762">
      <w:pPr>
        <w:pStyle w:val="SingleTxtG"/>
      </w:pPr>
      <w:r w:rsidRPr="008A0A12">
        <w:lastRenderedPageBreak/>
        <w:t>163.</w:t>
      </w:r>
      <w:r w:rsidRPr="008A0A12">
        <w:tab/>
        <w:t>Legislation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employment,</w:t>
      </w:r>
      <w:r w:rsidR="00D17A94">
        <w:t xml:space="preserve"> </w:t>
      </w:r>
      <w:r w:rsidRPr="008A0A12">
        <w:t>similar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self-employment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asylum</w:t>
      </w:r>
      <w:r w:rsidR="00D17A94">
        <w:t xml:space="preserve"> </w:t>
      </w:r>
      <w:r w:rsidRPr="008A0A12">
        <w:t>seekers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defined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provision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23,</w:t>
      </w:r>
      <w:r w:rsidR="00D17A94">
        <w:t xml:space="preserve"> </w:t>
      </w:r>
      <w:r w:rsidRPr="008A0A12">
        <w:t>Section</w:t>
      </w:r>
      <w:r w:rsidR="00D17A94">
        <w:t xml:space="preserve"> </w:t>
      </w:r>
      <w:r w:rsidRPr="008A0A12">
        <w:t>6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480/2002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Asylum,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Asylum</w:t>
      </w:r>
      <w:r w:rsidR="00D17A94">
        <w:t xml:space="preserve"> </w:t>
      </w:r>
      <w:r w:rsidRPr="008A0A12">
        <w:t>Law</w:t>
      </w:r>
      <w:r w:rsidR="00413AEE">
        <w:t>”</w:t>
      </w:r>
      <w:r w:rsidRPr="008A0A12">
        <w:t>).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new</w:t>
      </w:r>
      <w:r w:rsidR="00D17A94">
        <w:t xml:space="preserve"> </w:t>
      </w:r>
      <w:r w:rsidRPr="008A0A12">
        <w:t>monitored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third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report,</w:t>
      </w:r>
      <w:r w:rsidR="00D17A94">
        <w:t xml:space="preserve"> </w:t>
      </w:r>
      <w:r w:rsidRPr="008A0A12">
        <w:t>only</w:t>
      </w:r>
      <w:r w:rsidR="00D17A94">
        <w:t xml:space="preserve"> </w:t>
      </w:r>
      <w:r w:rsidRPr="008A0A12">
        <w:t>such</w:t>
      </w:r>
      <w:r w:rsidR="00D17A94">
        <w:t xml:space="preserve"> </w:t>
      </w:r>
      <w:r w:rsidRPr="008A0A12">
        <w:t>legislative</w:t>
      </w:r>
      <w:r w:rsidR="00D17A94">
        <w:t xml:space="preserve"> </w:t>
      </w:r>
      <w:r w:rsidRPr="008A0A12">
        <w:t>steps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taken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result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fact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wording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provision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23,</w:t>
      </w:r>
      <w:r w:rsidR="00D17A94">
        <w:t xml:space="preserve"> </w:t>
      </w:r>
      <w:r w:rsidRPr="008A0A12">
        <w:t>Section</w:t>
      </w:r>
      <w:r w:rsidR="00D17A94">
        <w:t xml:space="preserve"> </w:t>
      </w:r>
      <w:r w:rsidRPr="008A0A12">
        <w:t>6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Asylum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still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compliance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relevant</w:t>
      </w:r>
      <w:r w:rsidR="00D17A94">
        <w:t xml:space="preserve"> </w:t>
      </w:r>
      <w:r w:rsidRPr="008A0A12">
        <w:t>European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committee.</w:t>
      </w:r>
      <w:r w:rsidR="00D17A94">
        <w:t xml:space="preserve"> </w:t>
      </w:r>
      <w:r w:rsidRPr="008A0A12">
        <w:t>Amendments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Asylum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have</w:t>
      </w:r>
      <w:r w:rsidR="00D17A94">
        <w:t xml:space="preserve"> </w:t>
      </w:r>
      <w:r w:rsidRPr="008A0A12">
        <w:t>shortened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asylum</w:t>
      </w:r>
      <w:r w:rsidR="00D17A94">
        <w:t xml:space="preserve"> </w:t>
      </w:r>
      <w:r w:rsidRPr="008A0A12">
        <w:t>seeker</w:t>
      </w:r>
      <w:r w:rsidR="00D17A94">
        <w:t xml:space="preserve"> </w:t>
      </w:r>
      <w:r w:rsidRPr="008A0A12">
        <w:t>can</w:t>
      </w:r>
      <w:r w:rsidR="00D17A94">
        <w:t xml:space="preserve"> </w:t>
      </w:r>
      <w:r w:rsidRPr="008A0A12">
        <w:t>obtain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permit</w:t>
      </w:r>
      <w:r w:rsidR="00D17A94">
        <w:t xml:space="preserve"> </w:t>
      </w:r>
      <w:r w:rsidRPr="008A0A12">
        <w:t>(from</w:t>
      </w:r>
      <w:r w:rsidR="00D17A94">
        <w:t xml:space="preserve"> </w:t>
      </w:r>
      <w:r w:rsidRPr="008A0A12">
        <w:t>one</w:t>
      </w:r>
      <w:r w:rsidR="00D17A94">
        <w:t xml:space="preserve"> </w:t>
      </w:r>
      <w:r w:rsidRPr="008A0A12">
        <w:t>year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nine</w:t>
      </w:r>
      <w:r w:rsidR="00D17A94">
        <w:t xml:space="preserve"> </w:t>
      </w:r>
      <w:r w:rsidRPr="008A0A12">
        <w:t>months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proceedings)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exceptions</w:t>
      </w:r>
      <w:r w:rsidR="00D17A94">
        <w:t xml:space="preserve"> </w:t>
      </w:r>
      <w:r w:rsidRPr="008A0A12">
        <w:t>when</w:t>
      </w:r>
      <w:r w:rsidR="00D17A94">
        <w:t xml:space="preserve"> </w:t>
      </w:r>
      <w:r w:rsidRPr="008A0A12">
        <w:t>such</w:t>
      </w:r>
      <w:r w:rsidR="00D17A94">
        <w:t xml:space="preserve"> </w:t>
      </w:r>
      <w:r w:rsidRPr="008A0A12">
        <w:t>permit</w:t>
      </w:r>
      <w:r w:rsidR="00D17A94">
        <w:t xml:space="preserve"> </w:t>
      </w:r>
      <w:r w:rsidRPr="008A0A12">
        <w:t>cannot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granted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asylum</w:t>
      </w:r>
      <w:r w:rsidR="00D17A94">
        <w:t xml:space="preserve"> </w:t>
      </w:r>
      <w:r w:rsidRPr="008A0A12">
        <w:t>seeker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partially</w:t>
      </w:r>
      <w:r w:rsidR="00D17A94">
        <w:t xml:space="preserve"> </w:t>
      </w:r>
      <w:r w:rsidRPr="008A0A12">
        <w:t>modified.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164.</w:t>
      </w:r>
      <w:r w:rsidRPr="008A0A12">
        <w:tab/>
        <w:t>Under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23,</w:t>
      </w:r>
      <w:r w:rsidR="00D17A94">
        <w:t xml:space="preserve"> </w:t>
      </w:r>
      <w:r w:rsidRPr="008A0A12">
        <w:t>Section</w:t>
      </w:r>
      <w:r w:rsidR="00D17A94">
        <w:t xml:space="preserve"> </w:t>
      </w:r>
      <w:r w:rsidRPr="008A0A12">
        <w:t>6,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Asylum</w:t>
      </w:r>
      <w:r w:rsidR="00D17A94">
        <w:t xml:space="preserve"> </w:t>
      </w:r>
      <w:r w:rsidRPr="008A0A12">
        <w:t>Law,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asylum</w:t>
      </w:r>
      <w:r w:rsidR="00D17A94">
        <w:t xml:space="preserve"> </w:t>
      </w:r>
      <w:r w:rsidRPr="008A0A12">
        <w:t>seeker</w:t>
      </w:r>
      <w:r w:rsidR="00D17A94">
        <w:t xml:space="preserve"> </w:t>
      </w:r>
      <w:r w:rsidRPr="008A0A12">
        <w:t>cannot</w:t>
      </w:r>
      <w:r w:rsidR="00D17A94">
        <w:t xml:space="preserve"> </w:t>
      </w:r>
      <w:r w:rsidRPr="008A0A12">
        <w:t>enter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relationship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similar</w:t>
      </w:r>
      <w:r w:rsidR="00D17A94">
        <w:t xml:space="preserve"> </w:t>
      </w:r>
      <w:r w:rsidRPr="008A0A12">
        <w:t>relationship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he</w:t>
      </w:r>
      <w:r w:rsidR="00D17A94">
        <w:t xml:space="preserve"> </w:t>
      </w:r>
      <w:r w:rsidRPr="008A0A12">
        <w:t>cannot</w:t>
      </w:r>
      <w:r w:rsidR="00D17A94">
        <w:t xml:space="preserve"> </w:t>
      </w:r>
      <w:r w:rsidRPr="008A0A12">
        <w:t>start</w:t>
      </w:r>
      <w:r w:rsidR="00D17A94">
        <w:t xml:space="preserve"> </w:t>
      </w:r>
      <w:r w:rsidRPr="008A0A12">
        <w:t>his</w:t>
      </w:r>
      <w:r w:rsidR="00D17A94">
        <w:t xml:space="preserve"> </w:t>
      </w:r>
      <w:r w:rsidRPr="008A0A12">
        <w:t>own</w:t>
      </w:r>
      <w:r w:rsidR="00D17A94">
        <w:t xml:space="preserve"> </w:t>
      </w:r>
      <w:r w:rsidRPr="008A0A12">
        <w:t>business;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asylum</w:t>
      </w:r>
      <w:r w:rsidR="00D17A94">
        <w:t xml:space="preserve"> </w:t>
      </w:r>
      <w:r w:rsidRPr="008A0A12">
        <w:t>seeker,</w:t>
      </w:r>
      <w:r w:rsidR="00D17A94">
        <w:t xml:space="preserve"> </w:t>
      </w:r>
      <w:r w:rsidRPr="008A0A12">
        <w:t>however,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entitled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enter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relationship</w:t>
      </w:r>
      <w:r w:rsidR="00D17A94">
        <w:t xml:space="preserve"> </w:t>
      </w:r>
      <w:r w:rsidRPr="008A0A12">
        <w:t>after</w:t>
      </w:r>
      <w:r w:rsidR="00D17A94">
        <w:t xml:space="preserve"> </w:t>
      </w:r>
      <w:r w:rsidRPr="008A0A12">
        <w:t>nine</w:t>
      </w:r>
      <w:r w:rsidR="00D17A94">
        <w:t xml:space="preserve"> </w:t>
      </w:r>
      <w:r w:rsidRPr="008A0A12">
        <w:t>months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proceedings</w:t>
      </w:r>
      <w:r w:rsidR="00D17A94">
        <w:t xml:space="preserve"> </w:t>
      </w:r>
      <w:r w:rsidRPr="008A0A12">
        <w:t>except</w:t>
      </w:r>
      <w:r w:rsidR="00D17A94">
        <w:t xml:space="preserve"> </w:t>
      </w:r>
      <w:r w:rsidRPr="008A0A12">
        <w:t>when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bringing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administrative</w:t>
      </w:r>
      <w:r w:rsidR="00D17A94">
        <w:t xml:space="preserve"> </w:t>
      </w:r>
      <w:r w:rsidRPr="008A0A12">
        <w:t>proceedings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decision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ministry</w:t>
      </w:r>
      <w:r w:rsidR="00D17A94">
        <w:t xml:space="preserve"> </w:t>
      </w:r>
      <w:r w:rsidRPr="008A0A12">
        <w:t>issued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asylum</w:t>
      </w:r>
      <w:r w:rsidR="00D17A94">
        <w:t xml:space="preserve"> </w:t>
      </w:r>
      <w:r w:rsidRPr="008A0A12">
        <w:t>procedure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no</w:t>
      </w:r>
      <w:r w:rsidR="00D17A94">
        <w:t xml:space="preserve"> </w:t>
      </w:r>
      <w:r w:rsidRPr="008A0A12">
        <w:t>suspensory</w:t>
      </w:r>
      <w:r w:rsidR="00D17A94">
        <w:t xml:space="preserve"> </w:t>
      </w:r>
      <w:r w:rsidRPr="008A0A12">
        <w:t>effect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administrative</w:t>
      </w:r>
      <w:r w:rsidR="00D17A94">
        <w:t xml:space="preserve"> </w:t>
      </w:r>
      <w:r w:rsidRPr="008A0A12">
        <w:t>court</w:t>
      </w:r>
      <w:r w:rsidR="00D17A94">
        <w:t xml:space="preserve"> </w:t>
      </w:r>
      <w:r w:rsidRPr="008A0A12">
        <w:t>did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decide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granting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suspensory</w:t>
      </w:r>
      <w:r w:rsidR="00D17A94">
        <w:t xml:space="preserve"> </w:t>
      </w:r>
      <w:r w:rsidRPr="008A0A12">
        <w:t>effect,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if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court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appeal</w:t>
      </w:r>
      <w:r w:rsidR="00D17A94">
        <w:t xml:space="preserve"> </w:t>
      </w:r>
      <w:r w:rsidRPr="008A0A12">
        <w:t>did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decide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granting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suspensory</w:t>
      </w:r>
      <w:r w:rsidR="00D17A94">
        <w:t xml:space="preserve"> </w:t>
      </w:r>
      <w:r w:rsidRPr="008A0A12">
        <w:t>effect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appeal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decision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administrative</w:t>
      </w:r>
      <w:r w:rsidR="00D17A94">
        <w:t xml:space="preserve"> </w:t>
      </w:r>
      <w:r w:rsidRPr="008A0A12">
        <w:t>court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administrative</w:t>
      </w:r>
      <w:r w:rsidR="00D17A94">
        <w:t xml:space="preserve"> </w:t>
      </w:r>
      <w:r w:rsidRPr="008A0A12">
        <w:t>action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decision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ministry</w:t>
      </w:r>
      <w:r w:rsidR="00D17A94">
        <w:t xml:space="preserve"> </w:t>
      </w:r>
      <w:r w:rsidRPr="008A0A12">
        <w:t>issued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asylum</w:t>
      </w:r>
      <w:r w:rsidR="00D17A94">
        <w:t xml:space="preserve"> </w:t>
      </w:r>
      <w:r w:rsidRPr="008A0A12">
        <w:t>procedure.</w:t>
      </w:r>
    </w:p>
    <w:p w:rsidR="00F33762" w:rsidRPr="008A0A12" w:rsidRDefault="00F33762" w:rsidP="00F33762">
      <w:pPr>
        <w:pStyle w:val="SingleTxtG"/>
      </w:pPr>
      <w:r w:rsidRPr="008A0A12">
        <w:t>165.</w:t>
      </w:r>
      <w:r w:rsidRPr="008A0A12">
        <w:tab/>
        <w:t>The</w:t>
      </w:r>
      <w:r w:rsidR="00D17A94">
        <w:t xml:space="preserve"> </w:t>
      </w:r>
      <w:r w:rsidRPr="008A0A12">
        <w:t>Migration</w:t>
      </w:r>
      <w:r w:rsidR="00D17A94">
        <w:t xml:space="preserve"> </w:t>
      </w:r>
      <w:r w:rsidRPr="008A0A12">
        <w:t>Office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Ministry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Interior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MI</w:t>
      </w:r>
      <w:r w:rsidR="00D17A94">
        <w:t xml:space="preserve"> </w:t>
      </w:r>
      <w:r w:rsidRPr="008A0A12">
        <w:t>SR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does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consider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concern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committee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asylum</w:t>
      </w:r>
      <w:r w:rsidR="00D17A94">
        <w:t xml:space="preserve"> </w:t>
      </w:r>
      <w:r w:rsidRPr="008A0A12">
        <w:t>seekers</w:t>
      </w:r>
      <w:r w:rsidR="00D17A94">
        <w:t xml:space="preserve"> </w:t>
      </w:r>
      <w:r w:rsidRPr="008A0A12">
        <w:t>applying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permit</w:t>
      </w:r>
      <w:r w:rsidR="00D17A94">
        <w:t xml:space="preserve"> </w:t>
      </w:r>
      <w:r w:rsidRPr="008A0A12">
        <w:t>justified</w:t>
      </w:r>
      <w:r w:rsidR="00D17A94">
        <w:t xml:space="preserve"> </w:t>
      </w:r>
      <w:r w:rsidRPr="008A0A12">
        <w:t>since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current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fully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compliance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European</w:t>
      </w:r>
      <w:r w:rsidR="00D17A94">
        <w:t xml:space="preserve"> </w:t>
      </w:r>
      <w:r w:rsidRPr="008A0A12">
        <w:t>legislation,</w:t>
      </w:r>
      <w:r w:rsidR="00D17A94">
        <w:t xml:space="preserve"> </w:t>
      </w:r>
      <w:r w:rsidRPr="008A0A12">
        <w:t>i.e.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Council</w:t>
      </w:r>
      <w:r w:rsidR="00D17A94">
        <w:t xml:space="preserve"> </w:t>
      </w:r>
      <w:r w:rsidRPr="008A0A12">
        <w:t>Directive</w:t>
      </w:r>
      <w:r w:rsidR="00D17A94">
        <w:t xml:space="preserve"> </w:t>
      </w:r>
      <w:r w:rsidRPr="008A0A12">
        <w:t>2003/9/ES</w:t>
      </w:r>
      <w:r w:rsidR="00D17A94">
        <w:t xml:space="preserve"> </w:t>
      </w:r>
      <w:r w:rsidRPr="008A0A12">
        <w:t>laying</w:t>
      </w:r>
      <w:r w:rsidR="00D17A94">
        <w:t xml:space="preserve"> </w:t>
      </w:r>
      <w:r w:rsidRPr="008A0A12">
        <w:t>down</w:t>
      </w:r>
      <w:r w:rsidR="00D17A94">
        <w:t xml:space="preserve"> </w:t>
      </w:r>
      <w:r w:rsidRPr="008A0A12">
        <w:t>minimum</w:t>
      </w:r>
      <w:r w:rsidR="00D17A94">
        <w:t xml:space="preserve"> </w:t>
      </w:r>
      <w:r w:rsidRPr="008A0A12">
        <w:t>standards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reception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asylum</w:t>
      </w:r>
      <w:r w:rsidR="00D17A94">
        <w:t xml:space="preserve"> </w:t>
      </w:r>
      <w:r w:rsidRPr="008A0A12">
        <w:t>seekers.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current</w:t>
      </w:r>
      <w:r w:rsidR="00D17A94">
        <w:t xml:space="preserve"> </w:t>
      </w:r>
      <w:r w:rsidRPr="008A0A12">
        <w:t>legislation,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provision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23,</w:t>
      </w:r>
      <w:r w:rsidR="00D17A94">
        <w:t xml:space="preserve"> </w:t>
      </w:r>
      <w:r w:rsidRPr="008A0A12">
        <w:t>Section</w:t>
      </w:r>
      <w:r w:rsidR="00D17A94">
        <w:t xml:space="preserve"> </w:t>
      </w:r>
      <w:r w:rsidRPr="008A0A12">
        <w:t>6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480/2002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Asylum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Amendments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Supplements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Certain</w:t>
      </w:r>
      <w:r w:rsidR="00D17A94">
        <w:t xml:space="preserve"> </w:t>
      </w:r>
      <w:r w:rsidRPr="008A0A12">
        <w:t>Law,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asylum</w:t>
      </w:r>
      <w:r w:rsidR="00D17A94">
        <w:t xml:space="preserve"> </w:t>
      </w:r>
      <w:r w:rsidRPr="008A0A12">
        <w:t>seeker</w:t>
      </w:r>
      <w:r w:rsidR="00D17A94">
        <w:t xml:space="preserve"> </w:t>
      </w:r>
      <w:r w:rsidRPr="008A0A12">
        <w:t>cannot</w:t>
      </w:r>
      <w:r w:rsidR="00D17A94">
        <w:t xml:space="preserve"> </w:t>
      </w:r>
      <w:r w:rsidRPr="008A0A12">
        <w:t>enter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relationship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similar</w:t>
      </w:r>
      <w:r w:rsidR="00D17A94">
        <w:t xml:space="preserve"> </w:t>
      </w:r>
      <w:r w:rsidRPr="008A0A12">
        <w:t>relationship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he</w:t>
      </w:r>
      <w:r w:rsidR="00D17A94">
        <w:t xml:space="preserve"> </w:t>
      </w:r>
      <w:r w:rsidRPr="008A0A12">
        <w:t>cannot</w:t>
      </w:r>
      <w:r w:rsidR="00D17A94">
        <w:t xml:space="preserve"> </w:t>
      </w:r>
      <w:r w:rsidRPr="008A0A12">
        <w:t>start</w:t>
      </w:r>
      <w:r w:rsidR="00D17A94">
        <w:t xml:space="preserve"> </w:t>
      </w:r>
      <w:r w:rsidRPr="008A0A12">
        <w:t>his</w:t>
      </w:r>
      <w:r w:rsidR="00D17A94">
        <w:t xml:space="preserve"> </w:t>
      </w:r>
      <w:r w:rsidRPr="008A0A12">
        <w:t>own</w:t>
      </w:r>
      <w:r w:rsidR="00D17A94">
        <w:t xml:space="preserve"> </w:t>
      </w:r>
      <w:r w:rsidRPr="008A0A12">
        <w:t>business,</w:t>
      </w:r>
      <w:r w:rsidR="00D17A94">
        <w:t xml:space="preserve"> </w:t>
      </w:r>
      <w:r w:rsidRPr="008A0A12">
        <w:t>however,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asylum</w:t>
      </w:r>
      <w:r w:rsidR="00D17A94">
        <w:t xml:space="preserve"> </w:t>
      </w:r>
      <w:r w:rsidRPr="008A0A12">
        <w:t>seeker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entitled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enter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relationship</w:t>
      </w:r>
      <w:r w:rsidR="00D17A94">
        <w:t xml:space="preserve"> </w:t>
      </w:r>
      <w:r w:rsidRPr="008A0A12">
        <w:t>after</w:t>
      </w:r>
      <w:r w:rsidR="00D17A94">
        <w:t xml:space="preserve"> </w:t>
      </w:r>
      <w:r w:rsidRPr="008A0A12">
        <w:t>nine</w:t>
      </w:r>
      <w:r w:rsidR="00D17A94">
        <w:t xml:space="preserve"> </w:t>
      </w:r>
      <w:r w:rsidRPr="008A0A12">
        <w:t>months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proceedings,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exception</w:t>
      </w:r>
      <w:r w:rsidR="00D17A94">
        <w:t xml:space="preserve"> </w:t>
      </w:r>
      <w:r w:rsidRPr="008A0A12">
        <w:t>if:</w:t>
      </w:r>
    </w:p>
    <w:p w:rsidR="00F33762" w:rsidRPr="008A0A12" w:rsidRDefault="0032685C" w:rsidP="00F33762">
      <w:pPr>
        <w:pStyle w:val="SingleTxtG"/>
      </w:pPr>
      <w:r>
        <w:tab/>
        <w:t>(</w:t>
      </w:r>
      <w:r w:rsidR="00F33762" w:rsidRPr="008A0A12">
        <w:t>a)</w:t>
      </w:r>
      <w:r w:rsidR="00F33762" w:rsidRPr="008A0A12">
        <w:tab/>
        <w:t>The</w:t>
      </w:r>
      <w:r w:rsidR="00D17A94">
        <w:t xml:space="preserve"> </w:t>
      </w:r>
      <w:r w:rsidR="00F33762" w:rsidRPr="008A0A12">
        <w:t>bringing</w:t>
      </w:r>
      <w:r w:rsidR="00D17A94">
        <w:t xml:space="preserve"> </w:t>
      </w:r>
      <w:r w:rsidR="00F33762" w:rsidRPr="008A0A12">
        <w:t>of</w:t>
      </w:r>
      <w:r w:rsidR="00D17A94">
        <w:t xml:space="preserve"> </w:t>
      </w:r>
      <w:r w:rsidR="00F33762" w:rsidRPr="008A0A12">
        <w:t>administrative</w:t>
      </w:r>
      <w:r w:rsidR="00D17A94">
        <w:t xml:space="preserve"> </w:t>
      </w:r>
      <w:r w:rsidR="00F33762" w:rsidRPr="008A0A12">
        <w:t>proceedings</w:t>
      </w:r>
      <w:r w:rsidR="00D17A94">
        <w:t xml:space="preserve"> </w:t>
      </w:r>
      <w:r w:rsidR="00F33762" w:rsidRPr="008A0A12">
        <w:t>against</w:t>
      </w:r>
      <w:r w:rsidR="00D17A94">
        <w:t xml:space="preserve"> </w:t>
      </w:r>
      <w:r w:rsidR="00F33762" w:rsidRPr="008A0A12">
        <w:t>the</w:t>
      </w:r>
      <w:r w:rsidR="00D17A94">
        <w:t xml:space="preserve"> </w:t>
      </w:r>
      <w:r w:rsidR="00F33762" w:rsidRPr="008A0A12">
        <w:t>decision</w:t>
      </w:r>
      <w:r w:rsidR="00D17A94">
        <w:t xml:space="preserve"> </w:t>
      </w:r>
      <w:r w:rsidR="00F33762" w:rsidRPr="008A0A12">
        <w:t>of</w:t>
      </w:r>
      <w:r w:rsidR="00D17A94">
        <w:t xml:space="preserve"> </w:t>
      </w:r>
      <w:r w:rsidR="00F33762" w:rsidRPr="008A0A12">
        <w:t>the</w:t>
      </w:r>
      <w:r w:rsidR="00D17A94">
        <w:t xml:space="preserve"> </w:t>
      </w:r>
      <w:r w:rsidR="00F33762" w:rsidRPr="008A0A12">
        <w:t>ministry</w:t>
      </w:r>
      <w:r w:rsidR="00D17A94">
        <w:t xml:space="preserve"> </w:t>
      </w:r>
      <w:r w:rsidR="00F33762" w:rsidRPr="008A0A12">
        <w:t>issued</w:t>
      </w:r>
      <w:r w:rsidR="00D17A94">
        <w:t xml:space="preserve"> </w:t>
      </w:r>
      <w:r w:rsidR="00F33762" w:rsidRPr="008A0A12">
        <w:t>within</w:t>
      </w:r>
      <w:r w:rsidR="00D17A94">
        <w:t xml:space="preserve"> </w:t>
      </w:r>
      <w:r w:rsidR="00F33762" w:rsidRPr="008A0A12">
        <w:t>asylum</w:t>
      </w:r>
      <w:r w:rsidR="00D17A94">
        <w:t xml:space="preserve"> </w:t>
      </w:r>
      <w:r w:rsidR="00F33762" w:rsidRPr="008A0A12">
        <w:t>procedure</w:t>
      </w:r>
      <w:r w:rsidR="00D17A94">
        <w:t xml:space="preserve"> </w:t>
      </w:r>
      <w:r w:rsidR="00F33762" w:rsidRPr="008A0A12">
        <w:t>has</w:t>
      </w:r>
      <w:r w:rsidR="00D17A94">
        <w:t xml:space="preserve"> </w:t>
      </w:r>
      <w:r w:rsidR="00F33762" w:rsidRPr="008A0A12">
        <w:t>no</w:t>
      </w:r>
      <w:r w:rsidR="00D17A94">
        <w:t xml:space="preserve"> </w:t>
      </w:r>
      <w:r w:rsidR="00F33762" w:rsidRPr="008A0A12">
        <w:t>suspensory</w:t>
      </w:r>
      <w:r w:rsidR="00D17A94">
        <w:t xml:space="preserve"> </w:t>
      </w:r>
      <w:r w:rsidR="00F33762" w:rsidRPr="008A0A12">
        <w:t>effect</w:t>
      </w:r>
      <w:r w:rsidR="00D17A94">
        <w:t xml:space="preserve"> </w:t>
      </w:r>
      <w:r w:rsidR="00F33762" w:rsidRPr="008A0A12">
        <w:t>and</w:t>
      </w:r>
      <w:r w:rsidR="00D17A94">
        <w:t xml:space="preserve"> </w:t>
      </w:r>
      <w:r w:rsidR="00F33762" w:rsidRPr="008A0A12">
        <w:t>the</w:t>
      </w:r>
      <w:r w:rsidR="00D17A94">
        <w:t xml:space="preserve"> </w:t>
      </w:r>
      <w:r w:rsidR="00F33762" w:rsidRPr="008A0A12">
        <w:t>administrative</w:t>
      </w:r>
      <w:r w:rsidR="00D17A94">
        <w:t xml:space="preserve"> </w:t>
      </w:r>
      <w:r w:rsidR="00F33762" w:rsidRPr="008A0A12">
        <w:t>court</w:t>
      </w:r>
      <w:r w:rsidR="00D17A94">
        <w:t xml:space="preserve"> </w:t>
      </w:r>
      <w:r w:rsidR="00F33762" w:rsidRPr="008A0A12">
        <w:t>did</w:t>
      </w:r>
      <w:r w:rsidR="00D17A94">
        <w:t xml:space="preserve"> </w:t>
      </w:r>
      <w:r w:rsidR="00F33762" w:rsidRPr="008A0A12">
        <w:t>not</w:t>
      </w:r>
      <w:r w:rsidR="00D17A94">
        <w:t xml:space="preserve"> </w:t>
      </w:r>
      <w:r w:rsidR="00F33762" w:rsidRPr="008A0A12">
        <w:t>decide</w:t>
      </w:r>
      <w:r w:rsidR="00D17A94">
        <w:t xml:space="preserve"> </w:t>
      </w:r>
      <w:r w:rsidR="00F33762" w:rsidRPr="008A0A12">
        <w:t>on</w:t>
      </w:r>
      <w:r w:rsidR="00D17A94">
        <w:t xml:space="preserve"> </w:t>
      </w:r>
      <w:r w:rsidR="00F33762" w:rsidRPr="008A0A12">
        <w:t>the</w:t>
      </w:r>
      <w:r w:rsidR="00D17A94">
        <w:t xml:space="preserve"> </w:t>
      </w:r>
      <w:r w:rsidR="00F33762" w:rsidRPr="008A0A12">
        <w:t>granting</w:t>
      </w:r>
      <w:r w:rsidR="00D17A94">
        <w:t xml:space="preserve"> </w:t>
      </w:r>
      <w:r w:rsidR="00F33762" w:rsidRPr="008A0A12">
        <w:t>of</w:t>
      </w:r>
      <w:r w:rsidR="00D17A94">
        <w:t xml:space="preserve"> </w:t>
      </w:r>
      <w:r w:rsidR="00F33762" w:rsidRPr="008A0A12">
        <w:t>the</w:t>
      </w:r>
      <w:r w:rsidR="00D17A94">
        <w:t xml:space="preserve"> </w:t>
      </w:r>
      <w:r w:rsidR="00F33762" w:rsidRPr="008A0A12">
        <w:t>suspensory</w:t>
      </w:r>
      <w:r w:rsidR="00D17A94">
        <w:t xml:space="preserve"> </w:t>
      </w:r>
      <w:r w:rsidR="00F33762" w:rsidRPr="008A0A12">
        <w:t>effect,</w:t>
      </w:r>
      <w:r w:rsidR="00D17A94">
        <w:t xml:space="preserve"> </w:t>
      </w:r>
      <w:r w:rsidR="00F33762" w:rsidRPr="008A0A12">
        <w:t>or</w:t>
      </w:r>
    </w:p>
    <w:p w:rsidR="00F33762" w:rsidRPr="008A0A12" w:rsidRDefault="0032685C" w:rsidP="00F33762">
      <w:pPr>
        <w:pStyle w:val="SingleTxtG"/>
      </w:pPr>
      <w:r>
        <w:tab/>
        <w:t>(</w:t>
      </w:r>
      <w:r w:rsidR="00F33762" w:rsidRPr="008A0A12">
        <w:t>b)</w:t>
      </w:r>
      <w:r w:rsidR="00F33762" w:rsidRPr="008A0A12">
        <w:tab/>
        <w:t>The</w:t>
      </w:r>
      <w:r w:rsidR="00D17A94">
        <w:t xml:space="preserve"> </w:t>
      </w:r>
      <w:r w:rsidR="00F33762" w:rsidRPr="008A0A12">
        <w:t>court</w:t>
      </w:r>
      <w:r w:rsidR="00D17A94">
        <w:t xml:space="preserve"> </w:t>
      </w:r>
      <w:r w:rsidR="00F33762" w:rsidRPr="008A0A12">
        <w:t>of</w:t>
      </w:r>
      <w:r w:rsidR="00D17A94">
        <w:t xml:space="preserve"> </w:t>
      </w:r>
      <w:r w:rsidR="00F33762" w:rsidRPr="008A0A12">
        <w:t>appeal</w:t>
      </w:r>
      <w:r w:rsidR="00D17A94">
        <w:t xml:space="preserve"> </w:t>
      </w:r>
      <w:r w:rsidR="00F33762" w:rsidRPr="008A0A12">
        <w:t>did</w:t>
      </w:r>
      <w:r w:rsidR="00D17A94">
        <w:t xml:space="preserve"> </w:t>
      </w:r>
      <w:r w:rsidR="00F33762" w:rsidRPr="008A0A12">
        <w:t>not</w:t>
      </w:r>
      <w:r w:rsidR="00D17A94">
        <w:t xml:space="preserve"> </w:t>
      </w:r>
      <w:r w:rsidR="00F33762" w:rsidRPr="008A0A12">
        <w:t>decide</w:t>
      </w:r>
      <w:r w:rsidR="00D17A94">
        <w:t xml:space="preserve"> </w:t>
      </w:r>
      <w:r w:rsidR="00F33762" w:rsidRPr="008A0A12">
        <w:t>on</w:t>
      </w:r>
      <w:r w:rsidR="00D17A94">
        <w:t xml:space="preserve"> </w:t>
      </w:r>
      <w:r w:rsidR="00F33762" w:rsidRPr="008A0A12">
        <w:t>the</w:t>
      </w:r>
      <w:r w:rsidR="00D17A94">
        <w:t xml:space="preserve"> </w:t>
      </w:r>
      <w:r w:rsidR="00F33762" w:rsidRPr="008A0A12">
        <w:t>granting</w:t>
      </w:r>
      <w:r w:rsidR="00D17A94">
        <w:t xml:space="preserve"> </w:t>
      </w:r>
      <w:r w:rsidR="00F33762" w:rsidRPr="008A0A12">
        <w:t>of</w:t>
      </w:r>
      <w:r w:rsidR="00D17A94">
        <w:t xml:space="preserve"> </w:t>
      </w:r>
      <w:r w:rsidR="00F33762" w:rsidRPr="008A0A12">
        <w:t>the</w:t>
      </w:r>
      <w:r w:rsidR="00D17A94">
        <w:t xml:space="preserve"> </w:t>
      </w:r>
      <w:r w:rsidR="00F33762" w:rsidRPr="008A0A12">
        <w:t>suspensory</w:t>
      </w:r>
      <w:r w:rsidR="00D17A94">
        <w:t xml:space="preserve"> </w:t>
      </w:r>
      <w:r w:rsidR="00F33762" w:rsidRPr="008A0A12">
        <w:t>effect</w:t>
      </w:r>
      <w:r w:rsidR="00D17A94">
        <w:t xml:space="preserve"> </w:t>
      </w:r>
      <w:r w:rsidR="00F33762" w:rsidRPr="008A0A12">
        <w:t>of</w:t>
      </w:r>
      <w:r w:rsidR="00D17A94">
        <w:t xml:space="preserve"> </w:t>
      </w:r>
      <w:r w:rsidR="00F33762" w:rsidRPr="008A0A12">
        <w:t>cassation</w:t>
      </w:r>
      <w:r w:rsidR="00D17A94">
        <w:t xml:space="preserve"> </w:t>
      </w:r>
      <w:r w:rsidR="00F33762" w:rsidRPr="008A0A12">
        <w:t>complaint</w:t>
      </w:r>
      <w:r w:rsidR="00D17A94">
        <w:t xml:space="preserve"> </w:t>
      </w:r>
      <w:r w:rsidR="00F33762" w:rsidRPr="008A0A12">
        <w:t>against</w:t>
      </w:r>
      <w:r w:rsidR="00D17A94">
        <w:t xml:space="preserve"> </w:t>
      </w:r>
      <w:r w:rsidR="00F33762" w:rsidRPr="008A0A12">
        <w:t>the</w:t>
      </w:r>
      <w:r w:rsidR="00D17A94">
        <w:t xml:space="preserve"> </w:t>
      </w:r>
      <w:r w:rsidR="00F33762" w:rsidRPr="008A0A12">
        <w:t>decision</w:t>
      </w:r>
      <w:r w:rsidR="00D17A94">
        <w:t xml:space="preserve"> </w:t>
      </w:r>
      <w:r w:rsidR="00F33762" w:rsidRPr="008A0A12">
        <w:t>of</w:t>
      </w:r>
      <w:r w:rsidR="00D17A94">
        <w:t xml:space="preserve"> </w:t>
      </w:r>
      <w:r w:rsidR="00F33762" w:rsidRPr="008A0A12">
        <w:t>the</w:t>
      </w:r>
      <w:r w:rsidR="00D17A94">
        <w:t xml:space="preserve"> </w:t>
      </w:r>
      <w:r w:rsidR="00F33762" w:rsidRPr="008A0A12">
        <w:t>administrative</w:t>
      </w:r>
      <w:r w:rsidR="00D17A94">
        <w:t xml:space="preserve"> </w:t>
      </w:r>
      <w:r w:rsidR="00F33762" w:rsidRPr="008A0A12">
        <w:t>court</w:t>
      </w:r>
      <w:r w:rsidR="00D17A94">
        <w:t xml:space="preserve"> </w:t>
      </w:r>
      <w:r w:rsidR="00F33762" w:rsidRPr="008A0A12">
        <w:t>that</w:t>
      </w:r>
      <w:r w:rsidR="00D17A94">
        <w:t xml:space="preserve"> </w:t>
      </w:r>
      <w:r w:rsidR="00F33762" w:rsidRPr="008A0A12">
        <w:t>related</w:t>
      </w:r>
      <w:r w:rsidR="00D17A94">
        <w:t xml:space="preserve"> </w:t>
      </w:r>
      <w:r w:rsidR="00F33762" w:rsidRPr="008A0A12">
        <w:t>to</w:t>
      </w:r>
      <w:r w:rsidR="00D17A94">
        <w:t xml:space="preserve"> </w:t>
      </w:r>
      <w:r w:rsidR="00F33762" w:rsidRPr="008A0A12">
        <w:t>the</w:t>
      </w:r>
      <w:r w:rsidR="00D17A94">
        <w:t xml:space="preserve"> </w:t>
      </w:r>
      <w:r w:rsidR="00F33762" w:rsidRPr="008A0A12">
        <w:t>administrative</w:t>
      </w:r>
      <w:r w:rsidR="00D17A94">
        <w:t xml:space="preserve"> </w:t>
      </w:r>
      <w:r w:rsidR="00F33762" w:rsidRPr="008A0A12">
        <w:t>proceedings</w:t>
      </w:r>
      <w:r w:rsidR="00D17A94">
        <w:t xml:space="preserve"> </w:t>
      </w:r>
      <w:r w:rsidR="00F33762" w:rsidRPr="008A0A12">
        <w:t>against</w:t>
      </w:r>
      <w:r w:rsidR="00D17A94">
        <w:t xml:space="preserve"> </w:t>
      </w:r>
      <w:r w:rsidR="00F33762" w:rsidRPr="008A0A12">
        <w:t>the</w:t>
      </w:r>
      <w:r w:rsidR="00D17A94">
        <w:t xml:space="preserve"> </w:t>
      </w:r>
      <w:r w:rsidR="00F33762" w:rsidRPr="008A0A12">
        <w:t>decision</w:t>
      </w:r>
      <w:r w:rsidR="00D17A94">
        <w:t xml:space="preserve"> </w:t>
      </w:r>
      <w:r w:rsidR="00F33762" w:rsidRPr="008A0A12">
        <w:t>of</w:t>
      </w:r>
      <w:r w:rsidR="00D17A94">
        <w:t xml:space="preserve"> </w:t>
      </w:r>
      <w:r w:rsidR="00F33762" w:rsidRPr="008A0A12">
        <w:t>the</w:t>
      </w:r>
      <w:r w:rsidR="00D17A94">
        <w:t xml:space="preserve"> </w:t>
      </w:r>
      <w:r w:rsidR="00F33762" w:rsidRPr="008A0A12">
        <w:t>ministry</w:t>
      </w:r>
      <w:r w:rsidR="00D17A94">
        <w:t xml:space="preserve"> </w:t>
      </w:r>
      <w:r w:rsidR="00F33762" w:rsidRPr="008A0A12">
        <w:t>issued</w:t>
      </w:r>
      <w:r w:rsidR="00D17A94">
        <w:t xml:space="preserve"> </w:t>
      </w:r>
      <w:r w:rsidR="00F33762" w:rsidRPr="008A0A12">
        <w:t>within</w:t>
      </w:r>
      <w:r w:rsidR="00D17A94">
        <w:t xml:space="preserve"> </w:t>
      </w:r>
      <w:r w:rsidR="00F33762" w:rsidRPr="008A0A12">
        <w:t>asylum</w:t>
      </w:r>
      <w:r w:rsidR="00D17A94">
        <w:t xml:space="preserve"> </w:t>
      </w:r>
      <w:r w:rsidR="00F33762" w:rsidRPr="008A0A12">
        <w:t>procedure.</w:t>
      </w:r>
    </w:p>
    <w:p w:rsidR="00F33762" w:rsidRPr="008A0A12" w:rsidRDefault="00F33762" w:rsidP="00F33762">
      <w:pPr>
        <w:pStyle w:val="SingleTxtG"/>
      </w:pPr>
      <w:r w:rsidRPr="008A0A12">
        <w:t>166.</w:t>
      </w:r>
      <w:r w:rsidRPr="008A0A12">
        <w:tab/>
        <w:t>The</w:t>
      </w:r>
      <w:r w:rsidR="00D17A94">
        <w:t xml:space="preserve"> </w:t>
      </w:r>
      <w:r w:rsidRPr="008A0A12">
        <w:t>overall</w:t>
      </w:r>
      <w:r w:rsidR="00D17A94">
        <w:t xml:space="preserve"> </w:t>
      </w:r>
      <w:r w:rsidRPr="008A0A12">
        <w:t>process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recognition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professional</w:t>
      </w:r>
      <w:r w:rsidR="00D17A94">
        <w:t xml:space="preserve"> </w:t>
      </w:r>
      <w:r w:rsidRPr="008A0A12">
        <w:t>qualifications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defined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European</w:t>
      </w:r>
      <w:r w:rsidR="00D17A94">
        <w:t xml:space="preserve"> </w:t>
      </w:r>
      <w:r w:rsidRPr="008A0A12">
        <w:t>Union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(Directive</w:t>
      </w:r>
      <w:r w:rsidR="00D17A94">
        <w:t xml:space="preserve"> </w:t>
      </w:r>
      <w:r w:rsidRPr="008A0A12">
        <w:t>2005/36/EC).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main</w:t>
      </w:r>
      <w:r w:rsidR="00D17A94">
        <w:t xml:space="preserve"> </w:t>
      </w:r>
      <w:r w:rsidRPr="008A0A12">
        <w:t>objective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422/2015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Recognition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Documents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Recognition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Professional</w:t>
      </w:r>
      <w:r w:rsidR="00D17A94">
        <w:t xml:space="preserve"> </w:t>
      </w:r>
      <w:r w:rsidRPr="008A0A12">
        <w:t>Qualifications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transposition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Directive</w:t>
      </w:r>
      <w:r w:rsidR="00D17A94">
        <w:t xml:space="preserve"> </w:t>
      </w:r>
      <w:r w:rsidRPr="008A0A12">
        <w:t>2013/55/EU.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deadlines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recognition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achievement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education,</w:t>
      </w:r>
      <w:r w:rsidR="00D17A94">
        <w:t xml:space="preserve"> </w:t>
      </w:r>
      <w:r w:rsidRPr="008A0A12">
        <w:t>mutual</w:t>
      </w:r>
      <w:r w:rsidR="00D17A94">
        <w:t xml:space="preserve"> </w:t>
      </w:r>
      <w:r w:rsidRPr="008A0A12">
        <w:t>recognition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professional</w:t>
      </w:r>
      <w:r w:rsidR="00D17A94">
        <w:t xml:space="preserve"> </w:t>
      </w:r>
      <w:r w:rsidRPr="008A0A12">
        <w:t>qualifications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determined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European</w:t>
      </w:r>
      <w:r w:rsidR="00D17A94">
        <w:t xml:space="preserve"> </w:t>
      </w:r>
      <w:r w:rsidRPr="008A0A12">
        <w:t>level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govern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EU</w:t>
      </w:r>
      <w:r w:rsidR="00D17A94">
        <w:t xml:space="preserve"> </w:t>
      </w:r>
      <w:r w:rsidRPr="008A0A12">
        <w:t>Member</w:t>
      </w:r>
      <w:r w:rsidR="00D17A94">
        <w:t xml:space="preserve"> </w:t>
      </w:r>
      <w:r w:rsidRPr="008A0A12">
        <w:t>States,</w:t>
      </w:r>
      <w:r w:rsidR="00D17A94">
        <w:t xml:space="preserve"> </w:t>
      </w:r>
      <w:r w:rsidRPr="008A0A12">
        <w:t>EEC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Switzerland.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deadline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issuing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decision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recognition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professional</w:t>
      </w:r>
      <w:r w:rsidR="00D17A94">
        <w:t xml:space="preserve"> </w:t>
      </w:r>
      <w:r w:rsidRPr="008A0A12">
        <w:t>qualifications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set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European</w:t>
      </w:r>
      <w:r w:rsidR="00D17A94">
        <w:t xml:space="preserve"> </w:t>
      </w:r>
      <w:r w:rsidRPr="008A0A12">
        <w:t>Parliament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Council</w:t>
      </w:r>
      <w:r w:rsidR="00D17A94">
        <w:t xml:space="preserve"> </w:t>
      </w:r>
      <w:r w:rsidRPr="008A0A12">
        <w:t>Directive</w:t>
      </w:r>
      <w:r w:rsidR="00D17A94">
        <w:t xml:space="preserve"> </w:t>
      </w:r>
      <w:r w:rsidRPr="008A0A12">
        <w:t>2005/36/EC,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three</w:t>
      </w:r>
      <w:r w:rsidR="00D17A94">
        <w:t xml:space="preserve"> </w:t>
      </w:r>
      <w:r w:rsidRPr="008A0A12">
        <w:t>months,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possibility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extending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maximum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one</w:t>
      </w:r>
      <w:r w:rsidR="00D17A94">
        <w:t xml:space="preserve"> </w:t>
      </w:r>
      <w:r w:rsidRPr="008A0A12">
        <w:t>month.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422/2015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deadline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two</w:t>
      </w:r>
      <w:r w:rsidR="00D17A94">
        <w:t xml:space="preserve"> </w:t>
      </w:r>
      <w:r w:rsidRPr="008A0A12">
        <w:t>months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decision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recognition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document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issuing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decision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recognition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professional</w:t>
      </w:r>
      <w:r w:rsidR="00D17A94">
        <w:t xml:space="preserve"> </w:t>
      </w:r>
      <w:r w:rsidRPr="008A0A12">
        <w:t>qualification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one</w:t>
      </w:r>
      <w:r w:rsidR="00D17A94">
        <w:t xml:space="preserve"> </w:t>
      </w:r>
      <w:r w:rsidRPr="008A0A12">
        <w:t>month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receipt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complete</w:t>
      </w:r>
      <w:r w:rsidR="00D17A94">
        <w:t xml:space="preserve"> </w:t>
      </w:r>
      <w:r w:rsidRPr="008A0A12">
        <w:t>application.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list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current</w:t>
      </w:r>
      <w:r w:rsidR="00D17A94">
        <w:t xml:space="preserve"> </w:t>
      </w:r>
      <w:r w:rsidRPr="008A0A12">
        <w:t>regulated</w:t>
      </w:r>
      <w:r w:rsidR="00D17A94">
        <w:t xml:space="preserve"> </w:t>
      </w:r>
      <w:r w:rsidRPr="008A0A12">
        <w:t>professions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published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web</w:t>
      </w:r>
      <w:r w:rsidR="00D17A94">
        <w:t xml:space="preserve"> </w:t>
      </w:r>
      <w:r w:rsidRPr="008A0A12">
        <w:t>site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MESRS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section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recognition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documents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professional</w:t>
      </w:r>
      <w:r w:rsidR="00D17A94">
        <w:t xml:space="preserve"> </w:t>
      </w:r>
      <w:r w:rsidRPr="008A0A12">
        <w:t>qualifications.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case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unregulated</w:t>
      </w:r>
      <w:r w:rsidR="00D17A94">
        <w:t xml:space="preserve"> </w:t>
      </w:r>
      <w:r w:rsidRPr="008A0A12">
        <w:t>professions,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blue</w:t>
      </w:r>
      <w:r w:rsidR="00D17A94">
        <w:t xml:space="preserve"> </w:t>
      </w:r>
      <w:r w:rsidRPr="008A0A12">
        <w:t>card</w:t>
      </w:r>
      <w:r w:rsidR="00D17A94">
        <w:t xml:space="preserve"> </w:t>
      </w:r>
      <w:r w:rsidRPr="008A0A12">
        <w:t>applications</w:t>
      </w:r>
      <w:r w:rsidR="00D17A94">
        <w:t xml:space="preserve"> </w:t>
      </w:r>
      <w:r w:rsidRPr="008A0A12">
        <w:t>decisions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higher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institution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carry</w:t>
      </w:r>
      <w:r w:rsidR="00D17A94">
        <w:t xml:space="preserve"> </w:t>
      </w:r>
      <w:r w:rsidRPr="008A0A12">
        <w:t>out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study</w:t>
      </w:r>
      <w:r w:rsidR="00D17A94">
        <w:t xml:space="preserve"> </w:t>
      </w:r>
      <w:r w:rsidRPr="008A0A12">
        <w:t>program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same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study</w:t>
      </w:r>
      <w:r w:rsidR="00D17A94">
        <w:t xml:space="preserve"> </w:t>
      </w:r>
      <w:r w:rsidRPr="008A0A12">
        <w:t>branch,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indicated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document</w:t>
      </w:r>
      <w:r w:rsidR="00D17A94">
        <w:t xml:space="preserve"> </w:t>
      </w:r>
      <w:r w:rsidRPr="008A0A12">
        <w:t>submitted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applicant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Blue</w:t>
      </w:r>
      <w:r w:rsidR="00D17A94">
        <w:t xml:space="preserve"> </w:t>
      </w:r>
      <w:r w:rsidRPr="008A0A12">
        <w:t>Card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acceptable.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processing</w:t>
      </w:r>
      <w:r w:rsidR="00D17A94">
        <w:t xml:space="preserve"> </w:t>
      </w:r>
      <w:r w:rsidRPr="008A0A12">
        <w:t>time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set</w:t>
      </w:r>
      <w:r w:rsidR="00D17A94">
        <w:t xml:space="preserve"> </w:t>
      </w:r>
      <w:r w:rsidRPr="008A0A12"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422/2015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two</w:t>
      </w:r>
      <w:r w:rsidR="00D17A94">
        <w:t xml:space="preserve"> </w:t>
      </w:r>
      <w:r w:rsidRPr="008A0A12">
        <w:t>months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submission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complete</w:t>
      </w:r>
      <w:r w:rsidR="00D17A94">
        <w:t xml:space="preserve"> </w:t>
      </w:r>
      <w:r w:rsidRPr="008A0A12">
        <w:t>application.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422/2015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introduced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mechanism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assessing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lastRenderedPageBreak/>
        <w:t>verifying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professional</w:t>
      </w:r>
      <w:r w:rsidR="00D17A94">
        <w:t xml:space="preserve"> </w:t>
      </w:r>
      <w:r w:rsidRPr="008A0A12">
        <w:t>qualifications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applicant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international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cannot</w:t>
      </w:r>
      <w:r w:rsidR="00D17A94">
        <w:t xml:space="preserve"> </w:t>
      </w:r>
      <w:r w:rsidRPr="008A0A12">
        <w:t>provide</w:t>
      </w:r>
      <w:r w:rsidR="00D17A94">
        <w:t xml:space="preserve"> </w:t>
      </w:r>
      <w:r w:rsidRPr="008A0A12">
        <w:t>evidence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education,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examination.</w:t>
      </w:r>
      <w:r w:rsidRPr="001878DB">
        <w:rPr>
          <w:rStyle w:val="FootnoteReference"/>
        </w:rPr>
        <w:footnoteReference w:id="13"/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167.</w:t>
      </w:r>
      <w:r w:rsidRPr="008A0A12">
        <w:tab/>
        <w:t>Several</w:t>
      </w:r>
      <w:r w:rsidR="00D17A94">
        <w:t xml:space="preserve"> </w:t>
      </w:r>
      <w:r w:rsidRPr="008A0A12">
        <w:t>employers,</w:t>
      </w:r>
      <w:r w:rsidR="00D17A94">
        <w:t xml:space="preserve"> </w:t>
      </w:r>
      <w:r w:rsidRPr="008A0A12">
        <w:t>such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enterprises</w:t>
      </w:r>
      <w:r w:rsidR="00D17A94">
        <w:t xml:space="preserve"> </w:t>
      </w:r>
      <w:r w:rsidRPr="008A0A12">
        <w:t>(US</w:t>
      </w:r>
      <w:r w:rsidR="00D17A94">
        <w:t xml:space="preserve"> </w:t>
      </w:r>
      <w:r w:rsidRPr="008A0A12">
        <w:t>Steel)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local</w:t>
      </w:r>
      <w:r w:rsidR="00D17A94">
        <w:t xml:space="preserve"> </w:t>
      </w:r>
      <w:r w:rsidRPr="008A0A12">
        <w:t>governments</w:t>
      </w:r>
      <w:r w:rsidR="00D17A94">
        <w:t xml:space="preserve"> </w:t>
      </w:r>
      <w:r w:rsidRPr="008A0A12">
        <w:t>(</w:t>
      </w:r>
      <w:proofErr w:type="spellStart"/>
      <w:r w:rsidRPr="008A0A12">
        <w:t>Spišský</w:t>
      </w:r>
      <w:proofErr w:type="spellEnd"/>
      <w:r w:rsidR="00D17A94">
        <w:t xml:space="preserve"> </w:t>
      </w:r>
      <w:proofErr w:type="spellStart"/>
      <w:r w:rsidRPr="008A0A12">
        <w:t>Hrhov</w:t>
      </w:r>
      <w:proofErr w:type="spellEnd"/>
      <w:r w:rsidRPr="008A0A12">
        <w:t>)</w:t>
      </w:r>
      <w:r w:rsidR="00D17A94">
        <w:t xml:space="preserve"> </w:t>
      </w:r>
      <w:r w:rsidRPr="008A0A12">
        <w:t>paid</w:t>
      </w:r>
      <w:r w:rsidR="00D17A94">
        <w:t xml:space="preserve"> </w:t>
      </w:r>
      <w:r w:rsidRPr="008A0A12">
        <w:t>higher</w:t>
      </w:r>
      <w:r w:rsidR="00D17A94">
        <w:t xml:space="preserve"> </w:t>
      </w:r>
      <w:r w:rsidRPr="008A0A12">
        <w:t>attention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ethnic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compared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previous</w:t>
      </w:r>
      <w:r w:rsidR="00D17A94">
        <w:t xml:space="preserve"> </w:t>
      </w:r>
      <w:r w:rsidRPr="008A0A12">
        <w:t>period.</w:t>
      </w:r>
      <w:r w:rsidR="00D17A94">
        <w:t xml:space="preserve"> </w:t>
      </w:r>
      <w:r w:rsidRPr="008A0A12">
        <w:t>Certain</w:t>
      </w:r>
      <w:r w:rsidR="00D17A94">
        <w:t xml:space="preserve"> </w:t>
      </w:r>
      <w:r w:rsidRPr="008A0A12">
        <w:t>ethnic</w:t>
      </w:r>
      <w:r w:rsidR="00D17A94">
        <w:t xml:space="preserve"> </w:t>
      </w:r>
      <w:r w:rsidRPr="008A0A12">
        <w:t>diversity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workplaces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created</w:t>
      </w:r>
      <w:r w:rsidR="00D17A94">
        <w:t xml:space="preserve"> </w:t>
      </w:r>
      <w:r w:rsidRPr="008A0A12">
        <w:t>through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above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projects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members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ethnic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employed.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regard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job</w:t>
      </w:r>
      <w:r w:rsidR="00D17A94">
        <w:t xml:space="preserve"> </w:t>
      </w:r>
      <w:r w:rsidRPr="008A0A12">
        <w:t>selection</w:t>
      </w:r>
      <w:r w:rsidR="00D17A94">
        <w:t xml:space="preserve"> </w:t>
      </w:r>
      <w:r w:rsidRPr="008A0A12">
        <w:t>procedure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projects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Municipalities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Selected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Services,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favouring</w:t>
      </w:r>
      <w:r w:rsidR="00D17A94">
        <w:t xml:space="preserve"> </w:t>
      </w:r>
      <w:r w:rsidRPr="008A0A12">
        <w:t>criterion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applied: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knowledge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language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target</w:t>
      </w:r>
      <w:r w:rsidR="00D17A94">
        <w:t xml:space="preserve"> </w:t>
      </w:r>
      <w:r w:rsidRPr="008A0A12">
        <w:t>group</w:t>
      </w:r>
      <w:r w:rsidR="00D17A94">
        <w:t xml:space="preserve"> </w:t>
      </w:r>
      <w:r w:rsidRPr="008A0A12">
        <w:t>(Roma,</w:t>
      </w:r>
      <w:r w:rsidR="00D17A94">
        <w:t xml:space="preserve"> </w:t>
      </w:r>
      <w:r w:rsidRPr="008A0A12">
        <w:t>Hungarian,</w:t>
      </w:r>
      <w:r w:rsidR="00D17A94">
        <w:t xml:space="preserve"> </w:t>
      </w:r>
      <w:r w:rsidRPr="008A0A12">
        <w:t>etc.).</w:t>
      </w:r>
    </w:p>
    <w:p w:rsidR="00F33762" w:rsidRPr="008A0A12" w:rsidRDefault="00F33762" w:rsidP="00F33762">
      <w:pPr>
        <w:pStyle w:val="SingleTxtG"/>
      </w:pPr>
      <w:r w:rsidRPr="008A0A12">
        <w:t>168.</w:t>
      </w:r>
      <w:r w:rsidRPr="008A0A12">
        <w:tab/>
        <w:t>Several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taken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disabilities.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Services,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employer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employs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least</w:t>
      </w:r>
      <w:r w:rsidR="00D17A94">
        <w:t xml:space="preserve"> </w:t>
      </w:r>
      <w:r w:rsidRPr="008A0A12">
        <w:t>20</w:t>
      </w:r>
      <w:r w:rsidR="00D17A94">
        <w:t xml:space="preserve"> </w:t>
      </w:r>
      <w:r w:rsidRPr="008A0A12">
        <w:t>employees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obligated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employ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disabilities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number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3.2</w:t>
      </w:r>
      <w:r w:rsidR="00CD3239">
        <w:t>%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total</w:t>
      </w:r>
      <w:r w:rsidR="00D17A94">
        <w:t xml:space="preserve"> </w:t>
      </w:r>
      <w:r w:rsidRPr="008A0A12">
        <w:t>number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employees,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quota</w:t>
      </w:r>
      <w:r w:rsidR="00D17A94">
        <w:t xml:space="preserve"> </w:t>
      </w:r>
      <w:r w:rsidRPr="008A0A12">
        <w:t>(</w:t>
      </w:r>
      <w:r w:rsidR="00413AEE">
        <w:t>“</w:t>
      </w:r>
      <w:r w:rsidRPr="008A0A12">
        <w:t>compulsory</w:t>
      </w:r>
      <w:r w:rsidR="00D17A94">
        <w:t xml:space="preserve"> </w:t>
      </w:r>
      <w:r w:rsidRPr="008A0A12">
        <w:t>share</w:t>
      </w:r>
      <w:r w:rsidR="00413AEE">
        <w:t>”</w:t>
      </w:r>
      <w:r w:rsidRPr="008A0A12">
        <w:t>).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employer</w:t>
      </w:r>
      <w:r w:rsidR="00D17A94">
        <w:t xml:space="preserve"> </w:t>
      </w:r>
      <w:r w:rsidRPr="008A0A12">
        <w:t>can</w:t>
      </w:r>
      <w:r w:rsidR="00D17A94">
        <w:t xml:space="preserve"> </w:t>
      </w:r>
      <w:r w:rsidRPr="008A0A12">
        <w:t>adhere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compulsory</w:t>
      </w:r>
      <w:r w:rsidR="00D17A94">
        <w:t xml:space="preserve"> </w:t>
      </w:r>
      <w:r w:rsidRPr="008A0A12">
        <w:t>share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directly</w:t>
      </w:r>
      <w:r w:rsidR="00D17A94">
        <w:t xml:space="preserve"> </w:t>
      </w:r>
      <w:r w:rsidRPr="008A0A12">
        <w:t>employing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disabilities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employment,</w:t>
      </w:r>
      <w:r w:rsidR="00D17A94">
        <w:t xml:space="preserve"> </w:t>
      </w:r>
      <w:r w:rsidRPr="008A0A12">
        <w:t>service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civil</w:t>
      </w:r>
      <w:r w:rsidR="00D17A94">
        <w:t xml:space="preserve"> </w:t>
      </w:r>
      <w:r w:rsidRPr="008A0A12">
        <w:t>service</w:t>
      </w:r>
      <w:r w:rsidR="00D17A94">
        <w:t xml:space="preserve"> </w:t>
      </w:r>
      <w:r w:rsidRPr="008A0A12">
        <w:t>relationship</w:t>
      </w:r>
      <w:r w:rsidR="00D17A94">
        <w:t xml:space="preserve"> </w:t>
      </w:r>
      <w:r w:rsidRPr="008A0A12">
        <w:t>toward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employer,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making</w:t>
      </w:r>
      <w:r w:rsidR="00D17A94">
        <w:t xml:space="preserve"> </w:t>
      </w:r>
      <w:r w:rsidRPr="008A0A12">
        <w:t>use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substitute</w:t>
      </w:r>
      <w:r w:rsidR="00D17A94">
        <w:t xml:space="preserve"> </w:t>
      </w:r>
      <w:r w:rsidRPr="008A0A12">
        <w:t>measure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placing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suitable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employing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disability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placing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citizen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disability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self-employed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levy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non-compliance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compulsory</w:t>
      </w:r>
      <w:r w:rsidR="00D17A94">
        <w:t xml:space="preserve"> </w:t>
      </w:r>
      <w:r w:rsidRPr="008A0A12">
        <w:t>share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mutual</w:t>
      </w:r>
      <w:r w:rsidR="00D17A94">
        <w:t xml:space="preserve"> </w:t>
      </w:r>
      <w:r w:rsidRPr="008A0A12">
        <w:t>combination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above</w:t>
      </w:r>
      <w:r w:rsidR="00D17A94">
        <w:t xml:space="preserve"> </w:t>
      </w:r>
      <w:r w:rsidRPr="008A0A12">
        <w:t>options.</w:t>
      </w:r>
      <w:r w:rsidR="00D17A94">
        <w:t xml:space="preserve"> </w:t>
      </w:r>
      <w:r w:rsidRPr="008A0A12">
        <w:t>Offices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labour,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affairs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thoroughly</w:t>
      </w:r>
      <w:r w:rsidR="00D17A94">
        <w:t xml:space="preserve"> </w:t>
      </w:r>
      <w:r w:rsidRPr="008A0A12">
        <w:t>monitor</w:t>
      </w:r>
      <w:r w:rsidR="00D17A94">
        <w:t xml:space="preserve"> </w:t>
      </w:r>
      <w:r w:rsidRPr="008A0A12">
        <w:t>compliance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compulsory</w:t>
      </w:r>
      <w:r w:rsidR="00D17A94">
        <w:t xml:space="preserve"> </w:t>
      </w:r>
      <w:r w:rsidRPr="008A0A12">
        <w:t>share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Services</w:t>
      </w:r>
      <w:r w:rsidR="00D17A94">
        <w:t xml:space="preserve"> </w:t>
      </w:r>
      <w:r w:rsidRPr="008A0A12">
        <w:t>(§</w:t>
      </w:r>
      <w:r w:rsidR="00D17A94">
        <w:t xml:space="preserve"> </w:t>
      </w:r>
      <w:r w:rsidRPr="008A0A12">
        <w:t>13,</w:t>
      </w:r>
      <w:r w:rsidR="00D17A94">
        <w:t xml:space="preserve"> </w:t>
      </w:r>
      <w:r w:rsidRPr="008A0A12">
        <w:t>Section</w:t>
      </w:r>
      <w:r w:rsidR="00D17A94">
        <w:t xml:space="preserve"> </w:t>
      </w:r>
      <w:r w:rsidRPr="008A0A12">
        <w:t>2).</w:t>
      </w:r>
    </w:p>
    <w:p w:rsidR="00F33762" w:rsidRPr="008A0A12" w:rsidRDefault="00F33762" w:rsidP="00F33762">
      <w:pPr>
        <w:pStyle w:val="SingleTxtG"/>
      </w:pPr>
      <w:r w:rsidRPr="008A0A12">
        <w:t>169.</w:t>
      </w:r>
      <w:r w:rsidRPr="008A0A12">
        <w:tab/>
        <w:t>Targeted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improvement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status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disability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market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reflected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positive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economic</w:t>
      </w:r>
      <w:r w:rsidR="00D17A94">
        <w:t xml:space="preserve"> </w:t>
      </w:r>
      <w:r w:rsidRPr="008A0A12">
        <w:t>activity</w:t>
      </w:r>
      <w:r w:rsidR="00D17A94">
        <w:t xml:space="preserve"> </w:t>
      </w:r>
      <w:r w:rsidRPr="008A0A12">
        <w:t>rate,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disability.</w:t>
      </w:r>
    </w:p>
    <w:p w:rsidR="0095287D" w:rsidRDefault="00F33762" w:rsidP="00790C37">
      <w:pPr>
        <w:pStyle w:val="SingleTxtG"/>
        <w:spacing w:after="240"/>
      </w:pPr>
      <w:r w:rsidRPr="008A0A12">
        <w:t>170.</w:t>
      </w:r>
      <w:r w:rsidRPr="008A0A12">
        <w:tab/>
        <w:t>The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economic</w:t>
      </w:r>
      <w:r w:rsidR="00D17A94">
        <w:t xml:space="preserve"> </w:t>
      </w:r>
      <w:r w:rsidRPr="008A0A12">
        <w:t>activity</w:t>
      </w:r>
      <w:r w:rsidR="00D17A94">
        <w:t xml:space="preserve"> </w:t>
      </w:r>
      <w:r w:rsidRPr="008A0A12">
        <w:t>rate,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unemployment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disability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="00456170">
        <w:t>—</w:t>
      </w:r>
      <w:r w:rsidR="00D17A94">
        <w:t xml:space="preserve"> </w:t>
      </w:r>
    </w:p>
    <w:p w:rsidR="00F33762" w:rsidRPr="008A0A12" w:rsidRDefault="00F33762" w:rsidP="00854A9B">
      <w:pPr>
        <w:pStyle w:val="SingleTxtG"/>
        <w:jc w:val="left"/>
      </w:pPr>
      <w:r w:rsidRPr="008A0A12">
        <w:t>Table</w:t>
      </w:r>
      <w:r w:rsidR="00D17A94">
        <w:t xml:space="preserve"> </w:t>
      </w:r>
      <w:r w:rsidRPr="008A0A12">
        <w:t>1</w:t>
      </w:r>
      <w:r w:rsidR="00854A9B">
        <w:br/>
      </w:r>
      <w:r w:rsidRPr="00230B9B">
        <w:rPr>
          <w:b/>
        </w:rPr>
        <w:t>Source:</w:t>
      </w:r>
      <w:r w:rsidR="00D17A94">
        <w:rPr>
          <w:b/>
        </w:rPr>
        <w:t xml:space="preserve"> </w:t>
      </w:r>
      <w:r w:rsidRPr="00230B9B">
        <w:rPr>
          <w:b/>
        </w:rPr>
        <w:t>SO</w:t>
      </w:r>
      <w:r w:rsidR="00D17A94">
        <w:rPr>
          <w:b/>
        </w:rPr>
        <w:t xml:space="preserve"> </w:t>
      </w:r>
      <w:r w:rsidRPr="00230B9B">
        <w:rPr>
          <w:b/>
        </w:rPr>
        <w:t>SR,</w:t>
      </w:r>
      <w:r w:rsidR="00D17A94">
        <w:rPr>
          <w:b/>
        </w:rPr>
        <w:t xml:space="preserve"> </w:t>
      </w:r>
      <w:r w:rsidRPr="00230B9B">
        <w:rPr>
          <w:b/>
        </w:rPr>
        <w:t>(annual</w:t>
      </w:r>
      <w:r w:rsidR="00D17A94">
        <w:rPr>
          <w:b/>
        </w:rPr>
        <w:t xml:space="preserve"> </w:t>
      </w:r>
      <w:r w:rsidRPr="00230B9B">
        <w:rPr>
          <w:b/>
        </w:rPr>
        <w:t>average</w:t>
      </w:r>
      <w:r w:rsidR="00D17A94">
        <w:rPr>
          <w:b/>
        </w:rPr>
        <w:t xml:space="preserve"> </w:t>
      </w:r>
      <w:r w:rsidRPr="00230B9B">
        <w:rPr>
          <w:b/>
        </w:rPr>
        <w:t>in</w:t>
      </w:r>
      <w:r w:rsidR="00D17A94">
        <w:rPr>
          <w:b/>
        </w:rPr>
        <w:t xml:space="preserve"> </w:t>
      </w:r>
      <w:r w:rsidRPr="00230B9B">
        <w:rPr>
          <w:b/>
        </w:rPr>
        <w:t>%)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1601"/>
        <w:gridCol w:w="1601"/>
        <w:gridCol w:w="1615"/>
      </w:tblGrid>
      <w:tr w:rsidR="00F33762" w:rsidRPr="00790C37" w:rsidTr="00790C37">
        <w:trPr>
          <w:tblHeader/>
        </w:trPr>
        <w:tc>
          <w:tcPr>
            <w:tcW w:w="33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3762" w:rsidRPr="00790C37" w:rsidRDefault="00F33762" w:rsidP="00790C37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790C37">
              <w:rPr>
                <w:i/>
                <w:sz w:val="16"/>
              </w:rPr>
              <w:t>Indicator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3762" w:rsidRPr="00790C37" w:rsidRDefault="00F33762" w:rsidP="00790C37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790C37">
              <w:rPr>
                <w:i/>
                <w:sz w:val="16"/>
              </w:rPr>
              <w:t>2013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3762" w:rsidRPr="00790C37" w:rsidRDefault="00F33762" w:rsidP="00790C37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790C37">
              <w:rPr>
                <w:i/>
                <w:sz w:val="16"/>
              </w:rPr>
              <w:t>2014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3762" w:rsidRPr="00790C37" w:rsidRDefault="00F33762" w:rsidP="00790C37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790C37">
              <w:rPr>
                <w:i/>
                <w:sz w:val="16"/>
              </w:rPr>
              <w:t>2015</w:t>
            </w:r>
          </w:p>
        </w:tc>
      </w:tr>
      <w:tr w:rsidR="00F33762" w:rsidRPr="00790C37" w:rsidTr="00790C37">
        <w:tc>
          <w:tcPr>
            <w:tcW w:w="3368" w:type="dxa"/>
            <w:tcBorders>
              <w:top w:val="single" w:sz="12" w:space="0" w:color="auto"/>
            </w:tcBorders>
            <w:shd w:val="clear" w:color="auto" w:fill="auto"/>
          </w:tcPr>
          <w:p w:rsidR="00F33762" w:rsidRPr="00790C37" w:rsidRDefault="00F33762" w:rsidP="00790C37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790C37">
              <w:rPr>
                <w:sz w:val="18"/>
              </w:rPr>
              <w:t>Economic</w:t>
            </w:r>
            <w:r w:rsidR="00D17A94">
              <w:rPr>
                <w:sz w:val="18"/>
              </w:rPr>
              <w:t xml:space="preserve"> </w:t>
            </w:r>
            <w:r w:rsidRPr="00790C37">
              <w:rPr>
                <w:sz w:val="18"/>
              </w:rPr>
              <w:t>activity</w:t>
            </w:r>
            <w:r w:rsidR="00D17A94">
              <w:rPr>
                <w:sz w:val="18"/>
              </w:rPr>
              <w:t xml:space="preserve"> </w:t>
            </w:r>
            <w:r w:rsidRPr="00790C37">
              <w:rPr>
                <w:sz w:val="18"/>
              </w:rPr>
              <w:t>rate</w:t>
            </w:r>
          </w:p>
        </w:tc>
        <w:tc>
          <w:tcPr>
            <w:tcW w:w="21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3762" w:rsidRPr="00790C37" w:rsidRDefault="00F33762" w:rsidP="00790C37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790C37">
              <w:rPr>
                <w:sz w:val="18"/>
              </w:rPr>
              <w:t>17.6</w:t>
            </w:r>
          </w:p>
        </w:tc>
        <w:tc>
          <w:tcPr>
            <w:tcW w:w="21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3762" w:rsidRPr="00790C37" w:rsidRDefault="00F33762" w:rsidP="00790C37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790C37">
              <w:rPr>
                <w:sz w:val="18"/>
              </w:rPr>
              <w:t>21.4</w:t>
            </w:r>
          </w:p>
        </w:tc>
        <w:tc>
          <w:tcPr>
            <w:tcW w:w="21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3762" w:rsidRPr="00790C37" w:rsidRDefault="00F33762" w:rsidP="00790C37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790C37">
              <w:rPr>
                <w:sz w:val="18"/>
              </w:rPr>
              <w:t>20.1</w:t>
            </w:r>
          </w:p>
        </w:tc>
      </w:tr>
      <w:tr w:rsidR="00F33762" w:rsidRPr="00790C37" w:rsidTr="00790C37">
        <w:tc>
          <w:tcPr>
            <w:tcW w:w="3368" w:type="dxa"/>
            <w:shd w:val="clear" w:color="auto" w:fill="auto"/>
          </w:tcPr>
          <w:p w:rsidR="00F33762" w:rsidRPr="00790C37" w:rsidRDefault="00F33762" w:rsidP="00790C37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790C37">
              <w:rPr>
                <w:sz w:val="18"/>
              </w:rPr>
              <w:t>Employment</w:t>
            </w:r>
            <w:r w:rsidR="00D17A94">
              <w:rPr>
                <w:sz w:val="18"/>
              </w:rPr>
              <w:t xml:space="preserve"> </w:t>
            </w:r>
            <w:r w:rsidRPr="00790C37">
              <w:rPr>
                <w:sz w:val="18"/>
              </w:rPr>
              <w:t>rate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F33762" w:rsidRPr="00790C37" w:rsidRDefault="00F33762" w:rsidP="00790C37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790C37">
              <w:rPr>
                <w:sz w:val="18"/>
              </w:rPr>
              <w:t>14.0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F33762" w:rsidRPr="00790C37" w:rsidRDefault="00F33762" w:rsidP="00790C37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790C37">
              <w:rPr>
                <w:sz w:val="18"/>
              </w:rPr>
              <w:t>17.2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33762" w:rsidRPr="00790C37" w:rsidRDefault="00F33762" w:rsidP="00790C37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790C37">
              <w:rPr>
                <w:sz w:val="18"/>
              </w:rPr>
              <w:t>16.6</w:t>
            </w:r>
          </w:p>
        </w:tc>
      </w:tr>
      <w:tr w:rsidR="00F33762" w:rsidRPr="00790C37" w:rsidTr="00790C37">
        <w:tc>
          <w:tcPr>
            <w:tcW w:w="3368" w:type="dxa"/>
            <w:shd w:val="clear" w:color="auto" w:fill="auto"/>
          </w:tcPr>
          <w:p w:rsidR="00F33762" w:rsidRPr="00790C37" w:rsidRDefault="00F33762" w:rsidP="00790C37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790C37">
              <w:rPr>
                <w:sz w:val="18"/>
              </w:rPr>
              <w:t>Unemployment</w:t>
            </w:r>
            <w:r w:rsidR="00D17A94">
              <w:rPr>
                <w:sz w:val="18"/>
              </w:rPr>
              <w:t xml:space="preserve"> </w:t>
            </w:r>
            <w:r w:rsidRPr="00790C37">
              <w:rPr>
                <w:sz w:val="18"/>
              </w:rPr>
              <w:t>rate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F33762" w:rsidRPr="00790C37" w:rsidRDefault="00F33762" w:rsidP="00790C37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790C37">
              <w:rPr>
                <w:sz w:val="18"/>
              </w:rPr>
              <w:t>20.1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F33762" w:rsidRPr="00790C37" w:rsidRDefault="00F33762" w:rsidP="00790C37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790C37">
              <w:rPr>
                <w:sz w:val="18"/>
              </w:rPr>
              <w:t>19.6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33762" w:rsidRPr="00790C37" w:rsidRDefault="00F33762" w:rsidP="00790C37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790C37">
              <w:rPr>
                <w:sz w:val="18"/>
              </w:rPr>
              <w:t>17.4</w:t>
            </w:r>
          </w:p>
        </w:tc>
      </w:tr>
    </w:tbl>
    <w:p w:rsidR="00F33762" w:rsidRPr="008A0A12" w:rsidRDefault="00F33762" w:rsidP="00790C37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14:</w:t>
      </w:r>
    </w:p>
    <w:p w:rsidR="00F33762" w:rsidRPr="008A0A12" w:rsidRDefault="00F33762" w:rsidP="00F33762">
      <w:pPr>
        <w:pStyle w:val="SingleTxtG"/>
      </w:pPr>
      <w:r w:rsidRPr="008A0A12">
        <w:t>171.</w:t>
      </w:r>
      <w:r w:rsidRPr="008A0A12">
        <w:tab/>
        <w:t>In</w:t>
      </w:r>
      <w:r w:rsidR="00D17A94">
        <w:t xml:space="preserve"> </w:t>
      </w:r>
      <w:r w:rsidRPr="008A0A12">
        <w:t>2007,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amendment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LC,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important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119</w:t>
      </w:r>
      <w:r w:rsidR="00D17A94">
        <w:t xml:space="preserve"> </w:t>
      </w:r>
      <w:r w:rsidRPr="008A0A12">
        <w:t>(a)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added,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stipulates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same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same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same</w:t>
      </w:r>
      <w:r w:rsidR="00D17A94">
        <w:t xml:space="preserve"> </w:t>
      </w:r>
      <w:r w:rsidRPr="008A0A12">
        <w:t>value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men.</w:t>
      </w:r>
      <w:r w:rsidR="00D17A94">
        <w:t xml:space="preserve"> </w:t>
      </w:r>
      <w:r w:rsidRPr="008A0A12">
        <w:t>Despite</w:t>
      </w:r>
      <w:r w:rsidR="00D17A94">
        <w:t xml:space="preserve"> </w:t>
      </w:r>
      <w:r w:rsidRPr="008A0A12">
        <w:t>suitable</w:t>
      </w:r>
      <w:r w:rsidR="00D17A94">
        <w:t xml:space="preserve"> </w:t>
      </w:r>
      <w:r w:rsidRPr="008A0A12">
        <w:t>legislation,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necessary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significant</w:t>
      </w:r>
      <w:r w:rsidR="00D17A94">
        <w:t xml:space="preserve"> </w:t>
      </w:r>
      <w:r w:rsidRPr="008A0A12">
        <w:t>differences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remuneration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still</w:t>
      </w:r>
      <w:r w:rsidR="00D17A94">
        <w:t xml:space="preserve"> </w:t>
      </w:r>
      <w:r w:rsidRPr="008A0A12">
        <w:t>persist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Slovakia.</w:t>
      </w:r>
      <w:r w:rsidR="00D17A94">
        <w:t xml:space="preserve"> </w:t>
      </w:r>
      <w:r w:rsidRPr="008A0A12">
        <w:t>Recently,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pay</w:t>
      </w:r>
      <w:r w:rsidR="00D17A94">
        <w:t xml:space="preserve"> </w:t>
      </w:r>
      <w:r w:rsidRPr="008A0A12">
        <w:t>gap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slowly</w:t>
      </w:r>
      <w:r w:rsidR="00D17A94">
        <w:t xml:space="preserve"> </w:t>
      </w:r>
      <w:r w:rsidRPr="008A0A12">
        <w:t>decreasing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currently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accounts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about</w:t>
      </w:r>
      <w:r w:rsidR="00D17A94">
        <w:t xml:space="preserve"> </w:t>
      </w:r>
      <w:r w:rsidRPr="008A0A12">
        <w:t>18</w:t>
      </w:r>
      <w:r w:rsidR="00CD3239">
        <w:t>%</w:t>
      </w:r>
      <w:r w:rsidRPr="008A0A12">
        <w:t>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average</w:t>
      </w:r>
      <w:r w:rsidR="00D17A94">
        <w:t xml:space="preserve"> </w:t>
      </w:r>
      <w:r w:rsidRPr="008A0A12">
        <w:t>hourly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makes</w:t>
      </w:r>
      <w:r w:rsidR="00D17A94">
        <w:t xml:space="preserve"> </w:t>
      </w:r>
      <w:r w:rsidRPr="008A0A12">
        <w:t>up</w:t>
      </w:r>
      <w:r w:rsidR="00D17A94">
        <w:t xml:space="preserve"> </w:t>
      </w:r>
      <w:r w:rsidRPr="008A0A12">
        <w:t>only</w:t>
      </w:r>
      <w:r w:rsidR="00D17A94">
        <w:t xml:space="preserve"> </w:t>
      </w:r>
      <w:r w:rsidRPr="008A0A12">
        <w:t>82</w:t>
      </w:r>
      <w:r w:rsidR="00CD3239">
        <w:t>%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average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men.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EU</w:t>
      </w:r>
      <w:r w:rsidR="00D17A94">
        <w:t xml:space="preserve"> </w:t>
      </w:r>
      <w:r w:rsidRPr="008A0A12">
        <w:t>member</w:t>
      </w:r>
      <w:r w:rsidR="00D17A94">
        <w:t xml:space="preserve"> </w:t>
      </w:r>
      <w:r w:rsidRPr="008A0A12">
        <w:t>states,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average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long</w:t>
      </w:r>
      <w:r w:rsidR="00D17A94">
        <w:t xml:space="preserve"> </w:t>
      </w:r>
      <w:r w:rsidRPr="008A0A12">
        <w:t>ranged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16</w:t>
      </w:r>
      <w:r w:rsidR="00F07B18">
        <w:t>%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17</w:t>
      </w:r>
      <w:r w:rsidR="00F07B18">
        <w:t>%</w:t>
      </w:r>
      <w:r w:rsidRPr="008A0A12">
        <w:t>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good</w:t>
      </w:r>
      <w:r w:rsidR="00D17A94">
        <w:t xml:space="preserve"> </w:t>
      </w:r>
      <w:r w:rsidRPr="008A0A12">
        <w:t>news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pay</w:t>
      </w:r>
      <w:r w:rsidR="00D17A94">
        <w:t xml:space="preserve"> </w:t>
      </w:r>
      <w:r w:rsidRPr="008A0A12">
        <w:t>gap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Slovakia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gradually</w:t>
      </w:r>
      <w:r w:rsidR="00D17A94">
        <w:t xml:space="preserve"> </w:t>
      </w:r>
      <w:r w:rsidRPr="008A0A12">
        <w:t>decreasing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shown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table</w:t>
      </w:r>
      <w:r w:rsidR="00D17A94">
        <w:t xml:space="preserve"> </w:t>
      </w:r>
      <w:r w:rsidRPr="008A0A12">
        <w:t>below:</w:t>
      </w:r>
    </w:p>
    <w:p w:rsidR="00F33762" w:rsidRPr="008A0A12" w:rsidRDefault="00F33762" w:rsidP="0095287D">
      <w:pPr>
        <w:pStyle w:val="SingleTxtG"/>
        <w:jc w:val="left"/>
      </w:pPr>
      <w:r w:rsidRPr="008A0A12">
        <w:t>Table</w:t>
      </w:r>
      <w:r w:rsidR="00D17A94">
        <w:t xml:space="preserve"> </w:t>
      </w:r>
      <w:r w:rsidRPr="008A0A12">
        <w:t>2</w:t>
      </w:r>
      <w:r w:rsidR="0095287D">
        <w:br/>
      </w:r>
      <w:r w:rsidRPr="00752E6D">
        <w:rPr>
          <w:b/>
        </w:rPr>
        <w:t>The</w:t>
      </w:r>
      <w:r w:rsidR="00D17A94">
        <w:rPr>
          <w:b/>
        </w:rPr>
        <w:t xml:space="preserve"> </w:t>
      </w:r>
      <w:r w:rsidRPr="00752E6D">
        <w:rPr>
          <w:b/>
        </w:rPr>
        <w:t>development</w:t>
      </w:r>
      <w:r w:rsidR="00D17A94">
        <w:rPr>
          <w:b/>
        </w:rPr>
        <w:t xml:space="preserve"> </w:t>
      </w:r>
      <w:r w:rsidRPr="00752E6D">
        <w:rPr>
          <w:b/>
        </w:rPr>
        <w:t>of</w:t>
      </w:r>
      <w:r w:rsidR="00D17A94">
        <w:rPr>
          <w:b/>
        </w:rPr>
        <w:t xml:space="preserve"> </w:t>
      </w:r>
      <w:r w:rsidRPr="00752E6D">
        <w:rPr>
          <w:b/>
        </w:rPr>
        <w:t>GPG</w:t>
      </w:r>
      <w:r w:rsidR="00D17A94">
        <w:rPr>
          <w:b/>
        </w:rPr>
        <w:t xml:space="preserve"> </w:t>
      </w:r>
      <w:r w:rsidRPr="00752E6D">
        <w:rPr>
          <w:b/>
        </w:rPr>
        <w:t>in</w:t>
      </w:r>
      <w:r w:rsidR="00D17A94">
        <w:rPr>
          <w:b/>
        </w:rPr>
        <w:t xml:space="preserve"> </w:t>
      </w:r>
      <w:r w:rsidRPr="00752E6D">
        <w:rPr>
          <w:b/>
        </w:rPr>
        <w:t>hourly</w:t>
      </w:r>
      <w:r w:rsidR="00D17A94">
        <w:rPr>
          <w:b/>
        </w:rPr>
        <w:t xml:space="preserve"> </w:t>
      </w:r>
      <w:r w:rsidRPr="00752E6D">
        <w:rPr>
          <w:b/>
        </w:rPr>
        <w:t>and</w:t>
      </w:r>
      <w:r w:rsidR="00D17A94">
        <w:rPr>
          <w:b/>
        </w:rPr>
        <w:t xml:space="preserve"> </w:t>
      </w:r>
      <w:r w:rsidRPr="00752E6D">
        <w:rPr>
          <w:b/>
        </w:rPr>
        <w:t>monthly</w:t>
      </w:r>
      <w:r w:rsidR="00D17A94">
        <w:rPr>
          <w:b/>
        </w:rPr>
        <w:t xml:space="preserve"> </w:t>
      </w:r>
      <w:r w:rsidRPr="00752E6D">
        <w:rPr>
          <w:b/>
        </w:rPr>
        <w:t>wage</w:t>
      </w:r>
      <w:r w:rsidR="00D17A94">
        <w:rPr>
          <w:b/>
        </w:rPr>
        <w:t xml:space="preserve"> </w:t>
      </w:r>
      <w:r w:rsidRPr="00752E6D">
        <w:rPr>
          <w:b/>
        </w:rPr>
        <w:t>for</w:t>
      </w:r>
      <w:r w:rsidR="00D17A94">
        <w:rPr>
          <w:b/>
        </w:rPr>
        <w:t xml:space="preserve"> </w:t>
      </w:r>
      <w:r w:rsidRPr="00752E6D">
        <w:rPr>
          <w:b/>
        </w:rPr>
        <w:t>the</w:t>
      </w:r>
      <w:r w:rsidR="00D17A94">
        <w:rPr>
          <w:b/>
        </w:rPr>
        <w:t xml:space="preserve"> </w:t>
      </w:r>
      <w:r w:rsidRPr="00752E6D">
        <w:rPr>
          <w:b/>
        </w:rPr>
        <w:t>years</w:t>
      </w:r>
      <w:r w:rsidR="00D17A94">
        <w:rPr>
          <w:b/>
        </w:rPr>
        <w:t xml:space="preserve"> </w:t>
      </w:r>
      <w:r w:rsidRPr="00752E6D">
        <w:rPr>
          <w:b/>
        </w:rPr>
        <w:t>2005</w:t>
      </w:r>
      <w:r w:rsidR="00752E6D">
        <w:rPr>
          <w:b/>
        </w:rPr>
        <w:t>-</w:t>
      </w:r>
      <w:r w:rsidRPr="00752E6D">
        <w:rPr>
          <w:b/>
        </w:rPr>
        <w:t>2015,</w:t>
      </w:r>
      <w:r w:rsidR="00D17A94">
        <w:rPr>
          <w:b/>
        </w:rPr>
        <w:t xml:space="preserve"> </w:t>
      </w:r>
      <w:r w:rsidRPr="00752E6D">
        <w:rPr>
          <w:b/>
        </w:rPr>
        <w:t>in</w:t>
      </w:r>
      <w:r w:rsidR="00D17A94">
        <w:rPr>
          <w:b/>
        </w:rPr>
        <w:t xml:space="preserve"> </w:t>
      </w:r>
      <w:r w:rsidRPr="00752E6D">
        <w:rPr>
          <w:b/>
        </w:rPr>
        <w:t>%</w:t>
      </w:r>
      <w:r w:rsidR="00D17A94">
        <w:rPr>
          <w:b/>
        </w:rPr>
        <w:t xml:space="preserve"> </w:t>
      </w:r>
      <w:r w:rsidRPr="00752E6D">
        <w:rPr>
          <w:b/>
        </w:rPr>
        <w:t>and</w:t>
      </w:r>
      <w:r w:rsidR="00D17A94">
        <w:rPr>
          <w:b/>
        </w:rPr>
        <w:t xml:space="preserve"> </w:t>
      </w:r>
      <w:r w:rsidRPr="00752E6D">
        <w:rPr>
          <w:b/>
        </w:rPr>
        <w:t>relevant</w:t>
      </w:r>
      <w:r w:rsidR="00D17A94">
        <w:rPr>
          <w:b/>
        </w:rPr>
        <w:t xml:space="preserve"> </w:t>
      </w:r>
      <w:r w:rsidR="00AE1277">
        <w:rPr>
          <w:b/>
        </w:rPr>
        <w:t>chart</w:t>
      </w:r>
      <w:r w:rsidR="00D17A94">
        <w:rPr>
          <w:b/>
        </w:rPr>
        <w:t xml:space="preserve"> </w:t>
      </w:r>
      <w:r w:rsidR="00AE1277">
        <w:rPr>
          <w:b/>
        </w:rPr>
        <w:br/>
      </w:r>
      <w:r w:rsidRPr="00AE1277">
        <w:rPr>
          <w:i/>
          <w:sz w:val="16"/>
        </w:rPr>
        <w:t>Source:</w:t>
      </w:r>
      <w:r w:rsidR="00D17A94">
        <w:rPr>
          <w:sz w:val="16"/>
        </w:rPr>
        <w:t xml:space="preserve">  </w:t>
      </w:r>
      <w:proofErr w:type="spellStart"/>
      <w:r w:rsidRPr="00AE1277">
        <w:rPr>
          <w:sz w:val="16"/>
        </w:rPr>
        <w:t>Trexima</w:t>
      </w:r>
      <w:proofErr w:type="spellEnd"/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858"/>
        <w:gridCol w:w="2552"/>
      </w:tblGrid>
      <w:tr w:rsidR="00F33762" w:rsidRPr="00FC0C3F" w:rsidTr="00FC0C3F">
        <w:trPr>
          <w:tblHeader/>
        </w:trPr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FC0C3F">
              <w:rPr>
                <w:i/>
                <w:sz w:val="16"/>
              </w:rPr>
              <w:t>Year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FC0C3F">
              <w:rPr>
                <w:i/>
                <w:sz w:val="16"/>
              </w:rPr>
              <w:t>GPG</w:t>
            </w:r>
            <w:r w:rsidR="00D17A94">
              <w:rPr>
                <w:i/>
                <w:sz w:val="16"/>
              </w:rPr>
              <w:t xml:space="preserve"> </w:t>
            </w:r>
            <w:r w:rsidRPr="00FC0C3F">
              <w:rPr>
                <w:i/>
                <w:sz w:val="16"/>
              </w:rPr>
              <w:t>month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FC0C3F">
              <w:rPr>
                <w:i/>
                <w:sz w:val="16"/>
              </w:rPr>
              <w:t>GPG</w:t>
            </w:r>
            <w:r w:rsidR="00D17A94">
              <w:rPr>
                <w:i/>
                <w:sz w:val="16"/>
              </w:rPr>
              <w:t xml:space="preserve"> </w:t>
            </w:r>
            <w:r w:rsidRPr="00FC0C3F">
              <w:rPr>
                <w:i/>
                <w:sz w:val="16"/>
              </w:rPr>
              <w:t>hour</w:t>
            </w:r>
          </w:p>
        </w:tc>
      </w:tr>
      <w:tr w:rsidR="00F33762" w:rsidRPr="00FC0C3F" w:rsidTr="00FC0C3F"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FC0C3F">
              <w:rPr>
                <w:sz w:val="18"/>
              </w:rPr>
              <w:t>2005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27.66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26.66</w:t>
            </w:r>
          </w:p>
        </w:tc>
      </w:tr>
      <w:tr w:rsidR="00F33762" w:rsidRPr="00FC0C3F" w:rsidTr="00332D4B">
        <w:tc>
          <w:tcPr>
            <w:tcW w:w="960" w:type="dxa"/>
            <w:tcBorders>
              <w:bottom w:val="nil"/>
            </w:tcBorders>
            <w:shd w:val="clear" w:color="auto" w:fill="auto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FC0C3F">
              <w:rPr>
                <w:sz w:val="18"/>
              </w:rPr>
              <w:t>2006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26.10</w:t>
            </w:r>
          </w:p>
        </w:tc>
        <w:tc>
          <w:tcPr>
            <w:tcW w:w="1250" w:type="dxa"/>
            <w:tcBorders>
              <w:bottom w:val="nil"/>
            </w:tcBorders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23.74</w:t>
            </w:r>
          </w:p>
        </w:tc>
      </w:tr>
      <w:tr w:rsidR="00F33762" w:rsidRPr="00FC0C3F" w:rsidTr="00332D4B"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FC0C3F">
              <w:rPr>
                <w:sz w:val="18"/>
              </w:rPr>
              <w:t>2007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25.03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22.85</w:t>
            </w:r>
          </w:p>
        </w:tc>
      </w:tr>
      <w:tr w:rsidR="00F33762" w:rsidRPr="00FC0C3F" w:rsidTr="00332D4B"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FC0C3F">
              <w:rPr>
                <w:sz w:val="18"/>
              </w:rPr>
              <w:lastRenderedPageBreak/>
              <w:t>2008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23.13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21.09</w:t>
            </w:r>
          </w:p>
        </w:tc>
      </w:tr>
      <w:tr w:rsidR="00F33762" w:rsidRPr="00FC0C3F" w:rsidTr="00FC0C3F"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FC0C3F">
              <w:rPr>
                <w:sz w:val="18"/>
              </w:rPr>
              <w:t>2009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24.41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21.70</w:t>
            </w:r>
          </w:p>
        </w:tc>
      </w:tr>
      <w:tr w:rsidR="00F33762" w:rsidRPr="00FC0C3F" w:rsidTr="00FC0C3F">
        <w:tc>
          <w:tcPr>
            <w:tcW w:w="960" w:type="dxa"/>
            <w:tcBorders>
              <w:top w:val="nil"/>
            </w:tcBorders>
            <w:shd w:val="clear" w:color="auto" w:fill="auto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FC0C3F">
              <w:rPr>
                <w:sz w:val="18"/>
              </w:rPr>
              <w:t>2010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23.42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20.65</w:t>
            </w:r>
          </w:p>
        </w:tc>
      </w:tr>
      <w:tr w:rsidR="00F33762" w:rsidRPr="00FC0C3F" w:rsidTr="00FC0C3F">
        <w:tc>
          <w:tcPr>
            <w:tcW w:w="960" w:type="dxa"/>
            <w:shd w:val="clear" w:color="auto" w:fill="auto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FC0C3F">
              <w:rPr>
                <w:sz w:val="18"/>
              </w:rPr>
              <w:t>2011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22.74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20.17</w:t>
            </w:r>
          </w:p>
        </w:tc>
      </w:tr>
      <w:tr w:rsidR="00F33762" w:rsidRPr="00FC0C3F" w:rsidTr="00FC0C3F">
        <w:tc>
          <w:tcPr>
            <w:tcW w:w="960" w:type="dxa"/>
            <w:shd w:val="clear" w:color="auto" w:fill="auto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FC0C3F">
              <w:rPr>
                <w:sz w:val="18"/>
              </w:rPr>
              <w:t>2012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23.00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20.37</w:t>
            </w:r>
          </w:p>
        </w:tc>
      </w:tr>
      <w:tr w:rsidR="00F33762" w:rsidRPr="00FC0C3F" w:rsidTr="00FC0C3F">
        <w:tc>
          <w:tcPr>
            <w:tcW w:w="960" w:type="dxa"/>
            <w:shd w:val="clear" w:color="auto" w:fill="auto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FC0C3F">
              <w:rPr>
                <w:sz w:val="18"/>
              </w:rPr>
              <w:t>2013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20.82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17.90</w:t>
            </w:r>
          </w:p>
        </w:tc>
      </w:tr>
      <w:tr w:rsidR="00F33762" w:rsidRPr="00FC0C3F" w:rsidTr="00FC0C3F">
        <w:tc>
          <w:tcPr>
            <w:tcW w:w="960" w:type="dxa"/>
            <w:shd w:val="clear" w:color="auto" w:fill="auto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FC0C3F">
              <w:rPr>
                <w:sz w:val="18"/>
              </w:rPr>
              <w:t>2014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23.02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18.73</w:t>
            </w:r>
          </w:p>
        </w:tc>
      </w:tr>
      <w:tr w:rsidR="00F33762" w:rsidRPr="00FC0C3F" w:rsidTr="00FC0C3F">
        <w:tc>
          <w:tcPr>
            <w:tcW w:w="960" w:type="dxa"/>
            <w:shd w:val="clear" w:color="auto" w:fill="auto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FC0C3F">
              <w:rPr>
                <w:sz w:val="18"/>
              </w:rPr>
              <w:t>2015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22.33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17.80</w:t>
            </w:r>
          </w:p>
        </w:tc>
      </w:tr>
      <w:tr w:rsidR="00F33762" w:rsidRPr="00FC0C3F" w:rsidTr="00FC0C3F">
        <w:tc>
          <w:tcPr>
            <w:tcW w:w="960" w:type="dxa"/>
            <w:shd w:val="clear" w:color="auto" w:fill="auto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FC0C3F">
              <w:rPr>
                <w:sz w:val="18"/>
              </w:rPr>
              <w:t>2016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21.93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F33762" w:rsidRPr="00FC0C3F" w:rsidRDefault="00F33762" w:rsidP="00FC0C3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C0C3F">
              <w:rPr>
                <w:sz w:val="18"/>
              </w:rPr>
              <w:t>18.03</w:t>
            </w:r>
          </w:p>
        </w:tc>
      </w:tr>
    </w:tbl>
    <w:p w:rsidR="00F33762" w:rsidRPr="008A0A12" w:rsidRDefault="00F33762" w:rsidP="00DA0C9A">
      <w:pPr>
        <w:pStyle w:val="SingleTxtG"/>
        <w:spacing w:before="240"/>
      </w:pPr>
      <w:r w:rsidRPr="008A0A12">
        <w:t>172.</w:t>
      </w:r>
      <w:r w:rsidRPr="008A0A12">
        <w:tab/>
        <w:t>The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pay</w:t>
      </w:r>
      <w:r w:rsidR="00D17A94">
        <w:t xml:space="preserve"> </w:t>
      </w:r>
      <w:r w:rsidRPr="008A0A12">
        <w:t>gap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gross</w:t>
      </w:r>
      <w:r w:rsidR="00D17A94">
        <w:t xml:space="preserve"> </w:t>
      </w:r>
      <w:r w:rsidRPr="008A0A12">
        <w:t>monthly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2016</w:t>
      </w:r>
      <w:r w:rsidR="00D17A94">
        <w:t xml:space="preserve"> </w:t>
      </w:r>
      <w:r w:rsidRPr="008A0A12">
        <w:t>accounted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22</w:t>
      </w:r>
      <w:r w:rsidR="00F07B18">
        <w:t>%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detriment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women;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difference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median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same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18</w:t>
      </w:r>
      <w:r w:rsidR="00F07B18">
        <w:t>%</w:t>
      </w:r>
      <w:r w:rsidRPr="008A0A12">
        <w:t>.</w:t>
      </w:r>
      <w:r w:rsidR="00D17A94">
        <w:t xml:space="preserve"> </w:t>
      </w:r>
      <w:r w:rsidRPr="008A0A12">
        <w:t>Traditionally,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gap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higher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business</w:t>
      </w:r>
      <w:r w:rsidR="00D17A94">
        <w:t xml:space="preserve"> </w:t>
      </w:r>
      <w:r w:rsidRPr="008A0A12">
        <w:t>sphere</w:t>
      </w:r>
      <w:r w:rsidR="00D17A94">
        <w:t xml:space="preserve"> </w:t>
      </w:r>
      <w:r w:rsidRPr="008A0A12">
        <w:t>where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2016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accounted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22.4</w:t>
      </w:r>
      <w:r w:rsidR="00F07B18">
        <w:t>%</w:t>
      </w:r>
      <w:r w:rsidR="00D17A94">
        <w:t xml:space="preserve"> </w:t>
      </w:r>
      <w:r w:rsidRPr="008A0A12">
        <w:t>(median</w:t>
      </w:r>
      <w:r w:rsidR="00D17A94">
        <w:t xml:space="preserve"> </w:t>
      </w:r>
      <w:r w:rsidRPr="008A0A12">
        <w:t>18.9</w:t>
      </w:r>
      <w:r w:rsidR="00F07B18">
        <w:t>%</w:t>
      </w:r>
      <w:r w:rsidRPr="008A0A12">
        <w:t>),</w:t>
      </w:r>
      <w:r w:rsidR="00D17A94">
        <w:t xml:space="preserve"> </w:t>
      </w:r>
      <w:r w:rsidRPr="008A0A12">
        <w:t>while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non-business</w:t>
      </w:r>
      <w:r w:rsidR="00D17A94">
        <w:t xml:space="preserve"> </w:t>
      </w:r>
      <w:r w:rsidRPr="008A0A12">
        <w:t>sphere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gap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lower</w:t>
      </w:r>
      <w:r w:rsidR="00D17A94">
        <w:t xml:space="preserve"> </w:t>
      </w:r>
      <w:r w:rsidRPr="008A0A12">
        <w:t>(10.8</w:t>
      </w:r>
      <w:r w:rsidR="00F07B18">
        <w:t>%</w:t>
      </w:r>
      <w:r w:rsidRPr="008A0A12">
        <w:t>)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median</w:t>
      </w:r>
      <w:r w:rsidR="00D17A94">
        <w:t xml:space="preserve"> </w:t>
      </w:r>
      <w:r w:rsidRPr="008A0A12">
        <w:t>reached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negative</w:t>
      </w:r>
      <w:r w:rsidR="00D17A94">
        <w:t xml:space="preserve"> </w:t>
      </w:r>
      <w:r w:rsidRPr="008A0A12">
        <w:t>value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first</w:t>
      </w:r>
      <w:r w:rsidR="00D17A94">
        <w:t xml:space="preserve"> </w:t>
      </w:r>
      <w:r w:rsidRPr="008A0A12">
        <w:t>time,</w:t>
      </w:r>
      <w:r w:rsidR="00D17A94">
        <w:t xml:space="preserve"> </w:t>
      </w:r>
      <w:r w:rsidRPr="008A0A12">
        <w:t>i.e.</w:t>
      </w:r>
      <w:r w:rsidR="00D17A94">
        <w:t xml:space="preserve"> </w:t>
      </w:r>
      <w:r w:rsidRPr="008A0A12"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median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made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money</w:t>
      </w:r>
      <w:r w:rsidR="00D17A94">
        <w:t xml:space="preserve"> </w:t>
      </w:r>
      <w:r w:rsidRPr="008A0A12">
        <w:t>(-0.38</w:t>
      </w:r>
      <w:r w:rsidR="00F07B18">
        <w:t>%</w:t>
      </w:r>
      <w:r w:rsidRPr="008A0A12">
        <w:t>).</w:t>
      </w:r>
      <w:r w:rsidR="00D17A94">
        <w:t xml:space="preserve"> </w:t>
      </w:r>
      <w:r w:rsidRPr="008A0A12">
        <w:t>Inequalities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strongly</w:t>
      </w:r>
      <w:r w:rsidR="00D17A94">
        <w:t xml:space="preserve"> </w:t>
      </w:r>
      <w:r w:rsidRPr="008A0A12">
        <w:t>reflected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responsibility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household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="007C38AF">
        <w:t>—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spend</w:t>
      </w:r>
      <w:r w:rsidR="00D17A94">
        <w:t xml:space="preserve"> </w:t>
      </w:r>
      <w:r w:rsidRPr="008A0A12">
        <w:t>disproportionately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time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unpaid</w:t>
      </w:r>
      <w:r w:rsidR="00D17A94">
        <w:t xml:space="preserve"> </w:t>
      </w:r>
      <w:r w:rsidRPr="008A0A12">
        <w:t>(but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paid)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taking</w:t>
      </w:r>
      <w:r w:rsidR="00D17A94">
        <w:t xml:space="preserve"> </w:t>
      </w:r>
      <w:r w:rsidRPr="008A0A12">
        <w:t>care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children,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members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household.</w:t>
      </w:r>
      <w:r w:rsidR="00D17A94">
        <w:t xml:space="preserve"> </w:t>
      </w:r>
      <w:r w:rsidRPr="008A0A12">
        <w:t>Studies</w:t>
      </w:r>
      <w:r w:rsidR="00D17A94">
        <w:t xml:space="preserve"> </w:t>
      </w:r>
      <w:r w:rsidRPr="008A0A12">
        <w:t>show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marriage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negatively</w:t>
      </w:r>
      <w:r w:rsidR="00D17A94">
        <w:t xml:space="preserve"> </w:t>
      </w:r>
      <w:r w:rsidRPr="008A0A12">
        <w:t>reflected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wages.</w:t>
      </w:r>
      <w:r w:rsidR="00D17A94">
        <w:t xml:space="preserve"> </w:t>
      </w:r>
      <w:r w:rsidRPr="008A0A12">
        <w:t>While</w:t>
      </w:r>
      <w:r w:rsidR="00D17A94">
        <w:t xml:space="preserve"> </w:t>
      </w:r>
      <w:r w:rsidRPr="008A0A12">
        <w:t>married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earn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average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4.5</w:t>
      </w:r>
      <w:r w:rsidR="00F07B18">
        <w:t>%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single</w:t>
      </w:r>
      <w:r w:rsidR="00D17A94">
        <w:t xml:space="preserve"> </w:t>
      </w:r>
      <w:r w:rsidRPr="008A0A12">
        <w:t>colleagues,</w:t>
      </w:r>
      <w:r w:rsidR="00D17A94">
        <w:t xml:space="preserve"> </w:t>
      </w:r>
      <w:r w:rsidRPr="008A0A12">
        <w:t>married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earn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3.7</w:t>
      </w:r>
      <w:r w:rsidR="00F07B18">
        <w:t>%</w:t>
      </w:r>
      <w:r w:rsidR="00D17A94">
        <w:t xml:space="preserve"> </w:t>
      </w:r>
      <w:r w:rsidRPr="008A0A12">
        <w:t>less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single</w:t>
      </w:r>
      <w:r w:rsidR="00D17A94">
        <w:t xml:space="preserve"> </w:t>
      </w:r>
      <w:r w:rsidRPr="008A0A12">
        <w:t>women.</w:t>
      </w:r>
    </w:p>
    <w:p w:rsidR="00F33762" w:rsidRPr="008A0A12" w:rsidRDefault="00F33762" w:rsidP="00F33762">
      <w:pPr>
        <w:pStyle w:val="SingleTxtG"/>
      </w:pPr>
      <w:r w:rsidRPr="008A0A12">
        <w:t>173.</w:t>
      </w:r>
      <w:r w:rsidRPr="008A0A12">
        <w:tab/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strong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dimension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influence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parenthood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men,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presence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younger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6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family,</w:t>
      </w:r>
      <w:r w:rsidR="00D17A94">
        <w:t xml:space="preserve"> </w:t>
      </w:r>
      <w:r w:rsidRPr="008A0A12">
        <w:t>where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female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significantly</w:t>
      </w:r>
      <w:r w:rsidR="00D17A94">
        <w:t xml:space="preserve"> </w:t>
      </w:r>
      <w:r w:rsidRPr="008A0A12">
        <w:t>decreased,</w:t>
      </w:r>
      <w:r w:rsidR="00D17A94">
        <w:t xml:space="preserve"> </w:t>
      </w:r>
      <w:r w:rsidRPr="008A0A12">
        <w:t>but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increased.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25-49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age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younger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6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lower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40</w:t>
      </w:r>
      <w:r w:rsidR="00F07B18">
        <w:t>%</w:t>
      </w:r>
      <w:r w:rsidRPr="008A0A12">
        <w:t>.</w:t>
      </w:r>
      <w:r w:rsidR="00D17A94">
        <w:t xml:space="preserve"> </w:t>
      </w:r>
      <w:r w:rsidRPr="008A0A12">
        <w:t>However,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same</w:t>
      </w:r>
      <w:r w:rsidR="00D17A94">
        <w:t xml:space="preserve"> </w:t>
      </w:r>
      <w:r w:rsidRPr="008A0A12">
        <w:t>age</w:t>
      </w:r>
      <w:r w:rsidR="00D17A94">
        <w:t xml:space="preserve"> </w:t>
      </w:r>
      <w:r w:rsidRPr="008A0A12">
        <w:t>category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same</w:t>
      </w:r>
      <w:r w:rsidR="00D17A94">
        <w:t xml:space="preserve"> </w:t>
      </w:r>
      <w:r w:rsidRPr="008A0A12">
        <w:t>phase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parenthood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higher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83</w:t>
      </w:r>
      <w:r w:rsidR="00F07B18">
        <w:t>%</w:t>
      </w:r>
      <w:r w:rsidRPr="008A0A12">
        <w:t>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20-49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age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lower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30</w:t>
      </w:r>
      <w:r w:rsidR="00D17A94">
        <w:t xml:space="preserve"> </w:t>
      </w:r>
      <w:r w:rsidRPr="008A0A12">
        <w:t>p.p.</w:t>
      </w:r>
      <w:r w:rsidR="00D17A94">
        <w:t xml:space="preserve"> </w:t>
      </w:r>
      <w:r w:rsidRPr="008A0A12">
        <w:t>compared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without</w:t>
      </w:r>
      <w:r w:rsidR="00D17A94">
        <w:t xml:space="preserve"> </w:t>
      </w:r>
      <w:r w:rsidRPr="008A0A12">
        <w:t>children.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opposite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true</w:t>
      </w:r>
      <w:r w:rsidR="00D17A94">
        <w:t xml:space="preserve"> </w:t>
      </w:r>
      <w:r w:rsidR="007C38AF">
        <w:t>—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fathers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higher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approximately</w:t>
      </w:r>
      <w:r w:rsidR="00D17A94">
        <w:t xml:space="preserve"> </w:t>
      </w:r>
      <w:r w:rsidRPr="008A0A12">
        <w:t>12</w:t>
      </w:r>
      <w:r w:rsidR="00D17A94">
        <w:t xml:space="preserve"> </w:t>
      </w:r>
      <w:r w:rsidRPr="008A0A12">
        <w:t>p.p.</w:t>
      </w:r>
      <w:r w:rsidR="00D17A94">
        <w:t xml:space="preserve"> </w:t>
      </w:r>
      <w:r w:rsidRPr="008A0A12">
        <w:t>compared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without</w:t>
      </w:r>
      <w:r w:rsidR="00D17A94">
        <w:t xml:space="preserve"> </w:t>
      </w:r>
      <w:r w:rsidRPr="008A0A12">
        <w:t>children.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="00413AEE">
        <w:t>“</w:t>
      </w:r>
      <w:r w:rsidRPr="008A0A12">
        <w:t>scissors</w:t>
      </w:r>
      <w:r w:rsidR="00413AEE">
        <w:t>”</w:t>
      </w:r>
      <w:r w:rsidR="00D17A94">
        <w:t xml:space="preserve"> </w:t>
      </w:r>
      <w:r w:rsidRPr="008A0A12">
        <w:t>between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opening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birth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each</w:t>
      </w:r>
      <w:r w:rsidR="00D17A94">
        <w:t xml:space="preserve"> </w:t>
      </w:r>
      <w:r w:rsidRPr="008A0A12">
        <w:t>child.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impact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parenthood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significantly</w:t>
      </w:r>
      <w:r w:rsidR="00D17A94">
        <w:t xml:space="preserve"> </w:t>
      </w:r>
      <w:r w:rsidRPr="008A0A12">
        <w:t>different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regard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SR.</w:t>
      </w:r>
      <w:r w:rsidR="00D17A94">
        <w:t xml:space="preserve"> </w:t>
      </w:r>
      <w:r w:rsidRPr="008A0A12">
        <w:t>Such</w:t>
      </w:r>
      <w:r w:rsidR="00D17A94">
        <w:t xml:space="preserve"> </w:t>
      </w:r>
      <w:r w:rsidRPr="008A0A12">
        <w:t>a</w:t>
      </w:r>
      <w:r w:rsidR="00D17A94">
        <w:t xml:space="preserve"> </w:t>
      </w:r>
      <w:r w:rsidR="00413AEE">
        <w:t>“</w:t>
      </w:r>
      <w:r w:rsidRPr="008A0A12">
        <w:t>parenthood</w:t>
      </w:r>
      <w:r w:rsidR="00D17A94">
        <w:t xml:space="preserve"> </w:t>
      </w:r>
      <w:r w:rsidRPr="008A0A12">
        <w:t>effect</w:t>
      </w:r>
      <w:r w:rsidR="00413AEE">
        <w:t>”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reflected</w:t>
      </w:r>
      <w:r w:rsidR="00D17A94">
        <w:t xml:space="preserve"> </w:t>
      </w:r>
      <w:r w:rsidRPr="008A0A12">
        <w:t>almost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EU</w:t>
      </w:r>
      <w:r w:rsidR="00D17A94">
        <w:t xml:space="preserve"> </w:t>
      </w:r>
      <w:r w:rsidRPr="008A0A12">
        <w:t>countries,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is,</w:t>
      </w:r>
      <w:r w:rsidR="00D17A94">
        <w:t xml:space="preserve"> </w:t>
      </w:r>
      <w:r w:rsidRPr="008A0A12">
        <w:t>however,</w:t>
      </w:r>
      <w:r w:rsidR="00D17A94">
        <w:t xml:space="preserve"> </w:t>
      </w:r>
      <w:r w:rsidRPr="008A0A12">
        <w:t>extremely</w:t>
      </w:r>
      <w:r w:rsidR="00D17A94">
        <w:t xml:space="preserve"> </w:t>
      </w:r>
      <w:r w:rsidRPr="008A0A12">
        <w:t>strong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suppression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effect</w:t>
      </w:r>
      <w:r w:rsidR="00D17A94">
        <w:t xml:space="preserve"> </w:t>
      </w:r>
      <w:r w:rsidRPr="008A0A12">
        <w:t>represents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process.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about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involvement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fathers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childcare</w:t>
      </w:r>
      <w:r w:rsidR="00D17A94">
        <w:t xml:space="preserve"> </w:t>
      </w:r>
      <w:r w:rsidRPr="008A0A12">
        <w:t>fathers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</w:t>
      </w:r>
      <w:r w:rsidR="00D17A94">
        <w:t xml:space="preserve"> </w:t>
      </w:r>
      <w:r w:rsidRPr="008A0A12">
        <w:t>82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about</w:t>
      </w:r>
      <w:r w:rsidR="00D17A94">
        <w:t xml:space="preserve"> </w:t>
      </w:r>
      <w:r w:rsidRPr="008A0A12">
        <w:t>reconciling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life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</w:t>
      </w:r>
      <w:r w:rsidR="00D17A94">
        <w:t xml:space="preserve"> </w:t>
      </w:r>
      <w:r w:rsidRPr="008A0A12">
        <w:t>14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95287D" w:rsidRDefault="00F33762" w:rsidP="00F33762">
      <w:pPr>
        <w:pStyle w:val="SingleTxtG"/>
      </w:pPr>
      <w:r w:rsidRPr="008A0A12">
        <w:t>174.</w:t>
      </w:r>
      <w:r w:rsidRPr="008A0A12">
        <w:tab/>
        <w:t>The</w:t>
      </w:r>
      <w:r w:rsidR="00D17A94">
        <w:t xml:space="preserve"> </w:t>
      </w:r>
      <w:r w:rsidRPr="008A0A12">
        <w:t>female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rate</w:t>
      </w:r>
      <w:r w:rsidR="00D17A94">
        <w:t xml:space="preserve"> </w:t>
      </w:r>
      <w:r w:rsidRPr="008A0A12">
        <w:t>increased</w:t>
      </w:r>
      <w:r w:rsidR="00D17A94">
        <w:t xml:space="preserve"> </w:t>
      </w:r>
      <w:r w:rsidRPr="008A0A12">
        <w:t>over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last</w:t>
      </w:r>
      <w:r w:rsidR="00D17A94">
        <w:t xml:space="preserve"> </w:t>
      </w:r>
      <w:r w:rsidRPr="008A0A12">
        <w:t>5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just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male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rate,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still</w:t>
      </w:r>
      <w:r w:rsidR="00D17A94">
        <w:t xml:space="preserve"> </w:t>
      </w:r>
      <w:r w:rsidRPr="008A0A12">
        <w:t>higher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14</w:t>
      </w:r>
      <w:r w:rsidR="00D17A94">
        <w:t xml:space="preserve"> </w:t>
      </w:r>
      <w:r w:rsidRPr="008A0A12">
        <w:t>p.p.</w:t>
      </w:r>
      <w:r w:rsidR="00D17A94">
        <w:t xml:space="preserve"> </w:t>
      </w:r>
    </w:p>
    <w:p w:rsidR="00F33762" w:rsidRPr="00AE1277" w:rsidRDefault="00F33762" w:rsidP="006A41FB">
      <w:pPr>
        <w:pStyle w:val="SingleTxtG"/>
        <w:jc w:val="left"/>
        <w:rPr>
          <w:sz w:val="16"/>
          <w:szCs w:val="16"/>
        </w:rPr>
      </w:pPr>
      <w:r w:rsidRPr="008A0A12">
        <w:t>Table</w:t>
      </w:r>
      <w:r w:rsidR="00D17A94">
        <w:t xml:space="preserve"> </w:t>
      </w:r>
      <w:r w:rsidRPr="008A0A12">
        <w:t>3</w:t>
      </w:r>
      <w:r w:rsidR="006A41FB">
        <w:br/>
      </w:r>
      <w:r w:rsidR="006A41FB" w:rsidRPr="006A41FB">
        <w:rPr>
          <w:b/>
        </w:rPr>
        <w:t>T</w:t>
      </w:r>
      <w:r w:rsidRPr="006A41FB">
        <w:rPr>
          <w:b/>
        </w:rPr>
        <w:t>he</w:t>
      </w:r>
      <w:r w:rsidR="00D17A94">
        <w:rPr>
          <w:b/>
        </w:rPr>
        <w:t xml:space="preserve"> </w:t>
      </w:r>
      <w:r w:rsidRPr="006A41FB">
        <w:rPr>
          <w:b/>
        </w:rPr>
        <w:t>employment</w:t>
      </w:r>
      <w:r w:rsidR="00D17A94">
        <w:rPr>
          <w:b/>
        </w:rPr>
        <w:t xml:space="preserve"> </w:t>
      </w:r>
      <w:r w:rsidRPr="006A41FB">
        <w:rPr>
          <w:b/>
        </w:rPr>
        <w:t>rate</w:t>
      </w:r>
      <w:r w:rsidR="00D17A94">
        <w:rPr>
          <w:b/>
        </w:rPr>
        <w:t xml:space="preserve"> </w:t>
      </w:r>
      <w:r w:rsidRPr="006A41FB">
        <w:rPr>
          <w:b/>
        </w:rPr>
        <w:t>of</w:t>
      </w:r>
      <w:r w:rsidR="00D17A94">
        <w:rPr>
          <w:b/>
        </w:rPr>
        <w:t xml:space="preserve"> </w:t>
      </w:r>
      <w:r w:rsidRPr="006A41FB">
        <w:rPr>
          <w:b/>
        </w:rPr>
        <w:t>women</w:t>
      </w:r>
      <w:r w:rsidR="00D17A94">
        <w:rPr>
          <w:b/>
        </w:rPr>
        <w:t xml:space="preserve"> </w:t>
      </w:r>
      <w:r w:rsidRPr="006A41FB">
        <w:rPr>
          <w:b/>
        </w:rPr>
        <w:t>and</w:t>
      </w:r>
      <w:r w:rsidR="00D17A94">
        <w:rPr>
          <w:b/>
        </w:rPr>
        <w:t xml:space="preserve"> </w:t>
      </w:r>
      <w:r w:rsidRPr="006A41FB">
        <w:rPr>
          <w:b/>
        </w:rPr>
        <w:t>men</w:t>
      </w:r>
      <w:r w:rsidR="00D17A94">
        <w:rPr>
          <w:b/>
        </w:rPr>
        <w:t xml:space="preserve"> </w:t>
      </w:r>
      <w:r w:rsidRPr="006A41FB">
        <w:rPr>
          <w:b/>
        </w:rPr>
        <w:t>2010-2016</w:t>
      </w:r>
      <w:r w:rsidR="00D17A94">
        <w:rPr>
          <w:b/>
        </w:rPr>
        <w:t xml:space="preserve"> </w:t>
      </w:r>
      <w:r w:rsidRPr="006A41FB">
        <w:rPr>
          <w:b/>
        </w:rPr>
        <w:t>in</w:t>
      </w:r>
      <w:r w:rsidR="00D17A94">
        <w:rPr>
          <w:b/>
        </w:rPr>
        <w:t xml:space="preserve"> </w:t>
      </w:r>
      <w:r w:rsidRPr="006A41FB">
        <w:rPr>
          <w:b/>
        </w:rPr>
        <w:t>productive</w:t>
      </w:r>
      <w:r w:rsidR="00D17A94">
        <w:rPr>
          <w:b/>
        </w:rPr>
        <w:t xml:space="preserve"> </w:t>
      </w:r>
      <w:r w:rsidRPr="006A41FB">
        <w:rPr>
          <w:b/>
        </w:rPr>
        <w:t>age</w:t>
      </w:r>
      <w:r w:rsidR="00D17A94">
        <w:rPr>
          <w:b/>
        </w:rPr>
        <w:t xml:space="preserve"> </w:t>
      </w:r>
      <w:r w:rsidR="00AE1277">
        <w:rPr>
          <w:b/>
        </w:rPr>
        <w:br/>
      </w:r>
      <w:r w:rsidRPr="006A41FB">
        <w:rPr>
          <w:b/>
        </w:rPr>
        <w:t>(15-46</w:t>
      </w:r>
      <w:r w:rsidR="00D17A94">
        <w:rPr>
          <w:b/>
        </w:rPr>
        <w:t xml:space="preserve"> </w:t>
      </w:r>
      <w:r w:rsidRPr="006A41FB">
        <w:rPr>
          <w:b/>
        </w:rPr>
        <w:t>years)</w:t>
      </w:r>
      <w:r w:rsidR="00D17A94">
        <w:rPr>
          <w:b/>
        </w:rPr>
        <w:t xml:space="preserve"> </w:t>
      </w:r>
      <w:r w:rsidRPr="006A41FB">
        <w:rPr>
          <w:b/>
        </w:rPr>
        <w:t>in</w:t>
      </w:r>
      <w:r w:rsidR="00D17A94">
        <w:rPr>
          <w:b/>
        </w:rPr>
        <w:t xml:space="preserve"> </w:t>
      </w:r>
      <w:r w:rsidR="00F07B18">
        <w:rPr>
          <w:b/>
        </w:rPr>
        <w:t>%</w:t>
      </w:r>
      <w:r w:rsidR="00AE1277">
        <w:rPr>
          <w:b/>
        </w:rPr>
        <w:br/>
      </w:r>
      <w:r w:rsidRPr="00AE1277">
        <w:rPr>
          <w:i/>
          <w:sz w:val="16"/>
          <w:szCs w:val="16"/>
        </w:rPr>
        <w:t>Source</w:t>
      </w:r>
      <w:r w:rsidRPr="00AE1277">
        <w:rPr>
          <w:sz w:val="16"/>
          <w:szCs w:val="16"/>
        </w:rPr>
        <w:t>:</w:t>
      </w:r>
      <w:r w:rsidR="00D17A94">
        <w:rPr>
          <w:sz w:val="16"/>
          <w:szCs w:val="16"/>
        </w:rPr>
        <w:t xml:space="preserve">  </w:t>
      </w:r>
      <w:r w:rsidRPr="00AE1277">
        <w:rPr>
          <w:sz w:val="16"/>
          <w:szCs w:val="16"/>
        </w:rPr>
        <w:t>SO</w:t>
      </w:r>
      <w:r w:rsidR="00D17A94">
        <w:rPr>
          <w:sz w:val="16"/>
          <w:szCs w:val="16"/>
        </w:rPr>
        <w:t xml:space="preserve"> </w:t>
      </w:r>
      <w:r w:rsidRPr="00AE1277">
        <w:rPr>
          <w:sz w:val="16"/>
          <w:szCs w:val="16"/>
        </w:rPr>
        <w:t>SR,</w:t>
      </w:r>
      <w:r w:rsidR="00D17A94">
        <w:rPr>
          <w:sz w:val="16"/>
          <w:szCs w:val="16"/>
        </w:rPr>
        <w:t xml:space="preserve"> </w:t>
      </w:r>
      <w:r w:rsidRPr="00AE1277">
        <w:rPr>
          <w:sz w:val="16"/>
          <w:szCs w:val="16"/>
        </w:rPr>
        <w:t>LFSS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935"/>
        <w:gridCol w:w="934"/>
        <w:gridCol w:w="934"/>
        <w:gridCol w:w="934"/>
        <w:gridCol w:w="934"/>
        <w:gridCol w:w="934"/>
        <w:gridCol w:w="813"/>
      </w:tblGrid>
      <w:tr w:rsidR="00700924" w:rsidRPr="00700924" w:rsidTr="00700924">
        <w:trPr>
          <w:tblHeader/>
        </w:trPr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00924">
              <w:rPr>
                <w:i/>
                <w:sz w:val="16"/>
              </w:rPr>
              <w:t>Year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700924">
              <w:rPr>
                <w:i/>
                <w:sz w:val="16"/>
              </w:rPr>
              <w:t>2010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700924">
              <w:rPr>
                <w:i/>
                <w:sz w:val="16"/>
              </w:rPr>
              <w:t>2011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700924">
              <w:rPr>
                <w:i/>
                <w:sz w:val="16"/>
              </w:rPr>
              <w:t>2012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700924">
              <w:rPr>
                <w:i/>
                <w:sz w:val="16"/>
              </w:rPr>
              <w:t>2013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700924">
              <w:rPr>
                <w:i/>
                <w:sz w:val="16"/>
              </w:rPr>
              <w:t>2014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700924">
              <w:rPr>
                <w:i/>
                <w:sz w:val="16"/>
              </w:rPr>
              <w:t>2015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700924">
              <w:rPr>
                <w:i/>
                <w:sz w:val="16"/>
              </w:rPr>
              <w:t>2016</w:t>
            </w:r>
          </w:p>
        </w:tc>
      </w:tr>
      <w:tr w:rsidR="00700924" w:rsidRPr="00700924" w:rsidTr="00700924"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</w:tcPr>
          <w:p w:rsidR="00700924" w:rsidRPr="00700924" w:rsidRDefault="00700924" w:rsidP="00700924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00924">
              <w:rPr>
                <w:sz w:val="18"/>
              </w:rPr>
              <w:t>Women</w:t>
            </w:r>
          </w:p>
        </w:tc>
        <w:tc>
          <w:tcPr>
            <w:tcW w:w="9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700924">
              <w:rPr>
                <w:sz w:val="18"/>
              </w:rPr>
              <w:t>52.3</w:t>
            </w:r>
          </w:p>
        </w:tc>
        <w:tc>
          <w:tcPr>
            <w:tcW w:w="9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700924">
              <w:rPr>
                <w:sz w:val="18"/>
              </w:rPr>
              <w:t>52.5</w:t>
            </w:r>
          </w:p>
        </w:tc>
        <w:tc>
          <w:tcPr>
            <w:tcW w:w="9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700924">
              <w:rPr>
                <w:sz w:val="18"/>
              </w:rPr>
              <w:t>52.7</w:t>
            </w:r>
          </w:p>
        </w:tc>
        <w:tc>
          <w:tcPr>
            <w:tcW w:w="9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700924">
              <w:rPr>
                <w:sz w:val="18"/>
              </w:rPr>
              <w:t>53.3</w:t>
            </w:r>
          </w:p>
        </w:tc>
        <w:tc>
          <w:tcPr>
            <w:tcW w:w="9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700924">
              <w:rPr>
                <w:sz w:val="18"/>
              </w:rPr>
              <w:t>54.3</w:t>
            </w:r>
          </w:p>
        </w:tc>
        <w:tc>
          <w:tcPr>
            <w:tcW w:w="9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700924">
              <w:rPr>
                <w:sz w:val="18"/>
              </w:rPr>
              <w:t>55.9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700924">
              <w:rPr>
                <w:sz w:val="18"/>
              </w:rPr>
              <w:t>58.3</w:t>
            </w:r>
          </w:p>
        </w:tc>
      </w:tr>
      <w:tr w:rsidR="00700924" w:rsidRPr="00700924" w:rsidTr="00700924">
        <w:tc>
          <w:tcPr>
            <w:tcW w:w="952" w:type="dxa"/>
            <w:shd w:val="clear" w:color="auto" w:fill="auto"/>
          </w:tcPr>
          <w:p w:rsidR="00700924" w:rsidRPr="00700924" w:rsidRDefault="00700924" w:rsidP="00700924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00924">
              <w:rPr>
                <w:sz w:val="18"/>
              </w:rPr>
              <w:t>Men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700924">
              <w:rPr>
                <w:sz w:val="18"/>
              </w:rPr>
              <w:t>65.2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700924">
              <w:rPr>
                <w:sz w:val="18"/>
              </w:rPr>
              <w:t>66.1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700924">
              <w:rPr>
                <w:sz w:val="18"/>
              </w:rPr>
              <w:t>66.7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700924">
              <w:rPr>
                <w:sz w:val="18"/>
              </w:rPr>
              <w:t>66.4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700924">
              <w:rPr>
                <w:sz w:val="18"/>
              </w:rPr>
              <w:t>67.7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700924">
              <w:rPr>
                <w:sz w:val="18"/>
              </w:rPr>
              <w:t>69.5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700924" w:rsidRPr="00700924" w:rsidRDefault="00700924" w:rsidP="00700924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700924">
              <w:rPr>
                <w:sz w:val="18"/>
              </w:rPr>
              <w:t>71.4</w:t>
            </w:r>
          </w:p>
        </w:tc>
      </w:tr>
    </w:tbl>
    <w:p w:rsidR="00F33762" w:rsidRPr="008A0A12" w:rsidRDefault="00F33762" w:rsidP="00700924">
      <w:pPr>
        <w:pStyle w:val="SingleTxtG"/>
        <w:spacing w:before="240"/>
      </w:pPr>
      <w:r w:rsidRPr="008A0A12">
        <w:t>175.</w:t>
      </w:r>
      <w:r w:rsidRPr="008A0A12">
        <w:tab/>
        <w:t>In</w:t>
      </w:r>
      <w:r w:rsidR="00D17A94">
        <w:t xml:space="preserve"> </w:t>
      </w:r>
      <w:r w:rsidRPr="008A0A12">
        <w:t>terms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education,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better</w:t>
      </w:r>
      <w:r w:rsidR="00D17A94">
        <w:t xml:space="preserve"> </w:t>
      </w:r>
      <w:r w:rsidRPr="008A0A12">
        <w:t>educated.</w:t>
      </w:r>
      <w:r w:rsidR="00D17A94">
        <w:t xml:space="preserve"> </w:t>
      </w:r>
      <w:r w:rsidRPr="008A0A12">
        <w:t>However,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reflected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level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wages.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highest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pay</w:t>
      </w:r>
      <w:r w:rsidR="00D17A94">
        <w:t xml:space="preserve"> </w:t>
      </w:r>
      <w:r w:rsidRPr="008A0A12">
        <w:t>gap</w:t>
      </w:r>
      <w:r w:rsidR="00D17A94">
        <w:t xml:space="preserve"> </w:t>
      </w:r>
      <w:r w:rsidRPr="008A0A12">
        <w:t>relates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university</w:t>
      </w:r>
      <w:r w:rsidR="00D17A94">
        <w:t xml:space="preserve"> </w:t>
      </w:r>
      <w:r w:rsidRPr="008A0A12">
        <w:t>education,</w:t>
      </w:r>
      <w:r w:rsidR="00D17A94">
        <w:t xml:space="preserve"> </w:t>
      </w:r>
      <w:r w:rsidRPr="008A0A12">
        <w:t>mainly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business</w:t>
      </w:r>
      <w:r w:rsidR="00D17A94">
        <w:t xml:space="preserve"> </w:t>
      </w:r>
      <w:r w:rsidRPr="008A0A12">
        <w:t>sphere,</w:t>
      </w:r>
      <w:r w:rsidR="00D17A94">
        <w:t xml:space="preserve"> </w:t>
      </w:r>
      <w:r w:rsidRPr="008A0A12">
        <w:t>where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lower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one</w:t>
      </w:r>
      <w:r w:rsidR="00D17A94">
        <w:t xml:space="preserve"> </w:t>
      </w:r>
      <w:r w:rsidRPr="008A0A12">
        <w:t>quarter.</w:t>
      </w:r>
      <w:r w:rsidR="00D17A94">
        <w:t xml:space="preserve"> </w:t>
      </w:r>
      <w:r w:rsidRPr="008A0A12">
        <w:t>Investment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="007C38AF">
        <w:t>—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capital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better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women.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performed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usually</w:t>
      </w:r>
      <w:r w:rsidR="00D17A94">
        <w:t xml:space="preserve"> </w:t>
      </w:r>
      <w:r w:rsidRPr="008A0A12">
        <w:t>considered</w:t>
      </w:r>
      <w:r w:rsidR="00D17A94">
        <w:t xml:space="preserve"> </w:t>
      </w:r>
      <w:r w:rsidRPr="008A0A12">
        <w:t>work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lower</w:t>
      </w:r>
      <w:r w:rsidR="00D17A94">
        <w:t xml:space="preserve"> </w:t>
      </w:r>
      <w:r w:rsidRPr="008A0A12">
        <w:t>value,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reflected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lastRenderedPageBreak/>
        <w:t>amount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wages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dominantly</w:t>
      </w:r>
      <w:r w:rsidR="00D17A94">
        <w:t xml:space="preserve"> </w:t>
      </w:r>
      <w:r w:rsidRPr="008A0A12">
        <w:t>feminised</w:t>
      </w:r>
      <w:r w:rsidR="00D17A94">
        <w:t xml:space="preserve"> </w:t>
      </w:r>
      <w:r w:rsidRPr="008A0A12">
        <w:t>sectors.</w:t>
      </w:r>
      <w:r w:rsidR="00D17A94">
        <w:t xml:space="preserve"> </w:t>
      </w:r>
      <w:r w:rsidRPr="008A0A12">
        <w:t>So,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very</w:t>
      </w:r>
      <w:r w:rsidR="00D17A94">
        <w:t xml:space="preserve"> </w:t>
      </w:r>
      <w:r w:rsidRPr="008A0A12">
        <w:t>good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level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does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lead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balancing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wages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leads</w:t>
      </w:r>
      <w:r w:rsidR="00D17A94">
        <w:t xml:space="preserve"> </w:t>
      </w:r>
      <w:r w:rsidRPr="008A0A12">
        <w:t>only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little</w:t>
      </w:r>
      <w:r w:rsidR="00D17A94">
        <w:t xml:space="preserve"> </w:t>
      </w:r>
      <w:r w:rsidRPr="008A0A12">
        <w:t>reduction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gap.</w:t>
      </w:r>
    </w:p>
    <w:p w:rsidR="00F33762" w:rsidRPr="008A0A12" w:rsidRDefault="00F33762" w:rsidP="00F33762">
      <w:pPr>
        <w:pStyle w:val="SingleTxtG"/>
      </w:pPr>
      <w:r w:rsidRPr="008A0A12">
        <w:t>176.</w:t>
      </w:r>
      <w:r w:rsidRPr="008A0A12">
        <w:tab/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inspect</w:t>
      </w:r>
      <w:r w:rsidR="00D17A94">
        <w:t xml:space="preserve"> </w:t>
      </w:r>
      <w:r w:rsidRPr="008A0A12">
        <w:t>compliance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regulations,</w:t>
      </w:r>
      <w:r w:rsidR="00D17A94">
        <w:t xml:space="preserve"> </w:t>
      </w:r>
      <w:r w:rsidRPr="008A0A12">
        <w:t>including</w:t>
      </w:r>
      <w:r w:rsidR="00D17A94">
        <w:t xml:space="preserve"> </w:t>
      </w:r>
      <w:r w:rsidRPr="008A0A12">
        <w:t>wage</w:t>
      </w:r>
      <w:r w:rsidR="00D17A94">
        <w:t xml:space="preserve"> </w:t>
      </w:r>
      <w:r w:rsidRPr="008A0A12">
        <w:t>regulations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obligations</w:t>
      </w:r>
      <w:r w:rsidR="00D17A94">
        <w:t xml:space="preserve"> </w:t>
      </w:r>
      <w:r w:rsidRPr="008A0A12">
        <w:t>arising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collective</w:t>
      </w:r>
      <w:r w:rsidR="00D17A94">
        <w:t xml:space="preserve"> </w:t>
      </w:r>
      <w:r w:rsidRPr="008A0A12">
        <w:t>agreement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representatives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employers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stipulated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239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LC.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177.</w:t>
      </w:r>
      <w:r w:rsidRPr="008A0A12">
        <w:tab/>
        <w:t>An</w:t>
      </w:r>
      <w:r w:rsidR="00D17A94">
        <w:t xml:space="preserve"> </w:t>
      </w:r>
      <w:r w:rsidRPr="008A0A12">
        <w:t>employee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harmed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breach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duties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employer,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arise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relationship,</w:t>
      </w:r>
      <w:r w:rsidR="00D17A94">
        <w:t xml:space="preserve"> </w:t>
      </w:r>
      <w:r w:rsidRPr="008A0A12">
        <w:t>can,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150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LC,</w:t>
      </w:r>
      <w:r w:rsidR="00D17A94">
        <w:t xml:space="preserve"> </w:t>
      </w:r>
      <w:r w:rsidRPr="008A0A12">
        <w:t>submit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complaint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relevant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inspection</w:t>
      </w:r>
      <w:r w:rsidR="00D17A94">
        <w:t xml:space="preserve"> </w:t>
      </w:r>
      <w:r w:rsidRPr="008A0A12">
        <w:t>authority.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inspectorate</w:t>
      </w:r>
      <w:r w:rsidR="00D17A94">
        <w:t xml:space="preserve"> </w:t>
      </w:r>
      <w:r w:rsidRPr="008A0A12">
        <w:t>territorially</w:t>
      </w:r>
      <w:r w:rsidR="00D17A94">
        <w:t xml:space="preserve"> </w:t>
      </w:r>
      <w:r w:rsidRPr="008A0A12">
        <w:t>competent</w:t>
      </w:r>
      <w:r w:rsidR="00D17A94">
        <w:t xml:space="preserve"> </w:t>
      </w:r>
      <w:r w:rsidRPr="008A0A12"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employer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registered</w:t>
      </w:r>
      <w:r w:rsidR="00D17A94">
        <w:t xml:space="preserve"> </w:t>
      </w:r>
      <w:r w:rsidRPr="008A0A12">
        <w:t>office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inspects</w:t>
      </w:r>
      <w:r w:rsidR="00D17A94">
        <w:t xml:space="preserve"> </w:t>
      </w:r>
      <w:r w:rsidRPr="008A0A12">
        <w:t>compliance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provisions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LC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equal</w:t>
      </w:r>
      <w:r w:rsidR="00D17A94">
        <w:t xml:space="preserve"> </w:t>
      </w:r>
      <w:r w:rsidRPr="008A0A12">
        <w:t>working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women,</w:t>
      </w:r>
      <w:r w:rsidR="00D17A94">
        <w:t xml:space="preserve"> </w:t>
      </w:r>
      <w:r w:rsidRPr="008A0A12">
        <w:t>including</w:t>
      </w:r>
      <w:r w:rsidR="00D17A94">
        <w:t xml:space="preserve"> </w:t>
      </w:r>
      <w:r w:rsidRPr="008A0A12">
        <w:t>equal</w:t>
      </w:r>
      <w:r w:rsidR="00D17A94">
        <w:t xml:space="preserve"> </w:t>
      </w:r>
      <w:r w:rsidRPr="008A0A12">
        <w:t>pay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women.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178.</w:t>
      </w:r>
      <w:r w:rsidRPr="008A0A12">
        <w:tab/>
        <w:t>Under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14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LC,</w:t>
      </w:r>
      <w:r w:rsidR="00D17A94">
        <w:t xml:space="preserve"> </w:t>
      </w:r>
      <w:r w:rsidRPr="008A0A12">
        <w:t>disputes</w:t>
      </w:r>
      <w:r w:rsidR="00D17A94">
        <w:t xml:space="preserve"> </w:t>
      </w:r>
      <w:r w:rsidRPr="008A0A12">
        <w:t>between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employer</w:t>
      </w:r>
      <w:r w:rsidR="00D17A94">
        <w:t xml:space="preserve"> </w:t>
      </w:r>
      <w:r w:rsidRPr="008A0A12">
        <w:t>about</w:t>
      </w:r>
      <w:r w:rsidR="00D17A94">
        <w:t xml:space="preserve"> </w:t>
      </w:r>
      <w:r w:rsidRPr="008A0A12">
        <w:t>claims</w:t>
      </w:r>
      <w:r w:rsidR="00D17A94">
        <w:t xml:space="preserve"> </w:t>
      </w:r>
      <w:r w:rsidRPr="008A0A12">
        <w:t>arising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relationships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discussed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decided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independent</w:t>
      </w:r>
      <w:r w:rsidR="00D17A94">
        <w:t xml:space="preserve"> </w:t>
      </w:r>
      <w:r w:rsidRPr="008A0A12">
        <w:t>courts.</w:t>
      </w:r>
    </w:p>
    <w:p w:rsidR="00F33762" w:rsidRPr="008A0A12" w:rsidRDefault="00F33762" w:rsidP="00AE1277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15</w:t>
      </w:r>
    </w:p>
    <w:p w:rsidR="00F33762" w:rsidRPr="008A0A12" w:rsidRDefault="00F33762" w:rsidP="00F33762">
      <w:pPr>
        <w:pStyle w:val="SingleTxtG"/>
      </w:pPr>
      <w:r w:rsidRPr="008A0A12">
        <w:t>179.</w:t>
      </w:r>
      <w:r w:rsidRPr="008A0A12">
        <w:tab/>
        <w:t>More</w:t>
      </w:r>
      <w:r w:rsidR="00D17A94">
        <w:t xml:space="preserve"> </w:t>
      </w:r>
      <w:r w:rsidRPr="008A0A12">
        <w:t>detailed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Article</w:t>
      </w:r>
      <w:r w:rsidR="00D17A94">
        <w:t xml:space="preserve"> </w:t>
      </w:r>
      <w:r w:rsidRPr="008A0A12">
        <w:t>7</w:t>
      </w:r>
      <w:r w:rsidR="00D17A94">
        <w:t xml:space="preserve"> </w:t>
      </w:r>
      <w:r w:rsidRPr="008A0A12">
        <w:t>(a)</w:t>
      </w:r>
      <w:r w:rsidR="00D17A94">
        <w:t xml:space="preserve"> </w:t>
      </w:r>
      <w:r w:rsidR="007C38AF">
        <w:t>—</w:t>
      </w:r>
      <w:r w:rsidR="00D17A94">
        <w:t xml:space="preserve"> </w:t>
      </w:r>
      <w:r w:rsidRPr="008A0A12">
        <w:t>Minimum</w:t>
      </w:r>
      <w:r w:rsidR="00D17A94">
        <w:t xml:space="preserve"> </w:t>
      </w:r>
      <w:r w:rsidRPr="008A0A12">
        <w:t>Wage.</w:t>
      </w:r>
    </w:p>
    <w:p w:rsidR="00F33762" w:rsidRPr="008A0A12" w:rsidRDefault="00F33762" w:rsidP="00AE1277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16</w:t>
      </w:r>
    </w:p>
    <w:p w:rsidR="00F33762" w:rsidRPr="008A0A12" w:rsidRDefault="00F33762" w:rsidP="00F33762">
      <w:pPr>
        <w:pStyle w:val="SingleTxtG"/>
      </w:pPr>
      <w:r w:rsidRPr="008A0A12">
        <w:t>180.</w:t>
      </w:r>
      <w:r w:rsidRPr="008A0A12">
        <w:tab/>
        <w:t>Anti-discrimination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entered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effect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July</w:t>
      </w:r>
      <w:r w:rsidR="00D17A94">
        <w:t xml:space="preserve"> </w:t>
      </w:r>
      <w:r w:rsidRPr="008A0A12">
        <w:t>2004.</w:t>
      </w:r>
      <w:r w:rsidR="00D17A94">
        <w:t xml:space="preserve"> </w:t>
      </w:r>
      <w:r w:rsidRPr="008A0A12"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data</w:t>
      </w:r>
      <w:r w:rsidR="00D17A94">
        <w:t xml:space="preserve"> </w:t>
      </w:r>
      <w:r w:rsidRPr="008A0A12">
        <w:t>collected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MJ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3</w:t>
      </w:r>
      <w:r w:rsidR="00D17A94">
        <w:t xml:space="preserve"> </w:t>
      </w:r>
      <w:r w:rsidRPr="008A0A12">
        <w:t>disputes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settled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2014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9</w:t>
      </w:r>
      <w:r w:rsidR="00D17A94">
        <w:t xml:space="preserve"> </w:t>
      </w:r>
      <w:r w:rsidRPr="008A0A12">
        <w:t>disputes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settled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2015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equal</w:t>
      </w:r>
      <w:r w:rsidR="00D17A94">
        <w:t xml:space="preserve"> </w:t>
      </w:r>
      <w:r w:rsidRPr="008A0A12">
        <w:t>treatment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discrimination;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compensation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victims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discrimination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awarded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</w:t>
      </w:r>
      <w:r w:rsidR="00D17A94">
        <w:t xml:space="preserve"> </w:t>
      </w:r>
      <w:r w:rsidRPr="008A0A12">
        <w:t>cases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non-material</w:t>
      </w:r>
      <w:r w:rsidR="00D17A94">
        <w:t xml:space="preserve"> </w:t>
      </w:r>
      <w:r w:rsidRPr="008A0A12">
        <w:t>sum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cash.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results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court</w:t>
      </w:r>
      <w:r w:rsidR="00D17A94">
        <w:t xml:space="preserve"> </w:t>
      </w:r>
      <w:r w:rsidRPr="008A0A12">
        <w:t>statistics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MJ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depends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correct</w:t>
      </w:r>
      <w:r w:rsidR="00D17A94">
        <w:t xml:space="preserve"> </w:t>
      </w:r>
      <w:r w:rsidRPr="008A0A12">
        <w:t>identification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proceedings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statistical</w:t>
      </w:r>
      <w:r w:rsidR="00D17A94">
        <w:t xml:space="preserve"> </w:t>
      </w:r>
      <w:r w:rsidRPr="008A0A12">
        <w:t>document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competent</w:t>
      </w:r>
      <w:r w:rsidR="00D17A94">
        <w:t xml:space="preserve"> </w:t>
      </w:r>
      <w:r w:rsidRPr="008A0A12">
        <w:t>court.</w:t>
      </w:r>
    </w:p>
    <w:p w:rsidR="00F33762" w:rsidRPr="008A0A12" w:rsidRDefault="00F33762" w:rsidP="00F33762">
      <w:pPr>
        <w:pStyle w:val="SingleTxtG"/>
      </w:pPr>
      <w:r w:rsidRPr="008A0A12">
        <w:t>181.</w:t>
      </w:r>
      <w:r w:rsidRPr="008A0A12">
        <w:tab/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adopted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2014-2019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Action</w:t>
      </w:r>
      <w:r w:rsidR="00D17A94">
        <w:t xml:space="preserve"> </w:t>
      </w:r>
      <w:r w:rsidRPr="008A0A12">
        <w:t>Plan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Prevention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Elimination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Women,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defined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following</w:t>
      </w:r>
      <w:r w:rsidR="00D17A94">
        <w:t xml:space="preserve"> </w:t>
      </w:r>
      <w:r w:rsidRPr="008A0A12">
        <w:t>tasks:</w:t>
      </w:r>
    </w:p>
    <w:p w:rsidR="00F33762" w:rsidRPr="008A0A12" w:rsidRDefault="00F33762" w:rsidP="00854A9B">
      <w:pPr>
        <w:pStyle w:val="Bullet1G"/>
      </w:pPr>
      <w:r w:rsidRPr="008A0A12">
        <w:t>Implement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campaign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issue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sexual</w:t>
      </w:r>
      <w:r w:rsidR="00D17A94">
        <w:t xml:space="preserve"> </w:t>
      </w:r>
      <w:r w:rsidRPr="008A0A12">
        <w:t>harassment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workplaces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forms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way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would</w:t>
      </w:r>
      <w:r w:rsidR="00D17A94">
        <w:t xml:space="preserve"> </w:t>
      </w:r>
      <w:r w:rsidRPr="008A0A12">
        <w:t>eliminate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persisting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insensitive</w:t>
      </w:r>
      <w:r w:rsidR="00D17A94">
        <w:t xml:space="preserve"> </w:t>
      </w:r>
      <w:r w:rsidRPr="008A0A12">
        <w:t>myths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field;</w:t>
      </w:r>
      <w:r w:rsidR="00D17A94">
        <w:t xml:space="preserve"> </w:t>
      </w:r>
    </w:p>
    <w:p w:rsidR="00F33762" w:rsidRPr="008A0A12" w:rsidRDefault="00F33762" w:rsidP="00854A9B">
      <w:pPr>
        <w:pStyle w:val="Bullet1G"/>
      </w:pPr>
      <w:r w:rsidRPr="008A0A12">
        <w:t>Promoting</w:t>
      </w:r>
      <w:r w:rsidR="00D17A94">
        <w:t xml:space="preserve"> </w:t>
      </w:r>
      <w:r w:rsidRPr="008A0A12">
        <w:t>legal</w:t>
      </w:r>
      <w:r w:rsidR="00D17A94">
        <w:t xml:space="preserve"> </w:t>
      </w:r>
      <w:r w:rsidRPr="008A0A12">
        <w:t>awareness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seminars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activities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issue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relationships;</w:t>
      </w:r>
      <w:r w:rsidR="00D17A94">
        <w:t xml:space="preserve"> </w:t>
      </w:r>
    </w:p>
    <w:p w:rsidR="00F33762" w:rsidRPr="008A0A12" w:rsidRDefault="00F33762" w:rsidP="00854A9B">
      <w:pPr>
        <w:pStyle w:val="Bullet1G"/>
      </w:pPr>
      <w:r w:rsidRPr="008A0A12">
        <w:t>Prepare</w:t>
      </w:r>
      <w:r w:rsidR="00D17A94">
        <w:t xml:space="preserve"> </w:t>
      </w:r>
      <w:r w:rsidRPr="008A0A12">
        <w:t>information-guidance</w:t>
      </w:r>
      <w:r w:rsidR="00D17A94">
        <w:t xml:space="preserve"> </w:t>
      </w:r>
      <w:r w:rsidRPr="008A0A12">
        <w:t>materials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employers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employees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sexual</w:t>
      </w:r>
      <w:r w:rsidR="00D17A94">
        <w:t xml:space="preserve"> </w:t>
      </w:r>
      <w:r w:rsidRPr="008A0A12">
        <w:t>harassment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workplace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possibilities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help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victims;</w:t>
      </w:r>
      <w:r w:rsidR="00D17A94">
        <w:t xml:space="preserve"> </w:t>
      </w:r>
    </w:p>
    <w:p w:rsidR="00F33762" w:rsidRPr="008A0A12" w:rsidRDefault="00F33762" w:rsidP="00854A9B">
      <w:pPr>
        <w:pStyle w:val="Bullet1G"/>
      </w:pPr>
      <w:r w:rsidRPr="008A0A12">
        <w:t>Monitor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cases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sexual</w:t>
      </w:r>
      <w:r w:rsidR="00D17A94">
        <w:t xml:space="preserve"> </w:t>
      </w:r>
      <w:r w:rsidRPr="008A0A12">
        <w:t>harassment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bullying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ensure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regular</w:t>
      </w:r>
      <w:r w:rsidR="00D17A94">
        <w:t xml:space="preserve"> </w:t>
      </w:r>
      <w:r w:rsidRPr="008A0A12">
        <w:t>supervision</w:t>
      </w:r>
      <w:r w:rsidR="00D17A94">
        <w:t xml:space="preserve"> </w:t>
      </w:r>
      <w:r w:rsidRPr="008A0A12">
        <w:t>over</w:t>
      </w:r>
      <w:r w:rsidR="00D17A94">
        <w:t xml:space="preserve"> </w:t>
      </w:r>
      <w:r w:rsidRPr="008A0A12">
        <w:t>equal</w:t>
      </w:r>
      <w:r w:rsidR="00D17A94">
        <w:t xml:space="preserve"> </w:t>
      </w:r>
      <w:r w:rsidRPr="008A0A12">
        <w:t>treatment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employees;</w:t>
      </w:r>
      <w:r w:rsidR="00D17A94">
        <w:t xml:space="preserve"> </w:t>
      </w:r>
    </w:p>
    <w:p w:rsidR="00F33762" w:rsidRPr="008A0A12" w:rsidRDefault="00F33762" w:rsidP="00854A9B">
      <w:pPr>
        <w:pStyle w:val="Bullet1G"/>
      </w:pPr>
      <w:r w:rsidRPr="008A0A12">
        <w:t>Ensure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training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inspectors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compliance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Anti-Discrimination</w:t>
      </w:r>
      <w:r w:rsidR="00D17A94">
        <w:t xml:space="preserve"> </w:t>
      </w:r>
      <w:r w:rsidRPr="008A0A12">
        <w:t>Law,</w:t>
      </w:r>
      <w:r w:rsidR="00D17A94">
        <w:t xml:space="preserve"> </w:t>
      </w:r>
      <w:r w:rsidRPr="008A0A12">
        <w:t>including</w:t>
      </w:r>
      <w:r w:rsidR="00D17A94">
        <w:t xml:space="preserve"> </w:t>
      </w:r>
      <w:r w:rsidRPr="008A0A12">
        <w:t>sexual</w:t>
      </w:r>
      <w:r w:rsidR="00D17A94">
        <w:t xml:space="preserve"> </w:t>
      </w:r>
      <w:r w:rsidRPr="008A0A12">
        <w:t>harassment.</w:t>
      </w:r>
    </w:p>
    <w:p w:rsidR="00F33762" w:rsidRPr="008A0A12" w:rsidRDefault="00F33762" w:rsidP="00F33762">
      <w:pPr>
        <w:pStyle w:val="SingleTxtG"/>
      </w:pPr>
      <w:r w:rsidRPr="008A0A12">
        <w:t>182.</w:t>
      </w:r>
      <w:r w:rsidRPr="008A0A12">
        <w:tab/>
        <w:t>The</w:t>
      </w:r>
      <w:r w:rsidR="00D17A94">
        <w:t xml:space="preserve"> </w:t>
      </w:r>
      <w:r w:rsidRPr="008A0A12">
        <w:t>objective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adopt</w:t>
      </w:r>
      <w:r w:rsidR="00D17A94">
        <w:t xml:space="preserve"> </w:t>
      </w:r>
      <w:r w:rsidRPr="008A0A12">
        <w:t>any</w:t>
      </w:r>
      <w:r w:rsidR="00D17A94">
        <w:t xml:space="preserve"> </w:t>
      </w:r>
      <w:r w:rsidRPr="008A0A12">
        <w:t>necessary</w:t>
      </w:r>
      <w:r w:rsidR="00D17A94">
        <w:t xml:space="preserve"> </w:t>
      </w:r>
      <w:r w:rsidRPr="008A0A12">
        <w:t>legislative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prevent,</w:t>
      </w:r>
      <w:r w:rsidR="00D17A94">
        <w:t xml:space="preserve"> </w:t>
      </w:r>
      <w:r w:rsidRPr="008A0A12">
        <w:t>investigate,</w:t>
      </w:r>
      <w:r w:rsidR="00D17A94">
        <w:t xml:space="preserve"> </w:t>
      </w:r>
      <w:r w:rsidRPr="008A0A12">
        <w:t>punish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compensate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workplaces.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Anti-Discrimination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defines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terms</w:t>
      </w:r>
      <w:r w:rsidR="00D17A94">
        <w:t xml:space="preserve"> </w:t>
      </w:r>
      <w:r w:rsidRPr="008A0A12">
        <w:t>harassment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sexual</w:t>
      </w:r>
      <w:r w:rsidR="00D17A94">
        <w:t xml:space="preserve"> </w:t>
      </w:r>
      <w:r w:rsidRPr="008A0A12">
        <w:t>harassment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represent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breach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principle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equal</w:t>
      </w:r>
      <w:r w:rsidR="00D17A94">
        <w:t xml:space="preserve"> </w:t>
      </w:r>
      <w:r w:rsidRPr="008A0A12">
        <w:t>treatment.</w:t>
      </w:r>
    </w:p>
    <w:p w:rsidR="00F33762" w:rsidRPr="008A0A12" w:rsidRDefault="00F33762" w:rsidP="00230B9B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18</w:t>
      </w:r>
    </w:p>
    <w:p w:rsidR="00F33762" w:rsidRPr="008A0A12" w:rsidRDefault="00F33762" w:rsidP="00F33762">
      <w:pPr>
        <w:pStyle w:val="SingleTxtG"/>
      </w:pPr>
      <w:r w:rsidRPr="008A0A12">
        <w:t>183.</w:t>
      </w:r>
      <w:r w:rsidRPr="008A0A12">
        <w:tab/>
        <w:t>In</w:t>
      </w:r>
      <w:r w:rsidR="00D17A94">
        <w:t xml:space="preserve"> </w:t>
      </w:r>
      <w:r w:rsidRPr="008A0A12">
        <w:t>recent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intensified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combat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domestic</w:t>
      </w:r>
      <w:r w:rsidR="00D17A94">
        <w:t xml:space="preserve"> </w:t>
      </w:r>
      <w:r w:rsidRPr="008A0A12">
        <w:t>violence.</w:t>
      </w:r>
      <w:r w:rsidR="00D17A94">
        <w:t xml:space="preserve"> </w:t>
      </w:r>
      <w:r w:rsidRPr="008A0A12">
        <w:t>Amendments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several</w:t>
      </w:r>
      <w:r w:rsidR="00D17A94">
        <w:t xml:space="preserve"> </w:t>
      </w:r>
      <w:r w:rsidRPr="008A0A12">
        <w:t>acts</w:t>
      </w:r>
      <w:r w:rsidR="00D17A94">
        <w:t xml:space="preserve"> </w:t>
      </w:r>
      <w:r w:rsidRPr="008A0A12">
        <w:t>have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adopted.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adopted</w:t>
      </w:r>
      <w:r w:rsidR="00D17A94">
        <w:t xml:space="preserve"> </w:t>
      </w:r>
      <w:r w:rsidRPr="008A0A12">
        <w:t>several</w:t>
      </w:r>
      <w:r w:rsidR="00D17A94">
        <w:t xml:space="preserve"> </w:t>
      </w:r>
      <w:r w:rsidRPr="008A0A12">
        <w:t>strategic</w:t>
      </w:r>
      <w:r w:rsidR="00D17A94">
        <w:t xml:space="preserve"> </w:t>
      </w:r>
      <w:r w:rsidRPr="008A0A12">
        <w:t>documents.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184.</w:t>
      </w:r>
      <w:r w:rsidRPr="008A0A12">
        <w:tab/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existing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domestic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unlawful</w:t>
      </w:r>
      <w:r w:rsidR="00D17A94">
        <w:t xml:space="preserve"> </w:t>
      </w:r>
      <w:r w:rsidRPr="008A0A12">
        <w:t>conduct</w:t>
      </w:r>
      <w:r w:rsidR="00D17A94">
        <w:t xml:space="preserve"> </w:t>
      </w:r>
      <w:r w:rsidRPr="008A0A12">
        <w:t>which,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terms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seriousness,</w:t>
      </w:r>
      <w:r w:rsidR="00D17A94">
        <w:t xml:space="preserve"> </w:t>
      </w:r>
      <w:r w:rsidRPr="008A0A12">
        <w:t>fulfils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criminal</w:t>
      </w:r>
      <w:r w:rsidR="00D17A94">
        <w:t xml:space="preserve"> </w:t>
      </w:r>
      <w:r w:rsidRPr="008A0A12">
        <w:t>offence</w:t>
      </w:r>
      <w:r w:rsidR="00D17A94">
        <w:t xml:space="preserve"> </w:t>
      </w:r>
      <w:r w:rsidRPr="008A0A12">
        <w:t>(offence</w:t>
      </w:r>
      <w:r w:rsidR="00D17A94">
        <w:t xml:space="preserve"> </w:t>
      </w:r>
      <w:r w:rsidRPr="008A0A12">
        <w:lastRenderedPageBreak/>
        <w:t>or</w:t>
      </w:r>
      <w:r w:rsidR="00D17A94">
        <w:t xml:space="preserve"> </w:t>
      </w:r>
      <w:r w:rsidRPr="008A0A12">
        <w:t>crime);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less</w:t>
      </w:r>
      <w:r w:rsidR="00D17A94">
        <w:t xml:space="preserve"> </w:t>
      </w:r>
      <w:r w:rsidRPr="008A0A12">
        <w:t>serious</w:t>
      </w:r>
      <w:r w:rsidR="00D17A94">
        <w:t xml:space="preserve"> </w:t>
      </w:r>
      <w:r w:rsidRPr="008A0A12">
        <w:t>cases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fulfils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misdemeanour.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criminal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term</w:t>
      </w:r>
      <w:r w:rsidR="00D17A94">
        <w:t xml:space="preserve"> </w:t>
      </w:r>
      <w:r w:rsidR="00413AEE">
        <w:t>“</w:t>
      </w:r>
      <w:r w:rsidRPr="008A0A12">
        <w:t>offence</w:t>
      </w:r>
      <w:r w:rsidR="00413AEE">
        <w:t>”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type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crime.</w:t>
      </w:r>
      <w:r w:rsidR="00D17A94">
        <w:t xml:space="preserve"> </w:t>
      </w:r>
      <w:r w:rsidRPr="008A0A12">
        <w:t>Offence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defined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10,</w:t>
      </w:r>
      <w:r w:rsidR="00D17A94">
        <w:t xml:space="preserve"> </w:t>
      </w:r>
      <w:r w:rsidRPr="008A0A12">
        <w:t>Section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Criminal</w:t>
      </w:r>
      <w:r w:rsidR="00D17A94">
        <w:t xml:space="preserve"> </w:t>
      </w:r>
      <w:r w:rsidRPr="008A0A12">
        <w:t>Code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crime</w:t>
      </w:r>
      <w:r w:rsidR="00D17A94">
        <w:t xml:space="preserve"> </w:t>
      </w:r>
      <w:r w:rsidRPr="008A0A12">
        <w:t>committed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negligence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intentional</w:t>
      </w:r>
      <w:r w:rsidR="00D17A94">
        <w:t xml:space="preserve"> </w:t>
      </w:r>
      <w:r w:rsidRPr="008A0A12">
        <w:t>crime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act,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part,</w:t>
      </w:r>
      <w:r w:rsidR="00D17A94">
        <w:t xml:space="preserve"> </w:t>
      </w:r>
      <w:r w:rsidRPr="008A0A12">
        <w:t>provides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imprisonment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maximum</w:t>
      </w:r>
      <w:r w:rsidR="00D17A94">
        <w:t xml:space="preserve"> </w:t>
      </w:r>
      <w:r w:rsidRPr="008A0A12">
        <w:t>term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exceeding</w:t>
      </w:r>
      <w:r w:rsidR="00D17A94">
        <w:t xml:space="preserve"> </w:t>
      </w:r>
      <w:r w:rsidRPr="008A0A12">
        <w:t>five</w:t>
      </w:r>
      <w:r w:rsidR="00D17A94">
        <w:t xml:space="preserve"> </w:t>
      </w:r>
      <w:r w:rsidRPr="008A0A12">
        <w:t>years.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185.</w:t>
      </w:r>
      <w:r w:rsidRPr="008A0A12">
        <w:tab/>
        <w:t>In</w:t>
      </w:r>
      <w:r w:rsidR="00D17A94">
        <w:t xml:space="preserve"> </w:t>
      </w:r>
      <w:r w:rsidRPr="008A0A12">
        <w:t>2011,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Criminal</w:t>
      </w:r>
      <w:r w:rsidR="00D17A94">
        <w:t xml:space="preserve"> </w:t>
      </w:r>
      <w:r w:rsidRPr="008A0A12">
        <w:t>Code</w:t>
      </w:r>
      <w:r w:rsidR="00D17A94">
        <w:t xml:space="preserve"> </w:t>
      </w:r>
      <w:r w:rsidRPr="008A0A12">
        <w:t>incorporated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</w:t>
      </w:r>
      <w:r w:rsidR="00D17A94">
        <w:t xml:space="preserve"> </w:t>
      </w:r>
      <w:r w:rsidRPr="008A0A12">
        <w:t>of</w:t>
      </w:r>
      <w:r w:rsidR="00D17A94">
        <w:t xml:space="preserve"> </w:t>
      </w:r>
      <w:r w:rsidR="00413AEE">
        <w:t>“</w:t>
      </w:r>
      <w:r w:rsidRPr="008A0A12">
        <w:t>Stalking</w:t>
      </w:r>
      <w:r w:rsidR="00413AEE">
        <w:t>”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360</w:t>
      </w:r>
      <w:r w:rsidR="00D17A94">
        <w:t xml:space="preserve"> </w:t>
      </w:r>
      <w:r w:rsidRPr="008A0A12">
        <w:t>(a)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Criminal</w:t>
      </w:r>
      <w:r w:rsidR="00D17A94">
        <w:t xml:space="preserve"> </w:t>
      </w:r>
      <w:r w:rsidRPr="008A0A12">
        <w:t>Code,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penalises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stalking</w:t>
      </w:r>
      <w:r w:rsidR="00413AEE">
        <w:t>”</w:t>
      </w:r>
      <w:r w:rsidRPr="008A0A12">
        <w:t>,</w:t>
      </w:r>
      <w:r w:rsidR="00D17A94">
        <w:t xml:space="preserve"> </w:t>
      </w:r>
      <w:r w:rsidRPr="008A0A12">
        <w:t>i.e.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pursuit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way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can</w:t>
      </w:r>
      <w:r w:rsidR="00D17A94">
        <w:t xml:space="preserve"> </w:t>
      </w:r>
      <w:r w:rsidRPr="008A0A12">
        <w:t>give</w:t>
      </w:r>
      <w:r w:rsidR="00D17A94">
        <w:t xml:space="preserve"> </w:t>
      </w:r>
      <w:r w:rsidRPr="008A0A12">
        <w:t>rise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reasonable</w:t>
      </w:r>
      <w:r w:rsidR="00D17A94">
        <w:t xml:space="preserve"> </w:t>
      </w:r>
      <w:r w:rsidRPr="008A0A12">
        <w:t>doubt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life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pursued</w:t>
      </w:r>
      <w:r w:rsidR="00D17A94">
        <w:t xml:space="preserve"> </w:t>
      </w:r>
      <w:r w:rsidRPr="008A0A12">
        <w:t>person,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life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his/her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way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significantly</w:t>
      </w:r>
      <w:r w:rsidR="00D17A94">
        <w:t xml:space="preserve"> </w:t>
      </w:r>
      <w:r w:rsidRPr="008A0A12">
        <w:t>impairs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quality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life.</w:t>
      </w:r>
    </w:p>
    <w:p w:rsidR="00F33762" w:rsidRPr="008A0A12" w:rsidRDefault="00F33762" w:rsidP="00F33762">
      <w:pPr>
        <w:pStyle w:val="SingleTxtG"/>
      </w:pPr>
      <w:r w:rsidRPr="008A0A12">
        <w:t>186.</w:t>
      </w:r>
      <w:r w:rsidRPr="008A0A12">
        <w:tab/>
        <w:t>Sexual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defined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specific</w:t>
      </w:r>
      <w:r w:rsidR="00D17A94">
        <w:t xml:space="preserve"> </w:t>
      </w:r>
      <w:r w:rsidRPr="008A0A12">
        <w:t>crime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200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Criminal</w:t>
      </w:r>
      <w:r w:rsidR="00D17A94">
        <w:t xml:space="preserve"> </w:t>
      </w:r>
      <w:r w:rsidRPr="008A0A12">
        <w:t>Code.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crime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rape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defined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specific</w:t>
      </w:r>
      <w:r w:rsidR="00D17A94">
        <w:t xml:space="preserve"> </w:t>
      </w:r>
      <w:r w:rsidRPr="008A0A12">
        <w:t>crime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199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Criminal</w:t>
      </w:r>
      <w:r w:rsidR="00D17A94">
        <w:t xml:space="preserve"> </w:t>
      </w:r>
      <w:r w:rsidRPr="008A0A12">
        <w:t>Code,</w:t>
      </w:r>
      <w:r w:rsidR="00D17A94">
        <w:t xml:space="preserve"> </w:t>
      </w:r>
      <w:r w:rsidRPr="008A0A12">
        <w:t>while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paragraph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includes</w:t>
      </w:r>
      <w:r w:rsidR="00D17A94">
        <w:t xml:space="preserve"> </w:t>
      </w:r>
      <w:r w:rsidRPr="008A0A12">
        <w:t>rape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marriage.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187.</w:t>
      </w:r>
      <w:r w:rsidRPr="008A0A12">
        <w:tab/>
        <w:t>The</w:t>
      </w:r>
      <w:r w:rsidR="00D17A94">
        <w:t xml:space="preserve"> </w:t>
      </w:r>
      <w:r w:rsidRPr="008A0A12">
        <w:t>amendment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compensation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victims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violent</w:t>
      </w:r>
      <w:r w:rsidR="00D17A94">
        <w:t xml:space="preserve"> </w:t>
      </w:r>
      <w:r w:rsidRPr="008A0A12">
        <w:t>crimes,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entered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effect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July</w:t>
      </w:r>
      <w:r w:rsidR="00D17A94">
        <w:t xml:space="preserve"> </w:t>
      </w:r>
      <w:r w:rsidRPr="008A0A12">
        <w:t>2013,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important.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victims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rape,</w:t>
      </w:r>
      <w:r w:rsidR="00D17A94">
        <w:t xml:space="preserve"> </w:t>
      </w:r>
      <w:r w:rsidRPr="008A0A12">
        <w:t>sexual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sexual</w:t>
      </w:r>
      <w:r w:rsidR="00D17A94">
        <w:t xml:space="preserve"> </w:t>
      </w:r>
      <w:r w:rsidRPr="008A0A12">
        <w:t>abuse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entitled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compensation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non-material</w:t>
      </w:r>
      <w:r w:rsidR="00D17A94">
        <w:t xml:space="preserve"> </w:t>
      </w:r>
      <w:r w:rsidRPr="008A0A12">
        <w:t>damage</w:t>
      </w:r>
      <w:r w:rsidR="00D17A94">
        <w:t xml:space="preserve"> </w:t>
      </w:r>
      <w:r w:rsidRPr="008A0A12">
        <w:t>suffered.</w:t>
      </w:r>
    </w:p>
    <w:p w:rsidR="00F33762" w:rsidRPr="008A0A12" w:rsidRDefault="00F33762" w:rsidP="00F33762">
      <w:pPr>
        <w:pStyle w:val="SingleTxtG"/>
      </w:pPr>
      <w:r w:rsidRPr="008A0A12">
        <w:t>188.</w:t>
      </w:r>
      <w:r w:rsidRPr="008A0A12">
        <w:tab/>
        <w:t>The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victims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defined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27</w:t>
      </w:r>
      <w:r w:rsidR="00D17A94">
        <w:t xml:space="preserve"> </w:t>
      </w:r>
      <w:r w:rsidRPr="008A0A12">
        <w:t>(a)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171/1993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Police</w:t>
      </w:r>
      <w:r w:rsidR="00D17A94">
        <w:t xml:space="preserve"> </w:t>
      </w:r>
      <w:r w:rsidRPr="008A0A12">
        <w:t>Force,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possibility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evict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violent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dwelling.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institute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evicting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shared</w:t>
      </w:r>
      <w:r w:rsidR="00D17A94">
        <w:t xml:space="preserve"> </w:t>
      </w:r>
      <w:r w:rsidRPr="008A0A12">
        <w:t>dwelling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preventive</w:t>
      </w:r>
      <w:r w:rsidR="00D17A94">
        <w:t xml:space="preserve"> </w:t>
      </w:r>
      <w:r w:rsidRPr="008A0A12">
        <w:t>measure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purpose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provide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exposed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immediate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life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early</w:t>
      </w:r>
      <w:r w:rsidR="00D17A94">
        <w:t xml:space="preserve"> </w:t>
      </w:r>
      <w:r w:rsidRPr="008A0A12">
        <w:t>phases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violence,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connected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lower</w:t>
      </w:r>
      <w:r w:rsidR="00D17A94">
        <w:t xml:space="preserve"> </w:t>
      </w:r>
      <w:r w:rsidRPr="008A0A12">
        <w:t>risk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completing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prevention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continuation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violent</w:t>
      </w:r>
      <w:r w:rsidR="00D17A94">
        <w:t xml:space="preserve"> </w:t>
      </w:r>
      <w:r w:rsidRPr="008A0A12">
        <w:t>behaviour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perpetrator.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police</w:t>
      </w:r>
      <w:r w:rsidR="00D17A94">
        <w:t xml:space="preserve"> </w:t>
      </w:r>
      <w:r w:rsidRPr="008A0A12">
        <w:t>officer</w:t>
      </w:r>
      <w:r w:rsidR="00D17A94">
        <w:t xml:space="preserve"> </w:t>
      </w:r>
      <w:r w:rsidRPr="008A0A12">
        <w:t>can</w:t>
      </w:r>
      <w:r w:rsidR="00D17A94">
        <w:t xml:space="preserve"> </w:t>
      </w:r>
      <w:r w:rsidRPr="008A0A12">
        <w:t>evict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possible,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basis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identified</w:t>
      </w:r>
      <w:r w:rsidR="00D17A94">
        <w:t xml:space="preserve"> </w:t>
      </w:r>
      <w:r w:rsidRPr="008A0A12">
        <w:t>acts,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expect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attack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life,</w:t>
      </w:r>
      <w:r w:rsidR="00D17A94">
        <w:t xml:space="preserve"> </w:t>
      </w:r>
      <w:r w:rsidRPr="008A0A12">
        <w:t>health,</w:t>
      </w:r>
      <w:r w:rsidR="00D17A94">
        <w:t xml:space="preserve"> </w:t>
      </w:r>
      <w:r w:rsidRPr="008A0A12">
        <w:t>freedom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serious</w:t>
      </w:r>
      <w:r w:rsidR="00D17A94">
        <w:t xml:space="preserve"> </w:t>
      </w:r>
      <w:r w:rsidRPr="008A0A12">
        <w:t>attack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dignity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exposed</w:t>
      </w:r>
      <w:r w:rsidR="00D17A94">
        <w:t xml:space="preserve"> </w:t>
      </w:r>
      <w:r w:rsidRPr="008A0A12">
        <w:t>person,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apartment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house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place</w:t>
      </w:r>
      <w:r w:rsidR="00D17A94">
        <w:t xml:space="preserve"> </w:t>
      </w:r>
      <w:r w:rsidRPr="008A0A12">
        <w:t>occupied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exposed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immediate</w:t>
      </w:r>
      <w:r w:rsidR="00D17A94">
        <w:t xml:space="preserve"> </w:t>
      </w:r>
      <w:r w:rsidRPr="008A0A12">
        <w:t>environment,</w:t>
      </w:r>
      <w:r w:rsidR="00D17A94">
        <w:t xml:space="preserve"> </w:t>
      </w:r>
      <w:r w:rsidRPr="008A0A12">
        <w:t>especially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regard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previous</w:t>
      </w:r>
      <w:r w:rsidR="00D17A94">
        <w:t xml:space="preserve"> </w:t>
      </w:r>
      <w:r w:rsidRPr="008A0A12">
        <w:t>such</w:t>
      </w:r>
      <w:r w:rsidR="00D17A94">
        <w:t xml:space="preserve"> </w:t>
      </w:r>
      <w:r w:rsidRPr="008A0A12">
        <w:t>attacks;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entry</w:t>
      </w:r>
      <w:r w:rsidR="00D17A94">
        <w:t xml:space="preserve"> </w:t>
      </w:r>
      <w:r w:rsidRPr="008A0A12">
        <w:t>ban</w:t>
      </w:r>
      <w:r w:rsidR="00D17A94">
        <w:t xml:space="preserve"> </w:t>
      </w:r>
      <w:r w:rsidRPr="008A0A12">
        <w:t>imposed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evicted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shared</w:t>
      </w:r>
      <w:r w:rsidR="00D17A94">
        <w:t xml:space="preserve"> </w:t>
      </w:r>
      <w:r w:rsidRPr="008A0A12">
        <w:t>dwelling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part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eviction.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189.</w:t>
      </w:r>
      <w:r w:rsidRPr="008A0A12">
        <w:tab/>
        <w:t>On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January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entry</w:t>
      </w:r>
      <w:r w:rsidR="00D17A94">
        <w:t xml:space="preserve"> </w:t>
      </w:r>
      <w:r w:rsidRPr="008A0A12">
        <w:t>ban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evicted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shared</w:t>
      </w:r>
      <w:r w:rsidR="00D17A94">
        <w:t xml:space="preserve"> </w:t>
      </w:r>
      <w:r w:rsidRPr="008A0A12">
        <w:t>dwelling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extended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48</w:t>
      </w:r>
      <w:r w:rsidR="00D17A94">
        <w:t xml:space="preserve"> </w:t>
      </w:r>
      <w:r w:rsidRPr="008A0A12">
        <w:t>hours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many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10</w:t>
      </w:r>
      <w:r w:rsidR="00D17A94">
        <w:t xml:space="preserve"> </w:t>
      </w:r>
      <w:r w:rsidRPr="008A0A12">
        <w:t>days.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evicted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shared</w:t>
      </w:r>
      <w:r w:rsidR="00D17A94">
        <w:t xml:space="preserve"> </w:t>
      </w:r>
      <w:r w:rsidRPr="008A0A12">
        <w:t>dwelling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obligated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approach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exposed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distance</w:t>
      </w:r>
      <w:r w:rsidR="00D17A94">
        <w:t xml:space="preserve"> </w:t>
      </w:r>
      <w:r w:rsidRPr="008A0A12">
        <w:t>shorter</w:t>
      </w:r>
      <w:r w:rsidR="00D17A94">
        <w:t xml:space="preserve"> </w:t>
      </w:r>
      <w:r w:rsidRPr="008A0A12">
        <w:t>than</w:t>
      </w:r>
      <w:r w:rsidR="00D17A94">
        <w:t xml:space="preserve"> </w:t>
      </w:r>
      <w:r w:rsidRPr="008A0A12">
        <w:t>10</w:t>
      </w:r>
      <w:r w:rsidR="00D17A94">
        <w:t xml:space="preserve"> </w:t>
      </w:r>
      <w:r w:rsidRPr="008A0A12">
        <w:t>metres.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January</w:t>
      </w:r>
      <w:r w:rsidR="00D17A94">
        <w:t xml:space="preserve"> </w:t>
      </w:r>
      <w:r w:rsidRPr="008A0A12">
        <w:t>2016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applies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if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act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domestic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committed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same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classified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misdemeanour</w:t>
      </w:r>
      <w:r w:rsidR="00D17A94">
        <w:t xml:space="preserve"> </w:t>
      </w:r>
      <w:r w:rsidRPr="008A0A12">
        <w:t>(for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fine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imposed)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same</w:t>
      </w:r>
      <w:r w:rsidR="00D17A94">
        <w:t xml:space="preserve"> </w:t>
      </w:r>
      <w:r w:rsidRPr="008A0A12">
        <w:t>perpetrator</w:t>
      </w:r>
      <w:r w:rsidR="00D17A94">
        <w:t xml:space="preserve"> </w:t>
      </w:r>
      <w:r w:rsidRPr="008A0A12">
        <w:t>commits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same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similar</w:t>
      </w:r>
      <w:r w:rsidR="00D17A94">
        <w:t xml:space="preserve"> </w:t>
      </w:r>
      <w:r w:rsidRPr="008A0A12">
        <w:t>act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domestic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next</w:t>
      </w:r>
      <w:r w:rsidR="00D17A94">
        <w:t xml:space="preserve"> </w:t>
      </w:r>
      <w:r w:rsidRPr="008A0A12">
        <w:t>12</w:t>
      </w:r>
      <w:r w:rsidR="00D17A94">
        <w:t xml:space="preserve"> </w:t>
      </w:r>
      <w:r w:rsidRPr="008A0A12">
        <w:t>months,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act</w:t>
      </w:r>
      <w:r w:rsidR="00D17A94">
        <w:t xml:space="preserve"> </w:t>
      </w:r>
      <w:r w:rsidRPr="008A0A12">
        <w:t>will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investigated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crime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208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Criminal</w:t>
      </w:r>
      <w:r w:rsidR="00D17A94">
        <w:t xml:space="preserve"> </w:t>
      </w:r>
      <w:r w:rsidRPr="008A0A12">
        <w:t>Code.</w:t>
      </w:r>
    </w:p>
    <w:p w:rsidR="00F33762" w:rsidRPr="008A0A12" w:rsidRDefault="00F33762" w:rsidP="00F33762">
      <w:pPr>
        <w:pStyle w:val="SingleTxtG"/>
      </w:pPr>
      <w:r w:rsidRPr="008A0A12">
        <w:t>190.</w:t>
      </w:r>
      <w:r w:rsidRPr="008A0A12">
        <w:tab/>
        <w:t>In</w:t>
      </w:r>
      <w:r w:rsidR="00D17A94">
        <w:t xml:space="preserve"> </w:t>
      </w:r>
      <w:r w:rsidRPr="008A0A12">
        <w:t>terms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providing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exposed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effective</w:t>
      </w:r>
      <w:r w:rsidR="00D17A94">
        <w:t xml:space="preserve"> </w:t>
      </w:r>
      <w:r w:rsidRPr="008A0A12">
        <w:t>protection,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time</w:t>
      </w:r>
      <w:r w:rsidR="00D17A94">
        <w:t xml:space="preserve"> </w:t>
      </w:r>
      <w:r w:rsidRPr="008A0A12">
        <w:t>factor</w:t>
      </w:r>
      <w:r w:rsidR="00D17A94">
        <w:t xml:space="preserve"> </w:t>
      </w:r>
      <w:r w:rsidRPr="008A0A12">
        <w:t>plays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important</w:t>
      </w:r>
      <w:r w:rsidR="00D17A94">
        <w:t xml:space="preserve"> </w:t>
      </w:r>
      <w:r w:rsidRPr="008A0A12">
        <w:t>role,</w:t>
      </w:r>
      <w:r w:rsidR="00D17A94">
        <w:t xml:space="preserve"> </w:t>
      </w:r>
      <w:r w:rsidRPr="008A0A12">
        <w:t>i.e.</w:t>
      </w:r>
      <w:r w:rsidR="00D17A94">
        <w:t xml:space="preserve"> </w:t>
      </w:r>
      <w:r w:rsidRPr="008A0A12">
        <w:t>creating</w:t>
      </w:r>
      <w:r w:rsidR="00D17A94">
        <w:t xml:space="preserve"> </w:t>
      </w:r>
      <w:r w:rsidRPr="008A0A12">
        <w:t>sufficient</w:t>
      </w:r>
      <w:r w:rsidR="00D17A94">
        <w:t xml:space="preserve"> </w:t>
      </w:r>
      <w:r w:rsidRPr="008A0A12">
        <w:t>time</w:t>
      </w:r>
      <w:r w:rsidR="00D17A94">
        <w:t xml:space="preserve"> </w:t>
      </w:r>
      <w:r w:rsidRPr="008A0A12">
        <w:t>space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find</w:t>
      </w:r>
      <w:r w:rsidR="00D17A94">
        <w:t xml:space="preserve"> </w:t>
      </w:r>
      <w:r w:rsidRPr="008A0A12">
        <w:t>professional</w:t>
      </w:r>
      <w:r w:rsidR="00D17A94">
        <w:t xml:space="preserve"> </w:t>
      </w:r>
      <w:r w:rsidRPr="008A0A12">
        <w:t>assistance.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victims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domestic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specific</w:t>
      </w:r>
      <w:r w:rsidR="00D17A94">
        <w:t xml:space="preserve"> </w:t>
      </w:r>
      <w:r w:rsidRPr="008A0A12">
        <w:t>access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assistance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experts,</w:t>
      </w:r>
      <w:r w:rsidR="00D17A94">
        <w:t xml:space="preserve"> </w:t>
      </w:r>
      <w:r w:rsidRPr="008A0A12">
        <w:t>while</w:t>
      </w:r>
      <w:r w:rsidR="00D17A94">
        <w:t xml:space="preserve"> </w:t>
      </w:r>
      <w:r w:rsidRPr="008A0A12">
        <w:t>organisations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provide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threatened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domestic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specialised</w:t>
      </w:r>
      <w:r w:rsidR="00D17A94">
        <w:t xml:space="preserve"> </w:t>
      </w:r>
      <w:r w:rsidRPr="008A0A12">
        <w:t>social,</w:t>
      </w:r>
      <w:r w:rsidR="00D17A94">
        <w:t xml:space="preserve"> </w:t>
      </w:r>
      <w:r w:rsidRPr="008A0A12">
        <w:t>legal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psychological</w:t>
      </w:r>
      <w:r w:rsidR="00D17A94">
        <w:t xml:space="preserve"> </w:t>
      </w:r>
      <w:r w:rsidRPr="008A0A12">
        <w:t>consultancy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services,</w:t>
      </w:r>
      <w:r w:rsidR="00D17A94">
        <w:t xml:space="preserve"> </w:t>
      </w:r>
      <w:r w:rsidRPr="008A0A12">
        <w:t>play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indispensable</w:t>
      </w:r>
      <w:r w:rsidR="00D17A94">
        <w:t xml:space="preserve"> </w:t>
      </w:r>
      <w:r w:rsidRPr="008A0A12">
        <w:t>role.</w:t>
      </w:r>
    </w:p>
    <w:p w:rsidR="00F33762" w:rsidRPr="008A0A12" w:rsidRDefault="00F33762" w:rsidP="00F33762">
      <w:pPr>
        <w:pStyle w:val="SingleTxtG"/>
      </w:pPr>
      <w:r w:rsidRPr="008A0A12">
        <w:t>191.</w:t>
      </w:r>
      <w:r w:rsidRPr="008A0A12">
        <w:tab/>
        <w:t>An</w:t>
      </w:r>
      <w:r w:rsidR="00D17A94">
        <w:t xml:space="preserve"> </w:t>
      </w:r>
      <w:r w:rsidRPr="008A0A12">
        <w:t>amendment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Criminal</w:t>
      </w:r>
      <w:r w:rsidR="00D17A94">
        <w:t xml:space="preserve"> </w:t>
      </w:r>
      <w:r w:rsidRPr="008A0A12">
        <w:t>Code,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entered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effect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January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amended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definition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crime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torturing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close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entrusted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208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Criminal</w:t>
      </w:r>
      <w:r w:rsidR="00D17A94">
        <w:t xml:space="preserve"> </w:t>
      </w:r>
      <w:r w:rsidRPr="008A0A12">
        <w:t>Code,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leaving</w:t>
      </w:r>
      <w:r w:rsidR="00D17A94">
        <w:t xml:space="preserve"> </w:t>
      </w:r>
      <w:r w:rsidRPr="008A0A12">
        <w:t>out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word</w:t>
      </w:r>
      <w:r w:rsidR="00D17A94">
        <w:t xml:space="preserve"> </w:t>
      </w:r>
      <w:r w:rsidR="00413AEE">
        <w:t>“</w:t>
      </w:r>
      <w:r w:rsidRPr="008A0A12">
        <w:t>torturing</w:t>
      </w:r>
      <w:r w:rsidR="00413AEE">
        <w:t>”</w:t>
      </w:r>
      <w:r w:rsidRPr="008A0A12">
        <w:t>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proving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during</w:t>
      </w:r>
      <w:r w:rsidR="00D17A94">
        <w:t xml:space="preserve"> </w:t>
      </w:r>
      <w:r w:rsidRPr="008A0A12">
        <w:t>criminal</w:t>
      </w:r>
      <w:r w:rsidR="00D17A94">
        <w:t xml:space="preserve"> </w:t>
      </w:r>
      <w:r w:rsidRPr="008A0A12">
        <w:t>proceedings</w:t>
      </w:r>
      <w:r w:rsidR="00D17A94">
        <w:t xml:space="preserve"> </w:t>
      </w:r>
      <w:r w:rsidRPr="008A0A12">
        <w:t>created</w:t>
      </w:r>
      <w:r w:rsidR="00D17A94">
        <w:t xml:space="preserve"> </w:t>
      </w:r>
      <w:r w:rsidRPr="008A0A12">
        <w:t>application</w:t>
      </w:r>
      <w:r w:rsidR="00D17A94">
        <w:t xml:space="preserve"> </w:t>
      </w:r>
      <w:r w:rsidRPr="008A0A12">
        <w:t>ambiguity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disunity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procedure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enforcement</w:t>
      </w:r>
      <w:r w:rsidR="00D17A94">
        <w:t xml:space="preserve"> </w:t>
      </w:r>
      <w:r w:rsidRPr="008A0A12">
        <w:t>authorities.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define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crime,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enough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prove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infliction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physical</w:t>
      </w:r>
      <w:r w:rsidR="00D17A94">
        <w:t xml:space="preserve"> </w:t>
      </w:r>
      <w:r w:rsidRPr="008A0A12">
        <w:t>suffering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psychological</w:t>
      </w:r>
      <w:r w:rsidR="00D17A94">
        <w:t xml:space="preserve"> </w:t>
      </w:r>
      <w:r w:rsidRPr="008A0A12">
        <w:t>suffering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one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actions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§</w:t>
      </w:r>
      <w:r w:rsidR="00D17A94">
        <w:t xml:space="preserve"> </w:t>
      </w:r>
      <w:r w:rsidRPr="008A0A12">
        <w:t>208,</w:t>
      </w:r>
      <w:r w:rsidR="00D17A94">
        <w:t xml:space="preserve"> </w:t>
      </w:r>
      <w:r w:rsidRPr="008A0A12">
        <w:t>Section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(a)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(e)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Criminal</w:t>
      </w:r>
      <w:r w:rsidR="00D17A94">
        <w:t xml:space="preserve"> </w:t>
      </w:r>
      <w:r w:rsidRPr="008A0A12">
        <w:t>Code.</w:t>
      </w:r>
      <w:r w:rsidR="00D17A94">
        <w:t xml:space="preserve"> </w:t>
      </w:r>
      <w:r w:rsidRPr="008A0A12">
        <w:t>Simultaneously,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criminality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abusing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close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entrusted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relapse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offence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introduced,</w:t>
      </w:r>
      <w:r w:rsidR="00D17A94">
        <w:t xml:space="preserve"> </w:t>
      </w:r>
      <w:r w:rsidRPr="008A0A12">
        <w:t>i.e.</w:t>
      </w:r>
      <w:r w:rsidR="00D17A94">
        <w:t xml:space="preserve"> </w:t>
      </w:r>
      <w:r w:rsidRPr="008A0A12">
        <w:t>if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perpetrator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sentenced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similar</w:t>
      </w:r>
      <w:r w:rsidR="00D17A94">
        <w:t xml:space="preserve"> </w:t>
      </w:r>
      <w:r w:rsidRPr="008A0A12">
        <w:t>act</w:t>
      </w:r>
      <w:r w:rsidR="00D17A94">
        <w:t xml:space="preserve"> </w:t>
      </w:r>
      <w:r w:rsidRPr="008A0A12">
        <w:t>during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previous</w:t>
      </w:r>
      <w:r w:rsidR="00D17A94">
        <w:t xml:space="preserve"> </w:t>
      </w:r>
      <w:r w:rsidRPr="008A0A12">
        <w:t>twelve</w:t>
      </w:r>
      <w:r w:rsidR="00D17A94">
        <w:t xml:space="preserve"> </w:t>
      </w:r>
      <w:r w:rsidRPr="008A0A12">
        <w:t>months</w:t>
      </w:r>
      <w:r w:rsidR="00D17A94">
        <w:t xml:space="preserve"> </w:t>
      </w:r>
      <w:r w:rsidRPr="008A0A12">
        <w:t>(§</w:t>
      </w:r>
      <w:r w:rsidR="00D17A94">
        <w:t xml:space="preserve"> </w:t>
      </w:r>
      <w:r w:rsidRPr="008A0A12">
        <w:t>208,</w:t>
      </w:r>
      <w:r w:rsidR="00D17A94">
        <w:t xml:space="preserve"> </w:t>
      </w:r>
      <w:r w:rsidRPr="008A0A12">
        <w:t>Section</w:t>
      </w:r>
      <w:r w:rsidR="00D17A94">
        <w:t xml:space="preserve"> </w:t>
      </w:r>
      <w:r w:rsidRPr="008A0A12">
        <w:t>2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Criminal</w:t>
      </w:r>
      <w:r w:rsidR="00D17A94">
        <w:t xml:space="preserve"> </w:t>
      </w:r>
      <w:r w:rsidRPr="008A0A12">
        <w:t>Code).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192.</w:t>
      </w:r>
      <w:r w:rsidRPr="008A0A12">
        <w:tab/>
        <w:t>An</w:t>
      </w:r>
      <w:r w:rsidR="00D17A94">
        <w:t xml:space="preserve"> </w:t>
      </w:r>
      <w:r w:rsidRPr="008A0A12">
        <w:t>amendment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Misdemeanours,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entered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effect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January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resulted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distinguishing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commitment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misdemeanour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close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entrusted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facts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misdemeanour</w:t>
      </w:r>
      <w:r w:rsidR="00D17A94">
        <w:t xml:space="preserve"> </w:t>
      </w:r>
      <w:r w:rsidR="00413AEE">
        <w:t>“</w:t>
      </w:r>
      <w:r w:rsidRPr="008A0A12">
        <w:t>against</w:t>
      </w:r>
      <w:r w:rsidR="00D17A94">
        <w:t xml:space="preserve"> </w:t>
      </w:r>
      <w:r w:rsidRPr="008A0A12">
        <w:t>civil</w:t>
      </w:r>
      <w:r w:rsidR="00D17A94">
        <w:t xml:space="preserve"> </w:t>
      </w:r>
      <w:r w:rsidRPr="008A0A12">
        <w:t>coexistence</w:t>
      </w:r>
      <w:r w:rsidR="00413AEE">
        <w:t>”</w:t>
      </w:r>
      <w:r w:rsidRPr="008A0A12">
        <w:t>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legislative</w:t>
      </w:r>
      <w:r w:rsidR="00D17A94">
        <w:t xml:space="preserve"> </w:t>
      </w:r>
      <w:r w:rsidRPr="008A0A12">
        <w:t>change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connected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introduction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criminality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lastRenderedPageBreak/>
        <w:t>the</w:t>
      </w:r>
      <w:r w:rsidR="00D17A94">
        <w:t xml:space="preserve"> </w:t>
      </w:r>
      <w:r w:rsidRPr="008A0A12">
        <w:t>relapse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offence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domestic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(§</w:t>
      </w:r>
      <w:r w:rsidR="00D17A94">
        <w:t xml:space="preserve"> </w:t>
      </w:r>
      <w:r w:rsidRPr="008A0A12">
        <w:t>208,</w:t>
      </w:r>
      <w:r w:rsidR="00D17A94">
        <w:t xml:space="preserve"> </w:t>
      </w:r>
      <w:r w:rsidRPr="008A0A12">
        <w:t>Section</w:t>
      </w:r>
      <w:r w:rsidR="00D17A94">
        <w:t xml:space="preserve"> </w:t>
      </w:r>
      <w:r w:rsidRPr="008A0A12">
        <w:t>2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Criminal</w:t>
      </w:r>
      <w:r w:rsidR="00D17A94">
        <w:t xml:space="preserve"> </w:t>
      </w:r>
      <w:r w:rsidRPr="008A0A12">
        <w:t>Code).</w:t>
      </w:r>
    </w:p>
    <w:p w:rsidR="00F33762" w:rsidRPr="008A0A12" w:rsidRDefault="00F33762" w:rsidP="00F33762">
      <w:pPr>
        <w:pStyle w:val="SingleTxtG"/>
      </w:pPr>
      <w:r w:rsidRPr="008A0A12">
        <w:t>193.</w:t>
      </w:r>
      <w:r w:rsidRPr="008A0A12">
        <w:tab/>
        <w:t>There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no</w:t>
      </w:r>
      <w:r w:rsidR="00D17A94">
        <w:t xml:space="preserve"> </w:t>
      </w:r>
      <w:r w:rsidRPr="008A0A12">
        <w:t>legal</w:t>
      </w:r>
      <w:r w:rsidR="00D17A94">
        <w:t xml:space="preserve"> </w:t>
      </w:r>
      <w:r w:rsidRPr="008A0A12">
        <w:t>definition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term</w:t>
      </w:r>
      <w:r w:rsidR="00D17A94">
        <w:t xml:space="preserve"> </w:t>
      </w:r>
      <w:r w:rsidRPr="008A0A12">
        <w:t>domestic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SR.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possible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use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term</w:t>
      </w:r>
      <w:r w:rsidR="00D17A94">
        <w:t xml:space="preserve"> </w:t>
      </w:r>
      <w:r w:rsidRPr="008A0A12">
        <w:t>domestic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pursuant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Council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Europe</w:t>
      </w:r>
      <w:r w:rsidR="00D17A94">
        <w:t xml:space="preserve"> </w:t>
      </w:r>
      <w:r w:rsidRPr="008A0A12">
        <w:t>Convention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Preventing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Domestic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domestic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any</w:t>
      </w:r>
      <w:r w:rsidR="00D17A94">
        <w:t xml:space="preserve"> </w:t>
      </w:r>
      <w:r w:rsidRPr="008A0A12">
        <w:t>acts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physical,</w:t>
      </w:r>
      <w:r w:rsidR="00D17A94">
        <w:t xml:space="preserve"> </w:t>
      </w:r>
      <w:r w:rsidRPr="008A0A12">
        <w:t>sexual,</w:t>
      </w:r>
      <w:r w:rsidR="00D17A94">
        <w:t xml:space="preserve"> </w:t>
      </w:r>
      <w:r w:rsidRPr="008A0A12">
        <w:t>psychological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economic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domestic</w:t>
      </w:r>
      <w:r w:rsidR="00D17A94">
        <w:t xml:space="preserve"> </w:t>
      </w:r>
      <w:r w:rsidRPr="008A0A12">
        <w:t>unit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between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former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current</w:t>
      </w:r>
      <w:r w:rsidR="00D17A94">
        <w:t xml:space="preserve"> </w:t>
      </w:r>
      <w:r w:rsidRPr="008A0A12">
        <w:t>spouses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partners,</w:t>
      </w:r>
      <w:r w:rsidR="00D17A94">
        <w:t xml:space="preserve"> </w:t>
      </w:r>
      <w:r w:rsidRPr="008A0A12">
        <w:t>regardless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whether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perpetrator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had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past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shared</w:t>
      </w:r>
      <w:r w:rsidR="00D17A94">
        <w:t xml:space="preserve"> </w:t>
      </w:r>
      <w:r w:rsidRPr="008A0A12">
        <w:t>habitual</w:t>
      </w:r>
      <w:r w:rsidR="00D17A94">
        <w:t xml:space="preserve"> </w:t>
      </w:r>
      <w:r w:rsidRPr="008A0A12">
        <w:t>residence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victim.</w:t>
      </w:r>
    </w:p>
    <w:p w:rsidR="00F33762" w:rsidRPr="008A0A12" w:rsidRDefault="00F33762" w:rsidP="00F33762">
      <w:pPr>
        <w:pStyle w:val="SingleTxtG"/>
      </w:pPr>
      <w:r w:rsidRPr="008A0A12">
        <w:t>194.</w:t>
      </w:r>
      <w:r w:rsidRPr="008A0A12">
        <w:tab/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signed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Council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Europe</w:t>
      </w:r>
      <w:r w:rsidR="00D17A94">
        <w:t xml:space="preserve"> </w:t>
      </w:r>
      <w:r w:rsidRPr="008A0A12">
        <w:t>Convention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Preventing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Domestic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Istanbul</w:t>
      </w:r>
      <w:r w:rsidR="00D17A94">
        <w:t xml:space="preserve"> </w:t>
      </w:r>
      <w:r w:rsidRPr="008A0A12">
        <w:t>Convention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11</w:t>
      </w:r>
      <w:r w:rsidR="00D17A94">
        <w:t xml:space="preserve"> </w:t>
      </w:r>
      <w:r w:rsidRPr="008A0A12">
        <w:t>May</w:t>
      </w:r>
      <w:r w:rsidR="00D17A94">
        <w:t xml:space="preserve"> </w:t>
      </w:r>
      <w:r w:rsidRPr="008A0A12">
        <w:t>2011.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present,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possibilities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ratifying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convention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being</w:t>
      </w:r>
      <w:r w:rsidR="00D17A94">
        <w:t xml:space="preserve"> </w:t>
      </w:r>
      <w:r w:rsidRPr="008A0A12">
        <w:t>analysed.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195.</w:t>
      </w:r>
      <w:r w:rsidRPr="008A0A12">
        <w:tab/>
        <w:t>National</w:t>
      </w:r>
      <w:r w:rsidR="00D17A94">
        <w:t xml:space="preserve"> </w:t>
      </w:r>
      <w:r w:rsidRPr="008A0A12">
        <w:t>Action</w:t>
      </w:r>
      <w:r w:rsidR="00D17A94">
        <w:t xml:space="preserve"> </w:t>
      </w:r>
      <w:r w:rsidRPr="008A0A12">
        <w:t>Plan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Prevention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Elimination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2014-2019</w:t>
      </w:r>
      <w:r w:rsidR="00D17A94">
        <w:t xml:space="preserve"> </w:t>
      </w:r>
      <w:r w:rsidRPr="008A0A12">
        <w:t>defines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systemic</w:t>
      </w:r>
      <w:r w:rsidR="00D17A94">
        <w:t xml:space="preserve"> </w:t>
      </w:r>
      <w:r w:rsidRPr="008A0A12">
        <w:t>solution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institutional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victims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domestic</w:t>
      </w:r>
      <w:r w:rsidR="00D17A94">
        <w:t xml:space="preserve"> </w:t>
      </w:r>
      <w:r w:rsidRPr="008A0A12">
        <w:t>violence.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Committee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Council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Rights,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annually</w:t>
      </w:r>
      <w:r w:rsidR="00D17A94">
        <w:t xml:space="preserve"> </w:t>
      </w:r>
      <w:r w:rsidRPr="008A0A12">
        <w:t>monitors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continuously</w:t>
      </w:r>
      <w:r w:rsidR="00D17A94">
        <w:t xml:space="preserve"> </w:t>
      </w:r>
      <w:r w:rsidRPr="008A0A12">
        <w:t>evaluates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plan.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Expert</w:t>
      </w:r>
      <w:r w:rsidR="00D17A94">
        <w:t xml:space="preserve"> </w:t>
      </w:r>
      <w:r w:rsidRPr="008A0A12">
        <w:t>Group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Prevention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Elimination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Families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Council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Crime</w:t>
      </w:r>
      <w:r w:rsidR="00D17A94">
        <w:t xml:space="preserve"> </w:t>
      </w:r>
      <w:r w:rsidRPr="008A0A12">
        <w:t>Prevention,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cooperation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Department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Gender</w:t>
      </w:r>
      <w:r w:rsidR="00D17A94">
        <w:t xml:space="preserve"> </w:t>
      </w:r>
      <w:r w:rsidRPr="008A0A12">
        <w:t>Equality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Equal</w:t>
      </w:r>
      <w:r w:rsidR="00D17A94">
        <w:t xml:space="preserve"> </w:t>
      </w:r>
      <w:r w:rsidRPr="008A0A12">
        <w:t>Opportunities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MLSAF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participates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monitoring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action</w:t>
      </w:r>
      <w:r w:rsidR="00D17A94">
        <w:t xml:space="preserve"> </w:t>
      </w:r>
      <w:r w:rsidRPr="008A0A12">
        <w:t>plan.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areas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action</w:t>
      </w:r>
      <w:r w:rsidR="00D17A94">
        <w:t xml:space="preserve"> </w:t>
      </w:r>
      <w:r w:rsidRPr="008A0A12">
        <w:t>plan</w:t>
      </w:r>
      <w:r w:rsidR="00D17A94">
        <w:t xml:space="preserve"> </w:t>
      </w:r>
      <w:r w:rsidRPr="008A0A12">
        <w:t>include:</w:t>
      </w:r>
      <w:r w:rsidR="00D17A94">
        <w:t xml:space="preserve"> </w:t>
      </w:r>
      <w:r w:rsidRPr="008A0A12">
        <w:t>strengthening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legal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strategic</w:t>
      </w:r>
      <w:r w:rsidR="00D17A94">
        <w:t xml:space="preserve"> </w:t>
      </w:r>
      <w:r w:rsidRPr="008A0A12">
        <w:t>framework,</w:t>
      </w:r>
      <w:r w:rsidR="00D17A94">
        <w:t xml:space="preserve"> </w:t>
      </w:r>
      <w:r w:rsidRPr="008A0A12">
        <w:t>providing</w:t>
      </w:r>
      <w:r w:rsidR="00D17A94">
        <w:t xml:space="preserve"> </w:t>
      </w:r>
      <w:r w:rsidRPr="008A0A12">
        <w:t>assistance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available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services,</w:t>
      </w:r>
      <w:r w:rsidR="00D17A94">
        <w:t xml:space="preserve"> </w:t>
      </w:r>
      <w:r w:rsidRPr="008A0A12">
        <w:t>methodology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standards,</w:t>
      </w:r>
      <w:r w:rsidR="00D17A94">
        <w:t xml:space="preserve"> </w:t>
      </w:r>
      <w:r w:rsidRPr="008A0A12">
        <w:t>training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helping</w:t>
      </w:r>
      <w:r w:rsidR="00D17A94">
        <w:t xml:space="preserve"> </w:t>
      </w:r>
      <w:r w:rsidRPr="008A0A12">
        <w:t>professions,</w:t>
      </w:r>
      <w:r w:rsidR="00D17A94">
        <w:t xml:space="preserve"> </w:t>
      </w:r>
      <w:r w:rsidRPr="008A0A12">
        <w:t>primary</w:t>
      </w:r>
      <w:r w:rsidR="00D17A94">
        <w:t xml:space="preserve"> </w:t>
      </w:r>
      <w:r w:rsidRPr="008A0A12">
        <w:t>prevention,</w:t>
      </w:r>
      <w:r w:rsidR="00D17A94">
        <w:t xml:space="preserve"> </w:t>
      </w:r>
      <w:r w:rsidRPr="008A0A12">
        <w:t>monitoring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research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workplace.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action</w:t>
      </w:r>
      <w:r w:rsidR="00D17A94">
        <w:t xml:space="preserve"> </w:t>
      </w:r>
      <w:r w:rsidRPr="008A0A12">
        <w:t>plan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defines</w:t>
      </w:r>
      <w:r w:rsidR="00D17A94">
        <w:t xml:space="preserve"> </w:t>
      </w:r>
      <w:r w:rsidRPr="008A0A12">
        <w:t>63</w:t>
      </w:r>
      <w:r w:rsidR="00D17A94">
        <w:t xml:space="preserve"> </w:t>
      </w:r>
      <w:r w:rsidRPr="008A0A12">
        <w:t>specific</w:t>
      </w:r>
      <w:r w:rsidR="00D17A94">
        <w:t xml:space="preserve"> </w:t>
      </w:r>
      <w:r w:rsidRPr="008A0A12">
        <w:t>tasks,</w:t>
      </w:r>
      <w:r w:rsidR="00D17A94">
        <w:t xml:space="preserve"> </w:t>
      </w:r>
      <w:r w:rsidRPr="008A0A12">
        <w:t>together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responsible</w:t>
      </w:r>
      <w:r w:rsidR="00D17A94">
        <w:t xml:space="preserve"> </w:t>
      </w:r>
      <w:r w:rsidRPr="008A0A12">
        <w:t>authority,</w:t>
      </w:r>
      <w:r w:rsidR="00D17A94">
        <w:t xml:space="preserve"> </w:t>
      </w:r>
      <w:r w:rsidRPr="008A0A12">
        <w:t>source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financing,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indicators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deadlines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performance.</w:t>
      </w:r>
    </w:p>
    <w:p w:rsidR="00F33762" w:rsidRPr="008A0A12" w:rsidRDefault="00F33762" w:rsidP="00F33762">
      <w:pPr>
        <w:pStyle w:val="SingleTxtG"/>
      </w:pPr>
      <w:r w:rsidRPr="008A0A12">
        <w:t>196.</w:t>
      </w:r>
      <w:r w:rsidRPr="008A0A12">
        <w:tab/>
        <w:t>The</w:t>
      </w:r>
      <w:r w:rsidR="00D17A94">
        <w:t xml:space="preserve"> </w:t>
      </w:r>
      <w:r w:rsidRPr="008A0A12">
        <w:t>project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establishment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Coordination-Methodical</w:t>
      </w:r>
      <w:r w:rsidR="00D17A94">
        <w:t xml:space="preserve"> </w:t>
      </w:r>
      <w:r w:rsidRPr="008A0A12">
        <w:t>Centre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Domestic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CMC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compliance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Article</w:t>
      </w:r>
      <w:r w:rsidR="00D17A94">
        <w:t xml:space="preserve"> </w:t>
      </w:r>
      <w:r w:rsidRPr="008A0A12">
        <w:t>10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Istanbul</w:t>
      </w:r>
      <w:r w:rsidR="00D17A94">
        <w:t xml:space="preserve"> </w:t>
      </w:r>
      <w:r w:rsidRPr="008A0A12">
        <w:t>Convention</w:t>
      </w:r>
      <w:r w:rsidR="00D17A94">
        <w:t xml:space="preserve"> </w:t>
      </w:r>
      <w:r w:rsidRPr="008A0A12">
        <w:t>remains</w:t>
      </w:r>
      <w:r w:rsidR="00D17A94">
        <w:t xml:space="preserve"> </w:t>
      </w:r>
      <w:r w:rsidRPr="008A0A12">
        <w:t>one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key</w:t>
      </w:r>
      <w:r w:rsidR="00D17A94">
        <w:t xml:space="preserve"> </w:t>
      </w:r>
      <w:r w:rsidRPr="008A0A12">
        <w:t>projects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field.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project,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media</w:t>
      </w:r>
      <w:r w:rsidR="00D17A94">
        <w:t xml:space="preserve"> </w:t>
      </w:r>
      <w:r w:rsidRPr="008A0A12">
        <w:t>campaign</w:t>
      </w:r>
      <w:r w:rsidR="00D17A94">
        <w:t xml:space="preserve"> </w:t>
      </w:r>
      <w:r w:rsidRPr="008A0A12">
        <w:t>aimed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raising</w:t>
      </w:r>
      <w:r w:rsidR="00D17A94">
        <w:t xml:space="preserve"> </w:t>
      </w:r>
      <w:r w:rsidRPr="008A0A12">
        <w:t>sensitivity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reducing</w:t>
      </w:r>
      <w:r w:rsidR="00D17A94">
        <w:t xml:space="preserve"> </w:t>
      </w:r>
      <w:r w:rsidRPr="008A0A12">
        <w:t>tolerance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sexual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intimate</w:t>
      </w:r>
      <w:r w:rsidR="00D17A94">
        <w:t xml:space="preserve"> </w:t>
      </w:r>
      <w:r w:rsidRPr="008A0A12">
        <w:t>relationships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launched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April</w:t>
      </w:r>
      <w:r w:rsidR="00D17A94">
        <w:t xml:space="preserve"> </w:t>
      </w:r>
      <w:r w:rsidRPr="008A0A12">
        <w:t>2017.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toll-free</w:t>
      </w:r>
      <w:r w:rsidR="00D17A94">
        <w:t xml:space="preserve"> </w:t>
      </w:r>
      <w:r w:rsidRPr="008A0A12">
        <w:t>24-hour</w:t>
      </w:r>
      <w:r w:rsidR="00D17A94">
        <w:t xml:space="preserve"> </w:t>
      </w:r>
      <w:r w:rsidRPr="008A0A12">
        <w:t>hotline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launched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provide</w:t>
      </w:r>
      <w:r w:rsidR="00D17A94">
        <w:t xml:space="preserve"> </w:t>
      </w:r>
      <w:r w:rsidRPr="008A0A12">
        <w:t>effective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experience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look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help.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data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detailed</w:t>
      </w:r>
      <w:r w:rsidR="00D17A94">
        <w:t xml:space="preserve"> </w:t>
      </w:r>
      <w:r w:rsidRPr="008A0A12">
        <w:t>statistics,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remains</w:t>
      </w:r>
      <w:r w:rsidR="00D17A94">
        <w:t xml:space="preserve"> </w:t>
      </w:r>
      <w:r w:rsidRPr="008A0A12">
        <w:t>anonymous,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collected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monitor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effectiveness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hotline.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average,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600</w:t>
      </w:r>
      <w:r w:rsidR="00D17A94">
        <w:t xml:space="preserve"> </w:t>
      </w:r>
      <w:r w:rsidRPr="008A0A12">
        <w:t>calls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month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hotline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350</w:t>
      </w:r>
      <w:r w:rsidR="00D17A94">
        <w:t xml:space="preserve"> </w:t>
      </w:r>
      <w:r w:rsidRPr="008A0A12">
        <w:t>long-term</w:t>
      </w:r>
      <w:r w:rsidR="00D17A94">
        <w:t xml:space="preserve"> </w:t>
      </w:r>
      <w:r w:rsidRPr="008A0A12">
        <w:t>clients.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addition,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General</w:t>
      </w:r>
      <w:r w:rsidR="00D17A94">
        <w:t xml:space="preserve"> </w:t>
      </w:r>
      <w:r w:rsidRPr="008A0A12">
        <w:t>Prosecutor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Office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established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toll-free</w:t>
      </w:r>
      <w:r w:rsidR="00D17A94">
        <w:t xml:space="preserve"> </w:t>
      </w:r>
      <w:r w:rsidRPr="008A0A12">
        <w:t>hotline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abused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e-mail</w:t>
      </w:r>
      <w:r w:rsidR="00D17A94">
        <w:t xml:space="preserve"> </w:t>
      </w:r>
      <w:r w:rsidRPr="008A0A12">
        <w:t>address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criminal</w:t>
      </w:r>
      <w:r w:rsidR="00D17A94">
        <w:t xml:space="preserve"> </w:t>
      </w:r>
      <w:r w:rsidRPr="008A0A12">
        <w:t>complaints</w:t>
      </w:r>
      <w:r w:rsidR="00D17A94">
        <w:t xml:space="preserve"> </w:t>
      </w:r>
      <w:r w:rsidRPr="008A0A12">
        <w:t>can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sent.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Prosecutor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Offices</w:t>
      </w:r>
      <w:r w:rsidR="00D17A94">
        <w:t xml:space="preserve"> </w:t>
      </w:r>
      <w:r w:rsidRPr="008A0A12">
        <w:t>forwards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complaints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competent</w:t>
      </w:r>
      <w:r w:rsidR="00D17A94">
        <w:t xml:space="preserve"> </w:t>
      </w:r>
      <w:r w:rsidRPr="008A0A12">
        <w:t>police</w:t>
      </w:r>
      <w:r w:rsidR="00D17A94">
        <w:t xml:space="preserve"> </w:t>
      </w:r>
      <w:r w:rsidRPr="008A0A12">
        <w:t>unit.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about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project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</w:t>
      </w:r>
      <w:r w:rsidR="00D17A94">
        <w:t xml:space="preserve"> </w:t>
      </w:r>
      <w:r w:rsidRPr="008A0A12">
        <w:t>83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F33762">
      <w:pPr>
        <w:pStyle w:val="SingleTxtG"/>
      </w:pPr>
      <w:r w:rsidRPr="008A0A12">
        <w:t>197.</w:t>
      </w:r>
      <w:r w:rsidRPr="008A0A12">
        <w:tab/>
        <w:t>The</w:t>
      </w:r>
      <w:r w:rsidR="00D17A94">
        <w:t xml:space="preserve"> </w:t>
      </w:r>
      <w:r w:rsidRPr="008A0A12">
        <w:t>total</w:t>
      </w:r>
      <w:r w:rsidR="00D17A94">
        <w:t xml:space="preserve"> </w:t>
      </w:r>
      <w:r w:rsidRPr="008A0A12">
        <w:t>financial</w:t>
      </w:r>
      <w:r w:rsidR="00D17A94">
        <w:t xml:space="preserve"> </w:t>
      </w:r>
      <w:r w:rsidRPr="008A0A12">
        <w:t>allocation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activities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combating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domestic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2013</w:t>
      </w:r>
      <w:r w:rsidR="00D17A94">
        <w:t xml:space="preserve"> </w:t>
      </w:r>
      <w:r w:rsidRPr="008A0A12">
        <w:t>until</w:t>
      </w:r>
      <w:r w:rsidR="00D17A94">
        <w:t xml:space="preserve"> </w:t>
      </w:r>
      <w:r w:rsidRPr="008A0A12">
        <w:t>2015</w:t>
      </w:r>
      <w:r w:rsidR="00D17A94">
        <w:t xml:space="preserve"> </w:t>
      </w:r>
      <w:r w:rsidRPr="008A0A12">
        <w:t>accounted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€12</w:t>
      </w:r>
      <w:r w:rsidR="00D17A94">
        <w:t xml:space="preserve"> </w:t>
      </w:r>
      <w:r w:rsidRPr="008A0A12">
        <w:t>million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significant</w:t>
      </w:r>
      <w:r w:rsidR="00D17A94">
        <w:t xml:space="preserve"> </w:t>
      </w:r>
      <w:r w:rsidRPr="008A0A12">
        <w:t>contribution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granted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Norwegian</w:t>
      </w:r>
      <w:r w:rsidR="00D17A94">
        <w:t xml:space="preserve"> </w:t>
      </w:r>
      <w:r w:rsidRPr="008A0A12">
        <w:t>Financial</w:t>
      </w:r>
      <w:r w:rsidR="00D17A94">
        <w:t xml:space="preserve"> </w:t>
      </w:r>
      <w:r w:rsidRPr="008A0A12">
        <w:t>Mechanism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amount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€7</w:t>
      </w:r>
      <w:r w:rsidR="00D17A94">
        <w:t xml:space="preserve"> </w:t>
      </w:r>
      <w:r w:rsidRPr="008A0A12">
        <w:t>million</w:t>
      </w:r>
      <w:r w:rsidR="00D17A94">
        <w:t xml:space="preserve"> </w:t>
      </w:r>
      <w:r w:rsidRPr="008A0A12">
        <w:t>Most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funds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Norwegian</w:t>
      </w:r>
      <w:r w:rsidR="00D17A94">
        <w:t xml:space="preserve"> </w:t>
      </w:r>
      <w:r w:rsidRPr="008A0A12">
        <w:t>Financial</w:t>
      </w:r>
      <w:r w:rsidR="00D17A94">
        <w:t xml:space="preserve"> </w:t>
      </w:r>
      <w:r w:rsidRPr="008A0A12">
        <w:t>Mechanism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allocated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services</w:t>
      </w:r>
      <w:r w:rsidR="00D17A94">
        <w:t xml:space="preserve"> </w:t>
      </w:r>
      <w:r w:rsidR="007C38AF">
        <w:t>—</w:t>
      </w:r>
      <w:r w:rsidR="00D17A94">
        <w:t xml:space="preserve"> </w:t>
      </w:r>
      <w:r w:rsidRPr="008A0A12">
        <w:t>consultancy</w:t>
      </w:r>
      <w:r w:rsidR="00D17A94">
        <w:t xml:space="preserve"> </w:t>
      </w:r>
      <w:r w:rsidRPr="008A0A12">
        <w:t>centres,</w:t>
      </w:r>
      <w:r w:rsidR="00D17A94">
        <w:t xml:space="preserve"> </w:t>
      </w:r>
      <w:r w:rsidRPr="008A0A12">
        <w:t>homes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victims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domestic</w:t>
      </w:r>
      <w:r w:rsidR="00D17A94">
        <w:t xml:space="preserve"> </w:t>
      </w:r>
      <w:r w:rsidRPr="008A0A12">
        <w:t>violence.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198.</w:t>
      </w:r>
      <w:r w:rsidRPr="008A0A12">
        <w:tab/>
        <w:t>Two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projects</w:t>
      </w:r>
      <w:r w:rsidR="00D17A94">
        <w:t xml:space="preserve"> </w:t>
      </w:r>
      <w:r w:rsidRPr="008A0A12">
        <w:t>supported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OP</w:t>
      </w:r>
      <w:r w:rsidR="00D17A94">
        <w:t xml:space="preserve"> </w:t>
      </w:r>
      <w:r w:rsidRPr="008A0A12">
        <w:t>Employment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Inclusion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programming</w:t>
      </w:r>
      <w:r w:rsidR="00D17A94">
        <w:t xml:space="preserve"> </w:t>
      </w:r>
      <w:r w:rsidRPr="008A0A12">
        <w:t>period</w:t>
      </w:r>
      <w:r w:rsidR="00D17A94">
        <w:t xml:space="preserve"> </w:t>
      </w:r>
      <w:r w:rsidRPr="008A0A12">
        <w:t>2007-2013</w:t>
      </w:r>
      <w:r w:rsidR="00D17A94">
        <w:t xml:space="preserve"> </w:t>
      </w:r>
      <w:r w:rsidR="007C38AF">
        <w:t>—</w:t>
      </w:r>
      <w:r w:rsidR="00D17A94">
        <w:t xml:space="preserve"> </w:t>
      </w:r>
      <w:r w:rsidRPr="008A0A12">
        <w:t>Prevention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Elimination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(PPEN1)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Elimination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Prevention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(PPEN2)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launched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2014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finished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2015.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projects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mainly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institutional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victims,</w:t>
      </w:r>
      <w:r w:rsidR="00D17A94">
        <w:t xml:space="preserve"> </w:t>
      </w:r>
      <w:r w:rsidRPr="008A0A12">
        <w:t>especially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existing</w:t>
      </w:r>
      <w:r w:rsidR="00D17A94">
        <w:t xml:space="preserve"> </w:t>
      </w:r>
      <w:r w:rsidRPr="008A0A12">
        <w:t>homes,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establish</w:t>
      </w:r>
      <w:r w:rsidR="00D17A94">
        <w:t xml:space="preserve"> </w:t>
      </w:r>
      <w:r w:rsidRPr="008A0A12">
        <w:t>new</w:t>
      </w:r>
      <w:r w:rsidR="00D17A94">
        <w:t xml:space="preserve"> </w:t>
      </w:r>
      <w:r w:rsidRPr="008A0A12">
        <w:t>ones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ensure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availability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self-governing</w:t>
      </w:r>
      <w:r w:rsidR="00D17A94">
        <w:t xml:space="preserve"> </w:t>
      </w:r>
      <w:r w:rsidRPr="008A0A12">
        <w:t>regions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SR.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Norwegian</w:t>
      </w:r>
      <w:r w:rsidR="00D17A94">
        <w:t xml:space="preserve"> </w:t>
      </w:r>
      <w:r w:rsidRPr="008A0A12">
        <w:t>Financial</w:t>
      </w:r>
      <w:r w:rsidR="00D17A94">
        <w:t xml:space="preserve"> </w:t>
      </w:r>
      <w:r w:rsidRPr="008A0A12">
        <w:t>Mechanism</w:t>
      </w:r>
      <w:r w:rsidR="00D17A94">
        <w:t xml:space="preserve"> </w:t>
      </w:r>
      <w:r w:rsidRPr="008A0A12">
        <w:t>contributed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creation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26</w:t>
      </w:r>
      <w:r w:rsidR="00D17A94">
        <w:t xml:space="preserve"> </w:t>
      </w:r>
      <w:r w:rsidRPr="008A0A12">
        <w:t>new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places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safe</w:t>
      </w:r>
      <w:r w:rsidR="00D17A94">
        <w:t xml:space="preserve"> </w:t>
      </w:r>
      <w:r w:rsidRPr="008A0A12">
        <w:t>houses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end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2015.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total</w:t>
      </w:r>
      <w:r w:rsidR="00D17A94">
        <w:t xml:space="preserve"> </w:t>
      </w:r>
      <w:r w:rsidRPr="008A0A12">
        <w:t>number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places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end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2016</w:t>
      </w:r>
      <w:r w:rsidR="00D17A94">
        <w:t xml:space="preserve"> </w:t>
      </w:r>
      <w:r w:rsidRPr="008A0A12">
        <w:t>accounted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179,</w:t>
      </w:r>
      <w:r w:rsidR="00D17A94">
        <w:t xml:space="preserve"> </w:t>
      </w:r>
      <w:r w:rsidRPr="008A0A12">
        <w:t>while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availability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them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ensured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self-governing</w:t>
      </w:r>
      <w:r w:rsidR="00D17A94">
        <w:t xml:space="preserve"> </w:t>
      </w:r>
      <w:r w:rsidRPr="008A0A12">
        <w:t>regions.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84-89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C44A5D">
      <w:pPr>
        <w:pStyle w:val="H23G"/>
      </w:pPr>
      <w:r w:rsidRPr="008A0A12">
        <w:lastRenderedPageBreak/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19</w:t>
      </w:r>
    </w:p>
    <w:p w:rsidR="00F33762" w:rsidRPr="008A0A12" w:rsidRDefault="00F33762" w:rsidP="00F33762">
      <w:pPr>
        <w:pStyle w:val="SingleTxtG"/>
      </w:pPr>
      <w:r w:rsidRPr="008A0A12">
        <w:t>199.</w:t>
      </w:r>
      <w:r w:rsidRPr="008A0A12">
        <w:tab/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strengthening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identification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cases</w:t>
      </w:r>
      <w:r w:rsidR="00D17A94">
        <w:t xml:space="preserve"> </w:t>
      </w:r>
      <w:r w:rsidRPr="008A0A12">
        <w:t>associated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increase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qualification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members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Police</w:t>
      </w:r>
      <w:r w:rsidR="00D17A94">
        <w:t xml:space="preserve"> </w:t>
      </w:r>
      <w:r w:rsidRPr="008A0A12">
        <w:t>Force</w:t>
      </w:r>
      <w:r w:rsidR="00D17A94">
        <w:t xml:space="preserve"> </w:t>
      </w:r>
      <w:r w:rsidRPr="008A0A12">
        <w:t>dealing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detection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investigation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crimes,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issue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</w:t>
      </w:r>
      <w:r w:rsidR="00D17A94">
        <w:t xml:space="preserve"> </w:t>
      </w:r>
      <w:r w:rsidRPr="008A0A12">
        <w:t>was,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July</w:t>
      </w:r>
      <w:r w:rsidR="00D17A94">
        <w:t xml:space="preserve"> </w:t>
      </w:r>
      <w:r w:rsidRPr="008A0A12">
        <w:t>2013,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structure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Unit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Combating</w:t>
      </w:r>
      <w:r w:rsidR="00D17A94">
        <w:t xml:space="preserve"> </w:t>
      </w:r>
      <w:r w:rsidRPr="008A0A12">
        <w:t>Illegal</w:t>
      </w:r>
      <w:r w:rsidR="00D17A94">
        <w:t xml:space="preserve"> </w:t>
      </w:r>
      <w:r w:rsidRPr="008A0A12">
        <w:t>Migration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Border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Alien</w:t>
      </w:r>
      <w:r w:rsidR="00D17A94">
        <w:t xml:space="preserve"> </w:t>
      </w:r>
      <w:r w:rsidRPr="008A0A12">
        <w:t>Police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Police</w:t>
      </w:r>
      <w:r w:rsidR="00D17A94">
        <w:t xml:space="preserve"> </w:t>
      </w:r>
      <w:r w:rsidRPr="008A0A12">
        <w:t>Force</w:t>
      </w:r>
      <w:r w:rsidR="00D17A94">
        <w:t xml:space="preserve"> </w:t>
      </w:r>
      <w:r w:rsidRPr="008A0A12">
        <w:t>Presidium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BAP</w:t>
      </w:r>
      <w:r w:rsidR="00413AEE">
        <w:t>”</w:t>
      </w:r>
      <w:r w:rsidRPr="008A0A12">
        <w:t>).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BAP,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Department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Combating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formed,</w:t>
      </w:r>
      <w:r w:rsidR="00D17A94">
        <w:t xml:space="preserve"> </w:t>
      </w:r>
      <w:r w:rsidRPr="008A0A12">
        <w:t>while</w:t>
      </w:r>
      <w:r w:rsidR="00D17A94">
        <w:t xml:space="preserve"> </w:t>
      </w:r>
      <w:r w:rsidRPr="008A0A12">
        <w:t>specialised</w:t>
      </w:r>
      <w:r w:rsidR="00D17A94">
        <w:t xml:space="preserve"> </w:t>
      </w:r>
      <w:r w:rsidRPr="008A0A12">
        <w:t>departments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investigators</w:t>
      </w:r>
      <w:r w:rsidR="00D17A94">
        <w:t xml:space="preserve"> </w:t>
      </w:r>
      <w:r w:rsidRPr="008A0A12">
        <w:t>qualified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type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crimes</w:t>
      </w:r>
      <w:r w:rsidR="00D17A94">
        <w:t xml:space="preserve"> </w:t>
      </w:r>
      <w:r w:rsidRPr="008A0A12">
        <w:t>deal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investigation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crime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trafficking.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suspicions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committal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crime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thoroughly</w:t>
      </w:r>
      <w:r w:rsidR="00D17A94">
        <w:t xml:space="preserve"> </w:t>
      </w:r>
      <w:r w:rsidRPr="008A0A12">
        <w:t>reviewed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members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Police</w:t>
      </w:r>
      <w:r w:rsidR="00D17A94">
        <w:t xml:space="preserve"> </w:t>
      </w:r>
      <w:r w:rsidRPr="008A0A12">
        <w:t>Force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crime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proved</w:t>
      </w:r>
      <w:r w:rsidR="00D17A94">
        <w:t xml:space="preserve"> </w:t>
      </w:r>
      <w:r w:rsidRPr="008A0A12">
        <w:t>then</w:t>
      </w:r>
      <w:r w:rsidR="00D17A94">
        <w:t xml:space="preserve"> </w:t>
      </w:r>
      <w:r w:rsidRPr="008A0A12">
        <w:t>such</w:t>
      </w:r>
      <w:r w:rsidR="00D17A94">
        <w:t xml:space="preserve"> </w:t>
      </w:r>
      <w:r w:rsidRPr="008A0A12">
        <w:t>suspicions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investigated.</w:t>
      </w:r>
      <w:r w:rsidR="00D17A94">
        <w:t xml:space="preserve"> </w:t>
      </w:r>
      <w:r w:rsidRPr="008A0A12">
        <w:t>Since</w:t>
      </w:r>
      <w:r w:rsidR="00D17A94">
        <w:t xml:space="preserve"> </w:t>
      </w:r>
      <w:r w:rsidRPr="008A0A12">
        <w:t>many</w:t>
      </w:r>
      <w:r w:rsidR="00D17A94">
        <w:t xml:space="preserve"> </w:t>
      </w:r>
      <w:r w:rsidRPr="008A0A12">
        <w:t>cases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victims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detected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investigated</w:t>
      </w:r>
      <w:r w:rsidR="00D17A94">
        <w:t xml:space="preserve"> </w:t>
      </w:r>
      <w:r w:rsidRPr="008A0A12">
        <w:t>abroad,</w:t>
      </w:r>
      <w:r w:rsidR="00D17A94">
        <w:t xml:space="preserve"> </w:t>
      </w:r>
      <w:r w:rsidRPr="008A0A12">
        <w:t>because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victims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exploited</w:t>
      </w:r>
      <w:r w:rsidR="00D17A94">
        <w:t xml:space="preserve"> </w:t>
      </w:r>
      <w:r w:rsidRPr="008A0A12">
        <w:t>abroad,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effective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conduct</w:t>
      </w:r>
      <w:r w:rsidR="00D17A94">
        <w:t xml:space="preserve"> </w:t>
      </w:r>
      <w:r w:rsidRPr="008A0A12">
        <w:t>criminal</w:t>
      </w:r>
      <w:r w:rsidR="00D17A94">
        <w:t xml:space="preserve"> </w:t>
      </w:r>
      <w:r w:rsidRPr="008A0A12">
        <w:t>proceedings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country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exploitation.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police</w:t>
      </w:r>
      <w:r w:rsidR="00D17A94">
        <w:t xml:space="preserve"> </w:t>
      </w:r>
      <w:r w:rsidRPr="008A0A12">
        <w:t>actively</w:t>
      </w:r>
      <w:r w:rsidR="00D17A94">
        <w:t xml:space="preserve"> </w:t>
      </w:r>
      <w:r w:rsidRPr="008A0A12">
        <w:t>participate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investigation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cases.</w:t>
      </w:r>
    </w:p>
    <w:p w:rsidR="00F33762" w:rsidRPr="008A0A12" w:rsidRDefault="00F33762" w:rsidP="00F33762">
      <w:pPr>
        <w:pStyle w:val="SingleTxtG"/>
      </w:pPr>
      <w:r w:rsidRPr="008A0A12">
        <w:t>200.</w:t>
      </w:r>
      <w:r w:rsidRPr="008A0A12">
        <w:tab/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ensure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multi-disciplinary</w:t>
      </w:r>
      <w:r w:rsidR="00D17A94">
        <w:t xml:space="preserve"> </w:t>
      </w:r>
      <w:r w:rsidRPr="008A0A12">
        <w:t>approach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identification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victims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among</w:t>
      </w:r>
      <w:r w:rsidR="00D17A94">
        <w:t xml:space="preserve"> </w:t>
      </w:r>
      <w:r w:rsidRPr="008A0A12">
        <w:t>migrants,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Police</w:t>
      </w:r>
      <w:r w:rsidR="00D17A94">
        <w:t xml:space="preserve"> </w:t>
      </w:r>
      <w:r w:rsidRPr="008A0A12">
        <w:t>Force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conducting,</w:t>
      </w:r>
      <w:r w:rsidR="00D17A94">
        <w:t xml:space="preserve"> </w:t>
      </w:r>
      <w:r w:rsidRPr="008A0A12">
        <w:t>since</w:t>
      </w:r>
      <w:r w:rsidR="00D17A94">
        <w:t xml:space="preserve"> </w:t>
      </w:r>
      <w:r w:rsidRPr="008A0A12">
        <w:t>2012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cooperation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Labour</w:t>
      </w:r>
      <w:r w:rsidR="00D17A94">
        <w:t xml:space="preserve"> </w:t>
      </w:r>
      <w:r w:rsidRPr="008A0A12">
        <w:t>Inspectorate,</w:t>
      </w:r>
      <w:r w:rsidR="00D17A94">
        <w:t xml:space="preserve"> </w:t>
      </w:r>
      <w:r w:rsidRPr="008A0A12">
        <w:t>joint</w:t>
      </w:r>
      <w:r w:rsidR="00D17A94">
        <w:t xml:space="preserve"> </w:t>
      </w:r>
      <w:r w:rsidRPr="008A0A12">
        <w:t>inspections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business</w:t>
      </w:r>
      <w:r w:rsidR="00D17A94">
        <w:t xml:space="preserve"> </w:t>
      </w:r>
      <w:r w:rsidRPr="008A0A12">
        <w:t>entities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Agreement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Joint</w:t>
      </w:r>
      <w:r w:rsidR="00D17A94">
        <w:t xml:space="preserve"> </w:t>
      </w:r>
      <w:r w:rsidRPr="008A0A12">
        <w:t>Inspections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Business</w:t>
      </w:r>
      <w:r w:rsidR="00D17A94">
        <w:t xml:space="preserve"> </w:t>
      </w:r>
      <w:r w:rsidRPr="008A0A12">
        <w:t>Entities.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inspections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detecting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cases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illegal</w:t>
      </w:r>
      <w:r w:rsidR="00D17A94">
        <w:t xml:space="preserve"> </w:t>
      </w:r>
      <w:r w:rsidRPr="008A0A12">
        <w:t>employment,</w:t>
      </w:r>
      <w:r w:rsidR="00D17A94">
        <w:t xml:space="preserve"> </w:t>
      </w:r>
      <w:r w:rsidRPr="008A0A12">
        <w:t>illegal</w:t>
      </w:r>
      <w:r w:rsidR="00D17A94">
        <w:t xml:space="preserve"> </w:t>
      </w:r>
      <w:r w:rsidRPr="008A0A12">
        <w:t>stay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third</w:t>
      </w:r>
      <w:r w:rsidR="00D17A94">
        <w:t xml:space="preserve"> </w:t>
      </w:r>
      <w:r w:rsidRPr="008A0A12">
        <w:t>country</w:t>
      </w:r>
      <w:r w:rsidR="00D17A94">
        <w:t xml:space="preserve"> </w:t>
      </w:r>
      <w:r w:rsidRPr="008A0A12">
        <w:t>nationals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victims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201.</w:t>
      </w:r>
      <w:r w:rsidRPr="008A0A12">
        <w:tab/>
        <w:t>The</w:t>
      </w:r>
      <w:r w:rsidR="00D17A94">
        <w:t xml:space="preserve"> </w:t>
      </w:r>
      <w:r w:rsidRPr="008A0A12">
        <w:t>BAP</w:t>
      </w:r>
      <w:r w:rsidR="00D17A94">
        <w:t xml:space="preserve"> </w:t>
      </w:r>
      <w:r w:rsidRPr="008A0A12">
        <w:t>police</w:t>
      </w:r>
      <w:r w:rsidR="00D17A94">
        <w:t xml:space="preserve"> </w:t>
      </w:r>
      <w:r w:rsidRPr="008A0A12">
        <w:t>officers,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profiling</w:t>
      </w:r>
      <w:r w:rsidR="00D17A94">
        <w:t xml:space="preserve"> </w:t>
      </w:r>
      <w:r w:rsidRPr="008A0A12">
        <w:t>during</w:t>
      </w:r>
      <w:r w:rsidR="00D17A94">
        <w:t xml:space="preserve"> </w:t>
      </w:r>
      <w:r w:rsidRPr="008A0A12">
        <w:t>border</w:t>
      </w:r>
      <w:r w:rsidR="00D17A94">
        <w:t xml:space="preserve"> </w:t>
      </w:r>
      <w:r w:rsidRPr="008A0A12">
        <w:t>control,</w:t>
      </w:r>
      <w:r w:rsidR="00D17A94">
        <w:t xml:space="preserve"> </w:t>
      </w:r>
      <w:r w:rsidRPr="008A0A12">
        <w:t>try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identify</w:t>
      </w:r>
      <w:r w:rsidR="00D17A94">
        <w:t xml:space="preserve"> </w:t>
      </w:r>
      <w:r w:rsidRPr="008A0A12">
        <w:t>possible</w:t>
      </w:r>
      <w:r w:rsidR="00D17A94">
        <w:t xml:space="preserve"> </w:t>
      </w:r>
      <w:r w:rsidRPr="008A0A12">
        <w:t>victims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trafficking,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identify</w:t>
      </w:r>
      <w:r w:rsidR="00D17A94">
        <w:t xml:space="preserve"> </w:t>
      </w:r>
      <w:r w:rsidRPr="008A0A12">
        <w:t>perpetrators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have</w:t>
      </w:r>
      <w:r w:rsidR="00D17A94">
        <w:t xml:space="preserve"> </w:t>
      </w:r>
      <w:r w:rsidRPr="008A0A12">
        <w:t>committed</w:t>
      </w:r>
      <w:r w:rsidR="00D17A94">
        <w:t xml:space="preserve"> </w:t>
      </w:r>
      <w:r w:rsidRPr="008A0A12">
        <w:t>crimes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identify</w:t>
      </w:r>
      <w:r w:rsidR="00D17A94">
        <w:t xml:space="preserve"> </w:t>
      </w:r>
      <w:r w:rsidRPr="008A0A12">
        <w:t>vulnerable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need</w:t>
      </w:r>
      <w:r w:rsidR="00D17A94">
        <w:t xml:space="preserve"> </w:t>
      </w:r>
      <w:r w:rsidRPr="008A0A12">
        <w:t>international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among</w:t>
      </w:r>
      <w:r w:rsidR="00D17A94">
        <w:t xml:space="preserve"> </w:t>
      </w:r>
      <w:r w:rsidRPr="008A0A12">
        <w:t>possible</w:t>
      </w:r>
      <w:r w:rsidR="00D17A94">
        <w:t xml:space="preserve"> </w:t>
      </w:r>
      <w:r w:rsidRPr="008A0A12">
        <w:t>victims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trafficking.</w:t>
      </w:r>
    </w:p>
    <w:p w:rsidR="00F33762" w:rsidRPr="008A0A12" w:rsidRDefault="00F33762" w:rsidP="00F33762">
      <w:pPr>
        <w:pStyle w:val="SingleTxtG"/>
      </w:pPr>
      <w:r w:rsidRPr="008A0A12">
        <w:t>202.</w:t>
      </w:r>
      <w:r w:rsidRPr="008A0A12">
        <w:tab/>
        <w:t>The</w:t>
      </w:r>
      <w:r w:rsidR="00D17A94">
        <w:t xml:space="preserve"> </w:t>
      </w:r>
      <w:r w:rsidRPr="008A0A12">
        <w:t>Migration</w:t>
      </w:r>
      <w:r w:rsidR="00D17A94">
        <w:t xml:space="preserve"> </w:t>
      </w:r>
      <w:r w:rsidRPr="008A0A12">
        <w:t>Office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asylum</w:t>
      </w:r>
      <w:r w:rsidR="00D17A94">
        <w:t xml:space="preserve"> </w:t>
      </w:r>
      <w:r w:rsidRPr="008A0A12">
        <w:t>procedure,</w:t>
      </w:r>
      <w:r w:rsidR="00D17A94">
        <w:t xml:space="preserve"> </w:t>
      </w:r>
      <w:r w:rsidRPr="008A0A12">
        <w:t>carefully</w:t>
      </w:r>
      <w:r w:rsidR="00D17A94">
        <w:t xml:space="preserve"> </w:t>
      </w:r>
      <w:r w:rsidRPr="008A0A12">
        <w:t>examines</w:t>
      </w:r>
      <w:r w:rsidR="00D17A94">
        <w:t xml:space="preserve"> </w:t>
      </w:r>
      <w:r w:rsidRPr="008A0A12">
        <w:t>whether</w:t>
      </w:r>
      <w:r w:rsidR="00D17A94">
        <w:t xml:space="preserve"> </w:t>
      </w:r>
      <w:r w:rsidRPr="008A0A12">
        <w:t>asylum</w:t>
      </w:r>
      <w:r w:rsidR="00D17A94">
        <w:t xml:space="preserve"> </w:t>
      </w:r>
      <w:r w:rsidRPr="008A0A12">
        <w:t>seeker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vulnerable</w:t>
      </w:r>
      <w:r w:rsidR="00D17A94">
        <w:t xml:space="preserve"> </w:t>
      </w:r>
      <w:r w:rsidRPr="008A0A12">
        <w:t>person.</w:t>
      </w:r>
      <w:r w:rsidR="00D17A94">
        <w:t xml:space="preserve"> </w:t>
      </w:r>
      <w:r w:rsidRPr="008A0A12">
        <w:t>Amendment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Asylum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2015</w:t>
      </w:r>
      <w:r w:rsidR="00D17A94">
        <w:t xml:space="preserve"> </w:t>
      </w:r>
      <w:r w:rsidRPr="008A0A12">
        <w:t>defined</w:t>
      </w:r>
      <w:r w:rsidR="00D17A94">
        <w:t xml:space="preserve"> </w:t>
      </w:r>
      <w:r w:rsidRPr="008A0A12">
        <w:t>vulnerable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minors,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disabilities,</w:t>
      </w:r>
      <w:r w:rsidR="00D17A94">
        <w:t xml:space="preserve"> </w:t>
      </w:r>
      <w:r w:rsidRPr="008A0A12">
        <w:t>elderly</w:t>
      </w:r>
      <w:r w:rsidR="00D17A94">
        <w:t xml:space="preserve"> </w:t>
      </w:r>
      <w:r w:rsidRPr="008A0A12">
        <w:t>persons,</w:t>
      </w:r>
      <w:r w:rsidR="00D17A94">
        <w:t xml:space="preserve"> </w:t>
      </w:r>
      <w:r w:rsidRPr="008A0A12">
        <w:t>pregnant</w:t>
      </w:r>
      <w:r w:rsidR="00D17A94">
        <w:t xml:space="preserve"> </w:t>
      </w:r>
      <w:r w:rsidRPr="008A0A12">
        <w:t>women,</w:t>
      </w:r>
      <w:r w:rsidR="00D17A94">
        <w:t xml:space="preserve"> </w:t>
      </w:r>
      <w:r w:rsidRPr="008A0A12">
        <w:t>single</w:t>
      </w:r>
      <w:r w:rsidR="00D17A94">
        <w:t xml:space="preserve"> </w:t>
      </w:r>
      <w:r w:rsidRPr="008A0A12">
        <w:t>parents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minors,</w:t>
      </w:r>
      <w:r w:rsidR="00D17A94">
        <w:t xml:space="preserve"> </w:t>
      </w:r>
      <w:r w:rsidRPr="008A0A12">
        <w:t>victims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trafficking,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serious</w:t>
      </w:r>
      <w:r w:rsidR="00D17A94">
        <w:t xml:space="preserve"> </w:t>
      </w:r>
      <w:r w:rsidRPr="008A0A12">
        <w:t>illness,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mental</w:t>
      </w:r>
      <w:r w:rsidR="00D17A94">
        <w:t xml:space="preserve"> </w:t>
      </w:r>
      <w:r w:rsidRPr="008A0A12">
        <w:t>disorders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person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have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subjected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torture,</w:t>
      </w:r>
      <w:r w:rsidR="00D17A94">
        <w:t xml:space="preserve"> </w:t>
      </w:r>
      <w:r w:rsidRPr="008A0A12">
        <w:t>rape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serious</w:t>
      </w:r>
      <w:r w:rsidR="00D17A94">
        <w:t xml:space="preserve"> </w:t>
      </w:r>
      <w:r w:rsidRPr="008A0A12">
        <w:t>forms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psychological</w:t>
      </w:r>
      <w:r w:rsidR="00D17A94">
        <w:t xml:space="preserve"> </w:t>
      </w:r>
      <w:r w:rsidRPr="008A0A12">
        <w:t>violence,</w:t>
      </w:r>
      <w:r w:rsidR="00D17A94">
        <w:t xml:space="preserve"> </w:t>
      </w:r>
      <w:r w:rsidRPr="008A0A12">
        <w:t>physical</w:t>
      </w:r>
      <w:r w:rsidR="00D17A94">
        <w:t xml:space="preserve"> </w:t>
      </w:r>
      <w:r w:rsidRPr="008A0A12">
        <w:t>violence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sexual</w:t>
      </w:r>
      <w:r w:rsidR="00D17A94">
        <w:t xml:space="preserve"> </w:t>
      </w:r>
      <w:r w:rsidRPr="008A0A12">
        <w:t>violence.</w:t>
      </w:r>
      <w:r w:rsidR="00D17A94">
        <w:t xml:space="preserve"> </w:t>
      </w:r>
      <w:r w:rsidRPr="008A0A12">
        <w:t>If,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individual</w:t>
      </w:r>
      <w:r w:rsidR="00D17A94">
        <w:t xml:space="preserve"> </w:t>
      </w:r>
      <w:r w:rsidRPr="008A0A12">
        <w:t>assessment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vulnerable</w:t>
      </w:r>
      <w:r w:rsidR="00D17A94">
        <w:t xml:space="preserve"> </w:t>
      </w:r>
      <w:r w:rsidRPr="008A0A12">
        <w:t>persons,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identifies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needs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persons.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will</w:t>
      </w:r>
      <w:r w:rsidR="00D17A94">
        <w:t xml:space="preserve"> </w:t>
      </w:r>
      <w:r w:rsidRPr="008A0A12">
        <w:t>take</w:t>
      </w:r>
      <w:r w:rsidR="00D17A94">
        <w:t xml:space="preserve"> </w:t>
      </w:r>
      <w:r w:rsidRPr="008A0A12">
        <w:t>them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account</w:t>
      </w:r>
      <w:r w:rsidR="00D17A94">
        <w:t xml:space="preserve"> </w:t>
      </w:r>
      <w:r w:rsidRPr="008A0A12">
        <w:t>when</w:t>
      </w:r>
      <w:r w:rsidR="00D17A94">
        <w:t xml:space="preserve"> </w:t>
      </w:r>
      <w:r w:rsidRPr="008A0A12">
        <w:t>creating</w:t>
      </w:r>
      <w:r w:rsidR="00D17A94">
        <w:t xml:space="preserve"> </w:t>
      </w:r>
      <w:r w:rsidRPr="008A0A12">
        <w:t>suitable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accommodation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when</w:t>
      </w:r>
      <w:r w:rsidR="00D17A94">
        <w:t xml:space="preserve"> </w:t>
      </w:r>
      <w:r w:rsidRPr="008A0A12">
        <w:t>taking</w:t>
      </w:r>
      <w:r w:rsidR="00D17A94">
        <w:t xml:space="preserve"> </w:t>
      </w:r>
      <w:r w:rsidRPr="008A0A12">
        <w:t>care</w:t>
      </w:r>
      <w:r w:rsidR="00D17A94">
        <w:t xml:space="preserve"> </w:t>
      </w:r>
      <w:r w:rsidRPr="008A0A12">
        <w:t>about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persons.</w:t>
      </w:r>
      <w:r w:rsidR="00D17A94">
        <w:t xml:space="preserve"> </w:t>
      </w:r>
      <w:r w:rsidRPr="008A0A12">
        <w:t>Suitable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mean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adoption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avoid</w:t>
      </w:r>
      <w:r w:rsidR="00D17A94">
        <w:t xml:space="preserve"> </w:t>
      </w:r>
      <w:r w:rsidRPr="008A0A12">
        <w:t>attacks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violence,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well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provision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victims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203.</w:t>
      </w:r>
      <w:r w:rsidRPr="008A0A12">
        <w:tab/>
        <w:t>Since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beginning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effective</w:t>
      </w:r>
      <w:r w:rsidR="00D17A94">
        <w:t xml:space="preserve"> </w:t>
      </w:r>
      <w:r w:rsidRPr="008A0A12">
        <w:t>collection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data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potential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identified</w:t>
      </w:r>
      <w:r w:rsidR="00D17A94">
        <w:t xml:space="preserve"> </w:t>
      </w:r>
      <w:r w:rsidRPr="008A0A12">
        <w:t>victims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</w:t>
      </w:r>
      <w:r w:rsidR="00D17A94">
        <w:t xml:space="preserve"> </w:t>
      </w:r>
      <w:r w:rsidR="007C38AF">
        <w:t>—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abroad</w:t>
      </w:r>
      <w:r w:rsidR="00D17A94">
        <w:t xml:space="preserve"> </w:t>
      </w:r>
      <w:r w:rsidR="007C38AF">
        <w:t>—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ensured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cooperation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MFEA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embassies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abroad.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particularly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reference</w:t>
      </w:r>
      <w:r w:rsidR="00D17A94">
        <w:t xml:space="preserve"> </w:t>
      </w:r>
      <w:r w:rsidRPr="008A0A12">
        <w:t>mechanism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destination</w:t>
      </w:r>
      <w:r w:rsidR="00D17A94">
        <w:t xml:space="preserve"> </w:t>
      </w:r>
      <w:r w:rsidRPr="008A0A12">
        <w:t>country,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whom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suspicion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</w:t>
      </w:r>
      <w:r w:rsidR="00D17A94">
        <w:t xml:space="preserve"> </w:t>
      </w:r>
      <w:r w:rsidRPr="008A0A12">
        <w:t>crime,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annual</w:t>
      </w:r>
      <w:r w:rsidR="00D17A94">
        <w:t xml:space="preserve"> </w:t>
      </w:r>
      <w:r w:rsidRPr="008A0A12">
        <w:t>statistical</w:t>
      </w:r>
      <w:r w:rsidR="00D17A94">
        <w:t xml:space="preserve"> </w:t>
      </w:r>
      <w:r w:rsidRPr="008A0A12">
        <w:t>data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whom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staff</w:t>
      </w:r>
      <w:r w:rsidR="00D17A94">
        <w:t xml:space="preserve"> </w:t>
      </w:r>
      <w:r w:rsidRPr="008A0A12">
        <w:t>decided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they</w:t>
      </w:r>
      <w:r w:rsidR="00D17A94">
        <w:t xml:space="preserve"> </w:t>
      </w:r>
      <w:r w:rsidRPr="008A0A12">
        <w:t>had</w:t>
      </w:r>
      <w:r w:rsidR="00D17A94">
        <w:t xml:space="preserve"> </w:t>
      </w:r>
      <w:r w:rsidRPr="008A0A12">
        <w:t>become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could</w:t>
      </w:r>
      <w:r w:rsidR="00D17A94">
        <w:t xml:space="preserve"> </w:t>
      </w:r>
      <w:r w:rsidRPr="008A0A12">
        <w:t>become</w:t>
      </w:r>
      <w:r w:rsidR="00D17A94">
        <w:t xml:space="preserve"> </w:t>
      </w:r>
      <w:r w:rsidRPr="008A0A12">
        <w:t>victims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Centre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Combating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Crime</w:t>
      </w:r>
      <w:r w:rsidR="00D17A94">
        <w:t xml:space="preserve"> </w:t>
      </w:r>
      <w:r w:rsidRPr="008A0A12">
        <w:t>Prevention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IC</w:t>
      </w:r>
      <w:r w:rsidR="00D17A94">
        <w:t xml:space="preserve"> </w:t>
      </w:r>
      <w:r w:rsidRPr="008A0A12">
        <w:t>MI</w:t>
      </w:r>
      <w:r w:rsidR="00D17A94">
        <w:t xml:space="preserve"> </w:t>
      </w:r>
      <w:r w:rsidRPr="008A0A12">
        <w:t>SR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is,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administrator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Program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Protecting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Victims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Trafficking,</w:t>
      </w:r>
      <w:r w:rsidR="00D17A94">
        <w:t xml:space="preserve"> </w:t>
      </w:r>
      <w:r w:rsidRPr="008A0A12">
        <w:t>informed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potential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identified</w:t>
      </w:r>
      <w:r w:rsidR="00D17A94">
        <w:t xml:space="preserve"> </w:t>
      </w:r>
      <w:r w:rsidRPr="008A0A12">
        <w:t>victims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individual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reference</w:t>
      </w:r>
      <w:r w:rsidR="00D17A94">
        <w:t xml:space="preserve"> </w:t>
      </w:r>
      <w:r w:rsidRPr="008A0A12">
        <w:t>mechanisms</w:t>
      </w:r>
      <w:r w:rsidR="00D17A94">
        <w:t xml:space="preserve"> </w:t>
      </w:r>
      <w:r w:rsidRPr="008A0A12">
        <w:t>abroad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cooperation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service</w:t>
      </w:r>
      <w:r w:rsidR="00D17A94">
        <w:t xml:space="preserve"> </w:t>
      </w:r>
      <w:r w:rsidRPr="008A0A12">
        <w:t>providers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programme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assisted</w:t>
      </w:r>
      <w:r w:rsidR="00D17A94">
        <w:t xml:space="preserve"> </w:t>
      </w:r>
      <w:r w:rsidRPr="008A0A12">
        <w:t>voluntary</w:t>
      </w:r>
      <w:r w:rsidR="00D17A94">
        <w:t xml:space="preserve"> </w:t>
      </w:r>
      <w:r w:rsidRPr="008A0A12">
        <w:t>return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intermediated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victims.</w:t>
      </w:r>
      <w:r w:rsidR="00D17A94">
        <w:t xml:space="preserve"> </w:t>
      </w:r>
      <w:r w:rsidRPr="008A0A12">
        <w:t>38</w:t>
      </w:r>
      <w:r w:rsidR="00D17A94">
        <w:t xml:space="preserve"> </w:t>
      </w:r>
      <w:r w:rsidRPr="008A0A12">
        <w:t>employees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ministry</w:t>
      </w:r>
      <w:r w:rsidR="00D17A94">
        <w:t xml:space="preserve"> </w:t>
      </w:r>
      <w:r w:rsidRPr="008A0A12">
        <w:t>participated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training</w:t>
      </w:r>
      <w:r w:rsidR="00D17A94">
        <w:t xml:space="preserve"> </w:t>
      </w:r>
      <w:r w:rsidRPr="008A0A12">
        <w:t>courses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2016.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objective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training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inform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participants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issue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trafficking,</w:t>
      </w:r>
      <w:r w:rsidR="00D17A94">
        <w:t xml:space="preserve"> </w:t>
      </w:r>
      <w:r w:rsidRPr="008A0A12">
        <w:t>primarily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specific</w:t>
      </w:r>
      <w:r w:rsidR="00D17A94">
        <w:t xml:space="preserve"> </w:t>
      </w:r>
      <w:r w:rsidRPr="008A0A12">
        <w:t>procedures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provision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assistance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victims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trafficking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cooperation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IC</w:t>
      </w:r>
      <w:r w:rsidR="00D17A94">
        <w:t xml:space="preserve"> </w:t>
      </w:r>
      <w:r w:rsidRPr="008A0A12">
        <w:t>MI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IOM.</w:t>
      </w:r>
    </w:p>
    <w:p w:rsidR="00F33762" w:rsidRPr="008A0A12" w:rsidRDefault="00F33762" w:rsidP="00F33762">
      <w:pPr>
        <w:pStyle w:val="SingleTxtG"/>
      </w:pPr>
      <w:r w:rsidRPr="008A0A12">
        <w:lastRenderedPageBreak/>
        <w:t>204.</w:t>
      </w:r>
      <w:r w:rsidRPr="008A0A12">
        <w:tab/>
        <w:t>The</w:t>
      </w:r>
      <w:r w:rsidR="00D17A94">
        <w:t xml:space="preserve"> </w:t>
      </w:r>
      <w:r w:rsidRPr="008A0A12">
        <w:t>fulfilment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recommendations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education,</w:t>
      </w:r>
      <w:r w:rsidR="00D17A94">
        <w:t xml:space="preserve"> </w:t>
      </w:r>
      <w:r w:rsidRPr="008A0A12">
        <w:t>cooperation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preventive</w:t>
      </w:r>
      <w:r w:rsidR="00D17A94">
        <w:t xml:space="preserve"> </w:t>
      </w:r>
      <w:r w:rsidRPr="008A0A12">
        <w:t>measure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ensured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2012-2016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results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90-124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C44A5D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20</w:t>
      </w:r>
    </w:p>
    <w:p w:rsidR="00F33762" w:rsidRPr="008A0A12" w:rsidRDefault="00F33762" w:rsidP="00F33762">
      <w:pPr>
        <w:pStyle w:val="SingleTxtG"/>
      </w:pPr>
      <w:r w:rsidRPr="008A0A12">
        <w:t>205.</w:t>
      </w:r>
      <w:r w:rsidRPr="008A0A12">
        <w:tab/>
        <w:t>The</w:t>
      </w:r>
      <w:r w:rsidR="00D17A94">
        <w:t xml:space="preserve"> </w:t>
      </w:r>
      <w:r w:rsidRPr="008A0A12">
        <w:t>MLSAF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does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agree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opinion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="00413AEE">
        <w:t>“</w:t>
      </w:r>
      <w:r w:rsidRPr="008A0A12">
        <w:t>a</w:t>
      </w:r>
      <w:r w:rsidR="00D17A94">
        <w:t xml:space="preserve"> </w:t>
      </w:r>
      <w:r w:rsidRPr="008A0A12">
        <w:t>significant</w:t>
      </w:r>
      <w:r w:rsidR="00D17A94">
        <w:t xml:space="preserve"> </w:t>
      </w:r>
      <w:r w:rsidRPr="008A0A12">
        <w:t>part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population</w:t>
      </w:r>
      <w:r w:rsidR="00D17A94">
        <w:t xml:space="preserve"> </w:t>
      </w:r>
      <w:r w:rsidRPr="008A0A12">
        <w:t>still</w:t>
      </w:r>
      <w:r w:rsidR="00D17A94">
        <w:t xml:space="preserve"> </w:t>
      </w:r>
      <w:r w:rsidRPr="008A0A12">
        <w:t>lives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poverty</w:t>
      </w:r>
      <w:r w:rsidR="00D17A94">
        <w:t xml:space="preserve"> </w:t>
      </w:r>
      <w:r w:rsidRPr="008A0A12">
        <w:t>line</w:t>
      </w:r>
      <w:r w:rsidR="00413AEE">
        <w:t>”</w:t>
      </w:r>
      <w:r w:rsidRPr="008A0A12">
        <w:t>,</w:t>
      </w:r>
      <w:r w:rsidR="00D17A94">
        <w:t xml:space="preserve"> </w:t>
      </w:r>
      <w:r w:rsidRPr="008A0A12">
        <w:t>since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official</w:t>
      </w:r>
      <w:r w:rsidR="00D17A94">
        <w:t xml:space="preserve"> </w:t>
      </w:r>
      <w:r w:rsidRPr="008A0A12">
        <w:t>data.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poverty</w:t>
      </w:r>
      <w:r w:rsidR="00D17A94">
        <w:t xml:space="preserve"> </w:t>
      </w:r>
      <w:r w:rsidRPr="008A0A12">
        <w:t>line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calculated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data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statistical</w:t>
      </w:r>
      <w:r w:rsidR="00D17A94">
        <w:t xml:space="preserve"> </w:t>
      </w:r>
      <w:r w:rsidRPr="008A0A12">
        <w:t>survey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income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living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EU</w:t>
      </w:r>
      <w:r w:rsidR="00D17A94">
        <w:t xml:space="preserve"> </w:t>
      </w:r>
      <w:r w:rsidRPr="008A0A12">
        <w:t>SILC</w:t>
      </w:r>
      <w:r w:rsidR="00D17A94">
        <w:t xml:space="preserve"> </w:t>
      </w:r>
      <w:r w:rsidRPr="008A0A12">
        <w:t>(EU</w:t>
      </w:r>
      <w:r w:rsidR="00D17A94">
        <w:t xml:space="preserve"> </w:t>
      </w:r>
      <w:r w:rsidRPr="008A0A12">
        <w:t>Statistics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Income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Living</w:t>
      </w:r>
      <w:r w:rsidR="00D17A94">
        <w:t xml:space="preserve"> </w:t>
      </w:r>
      <w:r w:rsidRPr="008A0A12">
        <w:t>Conditions)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income</w:t>
      </w:r>
      <w:r w:rsidR="00D17A94">
        <w:t xml:space="preserve"> </w:t>
      </w:r>
      <w:r w:rsidRPr="008A0A12">
        <w:t>classification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households.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no</w:t>
      </w:r>
      <w:r w:rsidR="00D17A94">
        <w:t xml:space="preserve"> </w:t>
      </w:r>
      <w:r w:rsidRPr="008A0A12">
        <w:t>specific</w:t>
      </w:r>
      <w:r w:rsidR="00D17A94">
        <w:t xml:space="preserve"> </w:t>
      </w:r>
      <w:r w:rsidRPr="008A0A12">
        <w:t>monitoring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poverty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risk-of-poverty</w:t>
      </w:r>
      <w:r w:rsidR="00D17A94">
        <w:t xml:space="preserve"> </w:t>
      </w:r>
      <w:r w:rsidRPr="008A0A12">
        <w:t>rate,</w:t>
      </w:r>
      <w:r w:rsidR="00D17A94">
        <w:t xml:space="preserve"> </w:t>
      </w:r>
      <w:r w:rsidRPr="008A0A12">
        <w:t>i.e.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share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population</w:t>
      </w:r>
      <w:r w:rsidR="00D17A94">
        <w:t xml:space="preserve"> </w:t>
      </w:r>
      <w:r w:rsidRPr="008A0A12">
        <w:t>below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poverty</w:t>
      </w:r>
      <w:r w:rsidR="00D17A94">
        <w:t xml:space="preserve"> </w:t>
      </w:r>
      <w:r w:rsidRPr="008A0A12">
        <w:t>line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specific</w:t>
      </w:r>
      <w:r w:rsidR="00D17A94">
        <w:t xml:space="preserve"> </w:t>
      </w:r>
      <w:r w:rsidRPr="008A0A12">
        <w:t>groups,</w:t>
      </w:r>
      <w:r w:rsidR="00D17A94">
        <w:t xml:space="preserve"> </w:t>
      </w:r>
      <w:r w:rsidRPr="008A0A12">
        <w:t>namely</w:t>
      </w:r>
      <w:r w:rsidR="00D17A94">
        <w:t xml:space="preserve"> </w:t>
      </w:r>
      <w:r w:rsidRPr="008A0A12">
        <w:t>marginalised</w:t>
      </w:r>
      <w:r w:rsidR="00D17A94">
        <w:t xml:space="preserve"> </w:t>
      </w:r>
      <w:r w:rsidRPr="008A0A12">
        <w:t>groups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population,</w:t>
      </w:r>
      <w:r w:rsidR="00D17A94">
        <w:t xml:space="preserve"> </w:t>
      </w:r>
      <w:r w:rsidRPr="008A0A12">
        <w:t>but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whole</w:t>
      </w:r>
      <w:r w:rsidR="00D17A94">
        <w:t xml:space="preserve"> </w:t>
      </w:r>
      <w:r w:rsidRPr="008A0A12">
        <w:t>population.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defined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taken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decrease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risk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poverty,</w:t>
      </w:r>
      <w:r w:rsidR="00D17A94">
        <w:t xml:space="preserve"> </w:t>
      </w:r>
      <w:r w:rsidRPr="008A0A12">
        <w:t>i.e.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income</w:t>
      </w:r>
      <w:r w:rsidR="00D17A94">
        <w:t xml:space="preserve"> </w:t>
      </w:r>
      <w:r w:rsidRPr="008A0A12">
        <w:t>level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population,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civic</w:t>
      </w:r>
      <w:r w:rsidR="00D17A94">
        <w:t xml:space="preserve"> </w:t>
      </w:r>
      <w:r w:rsidRPr="008A0A12">
        <w:t>principle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groups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population.</w:t>
      </w:r>
      <w:r w:rsidR="00D17A94">
        <w:t xml:space="preserve"> </w:t>
      </w:r>
      <w:r w:rsidRPr="008A0A12">
        <w:t>Approaches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reduction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risk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poverty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multi-dimensional</w:t>
      </w:r>
      <w:r w:rsidR="00D17A94">
        <w:t xml:space="preserve"> </w:t>
      </w:r>
      <w:r w:rsidRPr="008A0A12">
        <w:t>nature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implemented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wide</w:t>
      </w:r>
      <w:r w:rsidR="00D17A94">
        <w:t xml:space="preserve"> </w:t>
      </w:r>
      <w:r w:rsidRPr="008A0A12">
        <w:t>spectrum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measures,</w:t>
      </w:r>
      <w:r w:rsidR="00D17A94">
        <w:t xml:space="preserve"> </w:t>
      </w:r>
      <w:r w:rsidRPr="008A0A12">
        <w:t>namely</w:t>
      </w:r>
      <w:r w:rsidR="00D17A94">
        <w:t xml:space="preserve"> </w:t>
      </w:r>
      <w:r w:rsidRPr="008A0A12">
        <w:t>providing</w:t>
      </w:r>
      <w:r w:rsidR="00D17A94">
        <w:t xml:space="preserve"> </w:t>
      </w:r>
      <w:r w:rsidRPr="008A0A12">
        <w:t>direct</w:t>
      </w:r>
      <w:r w:rsidR="00D17A94">
        <w:t xml:space="preserve"> </w:t>
      </w:r>
      <w:r w:rsidRPr="008A0A12">
        <w:t>financial</w:t>
      </w:r>
      <w:r w:rsidR="00D17A94">
        <w:t xml:space="preserve"> </w:t>
      </w:r>
      <w:r w:rsidRPr="008A0A12">
        <w:t>transfers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increase</w:t>
      </w:r>
      <w:r w:rsidR="00D17A94">
        <w:t xml:space="preserve"> </w:t>
      </w:r>
      <w:r w:rsidRPr="008A0A12">
        <w:t>income,</w:t>
      </w:r>
      <w:r w:rsidR="00D17A94">
        <w:t xml:space="preserve"> </w:t>
      </w:r>
      <w:r w:rsidRPr="008A0A12">
        <w:t>reduce</w:t>
      </w:r>
      <w:r w:rsidR="00D17A94">
        <w:t xml:space="preserve"> </w:t>
      </w:r>
      <w:r w:rsidRPr="008A0A12">
        <w:t>expenses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direct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active</w:t>
      </w:r>
      <w:r w:rsidR="00D17A94">
        <w:t xml:space="preserve"> </w:t>
      </w:r>
      <w:r w:rsidRPr="008A0A12">
        <w:t>inclusion,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access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employment,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participation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life.</w:t>
      </w:r>
    </w:p>
    <w:p w:rsidR="00F33762" w:rsidRPr="008A0A12" w:rsidRDefault="00F33762" w:rsidP="00F33762">
      <w:pPr>
        <w:pStyle w:val="SingleTxtG"/>
      </w:pPr>
      <w:r w:rsidRPr="008A0A12">
        <w:t>206.</w:t>
      </w:r>
      <w:r w:rsidRPr="008A0A12">
        <w:tab/>
        <w:t>The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Framework</w:t>
      </w:r>
      <w:r w:rsidR="00D17A94">
        <w:t xml:space="preserve"> </w:t>
      </w:r>
      <w:r w:rsidRPr="008A0A12">
        <w:t>Strategy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Security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Fight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Poverty,</w:t>
      </w:r>
      <w:r w:rsidR="00D17A94">
        <w:t xml:space="preserve"> </w:t>
      </w:r>
      <w:r w:rsidRPr="008A0A12">
        <w:t>adopted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2015,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important</w:t>
      </w:r>
      <w:r w:rsidR="00D17A94">
        <w:t xml:space="preserve"> </w:t>
      </w:r>
      <w:r w:rsidRPr="008A0A12">
        <w:t>framework</w:t>
      </w:r>
      <w:r w:rsidR="00D17A94">
        <w:t xml:space="preserve"> </w:t>
      </w:r>
      <w:r w:rsidRPr="008A0A12">
        <w:t>document</w:t>
      </w:r>
      <w:r w:rsidR="00D17A94">
        <w:t xml:space="preserve"> </w:t>
      </w:r>
      <w:r w:rsidRPr="008A0A12">
        <w:t>covering</w:t>
      </w:r>
      <w:r w:rsidR="00D17A94">
        <w:t xml:space="preserve"> </w:t>
      </w:r>
      <w:r w:rsidRPr="008A0A12">
        <w:t>individual</w:t>
      </w:r>
      <w:r w:rsidR="00D17A94">
        <w:t xml:space="preserve"> </w:t>
      </w:r>
      <w:r w:rsidRPr="008A0A12">
        <w:t>measures,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strategies,</w:t>
      </w:r>
      <w:r w:rsidR="00D17A94">
        <w:t xml:space="preserve"> </w:t>
      </w:r>
      <w:r w:rsidRPr="008A0A12">
        <w:t>concepts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action</w:t>
      </w:r>
      <w:r w:rsidR="00D17A94">
        <w:t xml:space="preserve"> </w:t>
      </w:r>
      <w:r w:rsidRPr="008A0A12">
        <w:t>plans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inclusion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fight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poverty.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creation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framework</w:t>
      </w:r>
      <w:r w:rsidR="00D17A94">
        <w:t xml:space="preserve"> </w:t>
      </w:r>
      <w:r w:rsidRPr="008A0A12">
        <w:t>strategy</w:t>
      </w:r>
      <w:r w:rsidR="00D17A94">
        <w:t xml:space="preserve"> </w:t>
      </w:r>
      <w:r w:rsidRPr="008A0A12">
        <w:t>provides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better</w:t>
      </w:r>
      <w:r w:rsidR="00D17A94">
        <w:t xml:space="preserve"> </w:t>
      </w:r>
      <w:r w:rsidRPr="008A0A12">
        <w:t>overview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politics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inclusion,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greater</w:t>
      </w:r>
      <w:r w:rsidR="00D17A94">
        <w:t xml:space="preserve"> </w:t>
      </w:r>
      <w:r w:rsidRPr="008A0A12">
        <w:t>emphasis</w:t>
      </w:r>
      <w:r w:rsidR="00D17A94">
        <w:t xml:space="preserve"> </w:t>
      </w:r>
      <w:r w:rsidRPr="008A0A12">
        <w:t>put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active</w:t>
      </w:r>
      <w:r w:rsidR="00D17A94">
        <w:t xml:space="preserve"> </w:t>
      </w:r>
      <w:r w:rsidRPr="008A0A12">
        <w:t>inclusion,</w:t>
      </w:r>
      <w:r w:rsidR="00D17A94">
        <w:t xml:space="preserve"> </w:t>
      </w:r>
      <w:r w:rsidRPr="008A0A12">
        <w:t>monitoring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evaluation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these</w:t>
      </w:r>
      <w:r w:rsidR="00D17A94">
        <w:t xml:space="preserve"> </w:t>
      </w:r>
      <w:r w:rsidRPr="008A0A12">
        <w:t>policies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connection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objective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Europe</w:t>
      </w:r>
      <w:r w:rsidR="00D17A94">
        <w:t xml:space="preserve"> </w:t>
      </w:r>
      <w:r w:rsidRPr="008A0A12">
        <w:t>2020</w:t>
      </w:r>
      <w:r w:rsidR="00D17A94">
        <w:t xml:space="preserve"> </w:t>
      </w:r>
      <w:r w:rsidRPr="008A0A12">
        <w:t>strategy,</w:t>
      </w:r>
      <w:r w:rsidR="00D17A94">
        <w:t xml:space="preserve"> </w:t>
      </w:r>
      <w:r w:rsidRPr="008A0A12">
        <w:t>i.e.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reduce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risk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poverty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exclusion.</w:t>
      </w:r>
    </w:p>
    <w:p w:rsidR="00F33762" w:rsidRPr="008A0A12" w:rsidRDefault="00F33762" w:rsidP="00F33762">
      <w:pPr>
        <w:pStyle w:val="SingleTxtG"/>
      </w:pPr>
      <w:r w:rsidRPr="008A0A12">
        <w:t>207.</w:t>
      </w:r>
      <w:r w:rsidRPr="008A0A12">
        <w:tab/>
        <w:t>In</w:t>
      </w:r>
      <w:r w:rsidR="00D17A94">
        <w:t xml:space="preserve"> </w:t>
      </w:r>
      <w:r w:rsidRPr="008A0A12">
        <w:t>May</w:t>
      </w:r>
      <w:r w:rsidR="00D17A94">
        <w:t xml:space="preserve"> </w:t>
      </w:r>
      <w:r w:rsidRPr="008A0A12">
        <w:t>2012,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submitted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</w:t>
      </w:r>
      <w:r w:rsidR="00D17A94">
        <w:t xml:space="preserve"> </w:t>
      </w:r>
      <w:r w:rsidRPr="008A0A12">
        <w:t>Committee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Disabilities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first</w:t>
      </w:r>
      <w:r w:rsidR="00D17A94">
        <w:t xml:space="preserve"> </w:t>
      </w:r>
      <w:r w:rsidRPr="008A0A12">
        <w:t>comprehensive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adopted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fulfil</w:t>
      </w:r>
      <w:r w:rsidR="00D17A94">
        <w:t xml:space="preserve"> </w:t>
      </w:r>
      <w:r w:rsidRPr="008A0A12">
        <w:t>obligations</w:t>
      </w:r>
      <w:r w:rsidR="00D17A94">
        <w:t xml:space="preserve"> </w:t>
      </w:r>
      <w:r w:rsidRPr="008A0A12">
        <w:t>arising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convention.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Resolution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20</w:t>
      </w:r>
      <w:r w:rsidR="00D17A94">
        <w:t xml:space="preserve"> </w:t>
      </w:r>
      <w:r w:rsidRPr="008A0A12">
        <w:t>February</w:t>
      </w:r>
      <w:r w:rsidR="00D17A94">
        <w:t xml:space="preserve"> </w:t>
      </w:r>
      <w:r w:rsidRPr="008A0A12">
        <w:t>2013</w:t>
      </w:r>
      <w:r w:rsidR="00D17A94">
        <w:t xml:space="preserve"> </w:t>
      </w:r>
      <w:r w:rsidRPr="008A0A12">
        <w:t>appointed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MLSAF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main</w:t>
      </w:r>
      <w:r w:rsidR="00D17A94">
        <w:t xml:space="preserve"> </w:t>
      </w:r>
      <w:r w:rsidRPr="008A0A12">
        <w:t>contact</w:t>
      </w:r>
      <w:r w:rsidR="00D17A94">
        <w:t xml:space="preserve"> </w:t>
      </w:r>
      <w:r w:rsidRPr="008A0A12">
        <w:t>point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issue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convention.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April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</w:t>
      </w:r>
      <w:r w:rsidR="00D17A94">
        <w:t xml:space="preserve"> </w:t>
      </w:r>
      <w:r w:rsidRPr="008A0A12">
        <w:t>Committee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Disabilities</w:t>
      </w:r>
      <w:r w:rsidR="00D17A94">
        <w:t xml:space="preserve"> </w:t>
      </w:r>
      <w:r w:rsidRPr="008A0A12">
        <w:t>assessed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initial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UN</w:t>
      </w:r>
      <w:r w:rsidR="00D17A94">
        <w:t xml:space="preserve"> </w:t>
      </w:r>
      <w:r w:rsidRPr="008A0A12">
        <w:t>convention.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adopted</w:t>
      </w:r>
      <w:r w:rsidR="00D17A94">
        <w:t xml:space="preserve"> </w:t>
      </w:r>
      <w:r w:rsidRPr="008A0A12">
        <w:t>final</w:t>
      </w:r>
      <w:r w:rsidR="00D17A94">
        <w:t xml:space="preserve"> </w:t>
      </w:r>
      <w:r w:rsidRPr="008A0A12">
        <w:t>conclusions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subsequently</w:t>
      </w:r>
      <w:r w:rsidR="00D17A94">
        <w:t xml:space="preserve"> </w:t>
      </w:r>
      <w:r w:rsidRPr="008A0A12">
        <w:t>incorporated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Program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Living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Disabilities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2014-2020,</w:t>
      </w:r>
      <w:r w:rsidR="00D17A94">
        <w:t xml:space="preserve"> </w:t>
      </w:r>
      <w:r w:rsidRPr="008A0A12">
        <w:t>which,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defined</w:t>
      </w:r>
      <w:r w:rsidR="00D17A94">
        <w:t xml:space="preserve"> </w:t>
      </w:r>
      <w:r w:rsidRPr="008A0A12">
        <w:t>tasks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measures,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ensure</w:t>
      </w:r>
      <w:r w:rsidR="00D17A94">
        <w:t xml:space="preserve"> </w:t>
      </w:r>
      <w:r w:rsidRPr="008A0A12">
        <w:t>progress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field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persons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disabilities</w:t>
      </w:r>
      <w:r w:rsidR="00D17A94">
        <w:t xml:space="preserve"> </w:t>
      </w:r>
      <w:r w:rsidRPr="008A0A12">
        <w:t>recognised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convention.</w:t>
      </w:r>
      <w:r w:rsidR="00D17A94">
        <w:t xml:space="preserve"> </w:t>
      </w:r>
    </w:p>
    <w:p w:rsidR="00F33762" w:rsidRPr="008A0A12" w:rsidRDefault="00F33762" w:rsidP="00C44A5D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21</w:t>
      </w:r>
    </w:p>
    <w:p w:rsidR="00F33762" w:rsidRPr="008A0A12" w:rsidRDefault="00F33762" w:rsidP="00F33762">
      <w:pPr>
        <w:pStyle w:val="SingleTxtG"/>
      </w:pPr>
      <w:r w:rsidRPr="008A0A12">
        <w:t>208.</w:t>
      </w:r>
      <w:r w:rsidRPr="008A0A12">
        <w:tab/>
        <w:t>Public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authorities,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specialised</w:t>
      </w:r>
      <w:r w:rsidR="00D17A94">
        <w:t xml:space="preserve"> </w:t>
      </w:r>
      <w:r w:rsidRPr="008A0A12">
        <w:t>tasks,</w:t>
      </w:r>
      <w:r w:rsidR="00D17A94">
        <w:t xml:space="preserve"> </w:t>
      </w:r>
      <w:r w:rsidRPr="008A0A12">
        <w:t>routinely</w:t>
      </w:r>
      <w:r w:rsidR="00D17A94">
        <w:t xml:space="preserve"> </w:t>
      </w:r>
      <w:r w:rsidRPr="008A0A12">
        <w:t>monitor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quality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consumer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drinking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systems.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addition,</w:t>
      </w:r>
      <w:r w:rsidR="00D17A94">
        <w:t xml:space="preserve"> </w:t>
      </w:r>
      <w:r w:rsidRPr="008A0A12">
        <w:t>they</w:t>
      </w:r>
      <w:r w:rsidR="00D17A94">
        <w:t xml:space="preserve"> </w:t>
      </w:r>
      <w:r w:rsidRPr="008A0A12">
        <w:t>purposefully</w:t>
      </w:r>
      <w:r w:rsidR="00D17A94">
        <w:t xml:space="preserve"> </w:t>
      </w:r>
      <w:r w:rsidRPr="008A0A12">
        <w:t>perform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supervision</w:t>
      </w:r>
      <w:r w:rsidR="00D17A94">
        <w:t xml:space="preserve"> </w:t>
      </w:r>
      <w:r w:rsidRPr="008A0A12">
        <w:t>over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drinking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supply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monitor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quality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hygienically</w:t>
      </w:r>
      <w:r w:rsidR="00D17A94">
        <w:t xml:space="preserve"> </w:t>
      </w:r>
      <w:r w:rsidRPr="008A0A12">
        <w:t>important</w:t>
      </w:r>
      <w:r w:rsidR="00D17A94">
        <w:t xml:space="preserve"> </w:t>
      </w:r>
      <w:r w:rsidRPr="008A0A12">
        <w:t>individual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systems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wells,</w:t>
      </w:r>
      <w:r w:rsidR="00D17A94">
        <w:t xml:space="preserve"> </w:t>
      </w:r>
      <w:r w:rsidRPr="008A0A12">
        <w:t>such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wells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settlements</w:t>
      </w:r>
      <w:r w:rsidR="00D17A94">
        <w:t xml:space="preserve"> </w:t>
      </w:r>
      <w:r w:rsidR="007C38AF">
        <w:t>—</w:t>
      </w:r>
      <w:r w:rsidR="00D17A94">
        <w:t xml:space="preserve"> </w:t>
      </w:r>
      <w:r w:rsidRPr="008A0A12">
        <w:t>especially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eastern</w:t>
      </w:r>
      <w:r w:rsidR="00D17A94">
        <w:t xml:space="preserve"> </w:t>
      </w:r>
      <w:r w:rsidRPr="008A0A12">
        <w:t>Slovakia.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settlements,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still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great</w:t>
      </w:r>
      <w:r w:rsidR="00D17A94">
        <w:t xml:space="preserve"> </w:t>
      </w:r>
      <w:r w:rsidRPr="008A0A12">
        <w:t>shortcomings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quality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resources</w:t>
      </w:r>
      <w:r w:rsidR="00D17A94">
        <w:t xml:space="preserve"> </w:t>
      </w:r>
      <w:r w:rsidRPr="008A0A12">
        <w:t>(bad</w:t>
      </w:r>
      <w:r w:rsidR="00D17A94">
        <w:t xml:space="preserve"> </w:t>
      </w:r>
      <w:r w:rsidRPr="008A0A12">
        <w:t>construction-technical</w:t>
      </w:r>
      <w:r w:rsidR="00D17A94">
        <w:t xml:space="preserve"> </w:t>
      </w:r>
      <w:r w:rsidRPr="008A0A12">
        <w:t>condition,</w:t>
      </w:r>
      <w:r w:rsidR="00D17A94">
        <w:t xml:space="preserve"> </w:t>
      </w:r>
      <w:r w:rsidRPr="008A0A12">
        <w:t>insufficient</w:t>
      </w:r>
      <w:r w:rsidR="00D17A94">
        <w:t xml:space="preserve"> </w:t>
      </w:r>
      <w:r w:rsidRPr="008A0A12">
        <w:t>protection)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largely</w:t>
      </w:r>
      <w:r w:rsidR="00D17A94">
        <w:t xml:space="preserve"> </w:t>
      </w:r>
      <w:r w:rsidRPr="008A0A12">
        <w:t>caused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inhabitants.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challenge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introduce</w:t>
      </w:r>
      <w:r w:rsidR="00D17A94">
        <w:t xml:space="preserve"> </w:t>
      </w:r>
      <w:r w:rsidRPr="008A0A12">
        <w:t>measures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protect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technical</w:t>
      </w:r>
      <w:r w:rsidR="00D17A94">
        <w:t xml:space="preserve"> </w:t>
      </w:r>
      <w:r w:rsidRPr="008A0A12">
        <w:t>sustainability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facilities</w:t>
      </w:r>
      <w:r w:rsidR="00D17A94">
        <w:t xml:space="preserve"> </w:t>
      </w:r>
      <w:r w:rsidRPr="008A0A12">
        <w:t>during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use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members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MRC.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authorities</w:t>
      </w:r>
      <w:r w:rsidR="00D17A94">
        <w:t xml:space="preserve"> </w:t>
      </w:r>
      <w:r w:rsidRPr="008A0A12">
        <w:t>perform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settlements,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they</w:t>
      </w:r>
      <w:r w:rsidR="00D17A94">
        <w:t xml:space="preserve"> </w:t>
      </w:r>
      <w:r w:rsidRPr="008A0A12">
        <w:t>try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explain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inhabitants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effects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contaminated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body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importance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basic</w:t>
      </w:r>
      <w:r w:rsidR="00D17A94">
        <w:t xml:space="preserve"> </w:t>
      </w:r>
      <w:r w:rsidRPr="008A0A12">
        <w:t>hygienic</w:t>
      </w:r>
      <w:r w:rsidR="00D17A94">
        <w:t xml:space="preserve"> </w:t>
      </w:r>
      <w:r w:rsidRPr="008A0A12">
        <w:t>habits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prevent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spread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communicable</w:t>
      </w:r>
      <w:r w:rsidR="00D17A94">
        <w:t xml:space="preserve"> </w:t>
      </w:r>
      <w:r w:rsidRPr="008A0A12">
        <w:t>diseases.</w:t>
      </w:r>
      <w:r w:rsidR="00D17A94">
        <w:t xml:space="preserve"> </w:t>
      </w:r>
      <w:r w:rsidRPr="008A0A12">
        <w:t>Another</w:t>
      </w:r>
      <w:r w:rsidR="00D17A94">
        <w:t xml:space="preserve"> </w:t>
      </w:r>
      <w:r w:rsidRPr="008A0A12">
        <w:t>activity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authorities</w:t>
      </w:r>
      <w:r w:rsidR="00D17A94">
        <w:t xml:space="preserve"> </w:t>
      </w:r>
      <w:r w:rsidRPr="008A0A12">
        <w:t>is,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occasion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World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Day,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perform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annual,</w:t>
      </w:r>
      <w:r w:rsidR="00D17A94">
        <w:t xml:space="preserve"> </w:t>
      </w:r>
      <w:r w:rsidRPr="008A0A12">
        <w:t>free-of</w:t>
      </w:r>
      <w:r w:rsidR="00D17A94">
        <w:t xml:space="preserve"> </w:t>
      </w:r>
      <w:r w:rsidRPr="008A0A12">
        <w:t>charge</w:t>
      </w:r>
      <w:r w:rsidR="00D17A94">
        <w:t xml:space="preserve"> </w:t>
      </w:r>
      <w:r w:rsidRPr="008A0A12">
        <w:t>analysis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drinking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samples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individual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resources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selected</w:t>
      </w:r>
      <w:r w:rsidR="00D17A94">
        <w:t xml:space="preserve"> </w:t>
      </w:r>
      <w:r w:rsidRPr="008A0A12">
        <w:t>medically</w:t>
      </w:r>
      <w:r w:rsidR="00D17A94">
        <w:t xml:space="preserve"> </w:t>
      </w:r>
      <w:r w:rsidRPr="008A0A12">
        <w:t>important</w:t>
      </w:r>
      <w:r w:rsidR="00D17A94">
        <w:t xml:space="preserve"> </w:t>
      </w:r>
      <w:r w:rsidRPr="008A0A12">
        <w:t>indicators,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provide</w:t>
      </w:r>
      <w:r w:rsidR="00D17A94">
        <w:t xml:space="preserve"> </w:t>
      </w:r>
      <w:r w:rsidRPr="008A0A12">
        <w:t>consultancy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issue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drinking</w:t>
      </w:r>
      <w:r w:rsidR="00D17A94">
        <w:t xml:space="preserve"> </w:t>
      </w:r>
      <w:r w:rsidRPr="008A0A12">
        <w:t>water,</w:t>
      </w:r>
      <w:r w:rsidR="00D17A94">
        <w:t xml:space="preserve"> </w:t>
      </w:r>
      <w:r w:rsidRPr="008A0A12">
        <w:t>individual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resources,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hygiene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wells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care</w:t>
      </w:r>
      <w:r w:rsidR="00D17A94">
        <w:t xml:space="preserve"> </w:t>
      </w:r>
      <w:r w:rsidRPr="008A0A12">
        <w:t>about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resources,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including</w:t>
      </w:r>
      <w:r w:rsidR="00D17A94">
        <w:t xml:space="preserve"> </w:t>
      </w:r>
      <w:r w:rsidRPr="008A0A12">
        <w:t>marginalised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rural</w:t>
      </w:r>
      <w:r w:rsidR="00D17A94">
        <w:t xml:space="preserve"> </w:t>
      </w:r>
      <w:r w:rsidRPr="008A0A12">
        <w:t>population.</w:t>
      </w:r>
    </w:p>
    <w:p w:rsidR="00F33762" w:rsidRPr="008A0A12" w:rsidRDefault="00F33762" w:rsidP="00F33762">
      <w:pPr>
        <w:pStyle w:val="SingleTxtG"/>
      </w:pPr>
      <w:r w:rsidRPr="008A0A12">
        <w:lastRenderedPageBreak/>
        <w:t>209.</w:t>
      </w:r>
      <w:r w:rsidRPr="008A0A12">
        <w:tab/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access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water,</w:t>
      </w:r>
      <w:r w:rsidR="00D17A94">
        <w:t xml:space="preserve"> </w:t>
      </w:r>
      <w:r w:rsidRPr="008A0A12">
        <w:t>ensuring</w:t>
      </w:r>
      <w:r w:rsidR="00D17A94">
        <w:t xml:space="preserve"> </w:t>
      </w:r>
      <w:r w:rsidRPr="008A0A12">
        <w:t>sufficient</w:t>
      </w:r>
      <w:r w:rsidR="00D17A94">
        <w:t xml:space="preserve"> </w:t>
      </w:r>
      <w:r w:rsidRPr="008A0A12">
        <w:t>quantity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quality</w:t>
      </w:r>
      <w:r w:rsidR="00D17A94">
        <w:t xml:space="preserve"> </w:t>
      </w:r>
      <w:r w:rsidRPr="008A0A12">
        <w:t>drinking</w:t>
      </w:r>
      <w:r w:rsidR="00D17A94">
        <w:t xml:space="preserve"> </w:t>
      </w:r>
      <w:r w:rsidRPr="008A0A12">
        <w:t>water,</w:t>
      </w:r>
      <w:r w:rsidR="00D17A94">
        <w:t xml:space="preserve"> </w:t>
      </w:r>
      <w:r w:rsidRPr="008A0A12">
        <w:t>sanitation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many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issues</w:t>
      </w:r>
      <w:r w:rsidR="00D17A94">
        <w:t xml:space="preserve"> </w:t>
      </w:r>
      <w:r w:rsidRPr="008A0A12">
        <w:t>associated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water,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2011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ratified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Protocol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Convention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Use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Transboundary</w:t>
      </w:r>
      <w:r w:rsidR="00D17A94">
        <w:t xml:space="preserve"> </w:t>
      </w:r>
      <w:r w:rsidRPr="008A0A12">
        <w:t>Watercourses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International</w:t>
      </w:r>
      <w:r w:rsidR="00D17A94">
        <w:t xml:space="preserve"> </w:t>
      </w:r>
      <w:r w:rsidRPr="008A0A12">
        <w:t>Lakes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1992,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administrated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Ministry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MH</w:t>
      </w:r>
      <w:r w:rsidR="00D17A94">
        <w:t xml:space="preserve"> </w:t>
      </w:r>
      <w:r w:rsidRPr="008A0A12">
        <w:t>SR</w:t>
      </w:r>
      <w:r w:rsidR="00413AEE">
        <w:t>”</w:t>
      </w:r>
      <w:r w:rsidRPr="008A0A12">
        <w:t>).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2014,</w:t>
      </w:r>
      <w:r w:rsidR="00D17A94">
        <w:t xml:space="preserve"> </w:t>
      </w:r>
      <w:r w:rsidRPr="008A0A12">
        <w:t>new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objectives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Protocol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defined,</w:t>
      </w:r>
      <w:r w:rsidR="00D17A94">
        <w:t xml:space="preserve"> </w:t>
      </w:r>
      <w:r w:rsidRPr="008A0A12">
        <w:t>where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OPGRC</w:t>
      </w:r>
      <w:r w:rsidR="00D17A94">
        <w:t xml:space="preserve"> </w:t>
      </w:r>
      <w:r w:rsidRPr="008A0A12">
        <w:t>showed</w:t>
      </w:r>
      <w:r w:rsidR="00D17A94">
        <w:t xml:space="preserve"> </w:t>
      </w:r>
      <w:r w:rsidRPr="008A0A12">
        <w:t>interest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cooperation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order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achieve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objectives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Protocol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supply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drinking</w:t>
      </w:r>
      <w:r w:rsidR="00D17A94">
        <w:t xml:space="preserve"> </w:t>
      </w:r>
      <w:r w:rsidRPr="008A0A12">
        <w:t>water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sanitation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selected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communities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segregated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separated</w:t>
      </w:r>
      <w:r w:rsidR="00D17A94">
        <w:t xml:space="preserve"> </w:t>
      </w:r>
      <w:r w:rsidRPr="008A0A12">
        <w:t>Roma</w:t>
      </w:r>
      <w:r w:rsidR="00D17A94">
        <w:t xml:space="preserve"> </w:t>
      </w:r>
      <w:r w:rsidRPr="008A0A12">
        <w:t>settlements.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solution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issue</w:t>
      </w:r>
      <w:r w:rsidR="00D17A94">
        <w:t xml:space="preserve"> </w:t>
      </w:r>
      <w:r w:rsidRPr="008A0A12">
        <w:t>depends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successful</w:t>
      </w:r>
      <w:r w:rsidR="00D17A94">
        <w:t xml:space="preserve"> </w:t>
      </w:r>
      <w:r w:rsidRPr="008A0A12">
        <w:t>focusing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interventions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funds.</w:t>
      </w:r>
    </w:p>
    <w:p w:rsidR="00F33762" w:rsidRPr="008A0A12" w:rsidRDefault="00F33762" w:rsidP="00C44A5D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22</w:t>
      </w:r>
    </w:p>
    <w:p w:rsidR="00F33762" w:rsidRPr="008A0A12" w:rsidRDefault="00F33762" w:rsidP="00F33762">
      <w:pPr>
        <w:pStyle w:val="SingleTxtG"/>
      </w:pPr>
      <w:r w:rsidRPr="008A0A12">
        <w:t>210.</w:t>
      </w:r>
      <w:r w:rsidRPr="008A0A12">
        <w:tab/>
        <w:t>In</w:t>
      </w:r>
      <w:r w:rsidR="00D17A94">
        <w:t xml:space="preserve"> </w:t>
      </w:r>
      <w:r w:rsidRPr="008A0A12">
        <w:t>accordance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objective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increase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availability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housing,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system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economic</w:t>
      </w:r>
      <w:r w:rsidR="00D17A94">
        <w:t xml:space="preserve"> </w:t>
      </w:r>
      <w:r w:rsidRPr="008A0A12">
        <w:t>instruments</w:t>
      </w:r>
      <w:r w:rsidR="00D17A94">
        <w:t xml:space="preserve"> </w:t>
      </w:r>
      <w:r w:rsidRPr="008A0A12">
        <w:t>supporting</w:t>
      </w:r>
      <w:r w:rsidR="00D17A94">
        <w:t xml:space="preserve"> </w:t>
      </w:r>
      <w:r w:rsidRPr="008A0A12">
        <w:t>housing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developed.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instruments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classified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situation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applicants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housing.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211.</w:t>
      </w:r>
      <w:r w:rsidRPr="008A0A12">
        <w:tab/>
        <w:t>In</w:t>
      </w:r>
      <w:r w:rsidR="00D17A94">
        <w:t xml:space="preserve"> </w:t>
      </w:r>
      <w:r w:rsidRPr="008A0A12">
        <w:t>terms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improvement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housing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MRC,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acquisition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rental</w:t>
      </w:r>
      <w:r w:rsidR="00D17A94">
        <w:t xml:space="preserve"> </w:t>
      </w:r>
      <w:r w:rsidRPr="008A0A12">
        <w:t>apartments</w:t>
      </w:r>
      <w:r w:rsidR="00D17A94">
        <w:t xml:space="preserve"> </w:t>
      </w:r>
      <w:r w:rsidRPr="008A0A12">
        <w:t>intended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housing</w:t>
      </w:r>
      <w:r w:rsidR="00D17A94">
        <w:t xml:space="preserve"> </w:t>
      </w:r>
      <w:r w:rsidRPr="008A0A12">
        <w:t>financed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combination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subsidies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MTC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soft</w:t>
      </w:r>
      <w:r w:rsidR="00D17A94">
        <w:t xml:space="preserve"> </w:t>
      </w:r>
      <w:r w:rsidRPr="008A0A12">
        <w:t>loan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Building</w:t>
      </w:r>
      <w:r w:rsidR="00D17A94">
        <w:t xml:space="preserve"> </w:t>
      </w:r>
      <w:r w:rsidRPr="008A0A12">
        <w:t>Fund.</w:t>
      </w:r>
    </w:p>
    <w:p w:rsidR="00F33762" w:rsidRPr="008A0A12" w:rsidRDefault="00F33762" w:rsidP="00F33762">
      <w:pPr>
        <w:pStyle w:val="SingleTxtG"/>
      </w:pPr>
      <w:r w:rsidRPr="008A0A12">
        <w:t>212.</w:t>
      </w:r>
      <w:r w:rsidRPr="008A0A12">
        <w:tab/>
        <w:t>The</w:t>
      </w:r>
      <w:r w:rsidR="00D17A94">
        <w:t xml:space="preserve"> </w:t>
      </w:r>
      <w:r w:rsidRPr="008A0A12">
        <w:t>MTC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provides</w:t>
      </w:r>
      <w:r w:rsidR="00D17A94">
        <w:t xml:space="preserve"> </w:t>
      </w:r>
      <w:r w:rsidRPr="008A0A12">
        <w:t>subsidies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procurement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rental</w:t>
      </w:r>
      <w:r w:rsidR="00D17A94">
        <w:t xml:space="preserve"> </w:t>
      </w:r>
      <w:r w:rsidRPr="008A0A12">
        <w:t>apartments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technical</w:t>
      </w:r>
      <w:r w:rsidR="00D17A94">
        <w:t xml:space="preserve"> </w:t>
      </w:r>
      <w:r w:rsidRPr="008A0A12">
        <w:t>equipment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443/2010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Subsidies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Housing</w:t>
      </w:r>
      <w:r w:rsidR="00D17A94">
        <w:t xml:space="preserve"> </w:t>
      </w:r>
      <w:r w:rsidRPr="008A0A12">
        <w:t>Development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Housing.</w:t>
      </w:r>
      <w:r w:rsidR="00D17A94">
        <w:t xml:space="preserve"> </w:t>
      </w:r>
      <w:r w:rsidRPr="008A0A12">
        <w:t>Subsidies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procurement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rental</w:t>
      </w:r>
      <w:r w:rsidR="00D17A94">
        <w:t xml:space="preserve"> </w:t>
      </w:r>
      <w:r w:rsidRPr="008A0A12">
        <w:t>apartments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mainly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municipalities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cities.</w:t>
      </w:r>
      <w:r w:rsidR="00D17A94">
        <w:t xml:space="preserve"> </w:t>
      </w:r>
      <w:r w:rsidRPr="008A0A12">
        <w:t>Rental</w:t>
      </w:r>
      <w:r w:rsidR="00D17A94">
        <w:t xml:space="preserve"> </w:t>
      </w:r>
      <w:r w:rsidRPr="008A0A12">
        <w:t>apartments</w:t>
      </w:r>
      <w:r w:rsidR="00D17A94">
        <w:t xml:space="preserve"> </w:t>
      </w:r>
      <w:r w:rsidRPr="008A0A12">
        <w:t>can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two</w:t>
      </w:r>
      <w:r w:rsidR="00D17A94">
        <w:t xml:space="preserve"> </w:t>
      </w:r>
      <w:r w:rsidRPr="008A0A12">
        <w:t>standards,</w:t>
      </w:r>
      <w:r w:rsidR="00D17A94">
        <w:t xml:space="preserve"> </w:t>
      </w:r>
      <w:r w:rsidRPr="008A0A12">
        <w:t>i.e.</w:t>
      </w:r>
      <w:r w:rsidR="00D17A94">
        <w:t xml:space="preserve"> </w:t>
      </w:r>
      <w:r w:rsidRPr="008A0A12">
        <w:t>common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standard,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called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lower</w:t>
      </w:r>
      <w:r w:rsidR="00D17A94">
        <w:t xml:space="preserve"> </w:t>
      </w:r>
      <w:r w:rsidRPr="008A0A12">
        <w:t>standard.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should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noted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lower</w:t>
      </w:r>
      <w:r w:rsidR="00D17A94">
        <w:t xml:space="preserve"> </w:t>
      </w:r>
      <w:r w:rsidRPr="008A0A12">
        <w:t>standard</w:t>
      </w:r>
      <w:r w:rsidR="00D17A94">
        <w:t xml:space="preserve"> </w:t>
      </w:r>
      <w:r w:rsidRPr="008A0A12">
        <w:t>does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mean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lower</w:t>
      </w:r>
      <w:r w:rsidR="00D17A94">
        <w:t xml:space="preserve"> </w:t>
      </w:r>
      <w:r w:rsidRPr="008A0A12">
        <w:t>quality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housing.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rather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selection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several</w:t>
      </w:r>
      <w:r w:rsidR="00D17A94">
        <w:t xml:space="preserve"> </w:t>
      </w:r>
      <w:r w:rsidRPr="008A0A12">
        <w:t>elements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basic</w:t>
      </w:r>
      <w:r w:rsidR="00D17A94">
        <w:t xml:space="preserve"> </w:t>
      </w:r>
      <w:r w:rsidRPr="008A0A12">
        <w:t>regime</w:t>
      </w:r>
      <w:r w:rsidR="00D17A94">
        <w:t xml:space="preserve"> </w:t>
      </w:r>
      <w:r w:rsidRPr="008A0A12">
        <w:t>so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housing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significantly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available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certain</w:t>
      </w:r>
      <w:r w:rsidR="00D17A94">
        <w:t xml:space="preserve"> </w:t>
      </w:r>
      <w:r w:rsidRPr="008A0A12">
        <w:t>groups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population</w:t>
      </w:r>
      <w:r w:rsidR="00D17A94">
        <w:t xml:space="preserve"> </w:t>
      </w:r>
      <w:r w:rsidRPr="008A0A12">
        <w:t>compared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apartments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usual</w:t>
      </w:r>
      <w:r w:rsidR="00D17A94">
        <w:t xml:space="preserve"> </w:t>
      </w:r>
      <w:r w:rsidRPr="008A0A12">
        <w:t>standard.</w:t>
      </w:r>
      <w:r w:rsidR="00D17A94">
        <w:t xml:space="preserve"> </w:t>
      </w:r>
      <w:r w:rsidRPr="008A0A12">
        <w:t>Therefore,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subsidy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amount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85</w:t>
      </w:r>
      <w:r w:rsidR="00F07B18">
        <w:t>%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acquisition</w:t>
      </w:r>
      <w:r w:rsidR="00D17A94">
        <w:t xml:space="preserve"> </w:t>
      </w:r>
      <w:r w:rsidRPr="008A0A12">
        <w:t>costs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type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construction.</w:t>
      </w:r>
    </w:p>
    <w:p w:rsidR="00F33762" w:rsidRPr="008A0A12" w:rsidRDefault="00F33762" w:rsidP="00F33762">
      <w:pPr>
        <w:pStyle w:val="SingleTxtG"/>
      </w:pPr>
      <w:r w:rsidRPr="008A0A12">
        <w:t>213.</w:t>
      </w:r>
      <w:r w:rsidRPr="008A0A12">
        <w:tab/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budget</w:t>
      </w:r>
      <w:r w:rsidR="00D17A94">
        <w:t xml:space="preserve"> </w:t>
      </w:r>
      <w:r w:rsidRPr="008A0A12">
        <w:t>annually</w:t>
      </w:r>
      <w:r w:rsidR="00D17A94">
        <w:t xml:space="preserve"> </w:t>
      </w:r>
      <w:r w:rsidRPr="008A0A12">
        <w:t>allocates</w:t>
      </w:r>
      <w:r w:rsidR="00D17A94">
        <w:t xml:space="preserve"> </w:t>
      </w:r>
      <w:r w:rsidRPr="008A0A12">
        <w:t>funds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provision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subsidies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MTC</w:t>
      </w:r>
      <w:r w:rsidR="00D17A94">
        <w:t xml:space="preserve"> </w:t>
      </w:r>
      <w:r w:rsidRPr="008A0A12">
        <w:t>SR.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2012</w:t>
      </w:r>
      <w:r w:rsidR="00D17A94">
        <w:t xml:space="preserve"> </w:t>
      </w:r>
      <w:r w:rsidRPr="008A0A12">
        <w:t>until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MTC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following</w:t>
      </w:r>
      <w:r w:rsidR="00D17A94">
        <w:t xml:space="preserve"> </w:t>
      </w:r>
      <w:r w:rsidRPr="008A0A12">
        <w:t>funds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construction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rental</w:t>
      </w:r>
      <w:r w:rsidR="00D17A94">
        <w:t xml:space="preserve"> </w:t>
      </w:r>
      <w:r w:rsidRPr="008A0A12">
        <w:t>apartments</w:t>
      </w:r>
      <w:r w:rsidR="00D17A94">
        <w:t xml:space="preserve"> </w:t>
      </w:r>
      <w:r w:rsidRPr="008A0A12">
        <w:t>intended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housing</w:t>
      </w:r>
      <w:r w:rsidR="00D17A94">
        <w:t xml:space="preserve"> </w:t>
      </w:r>
      <w:r w:rsidRPr="008A0A12">
        <w:t>(Table</w:t>
      </w:r>
      <w:r w:rsidR="00D17A94">
        <w:t xml:space="preserve"> </w:t>
      </w:r>
      <w:r w:rsidRPr="008A0A12">
        <w:t>4):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1204"/>
        <w:gridCol w:w="2184"/>
        <w:gridCol w:w="1725"/>
        <w:gridCol w:w="1473"/>
      </w:tblGrid>
      <w:tr w:rsidR="008B652B" w:rsidRPr="00C44A5D" w:rsidTr="00BA5FAF">
        <w:trPr>
          <w:cantSplit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C44A5D">
              <w:rPr>
                <w:i/>
                <w:sz w:val="16"/>
              </w:rPr>
              <w:t>Year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C44A5D">
              <w:rPr>
                <w:i/>
                <w:sz w:val="16"/>
              </w:rPr>
              <w:t>Number</w:t>
            </w:r>
            <w:r w:rsidR="00D17A94">
              <w:rPr>
                <w:i/>
                <w:sz w:val="16"/>
              </w:rPr>
              <w:t xml:space="preserve"> </w:t>
            </w:r>
            <w:r w:rsidRPr="00C44A5D">
              <w:rPr>
                <w:i/>
                <w:sz w:val="16"/>
              </w:rPr>
              <w:t>of</w:t>
            </w:r>
            <w:r w:rsidR="00D17A94">
              <w:rPr>
                <w:i/>
                <w:sz w:val="16"/>
              </w:rPr>
              <w:t xml:space="preserve"> </w:t>
            </w:r>
            <w:r w:rsidRPr="00C44A5D">
              <w:rPr>
                <w:i/>
                <w:sz w:val="16"/>
              </w:rPr>
              <w:t>supported</w:t>
            </w:r>
            <w:r w:rsidR="00D17A94">
              <w:rPr>
                <w:i/>
                <w:sz w:val="16"/>
              </w:rPr>
              <w:t xml:space="preserve"> </w:t>
            </w:r>
            <w:r w:rsidRPr="00C44A5D">
              <w:rPr>
                <w:i/>
                <w:sz w:val="16"/>
              </w:rPr>
              <w:t>constructions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C44A5D">
              <w:rPr>
                <w:i/>
                <w:sz w:val="16"/>
              </w:rPr>
              <w:t>The</w:t>
            </w:r>
            <w:r w:rsidR="00D17A94">
              <w:rPr>
                <w:i/>
                <w:sz w:val="16"/>
              </w:rPr>
              <w:t xml:space="preserve"> </w:t>
            </w:r>
            <w:r w:rsidRPr="00C44A5D">
              <w:rPr>
                <w:i/>
                <w:sz w:val="16"/>
              </w:rPr>
              <w:t>number</w:t>
            </w:r>
            <w:r w:rsidR="00D17A94">
              <w:rPr>
                <w:i/>
                <w:sz w:val="16"/>
              </w:rPr>
              <w:t xml:space="preserve"> </w:t>
            </w:r>
            <w:r w:rsidRPr="00C44A5D">
              <w:rPr>
                <w:i/>
                <w:sz w:val="16"/>
              </w:rPr>
              <w:t>of</w:t>
            </w:r>
            <w:r w:rsidR="00D17A94">
              <w:rPr>
                <w:i/>
                <w:sz w:val="16"/>
              </w:rPr>
              <w:t xml:space="preserve"> </w:t>
            </w:r>
            <w:r w:rsidRPr="00C44A5D">
              <w:rPr>
                <w:i/>
                <w:sz w:val="16"/>
              </w:rPr>
              <w:t>social</w:t>
            </w:r>
            <w:r w:rsidR="00D17A94">
              <w:rPr>
                <w:i/>
                <w:sz w:val="16"/>
              </w:rPr>
              <w:t xml:space="preserve"> </w:t>
            </w:r>
            <w:r w:rsidRPr="00C44A5D">
              <w:rPr>
                <w:i/>
                <w:sz w:val="16"/>
              </w:rPr>
              <w:t>apartments</w:t>
            </w:r>
            <w:r w:rsidR="00D17A94">
              <w:rPr>
                <w:i/>
                <w:sz w:val="16"/>
              </w:rPr>
              <w:t xml:space="preserve"> </w:t>
            </w:r>
            <w:r w:rsidRPr="00C44A5D">
              <w:rPr>
                <w:i/>
                <w:sz w:val="16"/>
              </w:rPr>
              <w:t>of</w:t>
            </w:r>
            <w:r w:rsidR="00D17A94">
              <w:rPr>
                <w:i/>
                <w:sz w:val="16"/>
              </w:rPr>
              <w:t xml:space="preserve"> </w:t>
            </w:r>
            <w:r w:rsidRPr="00C44A5D">
              <w:rPr>
                <w:i/>
                <w:sz w:val="16"/>
              </w:rPr>
              <w:t>common</w:t>
            </w:r>
            <w:r w:rsidR="00D17A94">
              <w:rPr>
                <w:i/>
                <w:sz w:val="16"/>
              </w:rPr>
              <w:t xml:space="preserve"> </w:t>
            </w:r>
            <w:r w:rsidRPr="00C44A5D">
              <w:rPr>
                <w:i/>
                <w:sz w:val="16"/>
              </w:rPr>
              <w:t>standard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C44A5D">
              <w:rPr>
                <w:i/>
                <w:sz w:val="16"/>
              </w:rPr>
              <w:t>Subsidy</w:t>
            </w:r>
            <w:r w:rsidR="00D17A94">
              <w:rPr>
                <w:i/>
                <w:sz w:val="16"/>
              </w:rPr>
              <w:t xml:space="preserve"> </w:t>
            </w:r>
            <w:r w:rsidRPr="00C44A5D">
              <w:rPr>
                <w:i/>
                <w:sz w:val="16"/>
              </w:rPr>
              <w:t>provided</w:t>
            </w:r>
            <w:r w:rsidR="00D17A94">
              <w:rPr>
                <w:i/>
                <w:sz w:val="16"/>
              </w:rPr>
              <w:t xml:space="preserve"> </w:t>
            </w:r>
            <w:r w:rsidRPr="00C44A5D">
              <w:rPr>
                <w:i/>
                <w:sz w:val="16"/>
              </w:rPr>
              <w:t>in</w:t>
            </w:r>
            <w:r w:rsidR="00D17A94">
              <w:rPr>
                <w:i/>
                <w:sz w:val="16"/>
              </w:rPr>
              <w:t xml:space="preserve"> </w:t>
            </w:r>
            <w:r w:rsidRPr="00C44A5D">
              <w:rPr>
                <w:i/>
                <w:sz w:val="16"/>
              </w:rPr>
              <w:t>EUR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3762" w:rsidRPr="008B652B" w:rsidRDefault="00F33762" w:rsidP="00C44A5D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b/>
                <w:i/>
                <w:sz w:val="16"/>
              </w:rPr>
            </w:pPr>
            <w:r w:rsidRPr="008B652B">
              <w:rPr>
                <w:b/>
                <w:i/>
                <w:sz w:val="16"/>
              </w:rPr>
              <w:t>Total</w:t>
            </w:r>
            <w:r w:rsidR="00D17A94">
              <w:rPr>
                <w:b/>
                <w:i/>
                <w:sz w:val="16"/>
              </w:rPr>
              <w:t xml:space="preserve"> </w:t>
            </w:r>
            <w:r w:rsidRPr="008B652B">
              <w:rPr>
                <w:b/>
                <w:i/>
                <w:sz w:val="16"/>
              </w:rPr>
              <w:t>in</w:t>
            </w:r>
            <w:r w:rsidR="00D17A94">
              <w:rPr>
                <w:b/>
                <w:i/>
                <w:sz w:val="16"/>
              </w:rPr>
              <w:t xml:space="preserve"> </w:t>
            </w:r>
            <w:r w:rsidRPr="008B652B">
              <w:rPr>
                <w:b/>
                <w:i/>
                <w:sz w:val="16"/>
              </w:rPr>
              <w:t>EUR</w:t>
            </w:r>
          </w:p>
        </w:tc>
      </w:tr>
      <w:tr w:rsidR="008B652B" w:rsidRPr="00C44A5D" w:rsidTr="00BA5FAF">
        <w:trPr>
          <w:cantSplit/>
          <w:tblHeader/>
        </w:trPr>
        <w:tc>
          <w:tcPr>
            <w:tcW w:w="784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1204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3762" w:rsidRPr="004F35F4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i/>
                <w:sz w:val="16"/>
                <w:szCs w:val="16"/>
              </w:rPr>
            </w:pPr>
            <w:r w:rsidRPr="004F35F4">
              <w:rPr>
                <w:i/>
                <w:sz w:val="16"/>
                <w:szCs w:val="16"/>
              </w:rPr>
              <w:t>The</w:t>
            </w:r>
            <w:r w:rsidR="00D17A94">
              <w:rPr>
                <w:i/>
                <w:sz w:val="16"/>
                <w:szCs w:val="16"/>
              </w:rPr>
              <w:t xml:space="preserve"> </w:t>
            </w:r>
            <w:r w:rsidRPr="004F35F4">
              <w:rPr>
                <w:i/>
                <w:sz w:val="16"/>
                <w:szCs w:val="16"/>
              </w:rPr>
              <w:t>number</w:t>
            </w:r>
            <w:r w:rsidR="00D17A94">
              <w:rPr>
                <w:i/>
                <w:sz w:val="16"/>
                <w:szCs w:val="16"/>
              </w:rPr>
              <w:t xml:space="preserve"> </w:t>
            </w:r>
            <w:r w:rsidRPr="004F35F4">
              <w:rPr>
                <w:i/>
                <w:sz w:val="16"/>
                <w:szCs w:val="16"/>
              </w:rPr>
              <w:t>of</w:t>
            </w:r>
            <w:r w:rsidR="00D17A94">
              <w:rPr>
                <w:i/>
                <w:sz w:val="16"/>
                <w:szCs w:val="16"/>
              </w:rPr>
              <w:t xml:space="preserve"> </w:t>
            </w:r>
            <w:r w:rsidRPr="004F35F4">
              <w:rPr>
                <w:i/>
                <w:sz w:val="16"/>
                <w:szCs w:val="16"/>
              </w:rPr>
              <w:t>rental</w:t>
            </w:r>
            <w:r w:rsidR="00D17A94">
              <w:rPr>
                <w:i/>
                <w:sz w:val="16"/>
                <w:szCs w:val="16"/>
              </w:rPr>
              <w:t xml:space="preserve"> </w:t>
            </w:r>
            <w:r w:rsidRPr="004F35F4">
              <w:rPr>
                <w:i/>
                <w:sz w:val="16"/>
                <w:szCs w:val="16"/>
              </w:rPr>
              <w:t>apartments</w:t>
            </w:r>
            <w:r w:rsidR="00D17A94">
              <w:rPr>
                <w:i/>
                <w:sz w:val="16"/>
                <w:szCs w:val="16"/>
              </w:rPr>
              <w:t xml:space="preserve"> </w:t>
            </w:r>
            <w:r w:rsidRPr="004F35F4">
              <w:rPr>
                <w:i/>
                <w:sz w:val="16"/>
                <w:szCs w:val="16"/>
              </w:rPr>
              <w:t>of</w:t>
            </w:r>
            <w:r w:rsidR="00D17A94">
              <w:rPr>
                <w:i/>
                <w:sz w:val="16"/>
                <w:szCs w:val="16"/>
              </w:rPr>
              <w:t xml:space="preserve"> </w:t>
            </w:r>
            <w:r w:rsidRPr="004F35F4">
              <w:rPr>
                <w:i/>
                <w:sz w:val="16"/>
                <w:szCs w:val="16"/>
              </w:rPr>
              <w:t>lower</w:t>
            </w:r>
            <w:r w:rsidR="00D17A94">
              <w:rPr>
                <w:i/>
                <w:sz w:val="16"/>
                <w:szCs w:val="16"/>
              </w:rPr>
              <w:t xml:space="preserve"> </w:t>
            </w:r>
            <w:r w:rsidRPr="004F35F4">
              <w:rPr>
                <w:i/>
                <w:sz w:val="16"/>
                <w:szCs w:val="16"/>
              </w:rPr>
              <w:t>standard</w:t>
            </w:r>
          </w:p>
        </w:tc>
        <w:tc>
          <w:tcPr>
            <w:tcW w:w="172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F33762" w:rsidRPr="008B652B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b/>
                <w:sz w:val="18"/>
              </w:rPr>
            </w:pPr>
          </w:p>
        </w:tc>
      </w:tr>
      <w:tr w:rsidR="00BA5FAF" w:rsidRPr="00C44A5D" w:rsidTr="00BA5FAF">
        <w:trPr>
          <w:cantSplit/>
        </w:trPr>
        <w:tc>
          <w:tcPr>
            <w:tcW w:w="7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C44A5D">
              <w:rPr>
                <w:sz w:val="18"/>
              </w:rPr>
              <w:t>2012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84</w:t>
            </w:r>
          </w:p>
        </w:tc>
        <w:tc>
          <w:tcPr>
            <w:tcW w:w="218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1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037</w:t>
            </w:r>
          </w:p>
        </w:tc>
        <w:tc>
          <w:tcPr>
            <w:tcW w:w="17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12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172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180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3762" w:rsidRPr="008B652B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b/>
                <w:sz w:val="18"/>
              </w:rPr>
            </w:pPr>
            <w:r w:rsidRPr="008B652B">
              <w:rPr>
                <w:b/>
                <w:sz w:val="18"/>
              </w:rPr>
              <w:t>16</w:t>
            </w:r>
            <w:r w:rsidR="00D17A94">
              <w:rPr>
                <w:b/>
                <w:sz w:val="18"/>
              </w:rPr>
              <w:t xml:space="preserve"> </w:t>
            </w:r>
            <w:r w:rsidRPr="008B652B">
              <w:rPr>
                <w:b/>
                <w:sz w:val="18"/>
              </w:rPr>
              <w:t>055</w:t>
            </w:r>
            <w:r w:rsidR="00D17A94">
              <w:rPr>
                <w:b/>
                <w:sz w:val="18"/>
              </w:rPr>
              <w:t xml:space="preserve"> </w:t>
            </w:r>
            <w:r w:rsidRPr="008B652B">
              <w:rPr>
                <w:b/>
                <w:sz w:val="18"/>
              </w:rPr>
              <w:t>310</w:t>
            </w:r>
          </w:p>
        </w:tc>
      </w:tr>
      <w:tr w:rsidR="00F33762" w:rsidRPr="00C44A5D" w:rsidTr="00BA5FAF">
        <w:trPr>
          <w:cantSplit/>
        </w:trPr>
        <w:tc>
          <w:tcPr>
            <w:tcW w:w="784" w:type="dxa"/>
            <w:vMerge/>
            <w:shd w:val="clear" w:color="auto" w:fill="auto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23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251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3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883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130</w:t>
            </w:r>
          </w:p>
        </w:tc>
        <w:tc>
          <w:tcPr>
            <w:tcW w:w="1473" w:type="dxa"/>
            <w:vMerge/>
            <w:shd w:val="clear" w:color="auto" w:fill="auto"/>
            <w:vAlign w:val="bottom"/>
          </w:tcPr>
          <w:p w:rsidR="00F33762" w:rsidRPr="008B652B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b/>
                <w:sz w:val="18"/>
              </w:rPr>
            </w:pPr>
          </w:p>
        </w:tc>
      </w:tr>
      <w:tr w:rsidR="00F33762" w:rsidRPr="00C44A5D" w:rsidTr="00BA5FAF">
        <w:trPr>
          <w:cantSplit/>
        </w:trPr>
        <w:tc>
          <w:tcPr>
            <w:tcW w:w="784" w:type="dxa"/>
            <w:vMerge w:val="restart"/>
            <w:shd w:val="clear" w:color="auto" w:fill="auto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C44A5D">
              <w:rPr>
                <w:sz w:val="18"/>
              </w:rPr>
              <w:t>2013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69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1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197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13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906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940</w:t>
            </w:r>
          </w:p>
        </w:tc>
        <w:tc>
          <w:tcPr>
            <w:tcW w:w="1473" w:type="dxa"/>
            <w:vMerge w:val="restart"/>
            <w:shd w:val="clear" w:color="auto" w:fill="auto"/>
            <w:vAlign w:val="bottom"/>
          </w:tcPr>
          <w:p w:rsidR="00F33762" w:rsidRPr="008B652B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b/>
                <w:sz w:val="18"/>
              </w:rPr>
            </w:pPr>
            <w:r w:rsidRPr="008B652B">
              <w:rPr>
                <w:b/>
                <w:sz w:val="18"/>
              </w:rPr>
              <w:t>16</w:t>
            </w:r>
            <w:r w:rsidR="00D17A94">
              <w:rPr>
                <w:b/>
                <w:sz w:val="18"/>
              </w:rPr>
              <w:t xml:space="preserve"> </w:t>
            </w:r>
            <w:r w:rsidRPr="008B652B">
              <w:rPr>
                <w:b/>
                <w:sz w:val="18"/>
              </w:rPr>
              <w:t>743</w:t>
            </w:r>
            <w:r w:rsidR="00D17A94">
              <w:rPr>
                <w:b/>
                <w:sz w:val="18"/>
              </w:rPr>
              <w:t xml:space="preserve"> </w:t>
            </w:r>
            <w:r w:rsidRPr="008B652B">
              <w:rPr>
                <w:b/>
                <w:sz w:val="18"/>
              </w:rPr>
              <w:t>680</w:t>
            </w:r>
          </w:p>
        </w:tc>
      </w:tr>
      <w:tr w:rsidR="00F33762" w:rsidRPr="00C44A5D" w:rsidTr="00BA5FAF">
        <w:trPr>
          <w:cantSplit/>
        </w:trPr>
        <w:tc>
          <w:tcPr>
            <w:tcW w:w="784" w:type="dxa"/>
            <w:vMerge/>
            <w:shd w:val="clear" w:color="auto" w:fill="auto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12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202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2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836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740</w:t>
            </w:r>
          </w:p>
        </w:tc>
        <w:tc>
          <w:tcPr>
            <w:tcW w:w="1473" w:type="dxa"/>
            <w:vMerge/>
            <w:shd w:val="clear" w:color="auto" w:fill="auto"/>
            <w:vAlign w:val="bottom"/>
          </w:tcPr>
          <w:p w:rsidR="00F33762" w:rsidRPr="008B652B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b/>
                <w:sz w:val="18"/>
              </w:rPr>
            </w:pPr>
          </w:p>
        </w:tc>
      </w:tr>
      <w:tr w:rsidR="00F33762" w:rsidRPr="00C44A5D" w:rsidTr="00BA5FAF">
        <w:trPr>
          <w:cantSplit/>
        </w:trPr>
        <w:tc>
          <w:tcPr>
            <w:tcW w:w="784" w:type="dxa"/>
            <w:vMerge w:val="restart"/>
            <w:shd w:val="clear" w:color="auto" w:fill="auto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C44A5D">
              <w:rPr>
                <w:sz w:val="18"/>
              </w:rPr>
              <w:t>2014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119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1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904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31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462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940</w:t>
            </w:r>
          </w:p>
        </w:tc>
        <w:tc>
          <w:tcPr>
            <w:tcW w:w="1473" w:type="dxa"/>
            <w:vMerge w:val="restart"/>
            <w:shd w:val="clear" w:color="auto" w:fill="auto"/>
            <w:vAlign w:val="bottom"/>
          </w:tcPr>
          <w:p w:rsidR="00F33762" w:rsidRPr="008B652B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b/>
                <w:sz w:val="18"/>
              </w:rPr>
            </w:pPr>
            <w:r w:rsidRPr="008B652B">
              <w:rPr>
                <w:b/>
                <w:sz w:val="18"/>
              </w:rPr>
              <w:t>33</w:t>
            </w:r>
            <w:r w:rsidR="00D17A94">
              <w:rPr>
                <w:b/>
                <w:sz w:val="18"/>
              </w:rPr>
              <w:t xml:space="preserve"> </w:t>
            </w:r>
            <w:r w:rsidRPr="008B652B">
              <w:rPr>
                <w:b/>
                <w:sz w:val="18"/>
              </w:rPr>
              <w:t>480</w:t>
            </w:r>
            <w:r w:rsidR="00D17A94">
              <w:rPr>
                <w:b/>
                <w:sz w:val="18"/>
              </w:rPr>
              <w:t xml:space="preserve"> </w:t>
            </w:r>
            <w:r w:rsidRPr="008B652B">
              <w:rPr>
                <w:b/>
                <w:sz w:val="18"/>
              </w:rPr>
              <w:t>430</w:t>
            </w:r>
          </w:p>
        </w:tc>
      </w:tr>
      <w:tr w:rsidR="00F33762" w:rsidRPr="00C44A5D" w:rsidTr="00BA5FAF">
        <w:trPr>
          <w:cantSplit/>
        </w:trPr>
        <w:tc>
          <w:tcPr>
            <w:tcW w:w="784" w:type="dxa"/>
            <w:vMerge/>
            <w:shd w:val="clear" w:color="auto" w:fill="auto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11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103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2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017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490</w:t>
            </w:r>
          </w:p>
        </w:tc>
        <w:tc>
          <w:tcPr>
            <w:tcW w:w="1473" w:type="dxa"/>
            <w:vMerge/>
            <w:shd w:val="clear" w:color="auto" w:fill="auto"/>
            <w:vAlign w:val="bottom"/>
          </w:tcPr>
          <w:p w:rsidR="00F33762" w:rsidRPr="008B652B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b/>
                <w:sz w:val="18"/>
              </w:rPr>
            </w:pPr>
          </w:p>
        </w:tc>
      </w:tr>
      <w:tr w:rsidR="00F33762" w:rsidRPr="00C44A5D" w:rsidTr="00BA5FAF">
        <w:trPr>
          <w:cantSplit/>
        </w:trPr>
        <w:tc>
          <w:tcPr>
            <w:tcW w:w="784" w:type="dxa"/>
            <w:vMerge w:val="restart"/>
            <w:shd w:val="clear" w:color="auto" w:fill="auto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C44A5D">
              <w:rPr>
                <w:sz w:val="18"/>
              </w:rPr>
              <w:t>2015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103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1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844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30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110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570</w:t>
            </w:r>
          </w:p>
        </w:tc>
        <w:tc>
          <w:tcPr>
            <w:tcW w:w="1473" w:type="dxa"/>
            <w:vMerge w:val="restart"/>
            <w:shd w:val="clear" w:color="auto" w:fill="auto"/>
            <w:vAlign w:val="bottom"/>
          </w:tcPr>
          <w:p w:rsidR="00F33762" w:rsidRPr="008B652B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b/>
                <w:sz w:val="18"/>
              </w:rPr>
            </w:pPr>
            <w:r w:rsidRPr="008B652B">
              <w:rPr>
                <w:b/>
                <w:sz w:val="18"/>
              </w:rPr>
              <w:t>31</w:t>
            </w:r>
            <w:r w:rsidR="00D17A94">
              <w:rPr>
                <w:b/>
                <w:sz w:val="18"/>
              </w:rPr>
              <w:t xml:space="preserve"> </w:t>
            </w:r>
            <w:r w:rsidRPr="008B652B">
              <w:rPr>
                <w:b/>
                <w:sz w:val="18"/>
              </w:rPr>
              <w:t>182</w:t>
            </w:r>
            <w:r w:rsidR="00D17A94">
              <w:rPr>
                <w:b/>
                <w:sz w:val="18"/>
              </w:rPr>
              <w:t xml:space="preserve"> </w:t>
            </w:r>
            <w:r w:rsidRPr="008B652B">
              <w:rPr>
                <w:b/>
                <w:sz w:val="18"/>
              </w:rPr>
              <w:t>190</w:t>
            </w:r>
          </w:p>
        </w:tc>
      </w:tr>
      <w:tr w:rsidR="00F33762" w:rsidRPr="00C44A5D" w:rsidTr="00BA5FAF">
        <w:trPr>
          <w:cantSplit/>
        </w:trPr>
        <w:tc>
          <w:tcPr>
            <w:tcW w:w="784" w:type="dxa"/>
            <w:vMerge/>
            <w:shd w:val="clear" w:color="auto" w:fill="auto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6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56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1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071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620</w:t>
            </w:r>
          </w:p>
        </w:tc>
        <w:tc>
          <w:tcPr>
            <w:tcW w:w="1473" w:type="dxa"/>
            <w:vMerge/>
            <w:shd w:val="clear" w:color="auto" w:fill="auto"/>
            <w:vAlign w:val="bottom"/>
          </w:tcPr>
          <w:p w:rsidR="00F33762" w:rsidRPr="008B652B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b/>
                <w:sz w:val="18"/>
              </w:rPr>
            </w:pPr>
          </w:p>
        </w:tc>
      </w:tr>
      <w:tr w:rsidR="00F33762" w:rsidRPr="00C44A5D" w:rsidTr="00BA5FAF">
        <w:trPr>
          <w:cantSplit/>
        </w:trPr>
        <w:tc>
          <w:tcPr>
            <w:tcW w:w="784" w:type="dxa"/>
            <w:vMerge w:val="restart"/>
            <w:shd w:val="clear" w:color="auto" w:fill="auto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C44A5D">
              <w:rPr>
                <w:sz w:val="18"/>
              </w:rPr>
              <w:t>2016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82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1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160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20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318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980</w:t>
            </w:r>
          </w:p>
        </w:tc>
        <w:tc>
          <w:tcPr>
            <w:tcW w:w="1473" w:type="dxa"/>
            <w:vMerge w:val="restart"/>
            <w:shd w:val="clear" w:color="auto" w:fill="auto"/>
            <w:vAlign w:val="bottom"/>
          </w:tcPr>
          <w:p w:rsidR="00F33762" w:rsidRPr="008B652B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b/>
                <w:sz w:val="18"/>
              </w:rPr>
            </w:pPr>
            <w:r w:rsidRPr="008B652B">
              <w:rPr>
                <w:b/>
                <w:sz w:val="18"/>
              </w:rPr>
              <w:t>24</w:t>
            </w:r>
            <w:r w:rsidR="00D17A94">
              <w:rPr>
                <w:b/>
                <w:sz w:val="18"/>
              </w:rPr>
              <w:t xml:space="preserve"> </w:t>
            </w:r>
            <w:r w:rsidRPr="008B652B">
              <w:rPr>
                <w:b/>
                <w:sz w:val="18"/>
              </w:rPr>
              <w:t>503</w:t>
            </w:r>
            <w:r w:rsidR="00D17A94">
              <w:rPr>
                <w:b/>
                <w:sz w:val="18"/>
              </w:rPr>
              <w:t xml:space="preserve"> </w:t>
            </w:r>
            <w:r w:rsidRPr="008B652B">
              <w:rPr>
                <w:b/>
                <w:sz w:val="18"/>
              </w:rPr>
              <w:t>140</w:t>
            </w:r>
          </w:p>
        </w:tc>
      </w:tr>
      <w:tr w:rsidR="00F33762" w:rsidRPr="00C44A5D" w:rsidTr="00BA5FAF">
        <w:trPr>
          <w:cantSplit/>
        </w:trPr>
        <w:tc>
          <w:tcPr>
            <w:tcW w:w="7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7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190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A5D">
              <w:rPr>
                <w:sz w:val="18"/>
              </w:rPr>
              <w:t>4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184</w:t>
            </w:r>
            <w:r w:rsidR="00D17A94">
              <w:rPr>
                <w:sz w:val="18"/>
              </w:rPr>
              <w:t xml:space="preserve"> </w:t>
            </w:r>
            <w:r w:rsidRPr="00C44A5D">
              <w:rPr>
                <w:sz w:val="18"/>
              </w:rPr>
              <w:t>160</w:t>
            </w: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3762" w:rsidRPr="00C44A5D" w:rsidRDefault="00F33762" w:rsidP="00C44A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</w:tr>
    </w:tbl>
    <w:p w:rsidR="00F33762" w:rsidRPr="008A0A12" w:rsidRDefault="00F33762" w:rsidP="00D1103D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23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214.</w:t>
      </w:r>
      <w:r w:rsidRPr="008A0A12">
        <w:tab/>
        <w:t>Public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authorities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arrange</w:t>
      </w:r>
      <w:r w:rsidR="00D17A94">
        <w:t xml:space="preserve"> </w:t>
      </w:r>
      <w:r w:rsidRPr="008A0A12">
        <w:t>preventive</w:t>
      </w:r>
      <w:r w:rsidR="00D17A94">
        <w:t xml:space="preserve"> </w:t>
      </w:r>
      <w:r w:rsidRPr="008A0A12">
        <w:t>activities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prevention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smoking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Tobacco</w:t>
      </w:r>
      <w:r w:rsidR="00D17A94">
        <w:t xml:space="preserve"> </w:t>
      </w:r>
      <w:r w:rsidRPr="008A0A12">
        <w:t>Control</w:t>
      </w:r>
      <w:r w:rsidR="00D17A94">
        <w:t xml:space="preserve"> </w:t>
      </w:r>
      <w:r w:rsidRPr="008A0A12">
        <w:t>Programme.</w:t>
      </w:r>
      <w:r w:rsidR="00D17A94">
        <w:t xml:space="preserve"> </w:t>
      </w:r>
      <w:r w:rsidRPr="008A0A12">
        <w:t>They</w:t>
      </w:r>
      <w:r w:rsidR="00D17A94">
        <w:t xml:space="preserve"> </w:t>
      </w:r>
      <w:r w:rsidRPr="008A0A12">
        <w:t>organise</w:t>
      </w:r>
      <w:r w:rsidR="00D17A94">
        <w:t xml:space="preserve"> </w:t>
      </w:r>
      <w:r w:rsidRPr="008A0A12">
        <w:t>lectures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elementary,</w:t>
      </w:r>
      <w:r w:rsidR="00D17A94">
        <w:t xml:space="preserve"> </w:t>
      </w:r>
      <w:r w:rsidRPr="008A0A12">
        <w:t>secondary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schools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topic:</w:t>
      </w:r>
      <w:r w:rsidR="00D17A94">
        <w:t xml:space="preserve"> </w:t>
      </w:r>
      <w:r w:rsidRPr="008A0A12">
        <w:t>Smoking</w:t>
      </w:r>
      <w:r w:rsidR="00D17A94">
        <w:t xml:space="preserve"> </w:t>
      </w:r>
      <w:r w:rsidRPr="008A0A12">
        <w:t>prevention.</w:t>
      </w:r>
      <w:r w:rsidR="00D17A94">
        <w:t xml:space="preserve"> </w:t>
      </w:r>
      <w:r w:rsidRPr="008A0A12">
        <w:t>Simultaneously,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smoking</w:t>
      </w:r>
      <w:r w:rsidR="00D17A94">
        <w:t xml:space="preserve"> </w:t>
      </w:r>
      <w:r w:rsidRPr="008A0A12">
        <w:t>cessation</w:t>
      </w:r>
      <w:r w:rsidR="00D17A94">
        <w:t xml:space="preserve"> </w:t>
      </w:r>
      <w:r w:rsidRPr="008A0A12">
        <w:t>advisory</w:t>
      </w:r>
      <w:r w:rsidR="00D17A94">
        <w:t xml:space="preserve"> </w:t>
      </w:r>
      <w:r w:rsidRPr="008A0A12">
        <w:t>centres</w:t>
      </w:r>
      <w:r w:rsidR="00D17A94">
        <w:t xml:space="preserve"> </w:t>
      </w:r>
      <w:r w:rsidRPr="008A0A12">
        <w:t>established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regional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authorities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they</w:t>
      </w:r>
      <w:r w:rsidR="00D17A94">
        <w:t xml:space="preserve"> </w:t>
      </w:r>
      <w:r w:rsidRPr="008A0A12">
        <w:t>perform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measurement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carbon</w:t>
      </w:r>
      <w:r w:rsidR="00D17A94">
        <w:t xml:space="preserve"> </w:t>
      </w:r>
      <w:r w:rsidRPr="008A0A12">
        <w:t>monoxide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inhaled</w:t>
      </w:r>
      <w:r w:rsidR="00D17A94">
        <w:t xml:space="preserve"> </w:t>
      </w:r>
      <w:r w:rsidRPr="008A0A12">
        <w:t>air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determine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risk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dependence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nicotine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subsequent</w:t>
      </w:r>
      <w:r w:rsidR="00D17A94">
        <w:t xml:space="preserve"> </w:t>
      </w:r>
      <w:r w:rsidRPr="008A0A12">
        <w:t>consultancy</w:t>
      </w:r>
      <w:r w:rsidR="00D17A94">
        <w:t xml:space="preserve"> </w:t>
      </w:r>
      <w:r w:rsidRPr="008A0A12">
        <w:lastRenderedPageBreak/>
        <w:t>for</w:t>
      </w:r>
      <w:r w:rsidR="00D17A94">
        <w:t xml:space="preserve"> </w:t>
      </w:r>
      <w:r w:rsidRPr="008A0A12">
        <w:t>general</w:t>
      </w:r>
      <w:r w:rsidR="00D17A94">
        <w:t xml:space="preserve"> </w:t>
      </w:r>
      <w:r w:rsidRPr="008A0A12">
        <w:t>public.</w:t>
      </w:r>
      <w:r w:rsidR="00D17A94">
        <w:t xml:space="preserve"> </w:t>
      </w:r>
      <w:r w:rsidRPr="008A0A12">
        <w:t>Since</w:t>
      </w:r>
      <w:r w:rsidR="00D17A94">
        <w:t xml:space="preserve"> </w:t>
      </w:r>
      <w:r w:rsidRPr="008A0A12">
        <w:t>2016,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has</w:t>
      </w:r>
      <w:r w:rsidR="00D17A94">
        <w:t xml:space="preserve"> </w:t>
      </w:r>
      <w:r w:rsidRPr="008A0A12">
        <w:t>been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smoking</w:t>
      </w:r>
      <w:r w:rsidR="00D17A94">
        <w:t xml:space="preserve"> </w:t>
      </w:r>
      <w:r w:rsidRPr="008A0A12">
        <w:t>cessation</w:t>
      </w:r>
      <w:r w:rsidR="00D17A94">
        <w:t xml:space="preserve"> </w:t>
      </w:r>
      <w:r w:rsidRPr="008A0A12">
        <w:t>telephone</w:t>
      </w:r>
      <w:r w:rsidR="00D17A94">
        <w:t xml:space="preserve"> </w:t>
      </w:r>
      <w:r w:rsidRPr="008A0A12">
        <w:t>line</w:t>
      </w:r>
      <w:r w:rsidR="00D17A94">
        <w:t xml:space="preserve"> </w:t>
      </w:r>
      <w:r w:rsidRPr="008A0A12">
        <w:t>operated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Authority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cooperation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regional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authorities.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details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stated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</w:t>
      </w:r>
      <w:r w:rsidR="00D17A94">
        <w:t xml:space="preserve"> </w:t>
      </w:r>
      <w:r w:rsidRPr="008A0A12">
        <w:t>125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F33762">
      <w:pPr>
        <w:pStyle w:val="SingleTxtG"/>
      </w:pPr>
      <w:r w:rsidRPr="008A0A12">
        <w:t>215.</w:t>
      </w:r>
      <w:r w:rsidRPr="008A0A12">
        <w:tab/>
        <w:t>All</w:t>
      </w:r>
      <w:r w:rsidR="00D17A94">
        <w:t xml:space="preserve"> </w:t>
      </w:r>
      <w:r w:rsidRPr="008A0A12">
        <w:t>materials</w:t>
      </w:r>
      <w:r w:rsidR="00D17A94">
        <w:t xml:space="preserve"> </w:t>
      </w:r>
      <w:r w:rsidRPr="008A0A12">
        <w:t>(national</w:t>
      </w:r>
      <w:r w:rsidR="00D17A94">
        <w:t xml:space="preserve"> </w:t>
      </w:r>
      <w:r w:rsidRPr="008A0A12">
        <w:t>report,</w:t>
      </w:r>
      <w:r w:rsidR="00D17A94">
        <w:t xml:space="preserve"> </w:t>
      </w:r>
      <w:r w:rsidRPr="008A0A12">
        <w:t>press</w:t>
      </w:r>
      <w:r w:rsidR="00D17A94">
        <w:t xml:space="preserve"> </w:t>
      </w:r>
      <w:r w:rsidRPr="008A0A12">
        <w:t>release,</w:t>
      </w:r>
      <w:r w:rsidR="00D17A94">
        <w:t xml:space="preserve"> </w:t>
      </w:r>
      <w:r w:rsidRPr="008A0A12">
        <w:t>infographics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promotional</w:t>
      </w:r>
      <w:r w:rsidR="00D17A94">
        <w:t xml:space="preserve"> </w:t>
      </w:r>
      <w:r w:rsidRPr="008A0A12">
        <w:t>video</w:t>
      </w:r>
      <w:r w:rsidRPr="001878DB">
        <w:rPr>
          <w:rStyle w:val="FootnoteReference"/>
        </w:rPr>
        <w:footnoteReference w:id="14"/>
      </w:r>
      <w:r w:rsidRPr="008A0A12">
        <w:t>)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available</w:t>
      </w:r>
      <w:r w:rsidR="00D17A94">
        <w:t xml:space="preserve"> </w:t>
      </w:r>
      <w:r w:rsidRPr="008A0A12">
        <w:t>on-line</w:t>
      </w:r>
      <w:r w:rsidRPr="001878DB">
        <w:rPr>
          <w:rStyle w:val="FootnoteReference"/>
        </w:rPr>
        <w:footnoteReference w:id="15"/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they</w:t>
      </w:r>
      <w:r w:rsidR="00D17A94">
        <w:t xml:space="preserve"> </w:t>
      </w:r>
      <w:r w:rsidRPr="008A0A12">
        <w:t>can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freely</w:t>
      </w:r>
      <w:r w:rsidR="00D17A94">
        <w:t xml:space="preserve"> </w:t>
      </w:r>
      <w:r w:rsidRPr="008A0A12">
        <w:t>downloaded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used.</w:t>
      </w:r>
    </w:p>
    <w:p w:rsidR="00F33762" w:rsidRPr="008A0A12" w:rsidRDefault="00F33762" w:rsidP="00F33762">
      <w:pPr>
        <w:pStyle w:val="SingleTxtG"/>
      </w:pPr>
      <w:r w:rsidRPr="008A0A12">
        <w:t>216.</w:t>
      </w:r>
      <w:r w:rsidRPr="008A0A12">
        <w:tab/>
        <w:t>The</w:t>
      </w:r>
      <w:r w:rsidR="00D17A94">
        <w:t xml:space="preserve"> </w:t>
      </w:r>
      <w:r w:rsidRPr="008A0A12">
        <w:t>results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HBSC</w:t>
      </w:r>
      <w:r w:rsidR="00D17A94">
        <w:t xml:space="preserve"> </w:t>
      </w:r>
      <w:r w:rsidRPr="008A0A12">
        <w:t>show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connection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experience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smoking</w:t>
      </w:r>
      <w:r w:rsidR="00D17A94">
        <w:t xml:space="preserve"> </w:t>
      </w:r>
      <w:r w:rsidRPr="008A0A12">
        <w:t>tobacco</w:t>
      </w:r>
      <w:r w:rsidR="00D17A94">
        <w:t xml:space="preserve"> </w:t>
      </w:r>
      <w:r w:rsidRPr="008A0A12">
        <w:t>(at</w:t>
      </w:r>
      <w:r w:rsidR="00D17A94">
        <w:t xml:space="preserve"> </w:t>
      </w:r>
      <w:r w:rsidRPr="008A0A12">
        <w:t>least</w:t>
      </w:r>
      <w:r w:rsidR="00D17A94">
        <w:t xml:space="preserve"> </w:t>
      </w:r>
      <w:r w:rsidRPr="008A0A12">
        <w:t>once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lifetime)</w:t>
      </w:r>
      <w:r w:rsidR="00D17A94">
        <w:t xml:space="preserve"> </w:t>
      </w:r>
      <w:r w:rsidR="007C38AF">
        <w:t>—</w:t>
      </w:r>
      <w:r w:rsidR="00D17A94">
        <w:t xml:space="preserve"> </w:t>
      </w:r>
      <w:r w:rsidRPr="008A0A12">
        <w:t>comparison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findings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HBSC</w:t>
      </w:r>
      <w:r w:rsidR="00D17A94">
        <w:t xml:space="preserve"> </w:t>
      </w:r>
      <w:r w:rsidRPr="008A0A12">
        <w:t>2009/2010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HBSC</w:t>
      </w:r>
      <w:r w:rsidR="00D17A94">
        <w:t xml:space="preserve"> </w:t>
      </w:r>
      <w:r w:rsidRPr="008A0A12">
        <w:t>2013/2014,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number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schoolchildren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Slovakia</w:t>
      </w:r>
      <w:r w:rsidR="00D17A94">
        <w:t xml:space="preserve"> </w:t>
      </w:r>
      <w:r w:rsidRPr="008A0A12">
        <w:t>having</w:t>
      </w:r>
      <w:r w:rsidR="00D17A94">
        <w:t xml:space="preserve"> </w:t>
      </w:r>
      <w:r w:rsidRPr="008A0A12">
        <w:t>experience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tobacco</w:t>
      </w:r>
      <w:r w:rsidR="00D17A94">
        <w:t xml:space="preserve"> </w:t>
      </w:r>
      <w:r w:rsidRPr="008A0A12">
        <w:t>smoking</w:t>
      </w:r>
      <w:r w:rsidR="00D17A94">
        <w:t xml:space="preserve"> </w:t>
      </w:r>
      <w:r w:rsidRPr="008A0A12">
        <w:t>dropped</w:t>
      </w:r>
      <w:r w:rsidR="00D17A94">
        <w:t xml:space="preserve"> </w:t>
      </w:r>
      <w:r w:rsidRPr="008A0A12">
        <w:t>significantly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analysed</w:t>
      </w:r>
      <w:r w:rsidR="00D17A94">
        <w:t xml:space="preserve"> </w:t>
      </w:r>
      <w:r w:rsidRPr="008A0A12">
        <w:t>groups</w:t>
      </w:r>
      <w:r w:rsidR="00D17A94">
        <w:t xml:space="preserve"> </w:t>
      </w:r>
      <w:r w:rsidRPr="008A0A12">
        <w:t>(11,</w:t>
      </w:r>
      <w:r w:rsidR="00D17A94">
        <w:t xml:space="preserve"> </w:t>
      </w:r>
      <w:r w:rsidRPr="008A0A12">
        <w:t>13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15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old</w:t>
      </w:r>
      <w:r w:rsidR="00D17A94">
        <w:t xml:space="preserve"> </w:t>
      </w:r>
      <w:r w:rsidRPr="008A0A12">
        <w:t>pupils).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detailed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Behaviour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11,</w:t>
      </w:r>
      <w:r w:rsidR="00D17A94">
        <w:t xml:space="preserve"> </w:t>
      </w:r>
      <w:r w:rsidRPr="008A0A12">
        <w:t>13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15</w:t>
      </w:r>
      <w:r w:rsidR="00D17A94">
        <w:t xml:space="preserve"> </w:t>
      </w:r>
      <w:r w:rsidRPr="008A0A12">
        <w:t>Years</w:t>
      </w:r>
      <w:r w:rsidR="00D17A94">
        <w:t xml:space="preserve"> </w:t>
      </w:r>
      <w:r w:rsidRPr="008A0A12">
        <w:t>Old</w:t>
      </w:r>
      <w:r w:rsidR="00D17A94">
        <w:t xml:space="preserve"> </w:t>
      </w:r>
      <w:r w:rsidRPr="008A0A12">
        <w:t>Schoolchildren,</w:t>
      </w:r>
      <w:r w:rsidR="00D17A94">
        <w:t xml:space="preserve"> </w:t>
      </w:r>
      <w:r w:rsidRPr="008A0A12">
        <w:t>HBSC</w:t>
      </w:r>
      <w:r w:rsidR="00D17A94">
        <w:t xml:space="preserve"> </w:t>
      </w:r>
      <w:r w:rsidR="00456170">
        <w:t>—</w:t>
      </w:r>
      <w:r w:rsidR="00D17A94">
        <w:t xml:space="preserve"> </w:t>
      </w:r>
      <w:r w:rsidRPr="008A0A12">
        <w:t>Slovakia</w:t>
      </w:r>
      <w:r w:rsidR="00D17A94">
        <w:t xml:space="preserve"> </w:t>
      </w:r>
      <w:r w:rsidRPr="008A0A12">
        <w:t>2013/2014.</w:t>
      </w:r>
      <w:r w:rsidRPr="001878DB">
        <w:rPr>
          <w:rStyle w:val="FootnoteReference"/>
        </w:rPr>
        <w:footnoteReference w:id="16"/>
      </w:r>
    </w:p>
    <w:p w:rsidR="00F33762" w:rsidRPr="008A0A12" w:rsidRDefault="00F33762" w:rsidP="00D1103D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24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217.</w:t>
      </w:r>
      <w:r w:rsidRPr="008A0A12">
        <w:tab/>
        <w:t>Hormonal</w:t>
      </w:r>
      <w:r w:rsidR="00D17A94">
        <w:t xml:space="preserve"> </w:t>
      </w:r>
      <w:r w:rsidRPr="008A0A12">
        <w:t>contraception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one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many</w:t>
      </w:r>
      <w:r w:rsidR="00D17A94">
        <w:t xml:space="preserve"> </w:t>
      </w:r>
      <w:r w:rsidRPr="008A0A12">
        <w:t>methods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can</w:t>
      </w:r>
      <w:r w:rsidR="00D17A94">
        <w:t xml:space="preserve"> </w:t>
      </w:r>
      <w:r w:rsidRPr="008A0A12">
        <w:t>lead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prevention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unwanted</w:t>
      </w:r>
      <w:r w:rsidR="00D17A94">
        <w:t xml:space="preserve"> </w:t>
      </w:r>
      <w:r w:rsidRPr="008A0A12">
        <w:t>conception.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MH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professional</w:t>
      </w:r>
      <w:r w:rsidR="00D17A94">
        <w:t xml:space="preserve"> </w:t>
      </w:r>
      <w:r w:rsidRPr="008A0A12">
        <w:t>point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view,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opinion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no</w:t>
      </w:r>
      <w:r w:rsidR="00D17A94">
        <w:t xml:space="preserve"> </w:t>
      </w:r>
      <w:r w:rsidRPr="008A0A12">
        <w:t>ideal</w:t>
      </w:r>
      <w:r w:rsidR="00D17A94">
        <w:t xml:space="preserve"> </w:t>
      </w:r>
      <w:r w:rsidRPr="008A0A12">
        <w:t>contraceptive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none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existing</w:t>
      </w:r>
      <w:r w:rsidR="00D17A94">
        <w:t xml:space="preserve"> </w:t>
      </w:r>
      <w:r w:rsidRPr="008A0A12">
        <w:t>available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contraception</w:t>
      </w:r>
      <w:r w:rsidR="00D17A94">
        <w:t xml:space="preserve"> </w:t>
      </w:r>
      <w:r w:rsidRPr="008A0A12">
        <w:t>will</w:t>
      </w:r>
      <w:r w:rsidR="00D17A94">
        <w:t xml:space="preserve"> </w:t>
      </w:r>
      <w:r w:rsidRPr="008A0A12">
        <w:t>guarantee</w:t>
      </w:r>
      <w:r w:rsidR="00D17A94">
        <w:t xml:space="preserve"> </w:t>
      </w:r>
      <w:r w:rsidRPr="008A0A12">
        <w:t>absolute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conception.</w:t>
      </w:r>
      <w:r w:rsidR="00D17A94">
        <w:t xml:space="preserve"> </w:t>
      </w:r>
      <w:r w:rsidRPr="008A0A12">
        <w:t>Each</w:t>
      </w:r>
      <w:r w:rsidR="00D17A94">
        <w:t xml:space="preserve"> </w:t>
      </w:r>
      <w:r w:rsidRPr="008A0A12">
        <w:t>form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brings</w:t>
      </w:r>
      <w:r w:rsidR="00D17A94">
        <w:t xml:space="preserve"> </w:t>
      </w:r>
      <w:r w:rsidRPr="008A0A12">
        <w:t>risks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possible</w:t>
      </w:r>
      <w:r w:rsidR="00D17A94">
        <w:t xml:space="preserve"> </w:t>
      </w:r>
      <w:r w:rsidRPr="008A0A12">
        <w:t>side</w:t>
      </w:r>
      <w:r w:rsidR="00D17A94">
        <w:t xml:space="preserve"> </w:t>
      </w:r>
      <w:r w:rsidRPr="008A0A12">
        <w:t>effects.</w:t>
      </w:r>
      <w:r w:rsidR="00D17A94">
        <w:t xml:space="preserve"> </w:t>
      </w:r>
      <w:r w:rsidRPr="008A0A12">
        <w:t>Hormonal</w:t>
      </w:r>
      <w:r w:rsidR="00D17A94">
        <w:t xml:space="preserve"> </w:t>
      </w:r>
      <w:r w:rsidRPr="008A0A12">
        <w:t>contraception</w:t>
      </w:r>
      <w:r w:rsidR="00D17A94">
        <w:t xml:space="preserve"> </w:t>
      </w:r>
      <w:r w:rsidRPr="008A0A12">
        <w:t>can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highly</w:t>
      </w:r>
      <w:r w:rsidR="00D17A94">
        <w:t xml:space="preserve"> </w:t>
      </w:r>
      <w:r w:rsidRPr="008A0A12">
        <w:t>effective</w:t>
      </w:r>
      <w:r w:rsidR="00D17A94">
        <w:t xml:space="preserve"> </w:t>
      </w:r>
      <w:r w:rsidRPr="008A0A12">
        <w:t>only</w:t>
      </w:r>
      <w:r w:rsidR="00D17A94">
        <w:t xml:space="preserve"> </w:t>
      </w:r>
      <w:r w:rsidRPr="008A0A12">
        <w:t>if</w:t>
      </w:r>
      <w:r w:rsidR="00D17A94">
        <w:t xml:space="preserve"> </w:t>
      </w:r>
      <w:r w:rsidRPr="008A0A12">
        <w:t>used</w:t>
      </w:r>
      <w:r w:rsidR="00D17A94">
        <w:t xml:space="preserve"> </w:t>
      </w:r>
      <w:r w:rsidRPr="008A0A12">
        <w:t>correctly.</w:t>
      </w:r>
      <w:r w:rsidR="00D17A94">
        <w:t xml:space="preserve"> </w:t>
      </w:r>
      <w:r w:rsidRPr="008A0A12">
        <w:t>Generally,</w:t>
      </w:r>
      <w:r w:rsidR="00D17A94">
        <w:t xml:space="preserve"> </w:t>
      </w:r>
      <w:r w:rsidRPr="008A0A12">
        <w:t>we</w:t>
      </w:r>
      <w:r w:rsidR="00D17A94">
        <w:t xml:space="preserve"> </w:t>
      </w:r>
      <w:r w:rsidRPr="008A0A12">
        <w:t>perceive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contraception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unwanted</w:t>
      </w:r>
      <w:r w:rsidR="00D17A94">
        <w:t xml:space="preserve"> </w:t>
      </w:r>
      <w:r w:rsidRPr="008A0A12">
        <w:t>pregnancy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means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contraceptive</w:t>
      </w:r>
      <w:r w:rsidR="00D17A94">
        <w:t xml:space="preserve"> </w:t>
      </w:r>
      <w:r w:rsidRPr="008A0A12">
        <w:t>methods</w:t>
      </w:r>
      <w:r w:rsidR="00D17A94">
        <w:t xml:space="preserve"> </w:t>
      </w:r>
      <w:r w:rsidRPr="008A0A12">
        <w:t>intended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only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woman,</w:t>
      </w:r>
      <w:r w:rsidR="00D17A94">
        <w:t xml:space="preserve"> </w:t>
      </w:r>
      <w:r w:rsidRPr="008A0A12">
        <w:t>but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man.</w:t>
      </w:r>
      <w:r w:rsidR="00D17A94">
        <w:t xml:space="preserve"> </w:t>
      </w:r>
      <w:r w:rsidRPr="008A0A12">
        <w:t>Medicines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contain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substance</w:t>
      </w:r>
      <w:r w:rsidR="00D17A94">
        <w:t xml:space="preserve"> </w:t>
      </w:r>
      <w:r w:rsidRPr="008A0A12">
        <w:t>preventing</w:t>
      </w:r>
      <w:r w:rsidR="00D17A94">
        <w:t xml:space="preserve"> </w:t>
      </w:r>
      <w:r w:rsidRPr="008A0A12">
        <w:t>conception,</w:t>
      </w:r>
      <w:r w:rsidR="00D17A94">
        <w:t xml:space="preserve"> </w:t>
      </w:r>
      <w:r w:rsidRPr="008A0A12">
        <w:t>pregnancy,</w:t>
      </w:r>
      <w:r w:rsidR="00D17A94">
        <w:t xml:space="preserve"> </w:t>
      </w:r>
      <w:r w:rsidRPr="008A0A12">
        <w:t>such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contraceptives,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list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officially</w:t>
      </w:r>
      <w:r w:rsidR="00D17A94">
        <w:t xml:space="preserve"> </w:t>
      </w:r>
      <w:r w:rsidRPr="008A0A12">
        <w:t>set</w:t>
      </w:r>
      <w:r w:rsidR="00D17A94">
        <w:t xml:space="preserve"> </w:t>
      </w:r>
      <w:r w:rsidRPr="008A0A12">
        <w:t>prices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list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categorised</w:t>
      </w:r>
      <w:r w:rsidR="00D17A94">
        <w:t xml:space="preserve"> </w:t>
      </w:r>
      <w:r w:rsidRPr="008A0A12">
        <w:t>drugs</w:t>
      </w:r>
      <w:r w:rsidR="00D17A94">
        <w:t xml:space="preserve"> </w:t>
      </w:r>
      <w:r w:rsidRPr="008A0A12">
        <w:t>since</w:t>
      </w:r>
      <w:r w:rsidR="00D17A94">
        <w:t xml:space="preserve"> </w:t>
      </w:r>
      <w:r w:rsidRPr="008A0A12">
        <w:t>conception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pregnancy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natural</w:t>
      </w:r>
      <w:r w:rsidR="00D17A94">
        <w:t xml:space="preserve"> </w:t>
      </w:r>
      <w:r w:rsidRPr="008A0A12">
        <w:t>physiological</w:t>
      </w:r>
      <w:r w:rsidR="00D17A94">
        <w:t xml:space="preserve"> </w:t>
      </w:r>
      <w:proofErr w:type="spellStart"/>
      <w:r w:rsidRPr="008A0A12">
        <w:t>phenomenons</w:t>
      </w:r>
      <w:proofErr w:type="spellEnd"/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cannot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considered</w:t>
      </w:r>
      <w:r w:rsidR="00D17A94">
        <w:t xml:space="preserve"> </w:t>
      </w:r>
      <w:r w:rsidRPr="008A0A12">
        <w:t>pathological.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126-129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F33762">
      <w:pPr>
        <w:pStyle w:val="SingleTxtG"/>
      </w:pPr>
      <w:r w:rsidRPr="008A0A12">
        <w:t>218.</w:t>
      </w:r>
      <w:r w:rsidRPr="008A0A12">
        <w:tab/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data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database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registered</w:t>
      </w:r>
      <w:r w:rsidR="00D17A94">
        <w:t xml:space="preserve"> </w:t>
      </w:r>
      <w:r w:rsidRPr="008A0A12">
        <w:t>medicines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Institute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Drug</w:t>
      </w:r>
      <w:r w:rsidR="00D17A94">
        <w:t xml:space="preserve"> </w:t>
      </w:r>
      <w:r w:rsidRPr="008A0A12">
        <w:t>Control,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currently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registered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available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387</w:t>
      </w:r>
      <w:r w:rsidR="00D17A94">
        <w:t xml:space="preserve"> </w:t>
      </w:r>
      <w:r w:rsidRPr="008A0A12">
        <w:t>types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hormonal</w:t>
      </w:r>
      <w:r w:rsidR="00D17A94">
        <w:t xml:space="preserve"> </w:t>
      </w:r>
      <w:r w:rsidRPr="008A0A12">
        <w:t>contraception</w:t>
      </w:r>
      <w:r w:rsidR="00D17A94">
        <w:t xml:space="preserve"> </w:t>
      </w:r>
      <w:r w:rsidRPr="008A0A12">
        <w:t>preparations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13</w:t>
      </w:r>
      <w:r w:rsidR="00D17A94">
        <w:t xml:space="preserve"> </w:t>
      </w:r>
      <w:r w:rsidRPr="008A0A12">
        <w:t>types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contraceptives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local</w:t>
      </w:r>
      <w:r w:rsidR="00D17A94">
        <w:t xml:space="preserve"> </w:t>
      </w:r>
      <w:r w:rsidRPr="008A0A12">
        <w:t>use,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healthcare</w:t>
      </w:r>
      <w:r w:rsidR="00D17A94">
        <w:t xml:space="preserve"> </w:t>
      </w:r>
      <w:r w:rsidRPr="008A0A12">
        <w:t>provider</w:t>
      </w:r>
      <w:r w:rsidR="00D17A94">
        <w:t xml:space="preserve"> </w:t>
      </w:r>
      <w:r w:rsidRPr="008A0A12">
        <w:t>can</w:t>
      </w:r>
      <w:r w:rsidR="00D17A94">
        <w:t xml:space="preserve"> </w:t>
      </w:r>
      <w:r w:rsidRPr="008A0A12">
        <w:t>prescribe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women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she</w:t>
      </w:r>
      <w:r w:rsidR="00D17A94">
        <w:t xml:space="preserve"> </w:t>
      </w:r>
      <w:r w:rsidRPr="008A0A12">
        <w:t>can,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prescription,</w:t>
      </w:r>
      <w:r w:rsidR="00D17A94">
        <w:t xml:space="preserve"> </w:t>
      </w:r>
      <w:r w:rsidRPr="008A0A12">
        <w:t>buy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pharmacy,</w:t>
      </w:r>
      <w:r w:rsidR="00D17A94">
        <w:t xml:space="preserve"> </w:t>
      </w:r>
      <w:r w:rsidRPr="008A0A12">
        <w:t>paying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full</w:t>
      </w:r>
      <w:r w:rsidR="00D17A94">
        <w:t xml:space="preserve"> </w:t>
      </w:r>
      <w:r w:rsidRPr="008A0A12">
        <w:t>price.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pharmacist</w:t>
      </w:r>
      <w:r w:rsidR="00D17A94">
        <w:t xml:space="preserve"> </w:t>
      </w:r>
      <w:r w:rsidRPr="008A0A12">
        <w:t>will</w:t>
      </w:r>
      <w:r w:rsidR="00D17A94">
        <w:t xml:space="preserve"> </w:t>
      </w:r>
      <w:r w:rsidRPr="008A0A12">
        <w:t>provide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woman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necessary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product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method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use.</w:t>
      </w:r>
      <w:r w:rsidR="00D17A94">
        <w:t xml:space="preserve"> </w:t>
      </w:r>
      <w:r w:rsidRPr="008A0A12">
        <w:t>Contraceptives,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contraception</w:t>
      </w:r>
      <w:r w:rsidR="00D17A94">
        <w:t xml:space="preserve"> </w:t>
      </w:r>
      <w:r w:rsidRPr="008A0A12">
        <w:t>methods,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available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contraceptives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medically</w:t>
      </w:r>
      <w:r w:rsidR="00D17A94">
        <w:t xml:space="preserve"> </w:t>
      </w:r>
      <w:r w:rsidRPr="008A0A12">
        <w:t>justified,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patient</w:t>
      </w:r>
      <w:r w:rsidR="00413AEE">
        <w:t>’</w:t>
      </w:r>
      <w:r w:rsidRPr="008A0A12">
        <w:t>s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insurance</w:t>
      </w:r>
      <w:r w:rsidR="00D17A94">
        <w:t xml:space="preserve"> </w:t>
      </w:r>
      <w:r w:rsidRPr="008A0A12">
        <w:t>company</w:t>
      </w:r>
      <w:r w:rsidR="00D17A94">
        <w:t xml:space="preserve"> </w:t>
      </w:r>
      <w:r w:rsidRPr="008A0A12">
        <w:t>can</w:t>
      </w:r>
      <w:r w:rsidR="00D17A94">
        <w:t xml:space="preserve"> </w:t>
      </w:r>
      <w:r w:rsidRPr="008A0A12">
        <w:t>pay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insurance.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individually</w:t>
      </w:r>
      <w:r w:rsidR="00D17A94">
        <w:t xml:space="preserve"> </w:t>
      </w:r>
      <w:r w:rsidRPr="008A0A12">
        <w:t>assessed</w:t>
      </w:r>
      <w:r w:rsidR="00D17A94">
        <w:t xml:space="preserve"> </w:t>
      </w:r>
      <w:r w:rsidRPr="008A0A12">
        <w:t>request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method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payment</w:t>
      </w:r>
      <w:r w:rsidR="00D17A94">
        <w:t xml:space="preserve"> </w:t>
      </w:r>
      <w:r w:rsidRPr="008A0A12">
        <w:t>makes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possible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better</w:t>
      </w:r>
      <w:r w:rsidR="00D17A94">
        <w:t xml:space="preserve"> </w:t>
      </w:r>
      <w:r w:rsidRPr="008A0A12">
        <w:t>consider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risks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treatment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effectively</w:t>
      </w:r>
      <w:r w:rsidR="00D17A94">
        <w:t xml:space="preserve"> </w:t>
      </w:r>
      <w:r w:rsidRPr="008A0A12">
        <w:t>use</w:t>
      </w:r>
      <w:r w:rsidR="00D17A94">
        <w:t xml:space="preserve"> </w:t>
      </w:r>
      <w:r w:rsidRPr="008A0A12">
        <w:t>public</w:t>
      </w:r>
      <w:r w:rsidR="00D17A94">
        <w:t xml:space="preserve"> </w:t>
      </w:r>
      <w:r w:rsidRPr="008A0A12">
        <w:t>funds</w:t>
      </w:r>
      <w:r w:rsidR="00D17A94">
        <w:t xml:space="preserve"> </w:t>
      </w:r>
      <w:r w:rsidRPr="008A0A12">
        <w:t>intended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care.</w:t>
      </w:r>
    </w:p>
    <w:p w:rsidR="00F33762" w:rsidRPr="008A0A12" w:rsidRDefault="00F33762" w:rsidP="00F33762">
      <w:pPr>
        <w:pStyle w:val="SingleTxtG"/>
      </w:pPr>
      <w:r w:rsidRPr="008A0A12">
        <w:t>219.</w:t>
      </w:r>
      <w:r w:rsidRPr="008A0A12">
        <w:tab/>
        <w:t>The</w:t>
      </w:r>
      <w:r w:rsidR="00D17A94">
        <w:t xml:space="preserve"> </w:t>
      </w:r>
      <w:r w:rsidRPr="008A0A12">
        <w:t>MH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issues,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Law,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programmes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medical</w:t>
      </w:r>
      <w:r w:rsidR="00D17A94">
        <w:t xml:space="preserve"> </w:t>
      </w:r>
      <w:r w:rsidRPr="008A0A12">
        <w:t>courses</w:t>
      </w:r>
      <w:r w:rsidR="00D17A94">
        <w:t xml:space="preserve"> </w:t>
      </w:r>
      <w:r w:rsidRPr="008A0A12">
        <w:t>preparing</w:t>
      </w:r>
      <w:r w:rsidR="00D17A94">
        <w:t xml:space="preserve"> </w:t>
      </w:r>
      <w:r w:rsidRPr="008A0A12">
        <w:t>students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medical</w:t>
      </w:r>
      <w:r w:rsidR="00D17A94">
        <w:t xml:space="preserve"> </w:t>
      </w:r>
      <w:r w:rsidRPr="008A0A12">
        <w:t>professions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medical</w:t>
      </w:r>
      <w:r w:rsidR="00D17A94">
        <w:t xml:space="preserve"> </w:t>
      </w:r>
      <w:r w:rsidRPr="008A0A12">
        <w:t>vocational</w:t>
      </w:r>
      <w:r w:rsidR="00D17A94">
        <w:t xml:space="preserve"> </w:t>
      </w:r>
      <w:r w:rsidRPr="008A0A12">
        <w:t>schools.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programmes,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general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vocational</w:t>
      </w:r>
      <w:r w:rsidR="00D17A94">
        <w:t xml:space="preserve"> </w:t>
      </w:r>
      <w:r w:rsidRPr="008A0A12">
        <w:t>theoretical</w:t>
      </w:r>
      <w:r w:rsidR="00D17A94">
        <w:t xml:space="preserve"> </w:t>
      </w:r>
      <w:r w:rsidRPr="008A0A12">
        <w:t>education,</w:t>
      </w:r>
      <w:r w:rsidR="00D17A94">
        <w:t xml:space="preserve"> </w:t>
      </w:r>
      <w:r w:rsidRPr="008A0A12">
        <w:t>contain</w:t>
      </w:r>
      <w:r w:rsidR="00D17A94">
        <w:t xml:space="preserve"> </w:t>
      </w:r>
      <w:r w:rsidRPr="008A0A12">
        <w:t>topics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sexual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reproductive</w:t>
      </w:r>
      <w:r w:rsidR="00D17A94">
        <w:t xml:space="preserve"> </w:t>
      </w:r>
      <w:r w:rsidRPr="008A0A12">
        <w:t>health.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during</w:t>
      </w:r>
      <w:r w:rsidR="00D17A94">
        <w:t xml:space="preserve"> </w:t>
      </w:r>
      <w:r w:rsidRPr="008A0A12">
        <w:t>practical</w:t>
      </w:r>
      <w:r w:rsidR="00D17A94">
        <w:t xml:space="preserve"> </w:t>
      </w:r>
      <w:r w:rsidRPr="008A0A12">
        <w:t>instruction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professional</w:t>
      </w:r>
      <w:r w:rsidR="00D17A94">
        <w:t xml:space="preserve"> </w:t>
      </w:r>
      <w:r w:rsidRPr="008A0A12">
        <w:t>clinical</w:t>
      </w:r>
      <w:r w:rsidR="00D17A94">
        <w:t xml:space="preserve"> </w:t>
      </w:r>
      <w:r w:rsidRPr="008A0A12">
        <w:t>practice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relation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treatment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assistance,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students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familiarise</w:t>
      </w:r>
      <w:r w:rsidR="00D17A94">
        <w:t xml:space="preserve"> </w:t>
      </w:r>
      <w:r w:rsidRPr="008A0A12">
        <w:t>themselves,</w:t>
      </w:r>
      <w:r w:rsidR="00D17A94">
        <w:t xml:space="preserve"> </w:t>
      </w:r>
      <w:r w:rsidRPr="008A0A12">
        <w:t>among</w:t>
      </w:r>
      <w:r w:rsidR="00D17A94">
        <w:t xml:space="preserve"> </w:t>
      </w:r>
      <w:r w:rsidRPr="008A0A12">
        <w:t>other</w:t>
      </w:r>
      <w:r w:rsidR="00D17A94">
        <w:t xml:space="preserve"> </w:t>
      </w:r>
      <w:r w:rsidRPr="008A0A12">
        <w:t>things,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issue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pregnancy</w:t>
      </w:r>
      <w:r w:rsidR="00D17A94">
        <w:t xml:space="preserve"> </w:t>
      </w:r>
      <w:r w:rsidRPr="008A0A12">
        <w:t>at</w:t>
      </w:r>
      <w:r w:rsidR="00D17A94">
        <w:t xml:space="preserve"> </w:t>
      </w:r>
      <w:r w:rsidRPr="008A0A12">
        <w:t>an</w:t>
      </w:r>
      <w:r w:rsidR="00D17A94">
        <w:t xml:space="preserve"> </w:t>
      </w:r>
      <w:r w:rsidRPr="008A0A12">
        <w:t>early</w:t>
      </w:r>
      <w:r w:rsidR="00D17A94">
        <w:t xml:space="preserve"> </w:t>
      </w:r>
      <w:r w:rsidRPr="008A0A12">
        <w:t>age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sexually</w:t>
      </w:r>
      <w:r w:rsidR="00D17A94">
        <w:t xml:space="preserve"> </w:t>
      </w:r>
      <w:r w:rsidRPr="008A0A12">
        <w:t>transmitted</w:t>
      </w:r>
      <w:r w:rsidR="00D17A94">
        <w:t xml:space="preserve"> </w:t>
      </w:r>
      <w:r w:rsidRPr="008A0A12">
        <w:t>diseases.</w:t>
      </w:r>
      <w:r w:rsidR="00D17A94">
        <w:t xml:space="preserve"> </w:t>
      </w:r>
      <w:r w:rsidRPr="008A0A12">
        <w:t>Within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healthcare</w:t>
      </w:r>
      <w:r w:rsidR="00D17A94">
        <w:t xml:space="preserve"> </w:t>
      </w:r>
      <w:r w:rsidRPr="008A0A12">
        <w:t>professional,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MH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lays</w:t>
      </w:r>
      <w:r w:rsidR="00D17A94">
        <w:t xml:space="preserve"> </w:t>
      </w:r>
      <w:r w:rsidRPr="008A0A12">
        <w:t>down</w:t>
      </w:r>
      <w:r w:rsidR="00D17A94">
        <w:t xml:space="preserve"> </w:t>
      </w:r>
      <w:r w:rsidRPr="008A0A12">
        <w:t>minimum</w:t>
      </w:r>
      <w:r w:rsidR="00D17A94">
        <w:t xml:space="preserve"> </w:t>
      </w:r>
      <w:r w:rsidRPr="008A0A12">
        <w:t>standards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specialised</w:t>
      </w:r>
      <w:r w:rsidR="00D17A94">
        <w:t xml:space="preserve"> </w:t>
      </w:r>
      <w:r w:rsidRPr="008A0A12">
        <w:t>study</w:t>
      </w:r>
      <w:r w:rsidR="00D17A94">
        <w:t xml:space="preserve"> </w:t>
      </w:r>
      <w:r w:rsidRPr="008A0A12">
        <w:t>programmes,</w:t>
      </w:r>
      <w:r w:rsidR="00D17A94">
        <w:t xml:space="preserve"> </w:t>
      </w:r>
      <w:r w:rsidRPr="008A0A12">
        <w:t>minimum</w:t>
      </w:r>
      <w:r w:rsidR="00D17A94">
        <w:t xml:space="preserve"> </w:t>
      </w:r>
      <w:r w:rsidRPr="008A0A12">
        <w:t>standards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certification</w:t>
      </w:r>
      <w:r w:rsidR="00D17A94">
        <w:t xml:space="preserve"> </w:t>
      </w:r>
      <w:r w:rsidRPr="008A0A12">
        <w:t>study</w:t>
      </w:r>
      <w:r w:rsidR="00D17A94">
        <w:t xml:space="preserve"> </w:t>
      </w:r>
      <w:r w:rsidRPr="008A0A12">
        <w:t>programmes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minimum</w:t>
      </w:r>
      <w:r w:rsidR="00D17A94">
        <w:t xml:space="preserve"> </w:t>
      </w:r>
      <w:r w:rsidRPr="008A0A12">
        <w:t>standards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study</w:t>
      </w:r>
      <w:r w:rsidR="00D17A94">
        <w:t xml:space="preserve"> </w:t>
      </w:r>
      <w:r w:rsidRPr="008A0A12">
        <w:t>programmes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continuous</w:t>
      </w:r>
      <w:r w:rsidR="00D17A94">
        <w:t xml:space="preserve"> </w:t>
      </w:r>
      <w:r w:rsidRPr="008A0A12">
        <w:t>training.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scope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theoretical</w:t>
      </w:r>
      <w:r w:rsidR="00D17A94">
        <w:t xml:space="preserve"> </w:t>
      </w:r>
      <w:r w:rsidRPr="008A0A12">
        <w:t>knowledge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minimum</w:t>
      </w:r>
      <w:r w:rsidR="00D17A94">
        <w:t xml:space="preserve"> </w:t>
      </w:r>
      <w:r w:rsidRPr="008A0A12">
        <w:t>standards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relevant</w:t>
      </w:r>
      <w:r w:rsidR="00D17A94">
        <w:t xml:space="preserve"> </w:t>
      </w:r>
      <w:r w:rsidRPr="008A0A12">
        <w:t>courses</w:t>
      </w:r>
      <w:r w:rsidR="00D17A94">
        <w:t xml:space="preserve"> </w:t>
      </w:r>
      <w:r w:rsidRPr="008A0A12">
        <w:t>includes</w:t>
      </w:r>
      <w:r w:rsidR="00D17A94">
        <w:t xml:space="preserve"> </w:t>
      </w:r>
      <w:r w:rsidRPr="008A0A12">
        <w:t>specific</w:t>
      </w:r>
      <w:r w:rsidR="00D17A94">
        <w:t xml:space="preserve"> </w:t>
      </w:r>
      <w:r w:rsidRPr="008A0A12">
        <w:t>knowledge</w:t>
      </w:r>
      <w:r w:rsidR="00D17A94">
        <w:t xml:space="preserve"> </w:t>
      </w:r>
      <w:r w:rsidRPr="008A0A12">
        <w:t>related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sexual</w:t>
      </w:r>
      <w:r w:rsidR="00D17A94">
        <w:t xml:space="preserve"> </w:t>
      </w:r>
      <w:r w:rsidRPr="008A0A12">
        <w:t>health.</w:t>
      </w:r>
    </w:p>
    <w:p w:rsidR="00F33762" w:rsidRPr="008A0A12" w:rsidRDefault="00F33762" w:rsidP="00D1103D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25</w:t>
      </w:r>
      <w:r w:rsidRPr="008A0A12">
        <w:br/>
        <w:t>Methodological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legislative</w:t>
      </w:r>
      <w:r w:rsidR="00D17A94">
        <w:t xml:space="preserve"> </w:t>
      </w:r>
      <w:r w:rsidRPr="008A0A12">
        <w:t>guidance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recommendations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MESRS</w:t>
      </w:r>
      <w:r w:rsidR="00D17A94">
        <w:t xml:space="preserve"> </w:t>
      </w:r>
      <w:r w:rsidRPr="008A0A12">
        <w:t>SR</w:t>
      </w:r>
    </w:p>
    <w:p w:rsidR="00F33762" w:rsidRPr="008A0A12" w:rsidRDefault="00F33762" w:rsidP="00F33762">
      <w:pPr>
        <w:pStyle w:val="SingleTxtG"/>
      </w:pPr>
      <w:r w:rsidRPr="008A0A12">
        <w:t>220.</w:t>
      </w:r>
      <w:r w:rsidRPr="008A0A12">
        <w:tab/>
        <w:t>In</w:t>
      </w:r>
      <w:r w:rsidR="00D17A94">
        <w:t xml:space="preserve"> </w:t>
      </w:r>
      <w:r w:rsidRPr="008A0A12">
        <w:t>accordance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right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protection</w:t>
      </w:r>
      <w:r w:rsidR="00D17A94">
        <w:t xml:space="preserve"> </w:t>
      </w:r>
      <w:r w:rsidRPr="008A0A12">
        <w:t>against</w:t>
      </w:r>
      <w:r w:rsidR="00D17A94">
        <w:t xml:space="preserve"> </w:t>
      </w:r>
      <w:r w:rsidRPr="008A0A12">
        <w:t>physical,</w:t>
      </w:r>
      <w:r w:rsidR="00D17A94">
        <w:t xml:space="preserve"> </w:t>
      </w:r>
      <w:r w:rsidRPr="008A0A12">
        <w:t>psychological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sexual</w:t>
      </w:r>
      <w:r w:rsidR="00D17A94">
        <w:t xml:space="preserve"> </w:t>
      </w:r>
      <w:r w:rsidRPr="008A0A12">
        <w:t>violence,</w:t>
      </w:r>
      <w:r w:rsidR="00D17A94">
        <w:t xml:space="preserve"> </w:t>
      </w:r>
      <w:r w:rsidRPr="008A0A12">
        <w:t>sufficient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risk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can</w:t>
      </w:r>
      <w:r w:rsidR="00D17A94">
        <w:t xml:space="preserve"> </w:t>
      </w:r>
      <w:r w:rsidRPr="008A0A12">
        <w:lastRenderedPageBreak/>
        <w:t>become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victim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sexual</w:t>
      </w:r>
      <w:r w:rsidR="00D17A94">
        <w:t xml:space="preserve"> </w:t>
      </w:r>
      <w:r w:rsidRPr="008A0A12">
        <w:t>abuse,</w:t>
      </w:r>
      <w:r w:rsidR="00D17A94">
        <w:t xml:space="preserve"> </w:t>
      </w:r>
      <w:r w:rsidRPr="008A0A12">
        <w:t>exploitation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child</w:t>
      </w:r>
      <w:r w:rsidR="00D17A94">
        <w:t xml:space="preserve"> </w:t>
      </w:r>
      <w:r w:rsidRPr="008A0A12">
        <w:t>pornography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available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way</w:t>
      </w:r>
      <w:r w:rsidR="00D17A94">
        <w:t xml:space="preserve"> </w:t>
      </w:r>
      <w:r w:rsidRPr="008A0A12">
        <w:t>corresponding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age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child.</w:t>
      </w:r>
      <w:r w:rsidR="00D17A94">
        <w:t xml:space="preserve"> </w:t>
      </w:r>
      <w:r w:rsidRPr="008A0A12">
        <w:t>Direct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activity</w:t>
      </w:r>
      <w:r w:rsidR="00D17A94">
        <w:t xml:space="preserve"> </w:t>
      </w:r>
      <w:r w:rsidRPr="008A0A12">
        <w:t>puts</w:t>
      </w:r>
      <w:r w:rsidR="00D17A94">
        <w:t xml:space="preserve"> </w:t>
      </w:r>
      <w:r w:rsidRPr="008A0A12">
        <w:t>emphasis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reduction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this</w:t>
      </w:r>
      <w:r w:rsidR="00D17A94">
        <w:t xml:space="preserve"> </w:t>
      </w:r>
      <w:r w:rsidRPr="008A0A12">
        <w:t>risk,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special</w:t>
      </w:r>
      <w:r w:rsidR="00D17A94">
        <w:t xml:space="preserve"> </w:t>
      </w:r>
      <w:r w:rsidRPr="008A0A12">
        <w:t>attention</w:t>
      </w:r>
      <w:r w:rsidR="00D17A94">
        <w:t xml:space="preserve"> </w:t>
      </w:r>
      <w:r w:rsidRPr="008A0A12">
        <w:t>paid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risk</w:t>
      </w:r>
      <w:r w:rsidR="00D17A94">
        <w:t xml:space="preserve"> </w:t>
      </w:r>
      <w:r w:rsidRPr="008A0A12">
        <w:t>arising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Internet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networks.</w:t>
      </w:r>
      <w:r w:rsidRPr="001878DB">
        <w:rPr>
          <w:rStyle w:val="FootnoteReference"/>
        </w:rPr>
        <w:footnoteReference w:id="17"/>
      </w:r>
    </w:p>
    <w:p w:rsidR="00F33762" w:rsidRPr="008A0A12" w:rsidRDefault="00F33762" w:rsidP="002E2539">
      <w:pPr>
        <w:pStyle w:val="H23G"/>
      </w:pPr>
      <w:r w:rsidRPr="008A0A12">
        <w:tab/>
      </w:r>
      <w:r w:rsidRPr="008A0A12">
        <w:tab/>
        <w:t>State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programme</w:t>
      </w:r>
    </w:p>
    <w:p w:rsidR="00F33762" w:rsidRPr="008A0A12" w:rsidRDefault="00F33762" w:rsidP="00F33762">
      <w:pPr>
        <w:pStyle w:val="SingleTxtG"/>
      </w:pPr>
      <w:r w:rsidRPr="008A0A12">
        <w:t>221.</w:t>
      </w:r>
      <w:r w:rsidRPr="008A0A12">
        <w:tab/>
        <w:t>The</w:t>
      </w:r>
      <w:r w:rsidR="00D17A94">
        <w:t xml:space="preserve"> </w:t>
      </w:r>
      <w:r w:rsidRPr="008A0A12">
        <w:t>content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matrimony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parenthood</w:t>
      </w:r>
      <w:r w:rsidR="00D17A94">
        <w:t xml:space="preserve"> </w:t>
      </w:r>
      <w:r w:rsidRPr="008A0A12">
        <w:t>(hereinafter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="00413AEE">
        <w:t>“</w:t>
      </w:r>
      <w:r w:rsidRPr="008A0A12">
        <w:t>EMP</w:t>
      </w:r>
      <w:r w:rsidR="00413AEE">
        <w:t>”</w:t>
      </w:r>
      <w:r w:rsidRPr="008A0A12">
        <w:t>)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defined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curriculum</w:t>
      </w:r>
      <w:r w:rsidR="00D17A94">
        <w:t xml:space="preserve"> </w:t>
      </w:r>
      <w:r w:rsidRPr="008A0A12">
        <w:t>approved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MESRS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2010.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significantly</w:t>
      </w:r>
      <w:r w:rsidR="00D17A94">
        <w:t xml:space="preserve"> </w:t>
      </w:r>
      <w:r w:rsidRPr="008A0A12">
        <w:t>inter-disciplinary</w:t>
      </w:r>
      <w:r w:rsidR="00D17A94">
        <w:t xml:space="preserve"> </w:t>
      </w:r>
      <w:r w:rsidRPr="008A0A12">
        <w:t>nature</w:t>
      </w:r>
      <w:r w:rsidR="00D17A94">
        <w:t xml:space="preserve"> </w:t>
      </w:r>
      <w:r w:rsidRPr="008A0A12">
        <w:t>since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relates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all</w:t>
      </w:r>
      <w:r w:rsidR="00D17A94">
        <w:t xml:space="preserve"> </w:t>
      </w:r>
      <w:r w:rsidRPr="008A0A12">
        <w:t>areas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phases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</w:t>
      </w:r>
      <w:r w:rsidR="00D17A94">
        <w:t xml:space="preserve"> </w:t>
      </w:r>
      <w:r w:rsidRPr="008A0A12">
        <w:t>life.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integrates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itself</w:t>
      </w:r>
      <w:r w:rsidR="00D17A94">
        <w:t xml:space="preserve"> </w:t>
      </w:r>
      <w:r w:rsidRPr="008A0A12">
        <w:t>pedagogical,</w:t>
      </w:r>
      <w:r w:rsidR="00D17A94">
        <w:t xml:space="preserve"> </w:t>
      </w:r>
      <w:r w:rsidRPr="008A0A12">
        <w:t>biological,</w:t>
      </w:r>
      <w:r w:rsidR="00D17A94">
        <w:t xml:space="preserve"> </w:t>
      </w:r>
      <w:r w:rsidRPr="008A0A12">
        <w:t>psychological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sociological</w:t>
      </w:r>
      <w:r w:rsidR="00D17A94">
        <w:t xml:space="preserve"> </w:t>
      </w:r>
      <w:r w:rsidRPr="008A0A12">
        <w:t>knowledge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maturing,</w:t>
      </w:r>
      <w:r w:rsidR="00D17A94">
        <w:t xml:space="preserve"> </w:t>
      </w:r>
      <w:r w:rsidRPr="008A0A12">
        <w:t>sexuality,</w:t>
      </w:r>
      <w:r w:rsidR="00D17A94">
        <w:t xml:space="preserve"> </w:t>
      </w:r>
      <w:r w:rsidRPr="008A0A12">
        <w:t>matrimony,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life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intimate</w:t>
      </w:r>
      <w:r w:rsidR="00D17A94">
        <w:t xml:space="preserve"> </w:t>
      </w:r>
      <w:r w:rsidRPr="008A0A12">
        <w:t>relations.</w:t>
      </w:r>
      <w:r w:rsidR="00D17A94">
        <w:t xml:space="preserve"> </w:t>
      </w:r>
      <w:r w:rsidRPr="008A0A12">
        <w:t>Therefore,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implemented</w:t>
      </w:r>
      <w:r w:rsidR="00D17A94">
        <w:t xml:space="preserve"> </w:t>
      </w:r>
      <w:r w:rsidRPr="008A0A12">
        <w:t>through</w:t>
      </w:r>
      <w:r w:rsidR="00D17A94">
        <w:t xml:space="preserve"> </w:t>
      </w:r>
      <w:r w:rsidRPr="008A0A12">
        <w:t>individual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subjects</w:t>
      </w:r>
      <w:r w:rsidR="00D17A94">
        <w:t xml:space="preserve"> </w:t>
      </w:r>
      <w:r w:rsidRPr="008A0A12"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specifics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possibilities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level,</w:t>
      </w:r>
      <w:r w:rsidR="00D17A94">
        <w:t xml:space="preserve"> </w:t>
      </w:r>
      <w:r w:rsidRPr="008A0A12">
        <w:t>e.g.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following</w:t>
      </w:r>
      <w:r w:rsidR="00D17A94">
        <w:t xml:space="preserve"> </w:t>
      </w:r>
      <w:r w:rsidRPr="008A0A12">
        <w:t>subjects:</w:t>
      </w:r>
      <w:r w:rsidR="00D17A94">
        <w:t xml:space="preserve"> </w:t>
      </w:r>
      <w:r w:rsidRPr="008A0A12">
        <w:t>Slovak</w:t>
      </w:r>
      <w:r w:rsidR="00D17A94">
        <w:t xml:space="preserve"> </w:t>
      </w:r>
      <w:r w:rsidRPr="008A0A12">
        <w:t>language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literature,</w:t>
      </w:r>
      <w:r w:rsidR="00D17A94">
        <w:t xml:space="preserve"> </w:t>
      </w:r>
      <w:r w:rsidRPr="008A0A12">
        <w:t>basics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humanities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natural</w:t>
      </w:r>
      <w:r w:rsidR="00D17A94">
        <w:t xml:space="preserve"> </w:t>
      </w:r>
      <w:r w:rsidRPr="008A0A12">
        <w:t>science,</w:t>
      </w:r>
      <w:r w:rsidR="00D17A94">
        <w:t xml:space="preserve"> </w:t>
      </w:r>
      <w:r w:rsidRPr="008A0A12">
        <w:t>natural</w:t>
      </w:r>
      <w:r w:rsidR="00D17A94">
        <w:t xml:space="preserve"> </w:t>
      </w:r>
      <w:r w:rsidRPr="008A0A12">
        <w:t>science,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history,</w:t>
      </w:r>
      <w:r w:rsidR="00D17A94">
        <w:t xml:space="preserve"> </w:t>
      </w:r>
      <w:r w:rsidRPr="008A0A12">
        <w:t>biology,</w:t>
      </w:r>
      <w:r w:rsidR="00D17A94">
        <w:t xml:space="preserve"> </w:t>
      </w:r>
      <w:r w:rsidRPr="008A0A12">
        <w:t>civics,</w:t>
      </w:r>
      <w:r w:rsidR="00D17A94">
        <w:t xml:space="preserve"> </w:t>
      </w:r>
      <w:r w:rsidRPr="008A0A12">
        <w:t>ethical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religious</w:t>
      </w:r>
      <w:r w:rsidR="00D17A94">
        <w:t xml:space="preserve"> </w:t>
      </w:r>
      <w:r w:rsidRPr="008A0A12">
        <w:t>education.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revised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programme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elementary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revised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programme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grammar</w:t>
      </w:r>
      <w:r w:rsidR="00D17A94">
        <w:t xml:space="preserve"> </w:t>
      </w:r>
      <w:r w:rsidRPr="008A0A12">
        <w:t>schools,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cross-cutting</w:t>
      </w:r>
      <w:r w:rsidR="00D17A94">
        <w:t xml:space="preserve"> </w:t>
      </w:r>
      <w:r w:rsidRPr="008A0A12">
        <w:t>themes,</w:t>
      </w:r>
      <w:r w:rsidR="00D17A94">
        <w:t xml:space="preserve"> </w:t>
      </w:r>
      <w:r w:rsidRPr="008A0A12">
        <w:t>entered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force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</w:t>
      </w:r>
      <w:r w:rsidR="00D17A94">
        <w:t xml:space="preserve"> </w:t>
      </w:r>
      <w:r w:rsidRPr="008A0A12">
        <w:t>September</w:t>
      </w:r>
      <w:r w:rsidR="00D17A94">
        <w:t xml:space="preserve"> </w:t>
      </w:r>
      <w:r w:rsidRPr="008A0A12">
        <w:t>2015.</w:t>
      </w:r>
    </w:p>
    <w:p w:rsidR="00F33762" w:rsidRPr="008A0A12" w:rsidRDefault="00F33762" w:rsidP="00F33762">
      <w:pPr>
        <w:pStyle w:val="SingleTxtG"/>
      </w:pPr>
      <w:r w:rsidRPr="008A0A12">
        <w:t>222.</w:t>
      </w:r>
      <w:r w:rsidRPr="008A0A12">
        <w:tab/>
        <w:t>The</w:t>
      </w:r>
      <w:r w:rsidR="00D17A94">
        <w:t xml:space="preserve"> </w:t>
      </w:r>
      <w:r w:rsidRPr="008A0A12">
        <w:t>content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based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Concept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Matrimony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Parenthood</w:t>
      </w:r>
      <w:r w:rsidR="00D17A94">
        <w:t xml:space="preserve"> </w:t>
      </w:r>
      <w:r w:rsidRPr="008A0A12">
        <w:t>developed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basis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Resolution</w:t>
      </w:r>
      <w:r w:rsidR="00D17A94">
        <w:t xml:space="preserve"> </w:t>
      </w:r>
      <w:r w:rsidRPr="008A0A12">
        <w:t>389/1996</w:t>
      </w:r>
      <w:r w:rsidR="00D17A94">
        <w:t xml:space="preserve"> </w:t>
      </w:r>
      <w:r w:rsidRPr="008A0A12">
        <w:t>approving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Concept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Family</w:t>
      </w:r>
      <w:r w:rsidR="00D17A94">
        <w:t xml:space="preserve"> </w:t>
      </w:r>
      <w:r w:rsidRPr="008A0A12">
        <w:t>Policy,</w:t>
      </w:r>
      <w:r w:rsidR="00D17A94">
        <w:t xml:space="preserve"> </w:t>
      </w:r>
      <w:r w:rsidRPr="008A0A12">
        <w:t>further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Comprehensive</w:t>
      </w:r>
      <w:r w:rsidR="00D17A94">
        <w:t xml:space="preserve"> </w:t>
      </w:r>
      <w:r w:rsidRPr="008A0A12">
        <w:t>Program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Prevention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HIV/AIDS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adopted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Resolution</w:t>
      </w:r>
      <w:r w:rsidR="00D17A94">
        <w:t xml:space="preserve"> </w:t>
      </w:r>
      <w:r w:rsidRPr="008A0A12">
        <w:t>390/1996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Health</w:t>
      </w:r>
      <w:r w:rsidR="00D17A94">
        <w:t xml:space="preserve"> </w:t>
      </w:r>
      <w:r w:rsidRPr="008A0A12">
        <w:t>Promotion</w:t>
      </w:r>
      <w:r w:rsidR="00D17A94">
        <w:t xml:space="preserve"> </w:t>
      </w:r>
      <w:r w:rsidRPr="008A0A12">
        <w:t>Programme</w:t>
      </w:r>
      <w:r w:rsidR="00D17A94">
        <w:t xml:space="preserve"> </w:t>
      </w:r>
      <w:r w:rsidRPr="008A0A12">
        <w:t>approved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Resolution</w:t>
      </w:r>
      <w:r w:rsidR="00D17A94">
        <w:t xml:space="preserve"> </w:t>
      </w:r>
      <w:r w:rsidRPr="008A0A12">
        <w:t>659/1991.</w:t>
      </w:r>
    </w:p>
    <w:p w:rsidR="00F33762" w:rsidRPr="008A0A12" w:rsidRDefault="00F33762" w:rsidP="00F33762">
      <w:pPr>
        <w:pStyle w:val="SingleTxtG"/>
      </w:pPr>
      <w:r w:rsidRPr="008A0A12">
        <w:t>223.</w:t>
      </w:r>
      <w:r w:rsidRPr="008A0A12">
        <w:tab/>
        <w:t>This</w:t>
      </w:r>
      <w:r w:rsidR="00D17A94">
        <w:t xml:space="preserve"> </w:t>
      </w:r>
      <w:r w:rsidRPr="008A0A12">
        <w:t>concept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implicitly</w:t>
      </w:r>
      <w:r w:rsidR="00D17A94">
        <w:t xml:space="preserve"> </w:t>
      </w:r>
      <w:r w:rsidRPr="008A0A12">
        <w:t>includes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issue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sexual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curriculum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elementary</w:t>
      </w:r>
      <w:r w:rsidR="00D17A94">
        <w:t xml:space="preserve"> </w:t>
      </w:r>
      <w:r w:rsidRPr="008A0A12">
        <w:t>schools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secondary</w:t>
      </w:r>
      <w:r w:rsidR="00D17A94">
        <w:t xml:space="preserve"> </w:t>
      </w:r>
      <w:r w:rsidRPr="008A0A12">
        <w:t>schools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represents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proposal</w:t>
      </w:r>
      <w:r w:rsidR="00D17A94">
        <w:t xml:space="preserve"> </w:t>
      </w:r>
      <w:r w:rsidRPr="008A0A12">
        <w:t>acceptable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various</w:t>
      </w:r>
      <w:r w:rsidR="00D17A94">
        <w:t xml:space="preserve"> </w:t>
      </w:r>
      <w:r w:rsidRPr="008A0A12">
        <w:t>opinion</w:t>
      </w:r>
      <w:r w:rsidR="00D17A94">
        <w:t xml:space="preserve"> </w:t>
      </w:r>
      <w:r w:rsidRPr="008A0A12">
        <w:t>groups.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fundamental</w:t>
      </w:r>
      <w:r w:rsidR="00D17A94">
        <w:t xml:space="preserve"> </w:t>
      </w:r>
      <w:r w:rsidRPr="008A0A12">
        <w:t>part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preparation</w:t>
      </w:r>
      <w:r w:rsidR="00D17A94">
        <w:t xml:space="preserve"> </w:t>
      </w:r>
      <w:r w:rsidRPr="008A0A12">
        <w:t>consists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dealing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sexuality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way</w:t>
      </w:r>
      <w:r w:rsidR="00D17A94">
        <w:t xml:space="preserve"> </w:t>
      </w:r>
      <w:r w:rsidRPr="008A0A12">
        <w:t>that,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definition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sexual</w:t>
      </w:r>
      <w:r w:rsidR="00D17A94">
        <w:t xml:space="preserve"> </w:t>
      </w:r>
      <w:r w:rsidRPr="008A0A12">
        <w:t>health,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would</w:t>
      </w:r>
      <w:r w:rsidR="00D17A94">
        <w:t xml:space="preserve"> </w:t>
      </w:r>
      <w:r w:rsidR="00413AEE">
        <w:t>“</w:t>
      </w:r>
      <w:r w:rsidRPr="008A0A12">
        <w:t>enrich</w:t>
      </w:r>
      <w:r w:rsidR="00D17A94">
        <w:t xml:space="preserve"> </w:t>
      </w:r>
      <w:r w:rsidRPr="008A0A12">
        <w:t>personality,</w:t>
      </w:r>
      <w:r w:rsidR="00D17A94">
        <w:t xml:space="preserve"> </w:t>
      </w:r>
      <w:r w:rsidRPr="008A0A12">
        <w:t>improve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relations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people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develop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ability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love</w:t>
      </w:r>
      <w:r w:rsidR="00413AEE">
        <w:t>”</w:t>
      </w:r>
      <w:r w:rsidR="00D17A94">
        <w:t xml:space="preserve"> </w:t>
      </w:r>
      <w:r w:rsidRPr="008A0A12">
        <w:t>(WHO</w:t>
      </w:r>
      <w:r w:rsidR="00D17A94">
        <w:t xml:space="preserve"> </w:t>
      </w:r>
      <w:r w:rsidRPr="008A0A12">
        <w:t>Copenhagen,</w:t>
      </w:r>
      <w:r w:rsidR="00D17A94">
        <w:t xml:space="preserve"> </w:t>
      </w:r>
      <w:r w:rsidRPr="008A0A12">
        <w:t>1974).</w:t>
      </w:r>
    </w:p>
    <w:p w:rsidR="00F33762" w:rsidRPr="008A0A12" w:rsidRDefault="00F33762" w:rsidP="00F33762">
      <w:pPr>
        <w:pStyle w:val="SingleTxtG"/>
      </w:pPr>
      <w:r w:rsidRPr="008A0A12">
        <w:t>224.</w:t>
      </w:r>
      <w:r w:rsidRPr="008A0A12">
        <w:tab/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process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connected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age</w:t>
      </w:r>
      <w:r w:rsidR="00D17A94">
        <w:t xml:space="preserve"> </w:t>
      </w:r>
      <w:r w:rsidRPr="008A0A12">
        <w:t>category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students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level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their</w:t>
      </w:r>
      <w:r w:rsidR="00D17A94">
        <w:t xml:space="preserve"> </w:t>
      </w:r>
      <w:r w:rsidRPr="008A0A12">
        <w:t>physical,</w:t>
      </w:r>
      <w:r w:rsidR="00D17A94">
        <w:t xml:space="preserve"> </w:t>
      </w:r>
      <w:r w:rsidRPr="008A0A12">
        <w:t>psychological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social</w:t>
      </w:r>
      <w:r w:rsidR="00D17A94">
        <w:t xml:space="preserve"> </w:t>
      </w:r>
      <w:r w:rsidRPr="008A0A12">
        <w:t>maturity,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specific</w:t>
      </w:r>
      <w:r w:rsidR="00D17A94">
        <w:t xml:space="preserve"> </w:t>
      </w:r>
      <w:r w:rsidRPr="008A0A12">
        <w:t>conditions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school.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every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there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recommended</w:t>
      </w:r>
      <w:r w:rsidR="00D17A94">
        <w:t xml:space="preserve"> </w:t>
      </w:r>
      <w:r w:rsidRPr="008A0A12">
        <w:t>EMP</w:t>
      </w:r>
      <w:r w:rsidR="00D17A94">
        <w:t xml:space="preserve"> </w:t>
      </w:r>
      <w:r w:rsidRPr="008A0A12">
        <w:t>coordinator</w:t>
      </w:r>
      <w:r w:rsidR="00D17A94">
        <w:t xml:space="preserve"> </w:t>
      </w:r>
      <w:r w:rsidRPr="008A0A12">
        <w:t>who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responsible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inclusion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EMP</w:t>
      </w:r>
      <w:r w:rsidR="00D17A94">
        <w:t xml:space="preserve"> </w:t>
      </w:r>
      <w:r w:rsidRPr="008A0A12">
        <w:t>into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education.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programme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each</w:t>
      </w:r>
      <w:r w:rsidR="00D17A94">
        <w:t xml:space="preserve"> </w:t>
      </w:r>
      <w:r w:rsidRPr="008A0A12">
        <w:t>school</w:t>
      </w:r>
      <w:r w:rsidR="00D17A94">
        <w:t xml:space="preserve"> </w:t>
      </w:r>
      <w:r w:rsidRPr="008A0A12">
        <w:t>must</w:t>
      </w:r>
      <w:r w:rsidR="00D17A94">
        <w:t xml:space="preserve"> </w:t>
      </w:r>
      <w:r w:rsidRPr="008A0A12">
        <w:t>be</w:t>
      </w:r>
      <w:r w:rsidR="00D17A94">
        <w:t xml:space="preserve"> </w:t>
      </w:r>
      <w:r w:rsidRPr="008A0A12">
        <w:t>developed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accordance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principles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objectives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Law.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MESRS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does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support</w:t>
      </w:r>
      <w:r w:rsidR="00D17A94">
        <w:t xml:space="preserve"> </w:t>
      </w:r>
      <w:r w:rsidRPr="008A0A12">
        <w:t>such</w:t>
      </w:r>
      <w:r w:rsidR="00D17A94">
        <w:t xml:space="preserve"> </w:t>
      </w:r>
      <w:r w:rsidRPr="008A0A12">
        <w:t>educational</w:t>
      </w:r>
      <w:r w:rsidR="00D17A94">
        <w:t xml:space="preserve"> </w:t>
      </w:r>
      <w:r w:rsidRPr="008A0A12">
        <w:t>programmes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would</w:t>
      </w:r>
      <w:r w:rsidR="00D17A94">
        <w:t xml:space="preserve"> </w:t>
      </w:r>
      <w:r w:rsidRPr="008A0A12">
        <w:t>favour,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discriminative</w:t>
      </w:r>
      <w:r w:rsidR="00D17A94">
        <w:t xml:space="preserve"> </w:t>
      </w:r>
      <w:r w:rsidRPr="008A0A12">
        <w:t>manner,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focused</w:t>
      </w:r>
      <w:r w:rsidR="00D17A94">
        <w:t xml:space="preserve"> </w:t>
      </w:r>
      <w:r w:rsidRPr="008A0A12">
        <w:t>exclusively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individual</w:t>
      </w:r>
      <w:r w:rsidR="00D17A94">
        <w:t xml:space="preserve"> </w:t>
      </w:r>
      <w:r w:rsidRPr="008A0A12">
        <w:t>benefit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individual,</w:t>
      </w:r>
      <w:r w:rsidR="00D17A94">
        <w:t xml:space="preserve"> </w:t>
      </w:r>
      <w:r w:rsidRPr="008A0A12">
        <w:t>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denial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fundamental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family.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certainly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such</w:t>
      </w:r>
      <w:r w:rsidR="00D17A94">
        <w:t xml:space="preserve"> </w:t>
      </w:r>
      <w:r w:rsidRPr="008A0A12">
        <w:t>programmes</w:t>
      </w:r>
      <w:r w:rsidR="00D17A94">
        <w:t xml:space="preserve"> </w:t>
      </w:r>
      <w:r w:rsidRPr="008A0A12">
        <w:t>that</w:t>
      </w:r>
      <w:r w:rsidR="00D17A94">
        <w:t xml:space="preserve"> </w:t>
      </w:r>
      <w:r w:rsidRPr="008A0A12">
        <w:t>could</w:t>
      </w:r>
      <w:r w:rsidR="00D17A94">
        <w:t xml:space="preserve"> </w:t>
      </w:r>
      <w:r w:rsidRPr="008A0A12">
        <w:t>threaten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moral</w:t>
      </w:r>
      <w:r w:rsidR="00D17A94">
        <w:t xml:space="preserve"> </w:t>
      </w:r>
      <w:r w:rsidRPr="008A0A12">
        <w:t>education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children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young</w:t>
      </w:r>
      <w:r w:rsidR="00D17A94">
        <w:t xml:space="preserve"> </w:t>
      </w:r>
      <w:r w:rsidRPr="008A0A12">
        <w:t>people.</w:t>
      </w:r>
    </w:p>
    <w:p w:rsidR="00F33762" w:rsidRPr="008A0A12" w:rsidRDefault="00F33762" w:rsidP="002E2539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27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225.</w:t>
      </w:r>
      <w:r w:rsidRPr="008A0A12">
        <w:tab/>
        <w:t>The</w:t>
      </w:r>
      <w:r w:rsidR="00D17A94">
        <w:t xml:space="preserve"> </w:t>
      </w:r>
      <w:r w:rsidRPr="008A0A12">
        <w:t>rights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citizens</w:t>
      </w:r>
      <w:r w:rsidR="00D17A94">
        <w:t xml:space="preserve"> </w:t>
      </w:r>
      <w:r w:rsidRPr="008A0A12">
        <w:t>belonging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minority</w:t>
      </w:r>
      <w:r w:rsidR="00D17A94">
        <w:t xml:space="preserve"> </w:t>
      </w:r>
      <w:r w:rsidRPr="008A0A12">
        <w:t>groups,</w:t>
      </w:r>
      <w:r w:rsidR="00D17A94">
        <w:t xml:space="preserve"> </w:t>
      </w:r>
      <w:r w:rsidRPr="008A0A12">
        <w:t>including</w:t>
      </w:r>
      <w:r w:rsidR="00D17A94">
        <w:t xml:space="preserve"> </w:t>
      </w:r>
      <w:r w:rsidRPr="008A0A12">
        <w:t>linguistic</w:t>
      </w:r>
      <w:r w:rsidR="00D17A94">
        <w:t xml:space="preserve"> </w:t>
      </w:r>
      <w:r w:rsidRPr="008A0A12">
        <w:t>rights,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enshrined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they</w:t>
      </w:r>
      <w:r w:rsidR="00D17A94">
        <w:t xml:space="preserve"> </w:t>
      </w:r>
      <w:r w:rsidRPr="008A0A12">
        <w:t>are</w:t>
      </w:r>
      <w:r w:rsidR="00D17A94">
        <w:t xml:space="preserve"> </w:t>
      </w:r>
      <w:r w:rsidRPr="008A0A12">
        <w:t>fully</w:t>
      </w:r>
      <w:r w:rsidR="00D17A94">
        <w:t xml:space="preserve"> </w:t>
      </w:r>
      <w:r w:rsidRPr="008A0A12">
        <w:t>exercised.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270/1995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Language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does</w:t>
      </w:r>
      <w:r w:rsidR="00D17A94">
        <w:t xml:space="preserve"> </w:t>
      </w:r>
      <w:r w:rsidRPr="008A0A12">
        <w:t>not</w:t>
      </w:r>
      <w:r w:rsidR="00D17A94">
        <w:t xml:space="preserve"> </w:t>
      </w:r>
      <w:r w:rsidRPr="008A0A12">
        <w:t>create</w:t>
      </w:r>
      <w:r w:rsidR="00D17A94">
        <w:t xml:space="preserve"> </w:t>
      </w:r>
      <w:r w:rsidRPr="008A0A12">
        <w:t>barriers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languages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official</w:t>
      </w:r>
      <w:r w:rsidR="00D17A94">
        <w:t xml:space="preserve"> </w:t>
      </w:r>
      <w:r w:rsidRPr="008A0A12">
        <w:t>communication.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legislation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provided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130-133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F33762">
      <w:pPr>
        <w:pStyle w:val="SingleTxtG"/>
      </w:pPr>
      <w:r w:rsidRPr="008A0A12">
        <w:t>226.</w:t>
      </w:r>
      <w:r w:rsidRPr="008A0A12">
        <w:tab/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basis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incentives</w:t>
      </w:r>
      <w:r w:rsidR="00D17A94">
        <w:t xml:space="preserve"> </w:t>
      </w:r>
      <w:r w:rsidRPr="008A0A12">
        <w:t>submitted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Committee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office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plenipotentiary</w:t>
      </w:r>
      <w:r w:rsidR="00D17A94">
        <w:t xml:space="preserve"> </w:t>
      </w:r>
      <w:r w:rsidRPr="008A0A12">
        <w:t>initiated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process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recognising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Russian</w:t>
      </w:r>
      <w:r w:rsidR="00D17A94">
        <w:t xml:space="preserve"> </w:t>
      </w:r>
      <w:r w:rsidRPr="008A0A12">
        <w:t>language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Serbian</w:t>
      </w:r>
      <w:r w:rsidR="00D17A94">
        <w:t xml:space="preserve"> </w:t>
      </w:r>
      <w:r w:rsidRPr="008A0A12">
        <w:t>language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minority</w:t>
      </w:r>
      <w:r w:rsidR="00D17A94">
        <w:t xml:space="preserve"> </w:t>
      </w:r>
      <w:r w:rsidRPr="008A0A12">
        <w:t>languages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Language</w:t>
      </w:r>
      <w:r w:rsidR="00D17A94">
        <w:t xml:space="preserve"> </w:t>
      </w:r>
      <w:r w:rsidRPr="008A0A12">
        <w:t>Charter.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proposal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recognise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Russian</w:t>
      </w:r>
      <w:r w:rsidR="00D17A94">
        <w:t xml:space="preserve"> </w:t>
      </w:r>
      <w:r w:rsidRPr="008A0A12">
        <w:t>language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Serbian</w:t>
      </w:r>
      <w:r w:rsidR="00D17A94">
        <w:t xml:space="preserve"> </w:t>
      </w:r>
      <w:r w:rsidRPr="008A0A12">
        <w:t>language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minority</w:t>
      </w:r>
      <w:r w:rsidR="00D17A94">
        <w:t xml:space="preserve"> </w:t>
      </w:r>
      <w:r w:rsidRPr="008A0A12">
        <w:t>languages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Part</w:t>
      </w:r>
      <w:r w:rsidR="00D17A94">
        <w:t xml:space="preserve"> </w:t>
      </w:r>
      <w:r w:rsidRPr="008A0A12">
        <w:t>II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Language</w:t>
      </w:r>
      <w:r w:rsidR="00D17A94">
        <w:t xml:space="preserve"> </w:t>
      </w:r>
      <w:r w:rsidRPr="008A0A12">
        <w:t>Charter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approved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Council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15</w:t>
      </w:r>
      <w:r w:rsidR="00D17A94">
        <w:t xml:space="preserve"> </w:t>
      </w:r>
      <w:r w:rsidRPr="008A0A12">
        <w:t>October</w:t>
      </w:r>
      <w:r w:rsidR="00D17A94">
        <w:t xml:space="preserve"> </w:t>
      </w:r>
      <w:r w:rsidRPr="008A0A12">
        <w:t>2015.</w:t>
      </w:r>
      <w:r w:rsidR="00D17A94">
        <w:t xml:space="preserve"> </w:t>
      </w:r>
      <w:r w:rsidRPr="008A0A12">
        <w:t>Subsequently,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material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approved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18</w:t>
      </w:r>
      <w:r w:rsidR="00D17A94">
        <w:t xml:space="preserve"> </w:t>
      </w:r>
      <w:r w:rsidRPr="008A0A12">
        <w:t>November</w:t>
      </w:r>
      <w:r w:rsidR="00D17A94">
        <w:t xml:space="preserve"> </w:t>
      </w:r>
      <w:r w:rsidRPr="008A0A12">
        <w:t>2015.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Secretary</w:t>
      </w:r>
      <w:r w:rsidR="00D17A94">
        <w:t xml:space="preserve"> </w:t>
      </w:r>
      <w:r w:rsidRPr="008A0A12">
        <w:t>General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Council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Europe</w:t>
      </w:r>
      <w:r w:rsidR="00D17A94">
        <w:t xml:space="preserve"> </w:t>
      </w:r>
      <w:r w:rsidRPr="008A0A12">
        <w:t>was</w:t>
      </w:r>
      <w:r w:rsidR="00D17A94">
        <w:t xml:space="preserve"> </w:t>
      </w:r>
      <w:r w:rsidRPr="008A0A12">
        <w:t>informed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25</w:t>
      </w:r>
      <w:r w:rsidR="00D17A94">
        <w:t xml:space="preserve"> </w:t>
      </w:r>
      <w:r w:rsidRPr="008A0A12">
        <w:t>November</w:t>
      </w:r>
      <w:r w:rsidR="00D17A94">
        <w:t xml:space="preserve"> </w:t>
      </w:r>
      <w:r w:rsidRPr="008A0A12">
        <w:t>2015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recognition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Russian</w:t>
      </w:r>
      <w:r w:rsidR="00D17A94">
        <w:t xml:space="preserve"> </w:t>
      </w:r>
      <w:r w:rsidRPr="008A0A12">
        <w:t>language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Serbian</w:t>
      </w:r>
      <w:r w:rsidR="00D17A94">
        <w:t xml:space="preserve"> </w:t>
      </w:r>
      <w:r w:rsidRPr="008A0A12">
        <w:t>language</w:t>
      </w:r>
      <w:r w:rsidR="00D17A94">
        <w:t xml:space="preserve"> </w:t>
      </w:r>
      <w:r w:rsidRPr="008A0A12">
        <w:t>as</w:t>
      </w:r>
      <w:r w:rsidR="00D17A94">
        <w:t xml:space="preserve"> </w:t>
      </w:r>
      <w:r w:rsidRPr="008A0A12">
        <w:t>minority</w:t>
      </w:r>
      <w:r w:rsidR="00D17A94">
        <w:t xml:space="preserve"> </w:t>
      </w:r>
      <w:r w:rsidRPr="008A0A12">
        <w:t>languages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under</w:t>
      </w:r>
      <w:r w:rsidR="00D17A94">
        <w:t xml:space="preserve"> </w:t>
      </w:r>
      <w:r w:rsidRPr="008A0A12">
        <w:t>Part</w:t>
      </w:r>
      <w:r w:rsidR="00D17A94">
        <w:t xml:space="preserve"> </w:t>
      </w:r>
      <w:r w:rsidRPr="008A0A12">
        <w:t>II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Language</w:t>
      </w:r>
      <w:r w:rsidR="00D17A94">
        <w:t xml:space="preserve"> </w:t>
      </w:r>
      <w:r w:rsidRPr="008A0A12">
        <w:t>Charter.</w:t>
      </w:r>
    </w:p>
    <w:p w:rsidR="00F33762" w:rsidRPr="008A0A12" w:rsidRDefault="00F33762" w:rsidP="00F33762">
      <w:pPr>
        <w:pStyle w:val="SingleTxtG"/>
      </w:pPr>
      <w:r w:rsidRPr="008A0A12">
        <w:lastRenderedPageBreak/>
        <w:t>227.</w:t>
      </w:r>
      <w:r w:rsidRPr="008A0A12">
        <w:tab/>
        <w:t>Law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Language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Law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Use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Languages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National</w:t>
      </w:r>
      <w:r w:rsidR="00D17A94">
        <w:t xml:space="preserve"> </w:t>
      </w:r>
      <w:r w:rsidRPr="008A0A12">
        <w:t>Minorities</w:t>
      </w:r>
      <w:r w:rsidR="00D17A94">
        <w:t xml:space="preserve"> </w:t>
      </w:r>
      <w:r w:rsidRPr="008A0A12">
        <w:t>were</w:t>
      </w:r>
      <w:r w:rsidR="00D17A94">
        <w:t xml:space="preserve"> </w:t>
      </w:r>
      <w:r w:rsidRPr="008A0A12">
        <w:t>amended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2011.</w:t>
      </w:r>
      <w:r w:rsidR="00D17A94">
        <w:t xml:space="preserve"> </w:t>
      </w:r>
      <w:r w:rsidRPr="008A0A12">
        <w:t>More</w:t>
      </w:r>
      <w:r w:rsidR="00D17A94">
        <w:t xml:space="preserve"> </w:t>
      </w:r>
      <w:r w:rsidRPr="008A0A12">
        <w:t>detailed</w:t>
      </w:r>
      <w:r w:rsidR="00D17A94">
        <w:t xml:space="preserve"> </w:t>
      </w:r>
      <w:r w:rsidRPr="008A0A12">
        <w:t>information</w:t>
      </w:r>
      <w:r w:rsidR="00D17A94">
        <w:t xml:space="preserve"> </w:t>
      </w:r>
      <w:r w:rsidRPr="008A0A12">
        <w:t>is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points</w:t>
      </w:r>
      <w:r w:rsidR="00D17A94">
        <w:t xml:space="preserve"> </w:t>
      </w:r>
      <w:r w:rsidRPr="008A0A12">
        <w:t>134-138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appendix.</w:t>
      </w:r>
    </w:p>
    <w:p w:rsidR="00F33762" w:rsidRPr="008A0A12" w:rsidRDefault="00F33762" w:rsidP="002E2539">
      <w:pPr>
        <w:pStyle w:val="H23G"/>
      </w:pPr>
      <w:r w:rsidRPr="008A0A12">
        <w:tab/>
      </w:r>
      <w:r w:rsidRPr="008A0A12">
        <w:tab/>
        <w:t>On</w:t>
      </w:r>
      <w:r w:rsidR="00D17A94">
        <w:t xml:space="preserve"> </w:t>
      </w:r>
      <w:r w:rsidRPr="008A0A12">
        <w:t>recommendation</w:t>
      </w:r>
      <w:r w:rsidR="00D17A94">
        <w:t xml:space="preserve"> </w:t>
      </w:r>
      <w:r w:rsidRPr="008A0A12">
        <w:t>C</w:t>
      </w:r>
      <w:r w:rsidR="00D17A94">
        <w:t xml:space="preserve"> </w:t>
      </w:r>
      <w:r w:rsidRPr="008A0A12">
        <w:t>28</w:t>
      </w:r>
      <w:r w:rsidR="00D17A94">
        <w:t xml:space="preserve"> </w:t>
      </w:r>
    </w:p>
    <w:p w:rsidR="00F33762" w:rsidRPr="008A0A12" w:rsidRDefault="00F33762" w:rsidP="00F33762">
      <w:pPr>
        <w:pStyle w:val="SingleTxtG"/>
      </w:pPr>
      <w:r w:rsidRPr="008A0A12">
        <w:t>228.</w:t>
      </w:r>
      <w:r w:rsidRPr="008A0A12">
        <w:tab/>
        <w:t>The</w:t>
      </w:r>
      <w:r w:rsidR="00D17A94">
        <w:t xml:space="preserve"> </w:t>
      </w:r>
      <w:r w:rsidRPr="008A0A12">
        <w:t>MFEA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published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its</w:t>
      </w:r>
      <w:r w:rsidR="00D17A94">
        <w:t xml:space="preserve"> </w:t>
      </w:r>
      <w:r w:rsidRPr="008A0A12">
        <w:t>website</w:t>
      </w:r>
      <w:r w:rsidR="00D17A94">
        <w:t xml:space="preserve"> </w:t>
      </w:r>
      <w:r w:rsidRPr="008A0A12">
        <w:t>www.mzv.sk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second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third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submitted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committee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Slovak</w:t>
      </w:r>
      <w:r w:rsidR="00D17A94">
        <w:t xml:space="preserve"> </w:t>
      </w:r>
      <w:r w:rsidRPr="008A0A12">
        <w:t>and</w:t>
      </w:r>
      <w:r w:rsidR="00D17A94">
        <w:t xml:space="preserve"> </w:t>
      </w:r>
      <w:r w:rsidRPr="008A0A12">
        <w:t>English</w:t>
      </w:r>
      <w:r w:rsidR="00D17A94">
        <w:t xml:space="preserve"> </w:t>
      </w:r>
      <w:r w:rsidRPr="008A0A12">
        <w:t>languages.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also</w:t>
      </w:r>
      <w:r w:rsidR="00D17A94">
        <w:t xml:space="preserve"> </w:t>
      </w:r>
      <w:r w:rsidRPr="008A0A12">
        <w:t>published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final</w:t>
      </w:r>
      <w:r w:rsidR="00D17A94">
        <w:t xml:space="preserve"> </w:t>
      </w:r>
      <w:r w:rsidRPr="008A0A12">
        <w:t>recommendations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committee</w:t>
      </w:r>
      <w:r w:rsidR="00D17A94">
        <w:t xml:space="preserve"> </w:t>
      </w:r>
      <w:r w:rsidRPr="008A0A12">
        <w:t>from</w:t>
      </w:r>
      <w:r w:rsidR="00D17A94">
        <w:t xml:space="preserve"> </w:t>
      </w:r>
      <w:r w:rsidRPr="008A0A12">
        <w:t>2012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English</w:t>
      </w:r>
      <w:r w:rsidR="00D17A94">
        <w:t xml:space="preserve"> </w:t>
      </w:r>
      <w:r w:rsidRPr="008A0A12">
        <w:t>language.</w:t>
      </w:r>
      <w:r w:rsidR="00D17A94">
        <w:t xml:space="preserve"> </w:t>
      </w:r>
      <w:r w:rsidRPr="008A0A12">
        <w:t>It</w:t>
      </w:r>
      <w:r w:rsidR="00D17A94">
        <w:t xml:space="preserve"> </w:t>
      </w:r>
      <w:r w:rsidRPr="008A0A12">
        <w:t>published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government</w:t>
      </w:r>
      <w:r w:rsidR="00D17A94">
        <w:t xml:space="preserve"> </w:t>
      </w:r>
      <w:r w:rsidRPr="008A0A12">
        <w:t>approved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Assessment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Second</w:t>
      </w:r>
      <w:r w:rsidR="00D17A94">
        <w:t xml:space="preserve"> </w:t>
      </w:r>
      <w:r w:rsidRPr="008A0A12">
        <w:t>Periodical</w:t>
      </w:r>
      <w:r w:rsidR="00D17A94">
        <w:t xml:space="preserve"> </w:t>
      </w:r>
      <w:r w:rsidRPr="008A0A12">
        <w:t>Report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</w:t>
      </w:r>
      <w:r w:rsidR="00D17A94">
        <w:t xml:space="preserve"> </w:t>
      </w:r>
      <w:r w:rsidRPr="008A0A12">
        <w:t>according</w:t>
      </w:r>
      <w:r w:rsidR="00D17A94">
        <w:t xml:space="preserve"> </w:t>
      </w:r>
      <w:r w:rsidRPr="008A0A12">
        <w:t>to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pact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front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committee</w:t>
      </w:r>
      <w:r w:rsidR="00D17A94">
        <w:t xml:space="preserve"> </w:t>
      </w:r>
      <w:r w:rsidRPr="008A0A12">
        <w:t>with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proposal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entities</w:t>
      </w:r>
      <w:r w:rsidR="00D17A94">
        <w:t xml:space="preserve"> </w:t>
      </w:r>
      <w:r w:rsidRPr="008A0A12">
        <w:t>responsible</w:t>
      </w:r>
      <w:r w:rsidR="00D17A94">
        <w:t xml:space="preserve"> </w:t>
      </w:r>
      <w:r w:rsidRPr="008A0A12">
        <w:t>for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recommendations</w:t>
      </w:r>
      <w:r w:rsidR="00D17A94">
        <w:t xml:space="preserve"> </w:t>
      </w:r>
      <w:r w:rsidRPr="008A0A12">
        <w:t>included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a</w:t>
      </w:r>
      <w:r w:rsidR="00D17A94">
        <w:t xml:space="preserve"> </w:t>
      </w:r>
      <w:r w:rsidRPr="008A0A12">
        <w:t>Final</w:t>
      </w:r>
      <w:r w:rsidR="00D17A94">
        <w:t xml:space="preserve"> </w:t>
      </w:r>
      <w:r w:rsidRPr="008A0A12">
        <w:t>Opinion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Committee,</w:t>
      </w:r>
      <w:r w:rsidR="00D17A94">
        <w:t xml:space="preserve"> </w:t>
      </w:r>
      <w:r w:rsidRPr="008A0A12">
        <w:t>which</w:t>
      </w:r>
      <w:r w:rsidR="00D17A94">
        <w:t xml:space="preserve"> </w:t>
      </w:r>
      <w:r w:rsidRPr="008A0A12">
        <w:t>contains</w:t>
      </w:r>
      <w:r w:rsidR="00D17A94">
        <w:t xml:space="preserve"> </w:t>
      </w:r>
      <w:r w:rsidRPr="008A0A12">
        <w:t>data</w:t>
      </w:r>
      <w:r w:rsidR="00D17A94">
        <w:t xml:space="preserve"> </w:t>
      </w:r>
      <w:r w:rsidRPr="008A0A12">
        <w:t>on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implementation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recommendations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committee</w:t>
      </w:r>
      <w:r w:rsidR="00D17A94">
        <w:t xml:space="preserve"> </w:t>
      </w:r>
      <w:r w:rsidRPr="008A0A12">
        <w:t>by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relevant</w:t>
      </w:r>
      <w:r w:rsidR="00D17A94">
        <w:t xml:space="preserve"> </w:t>
      </w:r>
      <w:r w:rsidRPr="008A0A12">
        <w:t>state</w:t>
      </w:r>
      <w:r w:rsidR="00D17A94">
        <w:t xml:space="preserve"> </w:t>
      </w:r>
      <w:r w:rsidRPr="008A0A12">
        <w:t>authorities</w:t>
      </w:r>
      <w:r w:rsidR="00D17A94">
        <w:t xml:space="preserve"> </w:t>
      </w:r>
      <w:r w:rsidRPr="008A0A12">
        <w:t>of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SR,</w:t>
      </w:r>
      <w:r w:rsidR="00D17A94">
        <w:t xml:space="preserve"> </w:t>
      </w:r>
      <w:r w:rsidRPr="008A0A12">
        <w:t>in</w:t>
      </w:r>
      <w:r w:rsidR="00D17A94">
        <w:t xml:space="preserve"> </w:t>
      </w:r>
      <w:r w:rsidRPr="008A0A12">
        <w:t>the</w:t>
      </w:r>
      <w:r w:rsidR="00D17A94">
        <w:t xml:space="preserve"> </w:t>
      </w:r>
      <w:r w:rsidRPr="008A0A12">
        <w:t>Slovak</w:t>
      </w:r>
      <w:r w:rsidR="00D17A94">
        <w:t xml:space="preserve"> </w:t>
      </w:r>
      <w:r w:rsidRPr="008A0A12">
        <w:t>language.</w:t>
      </w:r>
    </w:p>
    <w:p w:rsidR="002E2539" w:rsidRPr="00106A43" w:rsidRDefault="002E253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E2539" w:rsidRPr="00106A43" w:rsidSect="0095101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2B" w:rsidRPr="00FB1744" w:rsidRDefault="009E072B" w:rsidP="00FB1744">
      <w:pPr>
        <w:pStyle w:val="Footer"/>
      </w:pPr>
    </w:p>
  </w:endnote>
  <w:endnote w:type="continuationSeparator" w:id="0">
    <w:p w:rsidR="009E072B" w:rsidRPr="00FB1744" w:rsidRDefault="009E072B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EE" w:rsidRPr="00951012" w:rsidRDefault="00413AEE" w:rsidP="00951012">
    <w:pPr>
      <w:pStyle w:val="Footer"/>
      <w:tabs>
        <w:tab w:val="right" w:pos="9598"/>
      </w:tabs>
    </w:pPr>
    <w:r w:rsidRPr="00951012">
      <w:rPr>
        <w:b/>
        <w:sz w:val="18"/>
      </w:rPr>
      <w:fldChar w:fldCharType="begin"/>
    </w:r>
    <w:r w:rsidRPr="00951012">
      <w:rPr>
        <w:b/>
        <w:sz w:val="18"/>
      </w:rPr>
      <w:instrText xml:space="preserve"> PAGE  \* MERGEFORMAT </w:instrText>
    </w:r>
    <w:r w:rsidRPr="00951012">
      <w:rPr>
        <w:b/>
        <w:sz w:val="18"/>
      </w:rPr>
      <w:fldChar w:fldCharType="separate"/>
    </w:r>
    <w:r w:rsidR="00802FB4">
      <w:rPr>
        <w:b/>
        <w:noProof/>
        <w:sz w:val="18"/>
      </w:rPr>
      <w:t>20</w:t>
    </w:r>
    <w:r w:rsidRPr="0095101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EE" w:rsidRPr="00951012" w:rsidRDefault="00413AEE" w:rsidP="00951012">
    <w:pPr>
      <w:pStyle w:val="Footer"/>
      <w:tabs>
        <w:tab w:val="right" w:pos="9598"/>
      </w:tabs>
      <w:rPr>
        <w:b/>
        <w:sz w:val="18"/>
      </w:rPr>
    </w:pPr>
    <w:r>
      <w:tab/>
    </w:r>
    <w:r w:rsidRPr="00951012">
      <w:rPr>
        <w:b/>
        <w:sz w:val="18"/>
      </w:rPr>
      <w:fldChar w:fldCharType="begin"/>
    </w:r>
    <w:r w:rsidRPr="00951012">
      <w:rPr>
        <w:b/>
        <w:sz w:val="18"/>
      </w:rPr>
      <w:instrText xml:space="preserve"> PAGE  \* MERGEFORMAT </w:instrText>
    </w:r>
    <w:r w:rsidRPr="00951012">
      <w:rPr>
        <w:b/>
        <w:sz w:val="18"/>
      </w:rPr>
      <w:fldChar w:fldCharType="separate"/>
    </w:r>
    <w:r w:rsidR="00802FB4">
      <w:rPr>
        <w:b/>
        <w:noProof/>
        <w:sz w:val="18"/>
      </w:rPr>
      <w:t>21</w:t>
    </w:r>
    <w:r w:rsidRPr="009510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B4" w:rsidRDefault="00802FB4" w:rsidP="00802FB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2FB4" w:rsidRDefault="00802FB4" w:rsidP="00802FB4">
    <w:pPr>
      <w:pStyle w:val="Footer"/>
      <w:ind w:right="1134"/>
      <w:rPr>
        <w:sz w:val="20"/>
      </w:rPr>
    </w:pPr>
    <w:r>
      <w:rPr>
        <w:sz w:val="20"/>
      </w:rPr>
      <w:t>GE.17-13500(E)</w:t>
    </w:r>
  </w:p>
  <w:p w:rsidR="00802FB4" w:rsidRPr="00802FB4" w:rsidRDefault="00802FB4" w:rsidP="00802FB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/C.12/SVK/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SVK/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2B" w:rsidRPr="00FB1744" w:rsidRDefault="009E072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9E072B" w:rsidRPr="00FB1744" w:rsidRDefault="009E072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413AEE" w:rsidRPr="009407CA" w:rsidRDefault="00413AEE">
      <w:pPr>
        <w:pStyle w:val="FootnoteText"/>
      </w:pPr>
      <w:r>
        <w:rPr>
          <w:rStyle w:val="FootnoteReference"/>
        </w:rPr>
        <w:tab/>
      </w:r>
      <w:r w:rsidRPr="009407C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41684">
        <w:t>The</w:t>
      </w:r>
      <w:r>
        <w:t xml:space="preserve"> </w:t>
      </w:r>
      <w:r w:rsidRPr="00F41684">
        <w:t>present</w:t>
      </w:r>
      <w:r>
        <w:t xml:space="preserve"> </w:t>
      </w:r>
      <w:r w:rsidRPr="00F41684">
        <w:t>document</w:t>
      </w:r>
      <w:r>
        <w:t xml:space="preserve"> </w:t>
      </w:r>
      <w:r w:rsidRPr="00F41684">
        <w:t>is</w:t>
      </w:r>
      <w:r>
        <w:t xml:space="preserve"> </w:t>
      </w:r>
      <w:r w:rsidRPr="00F41684">
        <w:t>being</w:t>
      </w:r>
      <w:r>
        <w:t xml:space="preserve"> </w:t>
      </w:r>
      <w:r w:rsidRPr="00F41684">
        <w:t>issued</w:t>
      </w:r>
      <w:r>
        <w:t xml:space="preserve"> </w:t>
      </w:r>
      <w:r w:rsidRPr="00F41684">
        <w:t>without</w:t>
      </w:r>
      <w:r>
        <w:t xml:space="preserve"> </w:t>
      </w:r>
      <w:r w:rsidRPr="00F41684">
        <w:t>formal</w:t>
      </w:r>
      <w:r>
        <w:t xml:space="preserve"> </w:t>
      </w:r>
      <w:r w:rsidRPr="00F41684">
        <w:t>editing.</w:t>
      </w:r>
    </w:p>
  </w:footnote>
  <w:footnote w:id="2">
    <w:p w:rsidR="00413AEE" w:rsidRPr="009407CA" w:rsidRDefault="00413AEE">
      <w:pPr>
        <w:pStyle w:val="FootnoteText"/>
      </w:pPr>
      <w:r>
        <w:rPr>
          <w:rStyle w:val="FootnoteReference"/>
        </w:rPr>
        <w:tab/>
      </w:r>
      <w:r w:rsidRPr="009407CA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00404E">
        <w:t>The</w:t>
      </w:r>
      <w:r>
        <w:t xml:space="preserve"> </w:t>
      </w:r>
      <w:r w:rsidRPr="0000404E">
        <w:t>annexes</w:t>
      </w:r>
      <w:r>
        <w:t xml:space="preserve"> </w:t>
      </w:r>
      <w:r w:rsidRPr="0000404E">
        <w:t>to</w:t>
      </w:r>
      <w:r>
        <w:t xml:space="preserve"> </w:t>
      </w:r>
      <w:r w:rsidRPr="0000404E">
        <w:t>the</w:t>
      </w:r>
      <w:r>
        <w:t xml:space="preserve"> </w:t>
      </w:r>
      <w:r w:rsidRPr="0000404E">
        <w:t>present</w:t>
      </w:r>
      <w:r>
        <w:t xml:space="preserve"> </w:t>
      </w:r>
      <w:r w:rsidRPr="0000404E">
        <w:t>report</w:t>
      </w:r>
      <w:r>
        <w:t xml:space="preserve"> </w:t>
      </w:r>
      <w:r w:rsidRPr="0000404E">
        <w:t>are</w:t>
      </w:r>
      <w:r>
        <w:t xml:space="preserve"> </w:t>
      </w:r>
      <w:r w:rsidRPr="0000404E">
        <w:t>available</w:t>
      </w:r>
      <w:r>
        <w:t xml:space="preserve"> </w:t>
      </w:r>
      <w:r w:rsidRPr="0000404E">
        <w:t>for</w:t>
      </w:r>
      <w:r>
        <w:t xml:space="preserve"> </w:t>
      </w:r>
      <w:r w:rsidRPr="0000404E">
        <w:t>consultation</w:t>
      </w:r>
      <w:r>
        <w:t xml:space="preserve"> </w:t>
      </w:r>
      <w:r w:rsidRPr="0000404E">
        <w:t>from</w:t>
      </w:r>
      <w:r>
        <w:t xml:space="preserve"> </w:t>
      </w:r>
      <w:r w:rsidRPr="0000404E">
        <w:t>the</w:t>
      </w:r>
      <w:r>
        <w:t xml:space="preserve"> </w:t>
      </w:r>
      <w:r w:rsidRPr="0000404E">
        <w:t>Committee</w:t>
      </w:r>
      <w:r>
        <w:t xml:space="preserve"> </w:t>
      </w:r>
      <w:r w:rsidRPr="0000404E">
        <w:t>secretariat.</w:t>
      </w:r>
      <w:r>
        <w:t xml:space="preserve"> </w:t>
      </w:r>
      <w:r w:rsidRPr="0000404E">
        <w:t>They</w:t>
      </w:r>
      <w:r>
        <w:t xml:space="preserve"> </w:t>
      </w:r>
      <w:r w:rsidRPr="0000404E">
        <w:t>may</w:t>
      </w:r>
      <w:r>
        <w:t xml:space="preserve"> </w:t>
      </w:r>
      <w:r w:rsidRPr="0000404E">
        <w:t>also</w:t>
      </w:r>
      <w:r>
        <w:t xml:space="preserve"> </w:t>
      </w:r>
      <w:r w:rsidRPr="0000404E">
        <w:t>be</w:t>
      </w:r>
      <w:r>
        <w:t xml:space="preserve"> </w:t>
      </w:r>
      <w:r w:rsidRPr="0000404E">
        <w:t>accessed</w:t>
      </w:r>
      <w:r>
        <w:t xml:space="preserve"> </w:t>
      </w:r>
      <w:r w:rsidRPr="0000404E">
        <w:t>from</w:t>
      </w:r>
      <w:r>
        <w:t xml:space="preserve"> </w:t>
      </w:r>
      <w:r w:rsidRPr="0000404E">
        <w:t>the</w:t>
      </w:r>
      <w:r>
        <w:t xml:space="preserve"> </w:t>
      </w:r>
      <w:r w:rsidRPr="0000404E">
        <w:t>web</w:t>
      </w:r>
      <w:r>
        <w:t xml:space="preserve"> </w:t>
      </w:r>
      <w:r w:rsidRPr="0000404E">
        <w:t>page</w:t>
      </w:r>
      <w:r>
        <w:t xml:space="preserve"> </w:t>
      </w:r>
      <w:r w:rsidRPr="0000404E">
        <w:t>of</w:t>
      </w:r>
      <w:r>
        <w:t xml:space="preserve"> </w:t>
      </w:r>
      <w:r w:rsidRPr="0000404E">
        <w:t>the</w:t>
      </w:r>
      <w:r>
        <w:t xml:space="preserve"> </w:t>
      </w:r>
      <w:r w:rsidRPr="0000404E">
        <w:t>Committee.</w:t>
      </w:r>
    </w:p>
  </w:footnote>
  <w:footnote w:id="3">
    <w:p w:rsidR="00413AEE" w:rsidRPr="00F41684" w:rsidRDefault="00413AEE" w:rsidP="00F33762">
      <w:pPr>
        <w:pStyle w:val="FootnoteText"/>
      </w:pPr>
      <w:r>
        <w:tab/>
      </w:r>
      <w:r w:rsidRPr="006C76F4">
        <w:rPr>
          <w:rStyle w:val="FootnoteReference"/>
        </w:rPr>
        <w:footnoteRef/>
      </w:r>
      <w:r w:rsidRPr="00F41684">
        <w:tab/>
        <w:t>E/C.12/1991/1</w:t>
      </w:r>
      <w:r>
        <w:t>.</w:t>
      </w:r>
    </w:p>
  </w:footnote>
  <w:footnote w:id="4">
    <w:p w:rsidR="00413AEE" w:rsidRPr="00F41684" w:rsidRDefault="00413AEE" w:rsidP="00F33762">
      <w:pPr>
        <w:pStyle w:val="FootnoteText"/>
      </w:pPr>
      <w:r>
        <w:tab/>
      </w:r>
      <w:r w:rsidRPr="006C76F4">
        <w:rPr>
          <w:rStyle w:val="FootnoteReference"/>
        </w:rPr>
        <w:footnoteRef/>
      </w:r>
      <w:r w:rsidRPr="00F41684">
        <w:tab/>
        <w:t>E/C.12/SVK/CO/2</w:t>
      </w:r>
      <w:r>
        <w:t>.</w:t>
      </w:r>
    </w:p>
  </w:footnote>
  <w:footnote w:id="5">
    <w:p w:rsidR="00413AEE" w:rsidRPr="00F41684" w:rsidRDefault="00413AEE" w:rsidP="00F33762">
      <w:pPr>
        <w:pStyle w:val="FootnoteText"/>
      </w:pPr>
      <w:r>
        <w:tab/>
      </w:r>
      <w:r w:rsidRPr="006C76F4">
        <w:rPr>
          <w:rStyle w:val="FootnoteReference"/>
        </w:rPr>
        <w:footnoteRef/>
      </w:r>
      <w:r>
        <w:tab/>
      </w:r>
      <w:r w:rsidRPr="00F41684">
        <w:rPr>
          <w:rStyle w:val="sessionsubtitle"/>
        </w:rPr>
        <w:t>E/C.12/SVK/2</w:t>
      </w:r>
      <w:r>
        <w:rPr>
          <w:rStyle w:val="sessionsubtitle"/>
        </w:rPr>
        <w:t>.</w:t>
      </w:r>
    </w:p>
  </w:footnote>
  <w:footnote w:id="6">
    <w:p w:rsidR="00413AEE" w:rsidRPr="00F41684" w:rsidRDefault="00413AEE" w:rsidP="00F33762">
      <w:pPr>
        <w:pStyle w:val="FootnoteText"/>
      </w:pPr>
      <w:r>
        <w:tab/>
      </w:r>
      <w:r w:rsidRPr="006C76F4">
        <w:rPr>
          <w:rStyle w:val="FootnoteReference"/>
        </w:rPr>
        <w:footnoteRef/>
      </w:r>
      <w:r>
        <w:tab/>
      </w:r>
      <w:r w:rsidRPr="00F41684">
        <w:t>See</w:t>
      </w:r>
      <w:r>
        <w:t xml:space="preserve"> </w:t>
      </w:r>
      <w:r w:rsidRPr="00F41684">
        <w:t>CCPR/C/SVK/CO/4;</w:t>
      </w:r>
      <w:r>
        <w:t xml:space="preserve"> </w:t>
      </w:r>
      <w:r w:rsidRPr="00F41684">
        <w:t>CRC/C/SVK/CO/3-5;</w:t>
      </w:r>
      <w:r>
        <w:t xml:space="preserve"> </w:t>
      </w:r>
      <w:r w:rsidRPr="00F41684">
        <w:t>CRPD/C/SVK/CO/1;</w:t>
      </w:r>
      <w:r>
        <w:t xml:space="preserve"> </w:t>
      </w:r>
      <w:hyperlink r:id="rId1" w:history="1">
        <w:r w:rsidRPr="00F41684">
          <w:t>CEDAW/C/SVK/CO/5-6</w:t>
        </w:r>
      </w:hyperlink>
      <w:r w:rsidRPr="00F41684">
        <w:t>.</w:t>
      </w:r>
    </w:p>
  </w:footnote>
  <w:footnote w:id="7">
    <w:p w:rsidR="00413AEE" w:rsidRPr="00F41684" w:rsidRDefault="00413AEE" w:rsidP="00F33762">
      <w:pPr>
        <w:pStyle w:val="FootnoteText"/>
      </w:pPr>
      <w:r>
        <w:tab/>
      </w:r>
      <w:r w:rsidRPr="006C76F4">
        <w:rPr>
          <w:rStyle w:val="FootnoteReference"/>
        </w:rPr>
        <w:footnoteRef/>
      </w:r>
      <w:r>
        <w:tab/>
      </w:r>
      <w:r w:rsidRPr="00F41684">
        <w:t>CERD/C/SVK/11-12</w:t>
      </w:r>
      <w:r>
        <w:t>.</w:t>
      </w:r>
    </w:p>
  </w:footnote>
  <w:footnote w:id="8">
    <w:p w:rsidR="00413AEE" w:rsidRPr="00F41684" w:rsidRDefault="00413AEE" w:rsidP="00F33762">
      <w:pPr>
        <w:pStyle w:val="FootnoteText"/>
      </w:pPr>
      <w:r>
        <w:tab/>
      </w:r>
      <w:r w:rsidRPr="006C76F4">
        <w:rPr>
          <w:rStyle w:val="FootnoteReference"/>
        </w:rPr>
        <w:footnoteRef/>
      </w:r>
      <w:r>
        <w:tab/>
      </w:r>
      <w:r w:rsidRPr="00F41684">
        <w:t>CEDAW/C/SVK/CO/5-6</w:t>
      </w:r>
      <w:r>
        <w:t>.</w:t>
      </w:r>
    </w:p>
  </w:footnote>
  <w:footnote w:id="9">
    <w:p w:rsidR="00413AEE" w:rsidRPr="00F41684" w:rsidRDefault="00413AEE" w:rsidP="00F33762">
      <w:pPr>
        <w:pStyle w:val="FootnoteText"/>
      </w:pPr>
      <w:r>
        <w:tab/>
      </w:r>
      <w:r w:rsidRPr="006C76F4">
        <w:rPr>
          <w:rStyle w:val="FootnoteReference"/>
        </w:rPr>
        <w:footnoteRef/>
      </w:r>
      <w:r>
        <w:tab/>
      </w:r>
      <w:r w:rsidRPr="00F41684">
        <w:t>CRC/C/SVK/3-5</w:t>
      </w:r>
      <w:r>
        <w:t>.</w:t>
      </w:r>
    </w:p>
  </w:footnote>
  <w:footnote w:id="10">
    <w:p w:rsidR="00413AEE" w:rsidRPr="00F41684" w:rsidRDefault="00413AEE" w:rsidP="00F33762">
      <w:pPr>
        <w:pStyle w:val="FootnoteText"/>
      </w:pPr>
      <w:r>
        <w:tab/>
      </w:r>
      <w:r w:rsidRPr="006C76F4">
        <w:rPr>
          <w:rStyle w:val="FootnoteReference"/>
        </w:rPr>
        <w:footnoteRef/>
      </w:r>
      <w:r>
        <w:tab/>
      </w:r>
      <w:hyperlink r:id="rId2" w:history="1">
        <w:r w:rsidRPr="00F41684">
          <w:t>http://www.minedu.sk/data/att/10774.zip</w:t>
        </w:r>
      </w:hyperlink>
      <w:r>
        <w:t xml:space="preserve">. </w:t>
      </w:r>
    </w:p>
  </w:footnote>
  <w:footnote w:id="11">
    <w:p w:rsidR="00413AEE" w:rsidRPr="00F41684" w:rsidRDefault="00413AEE" w:rsidP="00F33762">
      <w:pPr>
        <w:pStyle w:val="FootnoteText"/>
      </w:pPr>
      <w:r>
        <w:tab/>
      </w:r>
      <w:r w:rsidRPr="006C76F4">
        <w:rPr>
          <w:rStyle w:val="FootnoteReference"/>
        </w:rPr>
        <w:footnoteRef/>
      </w:r>
      <w:r w:rsidRPr="00F41684">
        <w:tab/>
      </w:r>
      <w:hyperlink r:id="rId3" w:history="1">
        <w:r w:rsidRPr="00F41684">
          <w:t>http://www.minedu.sk/socialne-znevyhodnene-prostredie-prispevok/</w:t>
        </w:r>
      </w:hyperlink>
      <w:r>
        <w:t>.</w:t>
      </w:r>
    </w:p>
  </w:footnote>
  <w:footnote w:id="12">
    <w:p w:rsidR="00413AEE" w:rsidRPr="00F41684" w:rsidRDefault="00413AEE" w:rsidP="00F33762">
      <w:pPr>
        <w:pStyle w:val="FootnoteText"/>
      </w:pPr>
      <w:r>
        <w:tab/>
      </w:r>
      <w:r w:rsidRPr="006C76F4">
        <w:rPr>
          <w:rStyle w:val="FootnoteReference"/>
        </w:rPr>
        <w:footnoteRef/>
      </w:r>
      <w:r w:rsidRPr="00F41684">
        <w:tab/>
        <w:t>http://www.ssiba.sk/admin/fckeditor/editor/userfiles/file/Dokumenty/velka_sprava/sprava_14_15.pdf</w:t>
      </w:r>
      <w:r>
        <w:t>.</w:t>
      </w:r>
    </w:p>
  </w:footnote>
  <w:footnote w:id="13">
    <w:p w:rsidR="00413AEE" w:rsidRPr="00F41684" w:rsidRDefault="00413AEE" w:rsidP="00F33762">
      <w:pPr>
        <w:pStyle w:val="FootnoteText"/>
      </w:pPr>
      <w:r>
        <w:tab/>
      </w:r>
      <w:r w:rsidRPr="006C76F4">
        <w:rPr>
          <w:rStyle w:val="FootnoteReference"/>
        </w:rPr>
        <w:footnoteRef/>
      </w:r>
      <w:r w:rsidRPr="00F41684">
        <w:tab/>
        <w:t>http://www.minedu.sk/profesijne-uznavanie-dokladov-o-vzdelani-a-odbornych-kvalifikacii/.</w:t>
      </w:r>
    </w:p>
  </w:footnote>
  <w:footnote w:id="14">
    <w:p w:rsidR="00413AEE" w:rsidRPr="00F41684" w:rsidRDefault="00413AEE" w:rsidP="00F33762">
      <w:pPr>
        <w:pStyle w:val="FootnoteText"/>
      </w:pPr>
      <w:r>
        <w:tab/>
      </w:r>
      <w:r w:rsidRPr="006C76F4">
        <w:rPr>
          <w:rStyle w:val="FootnoteReference"/>
        </w:rPr>
        <w:footnoteRef/>
      </w:r>
      <w:r w:rsidRPr="00F41684">
        <w:tab/>
        <w:t>https://youtu.be/TXN7Tmm02_g.</w:t>
      </w:r>
    </w:p>
  </w:footnote>
  <w:footnote w:id="15">
    <w:p w:rsidR="00413AEE" w:rsidRPr="00F41684" w:rsidRDefault="00413AEE" w:rsidP="00F33762">
      <w:pPr>
        <w:pStyle w:val="FootnoteText"/>
      </w:pPr>
      <w:r>
        <w:tab/>
      </w:r>
      <w:r w:rsidRPr="006C76F4">
        <w:rPr>
          <w:rStyle w:val="FootnoteReference"/>
        </w:rPr>
        <w:footnoteRef/>
      </w:r>
      <w:r w:rsidRPr="00F41684">
        <w:tab/>
        <w:t>http://www.coherent.sk/</w:t>
      </w:r>
      <w:r>
        <w:t>.</w:t>
      </w:r>
    </w:p>
  </w:footnote>
  <w:footnote w:id="16">
    <w:p w:rsidR="00413AEE" w:rsidRPr="00F41684" w:rsidRDefault="00413AEE" w:rsidP="00F33762">
      <w:pPr>
        <w:pStyle w:val="FootnoteText"/>
      </w:pPr>
      <w:r>
        <w:tab/>
      </w:r>
      <w:r w:rsidRPr="006C76F4">
        <w:rPr>
          <w:rStyle w:val="FootnoteReference"/>
        </w:rPr>
        <w:footnoteRef/>
      </w:r>
      <w:r>
        <w:tab/>
      </w:r>
      <w:r w:rsidRPr="00F41684">
        <w:t>https://www.upjs.sk/public/media/11746/2015-06</w:t>
      </w:r>
      <w:r>
        <w:t xml:space="preserve"> </w:t>
      </w:r>
      <w:r w:rsidRPr="00F41684">
        <w:t>08%20narodna%20sprava%20HBSC.pdf.</w:t>
      </w:r>
    </w:p>
  </w:footnote>
  <w:footnote w:id="17">
    <w:p w:rsidR="00413AEE" w:rsidRPr="00F41684" w:rsidRDefault="00413AEE" w:rsidP="00F33762">
      <w:pPr>
        <w:pStyle w:val="FootnoteText"/>
      </w:pPr>
      <w:r>
        <w:tab/>
      </w:r>
      <w:r w:rsidRPr="006C76F4">
        <w:rPr>
          <w:rStyle w:val="FootnoteReference"/>
        </w:rPr>
        <w:footnoteRef/>
      </w:r>
      <w:r w:rsidRPr="00F41684">
        <w:tab/>
        <w:t>Pedagogical-organisational</w:t>
      </w:r>
      <w:r>
        <w:t xml:space="preserve"> </w:t>
      </w:r>
      <w:r w:rsidRPr="00F41684">
        <w:t>instructions</w:t>
      </w:r>
      <w:r>
        <w:t xml:space="preserve"> </w:t>
      </w:r>
      <w:r w:rsidRPr="00F41684">
        <w:t>for</w:t>
      </w:r>
      <w:r>
        <w:t xml:space="preserve"> </w:t>
      </w:r>
      <w:r w:rsidRPr="00F41684">
        <w:t>the</w:t>
      </w:r>
      <w:r>
        <w:t xml:space="preserve"> </w:t>
      </w:r>
      <w:r w:rsidRPr="00F41684">
        <w:t>school</w:t>
      </w:r>
      <w:r>
        <w:t xml:space="preserve"> </w:t>
      </w:r>
      <w:r w:rsidRPr="00F41684">
        <w:t>year</w:t>
      </w:r>
      <w:r>
        <w:t xml:space="preserve"> </w:t>
      </w:r>
      <w:r w:rsidRPr="00F41684">
        <w:t>2016/2017,</w:t>
      </w:r>
      <w:r>
        <w:t xml:space="preserve"> </w:t>
      </w:r>
      <w:r w:rsidRPr="00F41684">
        <w:t>Part</w:t>
      </w:r>
      <w:r>
        <w:t xml:space="preserve"> </w:t>
      </w:r>
      <w:r w:rsidRPr="00F41684">
        <w:t>1.5.11.</w:t>
      </w:r>
      <w:r>
        <w:t xml:space="preserve"> </w:t>
      </w:r>
      <w:r w:rsidRPr="00F41684">
        <w:t>Safety</w:t>
      </w:r>
      <w:r>
        <w:t xml:space="preserve"> </w:t>
      </w:r>
      <w:r w:rsidRPr="00F41684">
        <w:t>and</w:t>
      </w:r>
      <w:r>
        <w:t xml:space="preserve"> </w:t>
      </w:r>
      <w:r w:rsidRPr="00F41684">
        <w:t>prevention,</w:t>
      </w:r>
      <w:r>
        <w:t xml:space="preserve"> </w:t>
      </w:r>
      <w:r w:rsidRPr="00F41684">
        <w:t>Point</w:t>
      </w:r>
      <w:r>
        <w:t xml:space="preserve"> </w:t>
      </w:r>
      <w:r w:rsidRPr="00F41684">
        <w:t>4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EE" w:rsidRPr="00951012" w:rsidRDefault="00413AEE" w:rsidP="00951012">
    <w:pPr>
      <w:pStyle w:val="Header"/>
    </w:pPr>
    <w:r w:rsidRPr="00951012">
      <w:t>E/C.12/SVK/3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EE" w:rsidRPr="00951012" w:rsidRDefault="00413AEE" w:rsidP="00951012">
    <w:pPr>
      <w:pStyle w:val="Header"/>
      <w:jc w:val="right"/>
    </w:pPr>
    <w:r w:rsidRPr="00951012">
      <w:t>E/C.12/SVK/3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66"/>
    <w:rsid w:val="00005BE7"/>
    <w:rsid w:val="00046E92"/>
    <w:rsid w:val="00055D15"/>
    <w:rsid w:val="000A208E"/>
    <w:rsid w:val="000D1B89"/>
    <w:rsid w:val="001170DC"/>
    <w:rsid w:val="0013191A"/>
    <w:rsid w:val="001656D8"/>
    <w:rsid w:val="00183F1A"/>
    <w:rsid w:val="001878DB"/>
    <w:rsid w:val="00230B9B"/>
    <w:rsid w:val="00246704"/>
    <w:rsid w:val="00247E2C"/>
    <w:rsid w:val="0026209C"/>
    <w:rsid w:val="002960F8"/>
    <w:rsid w:val="002A1E53"/>
    <w:rsid w:val="002D6C53"/>
    <w:rsid w:val="002E2539"/>
    <w:rsid w:val="002F5595"/>
    <w:rsid w:val="002F5F0E"/>
    <w:rsid w:val="0032685C"/>
    <w:rsid w:val="00332D4B"/>
    <w:rsid w:val="00334F6A"/>
    <w:rsid w:val="0033520C"/>
    <w:rsid w:val="00342AC8"/>
    <w:rsid w:val="003463F0"/>
    <w:rsid w:val="00397A65"/>
    <w:rsid w:val="003B4550"/>
    <w:rsid w:val="003C02B9"/>
    <w:rsid w:val="00413AEE"/>
    <w:rsid w:val="0044261E"/>
    <w:rsid w:val="00443184"/>
    <w:rsid w:val="00456170"/>
    <w:rsid w:val="00461253"/>
    <w:rsid w:val="004F35F4"/>
    <w:rsid w:val="00500D75"/>
    <w:rsid w:val="005042C2"/>
    <w:rsid w:val="00505C54"/>
    <w:rsid w:val="0056599A"/>
    <w:rsid w:val="00587690"/>
    <w:rsid w:val="005F2605"/>
    <w:rsid w:val="0063203E"/>
    <w:rsid w:val="00671529"/>
    <w:rsid w:val="006A41FB"/>
    <w:rsid w:val="006D58EE"/>
    <w:rsid w:val="006F1256"/>
    <w:rsid w:val="00700924"/>
    <w:rsid w:val="00717266"/>
    <w:rsid w:val="007268F9"/>
    <w:rsid w:val="00752E6D"/>
    <w:rsid w:val="00790C37"/>
    <w:rsid w:val="007C38AF"/>
    <w:rsid w:val="007C52B0"/>
    <w:rsid w:val="00802FB4"/>
    <w:rsid w:val="00854A9B"/>
    <w:rsid w:val="008B652B"/>
    <w:rsid w:val="008E550A"/>
    <w:rsid w:val="009407CA"/>
    <w:rsid w:val="009411B4"/>
    <w:rsid w:val="00951012"/>
    <w:rsid w:val="0095287D"/>
    <w:rsid w:val="009C3A54"/>
    <w:rsid w:val="009D0139"/>
    <w:rsid w:val="009E072B"/>
    <w:rsid w:val="009E1013"/>
    <w:rsid w:val="009F5CDC"/>
    <w:rsid w:val="00A45F66"/>
    <w:rsid w:val="00A50999"/>
    <w:rsid w:val="00A775CF"/>
    <w:rsid w:val="00AB3C7E"/>
    <w:rsid w:val="00AE1277"/>
    <w:rsid w:val="00B06045"/>
    <w:rsid w:val="00B26BF2"/>
    <w:rsid w:val="00BA5FAF"/>
    <w:rsid w:val="00BA7DBC"/>
    <w:rsid w:val="00C25389"/>
    <w:rsid w:val="00C35A27"/>
    <w:rsid w:val="00C44A5D"/>
    <w:rsid w:val="00C75277"/>
    <w:rsid w:val="00CA4A3C"/>
    <w:rsid w:val="00CD3239"/>
    <w:rsid w:val="00D1103D"/>
    <w:rsid w:val="00D17A94"/>
    <w:rsid w:val="00DA0C9A"/>
    <w:rsid w:val="00E02C2B"/>
    <w:rsid w:val="00E91FDF"/>
    <w:rsid w:val="00ED6C48"/>
    <w:rsid w:val="00F07B18"/>
    <w:rsid w:val="00F33762"/>
    <w:rsid w:val="00F65F5D"/>
    <w:rsid w:val="00F86A3A"/>
    <w:rsid w:val="00FB1744"/>
    <w:rsid w:val="00FC04AB"/>
    <w:rsid w:val="00F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8DEA2E37-5615-4A9C-A4DD-66737A8E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character" w:customStyle="1" w:styleId="sessionsubtitle">
    <w:name w:val="sessionsubtitle"/>
    <w:rsid w:val="00F3376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edu.sk/socialne-znevyhodnene-prostredie-prispevok/" TargetMode="External"/><Relationship Id="rId2" Type="http://schemas.openxmlformats.org/officeDocument/2006/relationships/hyperlink" Target="http://www.minedu.sk/data/att/10774.zip" TargetMode="External"/><Relationship Id="rId1" Type="http://schemas.openxmlformats.org/officeDocument/2006/relationships/hyperlink" Target="http://tbinternet.ohchr.org/_layouts/treatybodyexternal/Download.aspx?symbolno=CEDAW/C/SVK/CO/5-6&amp;Lang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5AAB-5542-4410-ADC5-0FEEC8AF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35</Pages>
  <Words>21016</Words>
  <Characters>111717</Characters>
  <Application>Microsoft Office Word</Application>
  <DocSecurity>0</DocSecurity>
  <Lines>1837</Lines>
  <Paragraphs>459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1712381</vt:lpstr>
      <vt:lpstr>1712381</vt:lpstr>
    </vt:vector>
  </TitlesOfParts>
  <Company>DCM</Company>
  <LinksUpToDate>false</LinksUpToDate>
  <CharactersWithSpaces>132566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1713500</dc:title>
  <dc:subject>E/C.12/SVK/3</dc:subject>
  <dc:creator>Cristina BRIGOLI</dc:creator>
  <cp:keywords/>
  <dc:description/>
  <cp:lastModifiedBy>Generic Desk Anglais</cp:lastModifiedBy>
  <cp:revision>2</cp:revision>
  <cp:lastPrinted>2017-08-04T13:43:00Z</cp:lastPrinted>
  <dcterms:created xsi:type="dcterms:W3CDTF">2017-08-14T06:44:00Z</dcterms:created>
  <dcterms:modified xsi:type="dcterms:W3CDTF">2017-08-14T06:44:00Z</dcterms:modified>
</cp:coreProperties>
</file>