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2BC41FE2" w14:textId="77777777" w:rsidTr="0002432E">
        <w:trPr>
          <w:trHeight w:hRule="exact" w:val="851"/>
        </w:trPr>
        <w:tc>
          <w:tcPr>
            <w:tcW w:w="1276" w:type="dxa"/>
            <w:tcBorders>
              <w:bottom w:val="single" w:sz="4" w:space="0" w:color="auto"/>
            </w:tcBorders>
          </w:tcPr>
          <w:p w14:paraId="445C2F07" w14:textId="77777777" w:rsidR="0080236C" w:rsidRPr="00DB58B5" w:rsidRDefault="0080236C" w:rsidP="000C1192"/>
        </w:tc>
        <w:tc>
          <w:tcPr>
            <w:tcW w:w="2268" w:type="dxa"/>
            <w:tcBorders>
              <w:bottom w:val="single" w:sz="4" w:space="0" w:color="auto"/>
            </w:tcBorders>
            <w:vAlign w:val="bottom"/>
          </w:tcPr>
          <w:p w14:paraId="1F84F749"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0F79E5" w14:textId="6BB20438" w:rsidR="0080236C" w:rsidRPr="00DB58B5" w:rsidRDefault="000C1192" w:rsidP="000C1192">
            <w:pPr>
              <w:jc w:val="right"/>
            </w:pPr>
            <w:r w:rsidRPr="000C1192">
              <w:rPr>
                <w:sz w:val="40"/>
              </w:rPr>
              <w:t>E</w:t>
            </w:r>
            <w:r>
              <w:t>/C.12/HRV/2</w:t>
            </w:r>
          </w:p>
        </w:tc>
      </w:tr>
      <w:tr w:rsidR="0080236C" w:rsidRPr="00DB58B5" w14:paraId="7C13FE7D" w14:textId="77777777" w:rsidTr="0002432E">
        <w:trPr>
          <w:trHeight w:hRule="exact" w:val="2835"/>
        </w:trPr>
        <w:tc>
          <w:tcPr>
            <w:tcW w:w="1276" w:type="dxa"/>
            <w:tcBorders>
              <w:top w:val="single" w:sz="4" w:space="0" w:color="auto"/>
              <w:bottom w:val="single" w:sz="12" w:space="0" w:color="auto"/>
            </w:tcBorders>
          </w:tcPr>
          <w:p w14:paraId="1E07E4D7" w14:textId="77777777" w:rsidR="0080236C" w:rsidRPr="00DB58B5" w:rsidRDefault="0080236C" w:rsidP="0002432E">
            <w:pPr>
              <w:spacing w:before="120"/>
              <w:jc w:val="center"/>
            </w:pPr>
            <w:r>
              <w:rPr>
                <w:noProof/>
                <w:lang w:eastAsia="fr-CH"/>
              </w:rPr>
              <w:drawing>
                <wp:inline distT="0" distB="0" distL="0" distR="0" wp14:anchorId="59FF28B7" wp14:editId="2CC9EC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E2C760"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6CA199" w14:textId="77777777" w:rsidR="0080236C" w:rsidRDefault="000C1192" w:rsidP="0002432E">
            <w:pPr>
              <w:spacing w:before="240"/>
            </w:pPr>
            <w:r>
              <w:t>Distr. générale</w:t>
            </w:r>
          </w:p>
          <w:p w14:paraId="47B3798E" w14:textId="77777777" w:rsidR="000C1192" w:rsidRDefault="000C1192" w:rsidP="000C1192">
            <w:pPr>
              <w:spacing w:line="240" w:lineRule="exact"/>
            </w:pPr>
            <w:r>
              <w:t>21 avril 2022</w:t>
            </w:r>
          </w:p>
          <w:p w14:paraId="0C076BE0" w14:textId="77777777" w:rsidR="000C1192" w:rsidRDefault="000C1192" w:rsidP="000C1192">
            <w:pPr>
              <w:spacing w:line="240" w:lineRule="exact"/>
            </w:pPr>
            <w:r>
              <w:t>Français</w:t>
            </w:r>
          </w:p>
          <w:p w14:paraId="419FB671" w14:textId="77777777" w:rsidR="000C1192" w:rsidRDefault="000C1192" w:rsidP="000C1192">
            <w:pPr>
              <w:spacing w:line="240" w:lineRule="exact"/>
            </w:pPr>
            <w:r>
              <w:t>Original : anglais</w:t>
            </w:r>
          </w:p>
          <w:p w14:paraId="2A077B5A" w14:textId="0327BBF1" w:rsidR="000C1192" w:rsidRPr="00DB58B5" w:rsidRDefault="000C1192" w:rsidP="000C1192">
            <w:pPr>
              <w:spacing w:line="240" w:lineRule="exact"/>
            </w:pPr>
            <w:r>
              <w:t>Anglais, espagnol et français seulement</w:t>
            </w:r>
          </w:p>
        </w:tc>
      </w:tr>
    </w:tbl>
    <w:p w14:paraId="388D06DF" w14:textId="77777777" w:rsidR="000C1192" w:rsidRPr="000C1192" w:rsidRDefault="000C1192" w:rsidP="000C1192">
      <w:pPr>
        <w:spacing w:before="120"/>
        <w:rPr>
          <w:b/>
          <w:bCs/>
          <w:sz w:val="24"/>
          <w:szCs w:val="24"/>
        </w:rPr>
      </w:pPr>
      <w:r w:rsidRPr="000C1192">
        <w:rPr>
          <w:b/>
          <w:bCs/>
          <w:sz w:val="24"/>
          <w:szCs w:val="24"/>
        </w:rPr>
        <w:t>Comité des droits économiques, sociaux et culturels</w:t>
      </w:r>
    </w:p>
    <w:p w14:paraId="154D66A4" w14:textId="33306D73" w:rsidR="000C1192" w:rsidRPr="000031DF" w:rsidRDefault="000C1192" w:rsidP="000C1192">
      <w:pPr>
        <w:pStyle w:val="HChG"/>
      </w:pPr>
      <w:r>
        <w:tab/>
      </w:r>
      <w:r>
        <w:tab/>
      </w:r>
      <w:r w:rsidRPr="000031DF">
        <w:t>De</w:t>
      </w:r>
      <w:r>
        <w:t xml:space="preserve">uxième </w:t>
      </w:r>
      <w:r w:rsidRPr="000031DF">
        <w:t xml:space="preserve">rapport périodique soumis par </w:t>
      </w:r>
      <w:r>
        <w:t xml:space="preserve">la Croatie </w:t>
      </w:r>
      <w:r>
        <w:br/>
      </w:r>
      <w:r w:rsidRPr="000031DF">
        <w:t xml:space="preserve">en application des </w:t>
      </w:r>
      <w:r w:rsidR="00A858B3">
        <w:t>articles </w:t>
      </w:r>
      <w:r w:rsidRPr="000031DF">
        <w:t xml:space="preserve">16 et 17 du Pacte, </w:t>
      </w:r>
      <w:r>
        <w:br/>
      </w:r>
      <w:r w:rsidRPr="000031DF">
        <w:t>attendu en 2016</w:t>
      </w:r>
      <w:r w:rsidRPr="000C1192">
        <w:rPr>
          <w:rStyle w:val="Appelnotedebasdep"/>
          <w:b w:val="0"/>
          <w:bCs/>
          <w:sz w:val="20"/>
          <w:vertAlign w:val="baseline"/>
        </w:rPr>
        <w:footnoteReference w:customMarkFollows="1" w:id="2"/>
        <w:t>*</w:t>
      </w:r>
      <w:r w:rsidRPr="000C1192">
        <w:rPr>
          <w:b w:val="0"/>
          <w:bCs/>
          <w:position w:val="8"/>
          <w:sz w:val="20"/>
        </w:rPr>
        <w:t>,</w:t>
      </w:r>
      <w:r w:rsidRPr="000C1192">
        <w:rPr>
          <w:b w:val="0"/>
          <w:bCs/>
          <w:sz w:val="20"/>
        </w:rPr>
        <w:t xml:space="preserve"> </w:t>
      </w:r>
      <w:r w:rsidRPr="000C1192">
        <w:rPr>
          <w:rStyle w:val="Appelnotedebasdep"/>
          <w:b w:val="0"/>
          <w:bCs/>
          <w:sz w:val="20"/>
          <w:vertAlign w:val="baseline"/>
        </w:rPr>
        <w:footnoteReference w:customMarkFollows="1" w:id="3"/>
        <w:t>**</w:t>
      </w:r>
      <w:r w:rsidRPr="000C1192">
        <w:rPr>
          <w:b w:val="0"/>
          <w:bCs/>
          <w:position w:val="8"/>
          <w:sz w:val="20"/>
        </w:rPr>
        <w:t>,</w:t>
      </w:r>
      <w:r w:rsidRPr="000C1192">
        <w:rPr>
          <w:b w:val="0"/>
          <w:bCs/>
          <w:sz w:val="20"/>
        </w:rPr>
        <w:t xml:space="preserve"> </w:t>
      </w:r>
      <w:r w:rsidRPr="000C1192">
        <w:rPr>
          <w:rStyle w:val="Appelnotedebasdep"/>
          <w:b w:val="0"/>
          <w:bCs/>
          <w:sz w:val="20"/>
          <w:vertAlign w:val="baseline"/>
        </w:rPr>
        <w:footnoteReference w:customMarkFollows="1" w:id="4"/>
        <w:t>***</w:t>
      </w:r>
    </w:p>
    <w:p w14:paraId="55675BF2" w14:textId="77ABAD15" w:rsidR="000C1192" w:rsidRPr="008E7F4B" w:rsidRDefault="000C1192" w:rsidP="000C1192">
      <w:pPr>
        <w:pStyle w:val="SingleTxtG"/>
        <w:jc w:val="right"/>
      </w:pPr>
      <w:r w:rsidRPr="008E7F4B">
        <w:t>[Date de réception</w:t>
      </w:r>
      <w:r>
        <w:t> </w:t>
      </w:r>
      <w:r w:rsidRPr="008E7F4B">
        <w:t>: 4</w:t>
      </w:r>
      <w:r>
        <w:t> </w:t>
      </w:r>
      <w:r w:rsidRPr="008E7F4B">
        <w:t>mars 2022]</w:t>
      </w:r>
    </w:p>
    <w:p w14:paraId="793F3FDB" w14:textId="77777777" w:rsidR="000C1192" w:rsidRPr="008E7F4B" w:rsidRDefault="000C1192" w:rsidP="000C1192">
      <w:r w:rsidRPr="008E7F4B">
        <w:br w:type="page"/>
      </w:r>
    </w:p>
    <w:p w14:paraId="0A81B8D0" w14:textId="77777777" w:rsidR="000C1192" w:rsidRPr="008E7F4B" w:rsidRDefault="000C1192" w:rsidP="000C1192">
      <w:pPr>
        <w:pStyle w:val="HChG"/>
      </w:pPr>
      <w:r w:rsidRPr="008E7F4B">
        <w:lastRenderedPageBreak/>
        <w:tab/>
        <w:t>I.</w:t>
      </w:r>
      <w:r w:rsidRPr="008E7F4B">
        <w:tab/>
        <w:t>Introduction</w:t>
      </w:r>
    </w:p>
    <w:p w14:paraId="2D9BA79B" w14:textId="06E56152" w:rsidR="000C1192" w:rsidRPr="00E30E86" w:rsidRDefault="000C1192" w:rsidP="000C1192">
      <w:pPr>
        <w:pStyle w:val="SingleTxtG"/>
      </w:pPr>
      <w:r w:rsidRPr="00560741">
        <w:t>1.</w:t>
      </w:r>
      <w:r w:rsidRPr="00560741">
        <w:tab/>
      </w:r>
      <w:r w:rsidRPr="00E30E86">
        <w:t xml:space="preserve">La </w:t>
      </w:r>
      <w:r>
        <w:t>République de Croatie</w:t>
      </w:r>
      <w:r w:rsidRPr="00E30E86">
        <w:t xml:space="preserve"> </w:t>
      </w:r>
      <w:r>
        <w:t>est partie au</w:t>
      </w:r>
      <w:r w:rsidRPr="00E30E86">
        <w:t xml:space="preserve"> Pacte international relatif aux droits économiques, sociaux et culturels</w:t>
      </w:r>
      <w:r>
        <w:t xml:space="preserve"> en tant qu’État successeur. </w:t>
      </w:r>
    </w:p>
    <w:p w14:paraId="4779A6F2" w14:textId="2FD15F08" w:rsidR="000C1192" w:rsidRPr="00E30E86" w:rsidRDefault="000C1192" w:rsidP="000C1192">
      <w:pPr>
        <w:pStyle w:val="SingleTxtG"/>
      </w:pPr>
      <w:r w:rsidRPr="000C719D">
        <w:t>2.</w:t>
      </w:r>
      <w:r w:rsidRPr="000C719D">
        <w:tab/>
      </w:r>
      <w:r>
        <w:t xml:space="preserve">En application des </w:t>
      </w:r>
      <w:r w:rsidR="00A858B3">
        <w:t>articles </w:t>
      </w:r>
      <w:r w:rsidRPr="00E30E86">
        <w:t xml:space="preserve">16 et 17 du Pacte international relatif aux droits économiques, sociaux et culturels, </w:t>
      </w:r>
      <w:r>
        <w:t xml:space="preserve">le Gouvernement croate </w:t>
      </w:r>
      <w:r w:rsidRPr="00E30E86">
        <w:t xml:space="preserve">a </w:t>
      </w:r>
      <w:r>
        <w:t xml:space="preserve">établi </w:t>
      </w:r>
      <w:r w:rsidRPr="00E30E86">
        <w:t xml:space="preserve">le deuxième rapport périodique </w:t>
      </w:r>
      <w:r>
        <w:t xml:space="preserve">de la République de Croatie </w:t>
      </w:r>
      <w:r w:rsidRPr="00E30E86">
        <w:t xml:space="preserve">sur </w:t>
      </w:r>
      <w:r>
        <w:t xml:space="preserve">l’application </w:t>
      </w:r>
      <w:r w:rsidRPr="00E30E86">
        <w:t xml:space="preserve">du Pacte (ci-après </w:t>
      </w:r>
      <w:r>
        <w:t>« </w:t>
      </w:r>
      <w:r w:rsidRPr="00E30E86">
        <w:t xml:space="preserve">le </w:t>
      </w:r>
      <w:r>
        <w:t xml:space="preserve">présent </w:t>
      </w:r>
      <w:r w:rsidRPr="00E30E86">
        <w:t>rapport</w:t>
      </w:r>
      <w:r>
        <w:t> »</w:t>
      </w:r>
      <w:r w:rsidRPr="00E30E86">
        <w:t>).</w:t>
      </w:r>
    </w:p>
    <w:p w14:paraId="21067040" w14:textId="7D09900A" w:rsidR="000C1192" w:rsidRPr="00E30E86" w:rsidRDefault="000C1192" w:rsidP="000C1192">
      <w:pPr>
        <w:pStyle w:val="SingleTxtG"/>
      </w:pPr>
      <w:r w:rsidRPr="00950814">
        <w:t>3.</w:t>
      </w:r>
      <w:r w:rsidRPr="00950814">
        <w:tab/>
      </w:r>
      <w:r w:rsidRPr="00E30E86">
        <w:t>Le rapport a été établi conformément aux documents</w:t>
      </w:r>
      <w:r w:rsidRPr="00C16D9E">
        <w:t xml:space="preserve"> </w:t>
      </w:r>
      <w:hyperlink r:id="rId8" w:history="1">
        <w:r w:rsidR="00EE6A74" w:rsidRPr="00C16D9E">
          <w:rPr>
            <w:rStyle w:val="Lienhypertexte"/>
            <w:color w:val="auto"/>
          </w:rPr>
          <w:t>E/C.12/2008/2</w:t>
        </w:r>
      </w:hyperlink>
      <w:r w:rsidRPr="00535E17">
        <w:rPr>
          <w:rStyle w:val="Appelnotedebasdep"/>
        </w:rPr>
        <w:footnoteReference w:id="5"/>
      </w:r>
      <w:r w:rsidRPr="00E30E86">
        <w:t xml:space="preserve"> et </w:t>
      </w:r>
      <w:hyperlink r:id="rId9" w:history="1">
        <w:r w:rsidR="00EE6A74" w:rsidRPr="00C16D9E">
          <w:rPr>
            <w:rStyle w:val="Lienhypertexte"/>
            <w:color w:val="auto"/>
          </w:rPr>
          <w:t>HRI/GEN/2/Rev.6</w:t>
        </w:r>
      </w:hyperlink>
      <w:r w:rsidRPr="00535E17">
        <w:rPr>
          <w:rStyle w:val="Appelnotedebasdep"/>
        </w:rPr>
        <w:footnoteReference w:id="6"/>
      </w:r>
      <w:r w:rsidRPr="00E30E86">
        <w:t xml:space="preserve"> et </w:t>
      </w:r>
      <w:r>
        <w:t xml:space="preserve">compte tenu des </w:t>
      </w:r>
      <w:r w:rsidRPr="00E30E86">
        <w:t xml:space="preserve">observations finales </w:t>
      </w:r>
      <w:r>
        <w:t xml:space="preserve">que le </w:t>
      </w:r>
      <w:r w:rsidRPr="00E30E86">
        <w:t>Comité des droits économiques, sociaux et culturels</w:t>
      </w:r>
      <w:r>
        <w:t xml:space="preserve"> </w:t>
      </w:r>
      <w:r w:rsidRPr="00E30E86">
        <w:t xml:space="preserve">(ci-après </w:t>
      </w:r>
      <w:r>
        <w:t>« </w:t>
      </w:r>
      <w:r w:rsidRPr="00E30E86">
        <w:t>le Comité</w:t>
      </w:r>
      <w:r>
        <w:t> »</w:t>
      </w:r>
      <w:r w:rsidRPr="00E30E86">
        <w:t>)</w:t>
      </w:r>
      <w:r>
        <w:t xml:space="preserve"> a adoptées </w:t>
      </w:r>
      <w:r w:rsidRPr="00E30E86">
        <w:t>en 2001</w:t>
      </w:r>
      <w:r w:rsidRPr="00535E17">
        <w:rPr>
          <w:rStyle w:val="Appelnotedebasdep"/>
        </w:rPr>
        <w:footnoteReference w:id="7"/>
      </w:r>
      <w:r w:rsidRPr="00E30E86">
        <w:t>.</w:t>
      </w:r>
    </w:p>
    <w:p w14:paraId="0F0D1507" w14:textId="77777777" w:rsidR="000C1192" w:rsidRDefault="000C1192" w:rsidP="000C1192">
      <w:pPr>
        <w:pStyle w:val="SingleTxtG"/>
      </w:pPr>
      <w:r w:rsidRPr="00704C38">
        <w:t>4.</w:t>
      </w:r>
      <w:r w:rsidRPr="00704C38">
        <w:tab/>
      </w:r>
      <w:r w:rsidRPr="00E30E86">
        <w:t>L</w:t>
      </w:r>
      <w:r>
        <w:t xml:space="preserve">’élaboration </w:t>
      </w:r>
      <w:r w:rsidRPr="00E30E86">
        <w:t xml:space="preserve">du </w:t>
      </w:r>
      <w:r>
        <w:t xml:space="preserve">présent </w:t>
      </w:r>
      <w:r w:rsidRPr="00E30E86">
        <w:t xml:space="preserve">rapport a été coordonnée par le </w:t>
      </w:r>
      <w:r w:rsidRPr="00A17A4D">
        <w:t xml:space="preserve">Ministère du travail, du </w:t>
      </w:r>
      <w:r>
        <w:t>régime</w:t>
      </w:r>
      <w:r w:rsidRPr="00A17A4D">
        <w:t xml:space="preserve"> de</w:t>
      </w:r>
      <w:r>
        <w:t>s</w:t>
      </w:r>
      <w:r w:rsidRPr="00A17A4D">
        <w:t xml:space="preserve"> retraite</w:t>
      </w:r>
      <w:r>
        <w:t>s</w:t>
      </w:r>
      <w:r w:rsidRPr="00A17A4D">
        <w:t>, de la famille et de la politique sociale</w:t>
      </w:r>
      <w:r>
        <w:t>, qui a coopéré</w:t>
      </w:r>
      <w:r w:rsidRPr="00E30E86">
        <w:t xml:space="preserve"> avec </w:t>
      </w:r>
      <w:r>
        <w:t xml:space="preserve">les </w:t>
      </w:r>
      <w:r w:rsidRPr="00E30E86">
        <w:t xml:space="preserve">autres </w:t>
      </w:r>
      <w:r>
        <w:t xml:space="preserve">instances </w:t>
      </w:r>
      <w:r w:rsidRPr="00E30E86">
        <w:t>administrati</w:t>
      </w:r>
      <w:r>
        <w:t>ves</w:t>
      </w:r>
      <w:r w:rsidRPr="00E30E86">
        <w:t xml:space="preserve"> compétent</w:t>
      </w:r>
      <w:r>
        <w:t>e</w:t>
      </w:r>
      <w:r w:rsidRPr="00E30E86">
        <w:t>s de l</w:t>
      </w:r>
      <w:r>
        <w:t>’</w:t>
      </w:r>
      <w:r w:rsidRPr="00E30E86">
        <w:t>État.</w:t>
      </w:r>
    </w:p>
    <w:p w14:paraId="2171EA8A" w14:textId="10F74B76" w:rsidR="000C1192" w:rsidRPr="00CB38A5" w:rsidRDefault="000C1192" w:rsidP="000C1192">
      <w:pPr>
        <w:pStyle w:val="HChG"/>
      </w:pPr>
      <w:r w:rsidRPr="00E30E86">
        <w:tab/>
      </w:r>
      <w:r w:rsidRPr="00CB38A5">
        <w:t>II.</w:t>
      </w:r>
      <w:r w:rsidRPr="00CB38A5">
        <w:tab/>
      </w:r>
      <w:r>
        <w:t xml:space="preserve">Suite donnée aux </w:t>
      </w:r>
      <w:r w:rsidRPr="00CB38A5">
        <w:t>observations finales, principa</w:t>
      </w:r>
      <w:r>
        <w:t xml:space="preserve">les </w:t>
      </w:r>
      <w:r w:rsidRPr="00CB38A5">
        <w:t>préoccupation</w:t>
      </w:r>
      <w:r>
        <w:t>s</w:t>
      </w:r>
      <w:r w:rsidRPr="00CB38A5">
        <w:t xml:space="preserve"> et recommandations </w:t>
      </w:r>
      <w:r>
        <w:t xml:space="preserve">formulées </w:t>
      </w:r>
      <w:r w:rsidR="00DA58A6">
        <w:br/>
      </w:r>
      <w:r>
        <w:t xml:space="preserve">par le </w:t>
      </w:r>
      <w:r w:rsidRPr="00CB38A5">
        <w:t xml:space="preserve">Comité </w:t>
      </w:r>
      <w:r>
        <w:t>en 2001</w:t>
      </w:r>
    </w:p>
    <w:p w14:paraId="2A3F6868" w14:textId="77777777" w:rsidR="000C1192" w:rsidRPr="00E30E86" w:rsidRDefault="000C1192" w:rsidP="000C1192">
      <w:pPr>
        <w:pStyle w:val="SingleTxtG"/>
      </w:pPr>
      <w:r w:rsidRPr="009660C8">
        <w:t>5.</w:t>
      </w:r>
      <w:r w:rsidRPr="009660C8">
        <w:tab/>
      </w:r>
      <w:r>
        <w:t xml:space="preserve">Ayant pris en considération les observations formulées par le </w:t>
      </w:r>
      <w:r w:rsidRPr="00E30E86">
        <w:t xml:space="preserve">Comité </w:t>
      </w:r>
      <w:r>
        <w:t xml:space="preserve">en </w:t>
      </w:r>
      <w:r w:rsidRPr="00E30E86">
        <w:t xml:space="preserve">2001, </w:t>
      </w:r>
      <w:r>
        <w:t xml:space="preserve">la République de Croatie a répondu </w:t>
      </w:r>
      <w:r w:rsidRPr="00E30E86">
        <w:t xml:space="preserve">à la plupart des </w:t>
      </w:r>
      <w:r>
        <w:t xml:space="preserve">questions dans les </w:t>
      </w:r>
      <w:r w:rsidRPr="00E30E86">
        <w:t xml:space="preserve">rapports </w:t>
      </w:r>
      <w:r>
        <w:t xml:space="preserve">qu’elle a présentés </w:t>
      </w:r>
      <w:r w:rsidRPr="00E30E86">
        <w:t>au titre d</w:t>
      </w:r>
      <w:r>
        <w:t>’</w:t>
      </w:r>
      <w:r w:rsidRPr="00E30E86">
        <w:t xml:space="preserve">autres instruments internationaux </w:t>
      </w:r>
      <w:r>
        <w:t>des Nations Unies</w:t>
      </w:r>
      <w:r w:rsidRPr="00E30E86">
        <w:t xml:space="preserve">, </w:t>
      </w:r>
      <w:r>
        <w:t>auxquels elle se réfère dans le présent document.</w:t>
      </w:r>
    </w:p>
    <w:p w14:paraId="5D952111" w14:textId="5FC6F885" w:rsidR="000C1192" w:rsidRPr="00A52E48" w:rsidRDefault="000C1192" w:rsidP="00DA58A6">
      <w:pPr>
        <w:pStyle w:val="H23G"/>
      </w:pPr>
      <w:r w:rsidRPr="00A95B49">
        <w:tab/>
      </w:r>
      <w:r w:rsidRPr="00A95B49">
        <w:tab/>
      </w:r>
      <w:r w:rsidR="00A858B3">
        <w:t>Paragraphe </w:t>
      </w:r>
      <w:r w:rsidRPr="00A52E48">
        <w:t xml:space="preserve">9 </w:t>
      </w:r>
      <w:r w:rsidR="00DA58A6">
        <w:t>−</w:t>
      </w:r>
      <w:r>
        <w:t xml:space="preserve"> P</w:t>
      </w:r>
      <w:r w:rsidRPr="00A52E48">
        <w:t>olitiques et pratiques discriminatoires</w:t>
      </w:r>
      <w:r>
        <w:t xml:space="preserve"> fondées sur l’origine </w:t>
      </w:r>
      <w:r w:rsidR="007D132B">
        <w:br/>
      </w:r>
      <w:r>
        <w:t xml:space="preserve">nationale et cas de </w:t>
      </w:r>
      <w:r w:rsidRPr="00A52E48">
        <w:t xml:space="preserve">violence motivée </w:t>
      </w:r>
      <w:r>
        <w:t xml:space="preserve">par l’origine </w:t>
      </w:r>
      <w:r w:rsidRPr="00A52E48">
        <w:t xml:space="preserve">ethnique </w:t>
      </w:r>
      <w:r>
        <w:t xml:space="preserve">qui ne font pas l’objet </w:t>
      </w:r>
      <w:r w:rsidR="007D132B">
        <w:br/>
      </w:r>
      <w:r>
        <w:t>de sanctions appropriées</w:t>
      </w:r>
    </w:p>
    <w:p w14:paraId="3D22675C" w14:textId="56ED395E" w:rsidR="000C1192" w:rsidRPr="00B450A2" w:rsidRDefault="000C1192" w:rsidP="000C1192">
      <w:pPr>
        <w:pStyle w:val="SingleTxtG"/>
        <w:rPr>
          <w:i/>
        </w:rPr>
      </w:pPr>
      <w:bookmarkStart w:id="0" w:name="_Hlk109199281"/>
      <w:r w:rsidRPr="002E06B6">
        <w:t>6.</w:t>
      </w:r>
      <w:r w:rsidRPr="002E06B6">
        <w:tab/>
      </w:r>
      <w:r>
        <w:t>Les</w:t>
      </w:r>
      <w:r w:rsidRPr="00B450A2">
        <w:t xml:space="preserve"> </w:t>
      </w:r>
      <w:r>
        <w:t xml:space="preserve">textes et instruments que la République de Croatie a adoptés pour mettre fin à </w:t>
      </w:r>
      <w:r w:rsidRPr="00B450A2">
        <w:t xml:space="preserve">la discrimination et </w:t>
      </w:r>
      <w:r>
        <w:t xml:space="preserve">aux </w:t>
      </w:r>
      <w:r w:rsidRPr="00B450A2">
        <w:t xml:space="preserve">crimes de haine </w:t>
      </w:r>
      <w:r>
        <w:t xml:space="preserve">sont indiqués </w:t>
      </w:r>
      <w:r w:rsidRPr="00B450A2">
        <w:t xml:space="preserve">aux </w:t>
      </w:r>
      <w:r w:rsidR="00A858B3">
        <w:t>paragraphes </w:t>
      </w:r>
      <w:r w:rsidRPr="00B450A2">
        <w:t>11, 12 et 14</w:t>
      </w:r>
      <w:r>
        <w:t xml:space="preserve"> de son </w:t>
      </w:r>
      <w:r w:rsidRPr="00B450A2">
        <w:t xml:space="preserve">rapport périodique </w:t>
      </w:r>
      <w:r>
        <w:t xml:space="preserve">de 2020 </w:t>
      </w:r>
      <w:r w:rsidRPr="00B450A2">
        <w:t>sur l</w:t>
      </w:r>
      <w:r>
        <w:t>’application</w:t>
      </w:r>
      <w:r w:rsidRPr="00B450A2">
        <w:t xml:space="preserve"> de </w:t>
      </w:r>
      <w:r>
        <w:t xml:space="preserve">la Convention internationale sur l’élimination de toutes les formes de discrimination </w:t>
      </w:r>
      <w:r w:rsidRPr="00C16D9E">
        <w:t>raciale</w:t>
      </w:r>
      <w:r w:rsidR="00C16D9E" w:rsidRPr="00C16D9E">
        <w:t xml:space="preserve"> (CERD/C/CRO/9-14)</w:t>
      </w:r>
      <w:r w:rsidRPr="00535E17">
        <w:rPr>
          <w:rStyle w:val="Appelnotedebasdep"/>
        </w:rPr>
        <w:footnoteReference w:id="8"/>
      </w:r>
      <w:r w:rsidR="00DA58A6">
        <w:t> </w:t>
      </w:r>
      <w:r w:rsidRPr="00276E2B">
        <w:rPr>
          <w:lang w:val="fr-FR"/>
        </w:rPr>
        <w:t>:</w:t>
      </w:r>
      <w:r>
        <w:t xml:space="preserve"> dans ce même rapport, les réponses concernant les </w:t>
      </w:r>
      <w:r w:rsidR="00A858B3">
        <w:t>articles </w:t>
      </w:r>
      <w:r>
        <w:t xml:space="preserve">2, 4 et 7 de la Convention donnent des précisions sur les </w:t>
      </w:r>
      <w:r w:rsidRPr="00B450A2">
        <w:t xml:space="preserve">mécanismes </w:t>
      </w:r>
      <w:r>
        <w:t xml:space="preserve">adoptés pour </w:t>
      </w:r>
      <w:r w:rsidRPr="00B450A2">
        <w:t>lutte</w:t>
      </w:r>
      <w:r>
        <w:t>r</w:t>
      </w:r>
      <w:r w:rsidRPr="00B450A2">
        <w:t xml:space="preserve"> contre </w:t>
      </w:r>
      <w:r>
        <w:t xml:space="preserve">ces phénomènes et les </w:t>
      </w:r>
      <w:r w:rsidRPr="00B450A2">
        <w:t xml:space="preserve">mesures prises pour </w:t>
      </w:r>
      <w:r>
        <w:t xml:space="preserve">remédier aux </w:t>
      </w:r>
      <w:r w:rsidRPr="00B450A2">
        <w:t xml:space="preserve">préjugés et </w:t>
      </w:r>
      <w:r>
        <w:t xml:space="preserve">à </w:t>
      </w:r>
      <w:r w:rsidRPr="00B450A2">
        <w:t xml:space="preserve">la discrimination. </w:t>
      </w:r>
      <w:r>
        <w:t>On trouvera au</w:t>
      </w:r>
      <w:r w:rsidRPr="00B450A2">
        <w:t xml:space="preserve"> point 9 de l</w:t>
      </w:r>
      <w:r>
        <w:t>’</w:t>
      </w:r>
      <w:r w:rsidRPr="00B450A2">
        <w:t>annexe du quatrième rapport périodique sur l</w:t>
      </w:r>
      <w:r>
        <w:t>’application</w:t>
      </w:r>
      <w:r w:rsidRPr="00B450A2">
        <w:t xml:space="preserve"> du </w:t>
      </w:r>
      <w:r>
        <w:t>Pacte international relatif aux droits civils et politiques</w:t>
      </w:r>
      <w:r w:rsidR="00936B25">
        <w:t xml:space="preserve"> </w:t>
      </w:r>
      <w:r>
        <w:t xml:space="preserve">des renseignements </w:t>
      </w:r>
      <w:r w:rsidRPr="00B450A2">
        <w:t xml:space="preserve">sur </w:t>
      </w:r>
      <w:r>
        <w:t xml:space="preserve">les cas </w:t>
      </w:r>
      <w:r w:rsidRPr="00B450A2">
        <w:t xml:space="preserve">de crime de haine et </w:t>
      </w:r>
      <w:r>
        <w:t>d’</w:t>
      </w:r>
      <w:r w:rsidRPr="00B450A2">
        <w:t xml:space="preserve">incitation publique à la violence et à la haine. </w:t>
      </w:r>
      <w:r>
        <w:t xml:space="preserve">Dans le même rapport, on trouvera </w:t>
      </w:r>
      <w:r w:rsidRPr="00B450A2">
        <w:t>dans la réponse à la question</w:t>
      </w:r>
      <w:r w:rsidR="00DA58A6">
        <w:t> </w:t>
      </w:r>
      <w:r w:rsidRPr="00B450A2">
        <w:t>7</w:t>
      </w:r>
      <w:r>
        <w:t xml:space="preserve"> des renseignements sur l</w:t>
      </w:r>
      <w:r w:rsidRPr="00B450A2">
        <w:t>es politiques relatives à la non-discrimination, aux droits des minorités et à l</w:t>
      </w:r>
      <w:r>
        <w:t>’</w:t>
      </w:r>
      <w:r w:rsidRPr="00B450A2">
        <w:t>interdiction de l</w:t>
      </w:r>
      <w:r>
        <w:t>’</w:t>
      </w:r>
      <w:r w:rsidRPr="00B450A2">
        <w:t>incitation à la haine nationale, raciale ou religieuse.</w:t>
      </w:r>
    </w:p>
    <w:bookmarkEnd w:id="0"/>
    <w:p w14:paraId="6BE41A9F" w14:textId="04C15985" w:rsidR="000C1192" w:rsidRPr="0055148B" w:rsidRDefault="000C1192" w:rsidP="000C1192">
      <w:pPr>
        <w:pStyle w:val="SingleTxtG"/>
      </w:pPr>
      <w:r w:rsidRPr="002B75EF">
        <w:t>7.</w:t>
      </w:r>
      <w:r w:rsidRPr="002B75EF">
        <w:tab/>
      </w:r>
      <w:r>
        <w:t xml:space="preserve">Dans la partie </w:t>
      </w:r>
      <w:r w:rsidRPr="0055148B">
        <w:t xml:space="preserve">du </w:t>
      </w:r>
      <w:r>
        <w:t xml:space="preserve">présent </w:t>
      </w:r>
      <w:r w:rsidRPr="0055148B">
        <w:t xml:space="preserve">rapport </w:t>
      </w:r>
      <w:r>
        <w:t>concernant l’</w:t>
      </w:r>
      <w:r w:rsidR="00A858B3">
        <w:t>article </w:t>
      </w:r>
      <w:r>
        <w:t>2 du Pacte, on trouvera des renseignements sur le bilan de la</w:t>
      </w:r>
      <w:r w:rsidRPr="0055148B">
        <w:t xml:space="preserve"> jurisprudence</w:t>
      </w:r>
      <w:r>
        <w:t xml:space="preserve"> dressé à l’occasion du dixième anniversaire de </w:t>
      </w:r>
      <w:r w:rsidRPr="0055148B">
        <w:t>l</w:t>
      </w:r>
      <w:r>
        <w:t>’</w:t>
      </w:r>
      <w:r w:rsidRPr="0055148B">
        <w:t xml:space="preserve">adoption de </w:t>
      </w:r>
      <w:r>
        <w:t>la loi sur la lutte contre la discrimination</w:t>
      </w:r>
      <w:r w:rsidRPr="0055148B">
        <w:t>.</w:t>
      </w:r>
    </w:p>
    <w:p w14:paraId="28DE3CAD" w14:textId="6DDFDA4D" w:rsidR="000C1192" w:rsidRPr="00607873" w:rsidRDefault="000C1192" w:rsidP="00DA58A6">
      <w:pPr>
        <w:pStyle w:val="H23G"/>
      </w:pPr>
      <w:r w:rsidRPr="003939F0">
        <w:lastRenderedPageBreak/>
        <w:tab/>
      </w:r>
      <w:r w:rsidRPr="003939F0">
        <w:tab/>
      </w:r>
      <w:r w:rsidR="00A858B3">
        <w:t>Paragraphe </w:t>
      </w:r>
      <w:r w:rsidRPr="00A262B4">
        <w:t xml:space="preserve">10 </w:t>
      </w:r>
      <w:r w:rsidR="00DA58A6">
        <w:t>−</w:t>
      </w:r>
      <w:r w:rsidRPr="00295075">
        <w:t xml:space="preserve"> </w:t>
      </w:r>
      <w:r>
        <w:t>R</w:t>
      </w:r>
      <w:r w:rsidRPr="00295075">
        <w:t xml:space="preserve">etour des membres de la minorité nationale serbe, </w:t>
      </w:r>
      <w:r w:rsidR="00DA58A6">
        <w:br/>
      </w:r>
      <w:r w:rsidRPr="00295075">
        <w:t xml:space="preserve">restitution de leurs biens et règlement de la question des droits </w:t>
      </w:r>
      <w:r w:rsidR="00DA58A6">
        <w:br/>
      </w:r>
      <w:r w:rsidRPr="00295075">
        <w:t>d</w:t>
      </w:r>
      <w:r>
        <w:t>’</w:t>
      </w:r>
      <w:r w:rsidRPr="00295075">
        <w:t xml:space="preserve">occupation ; </w:t>
      </w:r>
      <w:r w:rsidR="00A858B3">
        <w:t>paragraphe </w:t>
      </w:r>
      <w:r w:rsidRPr="00295075">
        <w:t>28 </w:t>
      </w:r>
      <w:r w:rsidR="00DA58A6">
        <w:t>−</w:t>
      </w:r>
      <w:r w:rsidRPr="00295075">
        <w:t xml:space="preserve"> </w:t>
      </w:r>
      <w:r>
        <w:t>S</w:t>
      </w:r>
      <w:r w:rsidRPr="00295075">
        <w:t xml:space="preserve">implification des procédures </w:t>
      </w:r>
      <w:r w:rsidR="00DA58A6">
        <w:br/>
      </w:r>
      <w:r w:rsidRPr="00295075">
        <w:t xml:space="preserve">applicables aux rapatriés et aux réfugiés ; </w:t>
      </w:r>
      <w:r w:rsidR="00A858B3">
        <w:t>paragraphe </w:t>
      </w:r>
      <w:r w:rsidRPr="00295075">
        <w:t>21 </w:t>
      </w:r>
      <w:r w:rsidR="00DA58A6">
        <w:t>−</w:t>
      </w:r>
      <w:r w:rsidRPr="00295075">
        <w:t xml:space="preserve"> </w:t>
      </w:r>
      <w:r>
        <w:t>M</w:t>
      </w:r>
      <w:r w:rsidRPr="00295075">
        <w:t xml:space="preserve">esures </w:t>
      </w:r>
      <w:r w:rsidR="00DA58A6">
        <w:br/>
      </w:r>
      <w:r w:rsidRPr="00295075">
        <w:t xml:space="preserve">prises pour rapatrier les réfugiés et leur restituer leurs biens </w:t>
      </w:r>
      <w:r w:rsidR="00DA58A6">
        <w:br/>
      </w:r>
      <w:r w:rsidRPr="00295075">
        <w:t>ou leur assurer un logement et un dédommagement appropriés</w:t>
      </w:r>
    </w:p>
    <w:p w14:paraId="70CA7683" w14:textId="3C7E4CF4" w:rsidR="000C1192" w:rsidRPr="00C87B49" w:rsidRDefault="000C1192" w:rsidP="000C1192">
      <w:pPr>
        <w:pStyle w:val="SingleTxtG"/>
      </w:pPr>
      <w:r w:rsidRPr="00C87B49">
        <w:t>8.</w:t>
      </w:r>
      <w:r w:rsidRPr="00C87B49">
        <w:tab/>
        <w:t xml:space="preserve">Pour accélérer le retour et la réintégration de tous les réfugiés sans discrimination, la </w:t>
      </w:r>
      <w:r>
        <w:t xml:space="preserve">République de Croatie </w:t>
      </w:r>
      <w:r w:rsidRPr="00C87B49">
        <w:t xml:space="preserve">a </w:t>
      </w:r>
      <w:r>
        <w:t xml:space="preserve">fait </w:t>
      </w:r>
      <w:r w:rsidRPr="00C87B49">
        <w:t>reconstrui</w:t>
      </w:r>
      <w:r>
        <w:t>re</w:t>
      </w:r>
      <w:r w:rsidRPr="00C87B49">
        <w:t xml:space="preserve"> ou construi</w:t>
      </w:r>
      <w:r>
        <w:t>re</w:t>
      </w:r>
      <w:r w:rsidRPr="00C87B49">
        <w:t xml:space="preserve"> 156</w:t>
      </w:r>
      <w:r w:rsidR="00DA58A6">
        <w:t> </w:t>
      </w:r>
      <w:r w:rsidRPr="00C87B49">
        <w:t>750</w:t>
      </w:r>
      <w:r w:rsidR="00DA58A6">
        <w:t> </w:t>
      </w:r>
      <w:r w:rsidRPr="00C87B49">
        <w:t>logement</w:t>
      </w:r>
      <w:r>
        <w:t>s</w:t>
      </w:r>
      <w:r w:rsidRPr="00C87B49">
        <w:t xml:space="preserve"> </w:t>
      </w:r>
      <w:r>
        <w:t xml:space="preserve">qui avaient été </w:t>
      </w:r>
      <w:r w:rsidRPr="00C87B49">
        <w:t>endommagés ou détruits pendant la guerre (</w:t>
      </w:r>
      <w:r>
        <w:t xml:space="preserve">pour un montant de </w:t>
      </w:r>
      <w:r w:rsidRPr="00C87B49">
        <w:t>2,35</w:t>
      </w:r>
      <w:r w:rsidR="00DA58A6">
        <w:t> </w:t>
      </w:r>
      <w:r w:rsidRPr="00C87B49">
        <w:t>milliards d</w:t>
      </w:r>
      <w:r>
        <w:t>’</w:t>
      </w:r>
      <w:r w:rsidRPr="00C87B49">
        <w:t>euros)</w:t>
      </w:r>
      <w:r>
        <w:t>,</w:t>
      </w:r>
      <w:r w:rsidRPr="00C87B49">
        <w:t xml:space="preserve"> </w:t>
      </w:r>
      <w:r>
        <w:t xml:space="preserve">dans le cadre </w:t>
      </w:r>
      <w:r w:rsidRPr="00C87B49">
        <w:t>d</w:t>
      </w:r>
      <w:r>
        <w:t>’</w:t>
      </w:r>
      <w:r w:rsidRPr="00C87B49">
        <w:t xml:space="preserve">un programme de </w:t>
      </w:r>
      <w:r>
        <w:t xml:space="preserve">relèvement adopté </w:t>
      </w:r>
      <w:r w:rsidRPr="00C87B49">
        <w:t xml:space="preserve">conformément à </w:t>
      </w:r>
      <w:r>
        <w:t>la loi sur la reconstruction</w:t>
      </w:r>
      <w:r w:rsidRPr="00C87B49">
        <w:t>.</w:t>
      </w:r>
    </w:p>
    <w:p w14:paraId="22316C3D" w14:textId="43C0E699" w:rsidR="000C1192" w:rsidRPr="00C87B49" w:rsidRDefault="000C1192" w:rsidP="000C1192">
      <w:pPr>
        <w:pStyle w:val="SingleTxtG"/>
      </w:pPr>
      <w:r w:rsidRPr="00DC6083">
        <w:t>9.</w:t>
      </w:r>
      <w:r w:rsidRPr="00DC6083">
        <w:tab/>
      </w:r>
      <w:r w:rsidRPr="00C87B49">
        <w:t>L</w:t>
      </w:r>
      <w:r>
        <w:t xml:space="preserve">e délai de présentation des demandes </w:t>
      </w:r>
      <w:r w:rsidRPr="00C87B49">
        <w:t xml:space="preserve">de reconstruction </w:t>
      </w:r>
      <w:r>
        <w:t xml:space="preserve">a </w:t>
      </w:r>
      <w:r w:rsidRPr="00C87B49">
        <w:t xml:space="preserve">été </w:t>
      </w:r>
      <w:r>
        <w:t xml:space="preserve">prorogé à </w:t>
      </w:r>
      <w:r w:rsidRPr="00C87B49">
        <w:t xml:space="preserve">deux </w:t>
      </w:r>
      <w:r>
        <w:t xml:space="preserve">reprises </w:t>
      </w:r>
      <w:r w:rsidRPr="00C87B49">
        <w:t>(</w:t>
      </w:r>
      <w:r>
        <w:t xml:space="preserve">en </w:t>
      </w:r>
      <w:r w:rsidRPr="00C87B49">
        <w:t xml:space="preserve">2001 et </w:t>
      </w:r>
      <w:r>
        <w:t xml:space="preserve">en </w:t>
      </w:r>
      <w:r w:rsidRPr="00C87B49">
        <w:t>2004)</w:t>
      </w:r>
      <w:r>
        <w:t xml:space="preserve"> ; tout </w:t>
      </w:r>
      <w:r w:rsidRPr="00C87B49">
        <w:t>propriétaire</w:t>
      </w:r>
      <w:r>
        <w:t xml:space="preserve"> avait le droit de présenter une demande,</w:t>
      </w:r>
      <w:r w:rsidRPr="00C87B49">
        <w:t xml:space="preserve"> indépendamment de </w:t>
      </w:r>
      <w:r>
        <w:t xml:space="preserve">sa </w:t>
      </w:r>
      <w:r w:rsidRPr="00C87B49">
        <w:t>nationalité. Il reste</w:t>
      </w:r>
      <w:r>
        <w:t xml:space="preserve"> actuellement</w:t>
      </w:r>
      <w:r w:rsidRPr="00C87B49">
        <w:t xml:space="preserve"> 64</w:t>
      </w:r>
      <w:r w:rsidR="00DA58A6">
        <w:t> </w:t>
      </w:r>
      <w:r w:rsidRPr="00C87B49">
        <w:t>demandes à traiter</w:t>
      </w:r>
      <w:r>
        <w:t>,</w:t>
      </w:r>
      <w:r w:rsidRPr="00C87B49">
        <w:t xml:space="preserve"> en raison </w:t>
      </w:r>
      <w:r>
        <w:t xml:space="preserve">du régime de </w:t>
      </w:r>
      <w:r w:rsidRPr="00C87B49">
        <w:t xml:space="preserve">propriété </w:t>
      </w:r>
      <w:r>
        <w:t xml:space="preserve">des biens </w:t>
      </w:r>
      <w:r w:rsidRPr="00C87B49">
        <w:t>et/ou d</w:t>
      </w:r>
      <w:r>
        <w:t>’</w:t>
      </w:r>
      <w:r w:rsidRPr="00C87B49">
        <w:t>affaires judiciaires en cours.</w:t>
      </w:r>
    </w:p>
    <w:p w14:paraId="5D122252" w14:textId="302F162F" w:rsidR="000C1192" w:rsidRPr="00C87B49" w:rsidRDefault="000C1192" w:rsidP="000C1192">
      <w:pPr>
        <w:pStyle w:val="SingleTxtG"/>
      </w:pPr>
      <w:r w:rsidRPr="00AA0497">
        <w:t>10.</w:t>
      </w:r>
      <w:r w:rsidRPr="00AA0497">
        <w:tab/>
      </w:r>
      <w:r>
        <w:t xml:space="preserve">Outre le </w:t>
      </w:r>
      <w:r w:rsidRPr="00C87B49">
        <w:t xml:space="preserve">programme de reconstruction, la </w:t>
      </w:r>
      <w:r>
        <w:t xml:space="preserve">République de Croatie </w:t>
      </w:r>
      <w:r w:rsidRPr="00C87B49">
        <w:t>a pris en charge le logement de 45</w:t>
      </w:r>
      <w:r w:rsidR="00DA58A6">
        <w:t> </w:t>
      </w:r>
      <w:r w:rsidRPr="00C87B49">
        <w:t>021</w:t>
      </w:r>
      <w:r w:rsidR="00DA58A6">
        <w:t> </w:t>
      </w:r>
      <w:r w:rsidRPr="00C87B49">
        <w:t>familles (</w:t>
      </w:r>
      <w:r>
        <w:t xml:space="preserve">dans </w:t>
      </w:r>
      <w:r w:rsidRPr="00C87B49">
        <w:t>28</w:t>
      </w:r>
      <w:r w:rsidR="00DA58A6">
        <w:t> </w:t>
      </w:r>
      <w:r w:rsidRPr="00C87B49">
        <w:t>221</w:t>
      </w:r>
      <w:r w:rsidR="00DA58A6">
        <w:t> </w:t>
      </w:r>
      <w:r>
        <w:t xml:space="preserve">cas </w:t>
      </w:r>
      <w:r w:rsidRPr="00C87B49">
        <w:t>en louant des biens de l</w:t>
      </w:r>
      <w:r>
        <w:t>’</w:t>
      </w:r>
      <w:r w:rsidRPr="00C87B49">
        <w:t>État</w:t>
      </w:r>
      <w:r>
        <w:t xml:space="preserve"> </w:t>
      </w:r>
      <w:r w:rsidRPr="00C87B49">
        <w:t xml:space="preserve">et </w:t>
      </w:r>
      <w:r>
        <w:t xml:space="preserve">dans </w:t>
      </w:r>
      <w:r w:rsidRPr="00C87B49">
        <w:t>16</w:t>
      </w:r>
      <w:r w:rsidR="00DA58A6">
        <w:t> </w:t>
      </w:r>
      <w:r w:rsidRPr="00C87B49">
        <w:t>800</w:t>
      </w:r>
      <w:r w:rsidR="00DA58A6">
        <w:t> </w:t>
      </w:r>
      <w:r>
        <w:t xml:space="preserve">cas </w:t>
      </w:r>
      <w:r w:rsidRPr="00C87B49">
        <w:t xml:space="preserve">en </w:t>
      </w:r>
      <w:r>
        <w:t xml:space="preserve">faisant don de </w:t>
      </w:r>
      <w:r w:rsidRPr="00C87B49">
        <w:t xml:space="preserve">matériaux de construction pour </w:t>
      </w:r>
      <w:r>
        <w:t xml:space="preserve">une </w:t>
      </w:r>
      <w:r w:rsidRPr="00C87B49">
        <w:t>maison familiale appartenant au demandeur</w:t>
      </w:r>
      <w:r>
        <w:t>,</w:t>
      </w:r>
      <w:r w:rsidRPr="00C87B49">
        <w:t xml:space="preserve"> dans le cadre du programme </w:t>
      </w:r>
      <w:r>
        <w:t xml:space="preserve">pour le </w:t>
      </w:r>
      <w:r w:rsidRPr="00C87B49">
        <w:t xml:space="preserve">logement </w:t>
      </w:r>
      <w:r>
        <w:t>prévu par la l</w:t>
      </w:r>
      <w:r w:rsidRPr="002A39D5">
        <w:t>oi sur l</w:t>
      </w:r>
      <w:r>
        <w:t>’</w:t>
      </w:r>
      <w:r w:rsidRPr="002A39D5">
        <w:t xml:space="preserve">aide au logement dans les zones </w:t>
      </w:r>
      <w:r>
        <w:t xml:space="preserve">secourues. Cette loi </w:t>
      </w:r>
      <w:r w:rsidRPr="00C87B49">
        <w:t>couvre 336</w:t>
      </w:r>
      <w:r w:rsidR="00DA58A6">
        <w:t> </w:t>
      </w:r>
      <w:r>
        <w:t>collectivités locales et régionales autonomes</w:t>
      </w:r>
      <w:r w:rsidRPr="00C87B49">
        <w:t xml:space="preserve"> </w:t>
      </w:r>
      <w:r>
        <w:t xml:space="preserve">situées </w:t>
      </w:r>
      <w:r w:rsidRPr="00C87B49">
        <w:t>dans les zones assistées et les zones d</w:t>
      </w:r>
      <w:r>
        <w:t>’</w:t>
      </w:r>
      <w:r w:rsidRPr="00C87B49">
        <w:t>intérêt particulier</w:t>
      </w:r>
      <w:r>
        <w:t xml:space="preserve"> pour l’État</w:t>
      </w:r>
      <w:r w:rsidRPr="00C87B49">
        <w:t>.</w:t>
      </w:r>
    </w:p>
    <w:p w14:paraId="1BBB8C8B" w14:textId="7E3DABAA" w:rsidR="000C1192" w:rsidRPr="00C87B49" w:rsidRDefault="000C1192" w:rsidP="000C1192">
      <w:pPr>
        <w:pStyle w:val="SingleTxtG"/>
      </w:pPr>
      <w:r w:rsidRPr="00EE2F3E">
        <w:t>11.</w:t>
      </w:r>
      <w:r w:rsidRPr="00EE2F3E">
        <w:tab/>
        <w:t xml:space="preserve">Dans le cadre du programme pour le logement, une aide au logement est également </w:t>
      </w:r>
      <w:r>
        <w:t>apportée aux</w:t>
      </w:r>
      <w:r w:rsidRPr="00EE2F3E">
        <w:t xml:space="preserve"> anciens titulaires de droits d</w:t>
      </w:r>
      <w:r>
        <w:t>’</w:t>
      </w:r>
      <w:r w:rsidRPr="00EE2F3E">
        <w:t>occupation</w:t>
      </w:r>
      <w:r w:rsidRPr="00535E17">
        <w:rPr>
          <w:rStyle w:val="Appelnotedebasdep"/>
        </w:rPr>
        <w:footnoteReference w:id="9"/>
      </w:r>
      <w:r w:rsidRPr="00EE2F3E">
        <w:t xml:space="preserve">. </w:t>
      </w:r>
      <w:r>
        <w:t>Pour un total de</w:t>
      </w:r>
      <w:r w:rsidRPr="00C87B49">
        <w:t xml:space="preserve"> 28</w:t>
      </w:r>
      <w:r w:rsidR="00DA58A6">
        <w:t> </w:t>
      </w:r>
      <w:r w:rsidRPr="00C87B49">
        <w:t>221</w:t>
      </w:r>
      <w:r w:rsidR="00DA58A6">
        <w:t> </w:t>
      </w:r>
      <w:r w:rsidRPr="00C87B49">
        <w:t xml:space="preserve">familles </w:t>
      </w:r>
      <w:r>
        <w:t xml:space="preserve">s’étant vu attribuer un </w:t>
      </w:r>
      <w:r w:rsidRPr="00C87B49">
        <w:t>logement, 9</w:t>
      </w:r>
      <w:r w:rsidR="00DA58A6">
        <w:t> </w:t>
      </w:r>
      <w:r w:rsidRPr="00C87B49">
        <w:t>311</w:t>
      </w:r>
      <w:r w:rsidR="00DA58A6">
        <w:t> </w:t>
      </w:r>
      <w:r w:rsidRPr="00C87B49">
        <w:t xml:space="preserve">anciens titulaires de droits </w:t>
      </w:r>
      <w:r>
        <w:t xml:space="preserve">d’occupation </w:t>
      </w:r>
      <w:r w:rsidRPr="00C87B49">
        <w:t xml:space="preserve">ont </w:t>
      </w:r>
      <w:r>
        <w:t>bénéficié d’un logement public</w:t>
      </w:r>
      <w:r w:rsidRPr="00C87B49">
        <w:t>.</w:t>
      </w:r>
    </w:p>
    <w:p w14:paraId="050B616E" w14:textId="71E5A76A" w:rsidR="000C1192" w:rsidRPr="00C30E02" w:rsidRDefault="000C1192" w:rsidP="000C1192">
      <w:pPr>
        <w:pStyle w:val="SingleTxtG"/>
        <w:rPr>
          <w:rStyle w:val="Appelnotedebasdep"/>
          <w:color w:val="000000" w:themeColor="text1"/>
        </w:rPr>
      </w:pPr>
      <w:r w:rsidRPr="00C30E02">
        <w:rPr>
          <w:rStyle w:val="Appelnotedebasdep"/>
          <w:color w:val="000000" w:themeColor="text1"/>
        </w:rPr>
        <w:t>12.</w:t>
      </w:r>
      <w:r w:rsidRPr="00C30E02">
        <w:rPr>
          <w:rStyle w:val="Appelnotedebasdep"/>
          <w:color w:val="000000" w:themeColor="text1"/>
        </w:rPr>
        <w:tab/>
      </w:r>
      <w:r w:rsidRPr="00E16652">
        <w:t>L</w:t>
      </w:r>
      <w:r>
        <w:t xml:space="preserve">a restitution des </w:t>
      </w:r>
      <w:r w:rsidRPr="00E16652">
        <w:t>droit</w:t>
      </w:r>
      <w:r>
        <w:t>s</w:t>
      </w:r>
      <w:r w:rsidRPr="00E16652">
        <w:t xml:space="preserve"> d</w:t>
      </w:r>
      <w:r>
        <w:t>’</w:t>
      </w:r>
      <w:r w:rsidRPr="00E16652">
        <w:t>occupation était l</w:t>
      </w:r>
      <w:r>
        <w:t>’</w:t>
      </w:r>
      <w:r w:rsidRPr="00E16652">
        <w:t xml:space="preserve">un des critères que la </w:t>
      </w:r>
      <w:r>
        <w:t>République de Croatie</w:t>
      </w:r>
      <w:r w:rsidRPr="00E16652">
        <w:t xml:space="preserve"> devait remplir pour clore les négociations </w:t>
      </w:r>
      <w:r>
        <w:t xml:space="preserve">relatives à son </w:t>
      </w:r>
      <w:r w:rsidRPr="00E16652">
        <w:t>adhésion à l</w:t>
      </w:r>
      <w:r>
        <w:t>’</w:t>
      </w:r>
      <w:r w:rsidRPr="00E16652">
        <w:t>U</w:t>
      </w:r>
      <w:r>
        <w:t>nion européenne</w:t>
      </w:r>
      <w:r w:rsidRPr="00E16652">
        <w:t xml:space="preserve"> (chap</w:t>
      </w:r>
      <w:r w:rsidR="00DA58A6">
        <w:t>. </w:t>
      </w:r>
      <w:r w:rsidRPr="00E16652">
        <w:t>23</w:t>
      </w:r>
      <w:r>
        <w:t>,</w:t>
      </w:r>
      <w:r w:rsidRPr="00E16652">
        <w:t xml:space="preserve"> </w:t>
      </w:r>
      <w:r>
        <w:t>« </w:t>
      </w:r>
      <w:r w:rsidRPr="00E16652">
        <w:t>Administration de la justice et droits fondamentaux de l</w:t>
      </w:r>
      <w:r>
        <w:t>’</w:t>
      </w:r>
      <w:r w:rsidRPr="00E16652">
        <w:t>homme</w:t>
      </w:r>
      <w:r>
        <w:t> »</w:t>
      </w:r>
      <w:r w:rsidRPr="00E16652">
        <w:t xml:space="preserve">). </w:t>
      </w:r>
      <w:r>
        <w:t>Entre</w:t>
      </w:r>
      <w:r w:rsidRPr="00E16652">
        <w:t xml:space="preserve"> 2009 </w:t>
      </w:r>
      <w:r>
        <w:t>et 2013, année de</w:t>
      </w:r>
      <w:r w:rsidR="00936B25">
        <w:t xml:space="preserve"> </w:t>
      </w:r>
      <w:r w:rsidRPr="00E16652">
        <w:t>son adhésion à l</w:t>
      </w:r>
      <w:r>
        <w:t>’</w:t>
      </w:r>
      <w:r w:rsidRPr="00E16652">
        <w:t xml:space="preserve">UE </w:t>
      </w:r>
      <w:r>
        <w:t xml:space="preserve">en </w:t>
      </w:r>
      <w:r w:rsidRPr="00E16652">
        <w:t xml:space="preserve">2013, la </w:t>
      </w:r>
      <w:r>
        <w:t xml:space="preserve">République de Croatie </w:t>
      </w:r>
      <w:r w:rsidRPr="00E16652">
        <w:t>a attribué 4</w:t>
      </w:r>
      <w:r w:rsidR="00DA58A6">
        <w:t> </w:t>
      </w:r>
      <w:r w:rsidRPr="00E16652">
        <w:t>915</w:t>
      </w:r>
      <w:r w:rsidR="00DA58A6">
        <w:t> </w:t>
      </w:r>
      <w:r w:rsidRPr="00E16652">
        <w:t xml:space="preserve">logements aux familles </w:t>
      </w:r>
      <w:r>
        <w:t>d’</w:t>
      </w:r>
      <w:r w:rsidRPr="00E16652">
        <w:t>anciens titulaires de droits d</w:t>
      </w:r>
      <w:r>
        <w:t>’</w:t>
      </w:r>
      <w:r w:rsidRPr="00E16652">
        <w:t>occupation dans le cadre d</w:t>
      </w:r>
      <w:r>
        <w:t>’</w:t>
      </w:r>
      <w:r w:rsidRPr="00E16652">
        <w:t>un contrat cl</w:t>
      </w:r>
      <w:r w:rsidR="00691D44">
        <w:t>ef</w:t>
      </w:r>
      <w:r w:rsidRPr="00E16652">
        <w:t xml:space="preserve"> en main. Un logement </w:t>
      </w:r>
      <w:r>
        <w:t xml:space="preserve">a été assuré sans interruption </w:t>
      </w:r>
      <w:r w:rsidRPr="00E16652">
        <w:t xml:space="preserve">avant et après </w:t>
      </w:r>
      <w:r>
        <w:t xml:space="preserve">que les </w:t>
      </w:r>
      <w:r w:rsidRPr="00E16652">
        <w:t xml:space="preserve">critères </w:t>
      </w:r>
      <w:r>
        <w:t xml:space="preserve">soient remplis </w:t>
      </w:r>
      <w:r w:rsidRPr="00E16652">
        <w:t>(</w:t>
      </w:r>
      <w:r>
        <w:t xml:space="preserve">pour </w:t>
      </w:r>
      <w:r w:rsidRPr="00E16652">
        <w:t>17</w:t>
      </w:r>
      <w:r w:rsidR="00DA58A6">
        <w:t> </w:t>
      </w:r>
      <w:r w:rsidRPr="00E16652">
        <w:t>820</w:t>
      </w:r>
      <w:r w:rsidR="00DA58A6">
        <w:t> </w:t>
      </w:r>
      <w:r w:rsidRPr="00E16652">
        <w:t xml:space="preserve">demandes). </w:t>
      </w:r>
      <w:r>
        <w:t xml:space="preserve">Le nombre de </w:t>
      </w:r>
      <w:r w:rsidRPr="00E16652">
        <w:t xml:space="preserve">demandes </w:t>
      </w:r>
      <w:r>
        <w:t xml:space="preserve">réglées en première instance s’élève à </w:t>
      </w:r>
      <w:r w:rsidRPr="00E16652">
        <w:t>17</w:t>
      </w:r>
      <w:r w:rsidR="00DA58A6">
        <w:t> </w:t>
      </w:r>
      <w:r w:rsidRPr="00E16652">
        <w:t>756 (9</w:t>
      </w:r>
      <w:r w:rsidR="00DA58A6">
        <w:t> </w:t>
      </w:r>
      <w:r w:rsidRPr="00E16652">
        <w:t>633</w:t>
      </w:r>
      <w:r w:rsidR="00DA58A6">
        <w:t> </w:t>
      </w:r>
      <w:r>
        <w:t xml:space="preserve">décisions favorables </w:t>
      </w:r>
      <w:r w:rsidRPr="00E16652">
        <w:t>et 8</w:t>
      </w:r>
      <w:r w:rsidR="00DA58A6">
        <w:t> </w:t>
      </w:r>
      <w:r w:rsidRPr="00E16652">
        <w:t>047</w:t>
      </w:r>
      <w:r w:rsidR="00DA58A6">
        <w:t> </w:t>
      </w:r>
      <w:r>
        <w:t>décisions défavorables</w:t>
      </w:r>
      <w:r w:rsidRPr="00E16652">
        <w:t xml:space="preserve">). Au moment de la rédaction du </w:t>
      </w:r>
      <w:r>
        <w:t xml:space="preserve">présent </w:t>
      </w:r>
      <w:r w:rsidRPr="00E16652">
        <w:t>rapport, 322</w:t>
      </w:r>
      <w:r w:rsidR="00DA58A6">
        <w:t> </w:t>
      </w:r>
      <w:r w:rsidRPr="00E16652">
        <w:t xml:space="preserve">demandes </w:t>
      </w:r>
      <w:r>
        <w:t xml:space="preserve">ayant reçu une suite favorable étaient </w:t>
      </w:r>
      <w:r w:rsidRPr="00E16652">
        <w:t xml:space="preserve">en cours </w:t>
      </w:r>
      <w:r>
        <w:t xml:space="preserve">d’exécution au titre </w:t>
      </w:r>
      <w:r w:rsidRPr="00E16652">
        <w:t xml:space="preserve">du </w:t>
      </w:r>
      <w:r>
        <w:t>p</w:t>
      </w:r>
      <w:r w:rsidRPr="00E16652">
        <w:t xml:space="preserve">rogramme </w:t>
      </w:r>
      <w:r>
        <w:t xml:space="preserve">national </w:t>
      </w:r>
      <w:r w:rsidRPr="00E16652">
        <w:t xml:space="preserve">et/ou régional </w:t>
      </w:r>
      <w:r>
        <w:t xml:space="preserve">pour le </w:t>
      </w:r>
      <w:r w:rsidRPr="00E16652">
        <w:t>logement</w:t>
      </w:r>
      <w:r w:rsidRPr="00535E17">
        <w:rPr>
          <w:rStyle w:val="Appelnotedebasdep"/>
        </w:rPr>
        <w:footnoteReference w:id="10"/>
      </w:r>
      <w:r w:rsidRPr="00C30E02">
        <w:t>.</w:t>
      </w:r>
    </w:p>
    <w:p w14:paraId="20A55D87" w14:textId="108C5731" w:rsidR="000C1192" w:rsidRPr="00FD5D10" w:rsidRDefault="000C1192" w:rsidP="000C1192">
      <w:pPr>
        <w:pStyle w:val="SingleTxtG"/>
      </w:pPr>
      <w:r w:rsidRPr="00013315">
        <w:t>13.</w:t>
      </w:r>
      <w:r w:rsidRPr="00013315">
        <w:tab/>
      </w:r>
      <w:r w:rsidRPr="00FD5D10">
        <w:t xml:space="preserve">Après la fin de la </w:t>
      </w:r>
      <w:r>
        <w:t>G</w:t>
      </w:r>
      <w:r w:rsidRPr="00FD5D10">
        <w:t xml:space="preserve">uerre </w:t>
      </w:r>
      <w:r>
        <w:t>patriotique</w:t>
      </w:r>
      <w:r w:rsidRPr="00FD5D10">
        <w:t xml:space="preserve">, les immeubles abandonnés par </w:t>
      </w:r>
      <w:r>
        <w:t xml:space="preserve">des </w:t>
      </w:r>
      <w:r w:rsidRPr="00FD5D10">
        <w:t xml:space="preserve">personnes physiques qui </w:t>
      </w:r>
      <w:r>
        <w:t xml:space="preserve">avaient </w:t>
      </w:r>
      <w:r w:rsidRPr="00FD5D10">
        <w:t xml:space="preserve">fui la </w:t>
      </w:r>
      <w:r>
        <w:t xml:space="preserve">République de Croatie </w:t>
      </w:r>
      <w:r w:rsidRPr="00FD5D10">
        <w:t xml:space="preserve">ont été </w:t>
      </w:r>
      <w:r>
        <w:t xml:space="preserve">transférés </w:t>
      </w:r>
      <w:r w:rsidRPr="00FD5D10">
        <w:t xml:space="preserve">aux commissions du logement des municipalités et des villes pour la gestion provisoire des logements. La commission </w:t>
      </w:r>
      <w:r>
        <w:t xml:space="preserve">a mis les biens en question </w:t>
      </w:r>
      <w:r w:rsidRPr="00FD5D10">
        <w:t>(19</w:t>
      </w:r>
      <w:r w:rsidR="00DA58A6">
        <w:t> </w:t>
      </w:r>
      <w:r w:rsidRPr="00FD5D10">
        <w:t>278</w:t>
      </w:r>
      <w:r w:rsidR="00DA58A6">
        <w:t> </w:t>
      </w:r>
      <w:r w:rsidRPr="00FD5D10">
        <w:t>logement</w:t>
      </w:r>
      <w:r>
        <w:t>s</w:t>
      </w:r>
      <w:r w:rsidRPr="00FD5D10">
        <w:t xml:space="preserve"> abandonnés appartenant à des personnes physiques)</w:t>
      </w:r>
      <w:r>
        <w:t xml:space="preserve"> à la disposition provisoire de </w:t>
      </w:r>
      <w:r w:rsidRPr="00FD5D10">
        <w:t xml:space="preserve">réfugiés dont </w:t>
      </w:r>
      <w:r>
        <w:t xml:space="preserve">le bien immobilier avait </w:t>
      </w:r>
      <w:r w:rsidRPr="00FD5D10">
        <w:t>été détruit pendant l</w:t>
      </w:r>
      <w:r>
        <w:t>’</w:t>
      </w:r>
      <w:r w:rsidRPr="00FD5D10">
        <w:t xml:space="preserve">agression contre la </w:t>
      </w:r>
      <w:r>
        <w:t>République de Croatie</w:t>
      </w:r>
      <w:r w:rsidRPr="00FD5D10">
        <w:t>. Avec l</w:t>
      </w:r>
      <w:r>
        <w:t>’</w:t>
      </w:r>
      <w:r w:rsidRPr="00FD5D10">
        <w:t xml:space="preserve">entrée en vigueur de </w:t>
      </w:r>
      <w:r>
        <w:t>la l</w:t>
      </w:r>
      <w:r w:rsidRPr="00F64407">
        <w:t>oi abrogeant la loi relative à l</w:t>
      </w:r>
      <w:r>
        <w:t>’</w:t>
      </w:r>
      <w:r w:rsidRPr="00F64407">
        <w:t>acquisition temporaire du droit de propriété et de gestion de certains biens</w:t>
      </w:r>
      <w:r w:rsidRPr="00FD5D10">
        <w:t xml:space="preserve">, la </w:t>
      </w:r>
      <w:r>
        <w:t xml:space="preserve">République de Croatie s’est engagée à </w:t>
      </w:r>
      <w:r w:rsidRPr="00FD5D10">
        <w:t>restituer les immeubles aux propriétaires</w:t>
      </w:r>
      <w:r>
        <w:t xml:space="preserve"> et a adopté un programme </w:t>
      </w:r>
      <w:r w:rsidRPr="00E254C0">
        <w:t>pour le retour et la prise en charge des personnes déplacées et des réfugiés</w:t>
      </w:r>
      <w:r w:rsidRPr="00FD5D10">
        <w:t xml:space="preserve">. </w:t>
      </w:r>
      <w:r>
        <w:t xml:space="preserve">Fin </w:t>
      </w:r>
      <w:r w:rsidRPr="00FD5D10">
        <w:t>2019, 19</w:t>
      </w:r>
      <w:r w:rsidR="00691D44">
        <w:t> </w:t>
      </w:r>
      <w:r w:rsidRPr="00FD5D10">
        <w:t>261</w:t>
      </w:r>
      <w:r w:rsidR="00691D44">
        <w:t> </w:t>
      </w:r>
      <w:r w:rsidRPr="00FD5D10">
        <w:t xml:space="preserve">logements </w:t>
      </w:r>
      <w:r>
        <w:t xml:space="preserve">avaient </w:t>
      </w:r>
      <w:r w:rsidRPr="00FD5D10">
        <w:t xml:space="preserve">été restitués </w:t>
      </w:r>
      <w:r>
        <w:t xml:space="preserve">à leur </w:t>
      </w:r>
      <w:r w:rsidRPr="00FD5D10">
        <w:t xml:space="preserve">propriétaire. </w:t>
      </w:r>
      <w:r>
        <w:t xml:space="preserve">Dans les </w:t>
      </w:r>
      <w:r w:rsidRPr="00FD5D10">
        <w:t>17</w:t>
      </w:r>
      <w:r w:rsidR="00DA58A6">
        <w:t> </w:t>
      </w:r>
      <w:r w:rsidRPr="00FD5D10">
        <w:t>cas restants</w:t>
      </w:r>
      <w:r>
        <w:t xml:space="preserve">, des procédures sont en cours </w:t>
      </w:r>
      <w:r w:rsidRPr="00FD5D10">
        <w:t xml:space="preserve">devant des </w:t>
      </w:r>
      <w:r>
        <w:t xml:space="preserve">instances </w:t>
      </w:r>
      <w:r w:rsidRPr="00FD5D10">
        <w:t>judiciaires ou administrati</w:t>
      </w:r>
      <w:r>
        <w:t>ves</w:t>
      </w:r>
      <w:r w:rsidRPr="00FD5D10">
        <w:t xml:space="preserve"> (</w:t>
      </w:r>
      <w:r>
        <w:t xml:space="preserve">pour investissement illégitime </w:t>
      </w:r>
      <w:r w:rsidRPr="00FD5D10">
        <w:t>d</w:t>
      </w:r>
      <w:r>
        <w:t>’</w:t>
      </w:r>
      <w:r w:rsidRPr="00FD5D10">
        <w:t xml:space="preserve">occupants temporaires dans </w:t>
      </w:r>
      <w:r>
        <w:t>le bien immobilier de tiers</w:t>
      </w:r>
      <w:r w:rsidRPr="00FD5D10">
        <w:t xml:space="preserve">, </w:t>
      </w:r>
      <w:r>
        <w:t>mesure d’</w:t>
      </w:r>
      <w:r w:rsidRPr="00FD5D10">
        <w:t>expulsion</w:t>
      </w:r>
      <w:r>
        <w:t>, ou</w:t>
      </w:r>
      <w:r w:rsidRPr="00FD5D10">
        <w:t xml:space="preserve"> restitution </w:t>
      </w:r>
      <w:r>
        <w:t xml:space="preserve">du bien au </w:t>
      </w:r>
      <w:r w:rsidRPr="00FD5D10">
        <w:t>propriétaire).</w:t>
      </w:r>
    </w:p>
    <w:p w14:paraId="0301D019" w14:textId="0E242470" w:rsidR="000C1192" w:rsidRPr="00157C52" w:rsidRDefault="000C1192" w:rsidP="00DA58A6">
      <w:pPr>
        <w:pStyle w:val="H23G"/>
      </w:pPr>
      <w:r w:rsidRPr="008E7F4B">
        <w:lastRenderedPageBreak/>
        <w:tab/>
      </w:r>
      <w:r w:rsidRPr="008E7F4B">
        <w:tab/>
      </w:r>
      <w:r w:rsidR="00A858B3">
        <w:t>Paragraphe </w:t>
      </w:r>
      <w:r w:rsidRPr="00157C52">
        <w:t>11</w:t>
      </w:r>
      <w:r>
        <w:t> </w:t>
      </w:r>
      <w:r w:rsidR="00DA58A6">
        <w:t>−</w:t>
      </w:r>
      <w:r>
        <w:t xml:space="preserve"> Cit</w:t>
      </w:r>
      <w:r w:rsidRPr="00157C52">
        <w:t>oyenneté</w:t>
      </w:r>
      <w:r>
        <w:t xml:space="preserve"> ; </w:t>
      </w:r>
      <w:r w:rsidR="00A858B3">
        <w:t>paragraphe </w:t>
      </w:r>
      <w:r w:rsidRPr="00157C52">
        <w:t>22</w:t>
      </w:r>
      <w:r>
        <w:t> </w:t>
      </w:r>
      <w:r w:rsidR="00DA58A6">
        <w:t>−</w:t>
      </w:r>
      <w:r>
        <w:t xml:space="preserve"> Parvenir à</w:t>
      </w:r>
      <w:r w:rsidRPr="00157C52">
        <w:t xml:space="preserve"> des critères </w:t>
      </w:r>
      <w:r w:rsidR="00DA58A6">
        <w:br/>
      </w:r>
      <w:r w:rsidRPr="00157C52">
        <w:t xml:space="preserve">objectifs </w:t>
      </w:r>
      <w:r>
        <w:t>d’</w:t>
      </w:r>
      <w:r w:rsidRPr="00157C52">
        <w:t>octroi de la citoyenneté</w:t>
      </w:r>
    </w:p>
    <w:p w14:paraId="77991091" w14:textId="1AF87F7E" w:rsidR="000C1192" w:rsidRPr="00C964B8" w:rsidRDefault="000C1192" w:rsidP="000C1192">
      <w:pPr>
        <w:pStyle w:val="SingleTxtG"/>
      </w:pPr>
      <w:r w:rsidRPr="00CD661B">
        <w:t>14.</w:t>
      </w:r>
      <w:r w:rsidRPr="00CD661B">
        <w:tab/>
      </w:r>
      <w:r>
        <w:t xml:space="preserve">Le régime </w:t>
      </w:r>
      <w:r w:rsidRPr="00C964B8">
        <w:t>de l</w:t>
      </w:r>
      <w:r>
        <w:t>’</w:t>
      </w:r>
      <w:r w:rsidRPr="00C964B8">
        <w:t>acquisition de la citoyenneté</w:t>
      </w:r>
      <w:r>
        <w:t xml:space="preserve"> croate est décrit aux </w:t>
      </w:r>
      <w:r w:rsidR="00A858B3">
        <w:t>paragraphes </w:t>
      </w:r>
      <w:r w:rsidRPr="00C964B8">
        <w:t>128</w:t>
      </w:r>
      <w:r>
        <w:t xml:space="preserve"> à </w:t>
      </w:r>
      <w:r w:rsidRPr="00C964B8">
        <w:t xml:space="preserve">134 </w:t>
      </w:r>
      <w:r>
        <w:t>du rapport valant</w:t>
      </w:r>
      <w:r w:rsidRPr="00C964B8">
        <w:t xml:space="preserve"> cinquième et sixième rapports périodiques </w:t>
      </w:r>
      <w:r>
        <w:t xml:space="preserve">soumis par </w:t>
      </w:r>
      <w:r w:rsidRPr="00C964B8">
        <w:t xml:space="preserve">la </w:t>
      </w:r>
      <w:r>
        <w:t xml:space="preserve">République de Croatie </w:t>
      </w:r>
      <w:r w:rsidRPr="00C964B8">
        <w:t xml:space="preserve">sur la </w:t>
      </w:r>
      <w:r>
        <w:t xml:space="preserve">mise en œuvre </w:t>
      </w:r>
      <w:r w:rsidRPr="00C964B8">
        <w:t>Convention relative aux droits de l</w:t>
      </w:r>
      <w:r>
        <w:t>’</w:t>
      </w:r>
      <w:r w:rsidRPr="00C964B8">
        <w:t>enfant (</w:t>
      </w:r>
      <w:hyperlink r:id="rId10" w:history="1">
        <w:r w:rsidR="00EE6A74" w:rsidRPr="00691D44">
          <w:rPr>
            <w:rStyle w:val="Lienhypertexte"/>
          </w:rPr>
          <w:t>CRC/HRV/5-6</w:t>
        </w:r>
      </w:hyperlink>
      <w:r w:rsidRPr="00C964B8">
        <w:t>)</w:t>
      </w:r>
      <w:r w:rsidRPr="00535E17">
        <w:rPr>
          <w:rStyle w:val="Appelnotedebasdep"/>
        </w:rPr>
        <w:footnoteReference w:id="11"/>
      </w:r>
      <w:r w:rsidRPr="00C964B8">
        <w:t>.</w:t>
      </w:r>
    </w:p>
    <w:p w14:paraId="461D8170" w14:textId="451BEAC1" w:rsidR="000C1192" w:rsidRPr="00087DFD" w:rsidRDefault="000C1192" w:rsidP="000C1192">
      <w:pPr>
        <w:pStyle w:val="SingleTxtG"/>
      </w:pPr>
      <w:r w:rsidRPr="00EC0E72">
        <w:t>15.</w:t>
      </w:r>
      <w:r w:rsidRPr="00EC0E72">
        <w:tab/>
        <w:t>L</w:t>
      </w:r>
      <w:r>
        <w:t>’</w:t>
      </w:r>
      <w:r w:rsidR="00A858B3">
        <w:t>article </w:t>
      </w:r>
      <w:r w:rsidRPr="00EC0E72">
        <w:t>19 de la loi portant modification de la loi sur la citoyenneté croate</w:t>
      </w:r>
      <w:r>
        <w:t xml:space="preserve"> (</w:t>
      </w:r>
      <w:r w:rsidRPr="00EC0E72">
        <w:t>2012</w:t>
      </w:r>
      <w:r>
        <w:t>)</w:t>
      </w:r>
      <w:r w:rsidRPr="00EC0E72">
        <w:t xml:space="preserve"> dispose que les personnes qui étaient domiciliées en République de Croatie le 8</w:t>
      </w:r>
      <w:r w:rsidR="00DA58A6">
        <w:t> </w:t>
      </w:r>
      <w:r w:rsidRPr="00EC0E72">
        <w:t>octobre 1991 et qui</w:t>
      </w:r>
      <w:r>
        <w:t>, à cette date,</w:t>
      </w:r>
      <w:r w:rsidRPr="00EC0E72">
        <w:t xml:space="preserve"> avaient obtenu le statut de résident permanent</w:t>
      </w:r>
      <w:r>
        <w:t>,</w:t>
      </w:r>
      <w:r w:rsidRPr="00EC0E72">
        <w:t xml:space="preserve"> satisfont </w:t>
      </w:r>
      <w:r>
        <w:t xml:space="preserve">aux conditions préalables d’acquisition de la nationalité croate en fonction de l’origine. Entre </w:t>
      </w:r>
      <w:r w:rsidRPr="00087DFD">
        <w:t xml:space="preserve">2012 </w:t>
      </w:r>
      <w:r>
        <w:t>et</w:t>
      </w:r>
      <w:r w:rsidRPr="00087DFD">
        <w:t xml:space="preserve"> 2019, 29</w:t>
      </w:r>
      <w:r w:rsidR="00DA58A6">
        <w:t> </w:t>
      </w:r>
      <w:r w:rsidRPr="00087DFD">
        <w:t xml:space="preserve">demandes </w:t>
      </w:r>
      <w:r>
        <w:t xml:space="preserve">de </w:t>
      </w:r>
      <w:r w:rsidRPr="00087DFD">
        <w:t xml:space="preserve">citoyenneté croate </w:t>
      </w:r>
      <w:r>
        <w:t xml:space="preserve">émanant de </w:t>
      </w:r>
      <w:r w:rsidRPr="00087DFD">
        <w:t xml:space="preserve">rapatriés ont été </w:t>
      </w:r>
      <w:r>
        <w:t>acceptées</w:t>
      </w:r>
      <w:r w:rsidRPr="00087DFD">
        <w:t xml:space="preserve">, tandis que 31 ont été </w:t>
      </w:r>
      <w:r>
        <w:t>rejetées</w:t>
      </w:r>
      <w:r w:rsidRPr="00087DFD">
        <w:t xml:space="preserve">. Le </w:t>
      </w:r>
      <w:r>
        <w:t>M</w:t>
      </w:r>
      <w:r w:rsidRPr="00087DFD">
        <w:t>inistère de l</w:t>
      </w:r>
      <w:r>
        <w:t>’i</w:t>
      </w:r>
      <w:r w:rsidRPr="00087DFD">
        <w:t>ntérieur a délivré 48</w:t>
      </w:r>
      <w:r w:rsidR="00756F77">
        <w:t> </w:t>
      </w:r>
      <w:r w:rsidRPr="00087DFD">
        <w:t>garanties d</w:t>
      </w:r>
      <w:r>
        <w:t>’</w:t>
      </w:r>
      <w:r w:rsidRPr="00087DFD">
        <w:t xml:space="preserve">admission à la citoyenneté croate </w:t>
      </w:r>
      <w:r>
        <w:t>à la condition de renoncer à sa citoyenneté étrangère</w:t>
      </w:r>
      <w:r w:rsidRPr="00087DFD">
        <w:t>, tandis que pour 3</w:t>
      </w:r>
      <w:r w:rsidR="00DA58A6">
        <w:t> </w:t>
      </w:r>
      <w:r w:rsidRPr="00087DFD">
        <w:t xml:space="preserve">demandes, </w:t>
      </w:r>
      <w:r>
        <w:t xml:space="preserve">décision a été prise de </w:t>
      </w:r>
      <w:r w:rsidRPr="00087DFD">
        <w:t xml:space="preserve">suspendre la procédure </w:t>
      </w:r>
      <w:r>
        <w:t xml:space="preserve">à la suite </w:t>
      </w:r>
      <w:r w:rsidRPr="00087DFD">
        <w:t xml:space="preserve">du </w:t>
      </w:r>
      <w:r>
        <w:t xml:space="preserve">désistement </w:t>
      </w:r>
      <w:r w:rsidRPr="00087DFD">
        <w:t xml:space="preserve">ou du décès de </w:t>
      </w:r>
      <w:r>
        <w:t>l’intéressé</w:t>
      </w:r>
      <w:r w:rsidRPr="00087DFD">
        <w:t>.</w:t>
      </w:r>
    </w:p>
    <w:p w14:paraId="74FB92B5" w14:textId="77777777" w:rsidR="000C1192" w:rsidRPr="003E4C39" w:rsidRDefault="000C1192" w:rsidP="000C1192">
      <w:pPr>
        <w:pStyle w:val="SingleTxtG"/>
      </w:pPr>
      <w:r w:rsidRPr="003E4C39">
        <w:t>16.</w:t>
      </w:r>
      <w:r w:rsidRPr="003E4C39">
        <w:tab/>
      </w:r>
      <w:r>
        <w:t xml:space="preserve">La République de Croatie a ratifié la </w:t>
      </w:r>
      <w:r w:rsidRPr="003E4C39">
        <w:t>Convention sur la réduction des cas d</w:t>
      </w:r>
      <w:r>
        <w:t>’</w:t>
      </w:r>
      <w:r w:rsidRPr="003E4C39">
        <w:t>apatridie</w:t>
      </w:r>
      <w:r>
        <w:t xml:space="preserve"> en 2011.</w:t>
      </w:r>
    </w:p>
    <w:p w14:paraId="72380E9B" w14:textId="7A7E88EB" w:rsidR="000C1192" w:rsidRPr="00C40E1A" w:rsidRDefault="000C1192" w:rsidP="00DA58A6">
      <w:pPr>
        <w:pStyle w:val="H23G"/>
      </w:pPr>
      <w:r w:rsidRPr="008E7F4B">
        <w:tab/>
      </w:r>
      <w:r w:rsidRPr="008E7F4B">
        <w:tab/>
      </w:r>
      <w:r w:rsidR="00A858B3">
        <w:t>Paragraphe </w:t>
      </w:r>
      <w:r w:rsidRPr="00C40E1A">
        <w:t xml:space="preserve">12 </w:t>
      </w:r>
      <w:r w:rsidR="00DA58A6">
        <w:t>−</w:t>
      </w:r>
      <w:r>
        <w:t xml:space="preserve"> Ampleur du </w:t>
      </w:r>
      <w:r w:rsidRPr="00C40E1A">
        <w:t>chômage</w:t>
      </w:r>
      <w:r>
        <w:t xml:space="preserve"> ; </w:t>
      </w:r>
      <w:r w:rsidRPr="00C40E1A">
        <w:t xml:space="preserve">discrimination fondée sur le sexe, </w:t>
      </w:r>
      <w:r w:rsidR="00DA58A6">
        <w:br/>
      </w:r>
      <w:r w:rsidRPr="00C40E1A">
        <w:t>l</w:t>
      </w:r>
      <w:r>
        <w:t>’</w:t>
      </w:r>
      <w:r w:rsidRPr="00C40E1A">
        <w:t>âge et l</w:t>
      </w:r>
      <w:r>
        <w:t>’</w:t>
      </w:r>
      <w:r w:rsidRPr="00C40E1A">
        <w:t>origine ethnique</w:t>
      </w:r>
      <w:r>
        <w:t xml:space="preserve"> dans l’emploi</w:t>
      </w:r>
    </w:p>
    <w:p w14:paraId="6B953D07" w14:textId="49C72187" w:rsidR="000C1192" w:rsidRPr="00821F42" w:rsidRDefault="000C1192" w:rsidP="000C1192">
      <w:pPr>
        <w:pStyle w:val="SingleTxtG"/>
      </w:pPr>
      <w:r w:rsidRPr="00B134CA">
        <w:t>17.</w:t>
      </w:r>
      <w:r>
        <w:tab/>
        <w:t>L</w:t>
      </w:r>
      <w:r w:rsidRPr="00821F42">
        <w:t xml:space="preserve">es mesures et les politiques </w:t>
      </w:r>
      <w:r>
        <w:t>visant à lutter contre</w:t>
      </w:r>
      <w:r w:rsidRPr="00821F42">
        <w:t xml:space="preserve"> </w:t>
      </w:r>
      <w:r>
        <w:t xml:space="preserve">le </w:t>
      </w:r>
      <w:r w:rsidRPr="00821F42">
        <w:t>chômage</w:t>
      </w:r>
      <w:r>
        <w:t>, soutenir des</w:t>
      </w:r>
      <w:r w:rsidRPr="00821F42">
        <w:t xml:space="preserve"> programmes d</w:t>
      </w:r>
      <w:r>
        <w:t>’</w:t>
      </w:r>
      <w:r w:rsidRPr="00821F42">
        <w:t>orientation professionnelle et d</w:t>
      </w:r>
      <w:r>
        <w:t>’</w:t>
      </w:r>
      <w:r w:rsidRPr="00821F42">
        <w:t xml:space="preserve">apprentissage tout au long de la vie, </w:t>
      </w:r>
      <w:r>
        <w:t>et promouvoir l’entreprenariat</w:t>
      </w:r>
      <w:r w:rsidRPr="00821F42">
        <w:t>, l</w:t>
      </w:r>
      <w:r>
        <w:t>’</w:t>
      </w:r>
      <w:r w:rsidRPr="00821F42">
        <w:t>emploi et le travail indépendant</w:t>
      </w:r>
      <w:r>
        <w:t xml:space="preserve"> sont décrites plus loin dans les réponses concernant l’</w:t>
      </w:r>
      <w:r w:rsidR="00A858B3">
        <w:t>article </w:t>
      </w:r>
      <w:r>
        <w:t>6 du Pacte</w:t>
      </w:r>
      <w:r w:rsidRPr="00821F42">
        <w:t xml:space="preserve">. </w:t>
      </w:r>
      <w:r>
        <w:t xml:space="preserve">Des </w:t>
      </w:r>
      <w:r w:rsidRPr="00821F42">
        <w:t>données sur la discrimination en 2019</w:t>
      </w:r>
      <w:r>
        <w:t xml:space="preserve"> figurent à l’a</w:t>
      </w:r>
      <w:r w:rsidRPr="00821F42">
        <w:t>nnexe</w:t>
      </w:r>
      <w:r w:rsidR="00DA58A6">
        <w:t> </w:t>
      </w:r>
      <w:r w:rsidRPr="00821F42">
        <w:t>2</w:t>
      </w:r>
      <w:r>
        <w:t>, feuille</w:t>
      </w:r>
      <w:r w:rsidR="00DA58A6">
        <w:t> </w:t>
      </w:r>
      <w:r w:rsidRPr="00821F42">
        <w:t>2.1.1</w:t>
      </w:r>
      <w:r>
        <w:t xml:space="preserve"> du présent rapport.</w:t>
      </w:r>
      <w:r w:rsidRPr="00821F42">
        <w:t xml:space="preserve"> </w:t>
      </w:r>
    </w:p>
    <w:p w14:paraId="575324F6" w14:textId="319A92B5" w:rsidR="000C1192" w:rsidRPr="008348DD" w:rsidRDefault="000C1192" w:rsidP="00DA58A6">
      <w:pPr>
        <w:pStyle w:val="H23G"/>
      </w:pPr>
      <w:r w:rsidRPr="00821F42">
        <w:tab/>
      </w:r>
      <w:r w:rsidRPr="00821F42">
        <w:tab/>
      </w:r>
      <w:r w:rsidRPr="00821F42">
        <w:tab/>
      </w:r>
      <w:r w:rsidR="00A858B3">
        <w:t>Paragraphe </w:t>
      </w:r>
      <w:r w:rsidRPr="008348DD">
        <w:t xml:space="preserve">13 </w:t>
      </w:r>
      <w:r w:rsidR="00DA58A6">
        <w:t>−</w:t>
      </w:r>
      <w:r w:rsidRPr="008348DD">
        <w:t xml:space="preserve"> </w:t>
      </w:r>
      <w:r>
        <w:t>Situation des f</w:t>
      </w:r>
      <w:r w:rsidRPr="008348DD">
        <w:t xml:space="preserve">emmes occupant des emplois </w:t>
      </w:r>
      <w:r w:rsidR="00DA58A6">
        <w:br/>
      </w:r>
      <w:r>
        <w:t xml:space="preserve">peu rémunérateurs et </w:t>
      </w:r>
      <w:r w:rsidRPr="008348DD">
        <w:t xml:space="preserve">des postes </w:t>
      </w:r>
      <w:r>
        <w:t>subalternes</w:t>
      </w:r>
    </w:p>
    <w:p w14:paraId="2BBDCF1B" w14:textId="701FEE6A" w:rsidR="000C1192" w:rsidRPr="00550CA5" w:rsidRDefault="000C1192" w:rsidP="000C1192">
      <w:pPr>
        <w:pStyle w:val="SingleTxtG"/>
      </w:pPr>
      <w:r w:rsidRPr="00071457">
        <w:t>18.</w:t>
      </w:r>
      <w:r w:rsidRPr="00071457">
        <w:tab/>
      </w:r>
      <w:r>
        <w:t xml:space="preserve">Pour ce qui est </w:t>
      </w:r>
      <w:r w:rsidRPr="00550CA5">
        <w:t xml:space="preserve">plaintes </w:t>
      </w:r>
      <w:r>
        <w:t>en matière d’</w:t>
      </w:r>
      <w:r w:rsidRPr="00550CA5">
        <w:t xml:space="preserve">égalité des sexes, </w:t>
      </w:r>
      <w:r>
        <w:t xml:space="preserve">voir les réponses concernant </w:t>
      </w:r>
      <w:r w:rsidRPr="00550CA5">
        <w:t>l</w:t>
      </w:r>
      <w:r>
        <w:t>’</w:t>
      </w:r>
      <w:r w:rsidR="00A858B3">
        <w:t>article </w:t>
      </w:r>
      <w:r w:rsidRPr="00550CA5">
        <w:t xml:space="preserve">3 </w:t>
      </w:r>
      <w:r>
        <w:t>du Pacte</w:t>
      </w:r>
      <w:r w:rsidRPr="00550CA5">
        <w:t>.</w:t>
      </w:r>
    </w:p>
    <w:p w14:paraId="2BBEFB34" w14:textId="355A287C" w:rsidR="000C1192" w:rsidRPr="00550CA5" w:rsidRDefault="000C1192" w:rsidP="000C1192">
      <w:pPr>
        <w:pStyle w:val="SingleTxtG"/>
      </w:pPr>
      <w:r w:rsidRPr="00D653A9">
        <w:t>19.</w:t>
      </w:r>
      <w:r w:rsidRPr="00D653A9">
        <w:tab/>
      </w:r>
      <w:r>
        <w:t>On trouvera à l’annexe</w:t>
      </w:r>
      <w:r w:rsidR="00A858B3">
        <w:t> </w:t>
      </w:r>
      <w:r>
        <w:t xml:space="preserve">7 du présent rapport une </w:t>
      </w:r>
      <w:r w:rsidRPr="00550CA5">
        <w:t xml:space="preserve">analyse </w:t>
      </w:r>
      <w:r>
        <w:t xml:space="preserve">ventilée </w:t>
      </w:r>
      <w:r w:rsidRPr="00550CA5">
        <w:t xml:space="preserve">par sexe des salaires des fonctionnaires et </w:t>
      </w:r>
      <w:r>
        <w:t>du personnel de l’appareil judiciaire</w:t>
      </w:r>
      <w:r w:rsidRPr="00550CA5">
        <w:t xml:space="preserve">. Par rapport </w:t>
      </w:r>
      <w:r>
        <w:t xml:space="preserve">à l’ensemble de la </w:t>
      </w:r>
      <w:r w:rsidRPr="00550CA5">
        <w:t xml:space="preserve">population, les différences </w:t>
      </w:r>
      <w:r>
        <w:t>de rémunération entre les hommes et les femmes sont bien plus réduites dans la fonction publique</w:t>
      </w:r>
      <w:r w:rsidRPr="00550CA5">
        <w:t>.</w:t>
      </w:r>
    </w:p>
    <w:p w14:paraId="58B7BCCD" w14:textId="77777777" w:rsidR="000C1192" w:rsidRPr="00422F0E" w:rsidRDefault="000C1192" w:rsidP="000C1192">
      <w:pPr>
        <w:pStyle w:val="SingleTxtG"/>
        <w:rPr>
          <w:rStyle w:val="Appelnotedebasdep"/>
          <w:color w:val="000000" w:themeColor="text1"/>
        </w:rPr>
      </w:pPr>
      <w:r w:rsidRPr="002D7B6A">
        <w:t>20.</w:t>
      </w:r>
      <w:r w:rsidRPr="00422F0E">
        <w:rPr>
          <w:rStyle w:val="Appelnotedebasdep"/>
          <w:color w:val="000000" w:themeColor="text1"/>
        </w:rPr>
        <w:tab/>
      </w:r>
      <w:r w:rsidRPr="00550CA5">
        <w:t xml:space="preserve">Les données </w:t>
      </w:r>
      <w:r>
        <w:t xml:space="preserve">ventilées </w:t>
      </w:r>
      <w:r w:rsidRPr="00550CA5">
        <w:t xml:space="preserve">par sexe </w:t>
      </w:r>
      <w:r>
        <w:t xml:space="preserve">pour l’ensemble de la </w:t>
      </w:r>
      <w:r w:rsidRPr="00550CA5">
        <w:t xml:space="preserve">population peuvent être consultées dans la publication </w:t>
      </w:r>
      <w:r>
        <w:t xml:space="preserve">de l’Office croate de statistique </w:t>
      </w:r>
      <w:r w:rsidRPr="00550CA5">
        <w:t xml:space="preserve">intitulée </w:t>
      </w:r>
      <w:r w:rsidRPr="00422F0E">
        <w:rPr>
          <w:i/>
        </w:rPr>
        <w:t>Women and Men in Croatia 2020</w:t>
      </w:r>
      <w:r w:rsidRPr="00535E17">
        <w:rPr>
          <w:rStyle w:val="Appelnotedebasdep"/>
        </w:rPr>
        <w:footnoteReference w:id="12"/>
      </w:r>
      <w:r w:rsidRPr="00422F0E">
        <w:t>.</w:t>
      </w:r>
    </w:p>
    <w:p w14:paraId="1BD2E62F" w14:textId="2B6C66FA" w:rsidR="000C1192" w:rsidRPr="00D11DEC" w:rsidRDefault="000C1192" w:rsidP="00A858B3">
      <w:pPr>
        <w:pStyle w:val="H23G"/>
      </w:pPr>
      <w:r w:rsidRPr="00550CA5">
        <w:tab/>
      </w:r>
      <w:r w:rsidRPr="00550CA5">
        <w:tab/>
      </w:r>
      <w:r w:rsidR="00A858B3">
        <w:t>Paragraphe </w:t>
      </w:r>
      <w:r w:rsidRPr="00D11DEC">
        <w:t xml:space="preserve">14 </w:t>
      </w:r>
      <w:r w:rsidR="00A858B3">
        <w:t>−</w:t>
      </w:r>
      <w:r w:rsidRPr="00D11DEC">
        <w:t xml:space="preserve"> </w:t>
      </w:r>
      <w:bookmarkStart w:id="1" w:name="_Hlk106630452"/>
      <w:r w:rsidRPr="00D11DEC">
        <w:t xml:space="preserve">Nature, </w:t>
      </w:r>
      <w:r>
        <w:t>étendue</w:t>
      </w:r>
      <w:r w:rsidRPr="00D11DEC">
        <w:t xml:space="preserve"> et causes </w:t>
      </w:r>
      <w:r>
        <w:t xml:space="preserve">du phénomène </w:t>
      </w:r>
      <w:r w:rsidR="00A858B3">
        <w:br/>
      </w:r>
      <w:r>
        <w:t xml:space="preserve">de </w:t>
      </w:r>
      <w:r w:rsidRPr="00D11DEC">
        <w:t>la traite des êtres humains</w:t>
      </w:r>
      <w:bookmarkEnd w:id="1"/>
    </w:p>
    <w:p w14:paraId="04D54729" w14:textId="77777777" w:rsidR="000C1192" w:rsidRPr="002A4808" w:rsidRDefault="000C1192" w:rsidP="000C1192">
      <w:pPr>
        <w:pStyle w:val="SingleTxtG"/>
        <w:rPr>
          <w:rStyle w:val="Appelnotedebasdep"/>
          <w:color w:val="000000" w:themeColor="text1"/>
        </w:rPr>
      </w:pPr>
      <w:r w:rsidRPr="002D7B6A">
        <w:t>21.</w:t>
      </w:r>
      <w:r w:rsidRPr="002D7B6A">
        <w:tab/>
      </w:r>
      <w:r w:rsidRPr="002A4808">
        <w:t xml:space="preserve">Le </w:t>
      </w:r>
      <w:r>
        <w:t>P</w:t>
      </w:r>
      <w:r w:rsidRPr="002A4808">
        <w:t xml:space="preserve">lan national de lutte contre la traite des êtres humains </w:t>
      </w:r>
      <w:r>
        <w:t>(</w:t>
      </w:r>
      <w:r w:rsidRPr="002A4808">
        <w:t>2018</w:t>
      </w:r>
      <w:r>
        <w:t>-</w:t>
      </w:r>
      <w:r w:rsidRPr="002A4808">
        <w:t>2021</w:t>
      </w:r>
      <w:r>
        <w:t>)</w:t>
      </w:r>
      <w:r w:rsidRPr="002A4808">
        <w:t xml:space="preserve"> est en cours </w:t>
      </w:r>
      <w:r>
        <w:t>d’application</w:t>
      </w:r>
      <w:r w:rsidRPr="002A4808">
        <w:t xml:space="preserve">. </w:t>
      </w:r>
      <w:r>
        <w:t xml:space="preserve">On a constaté </w:t>
      </w:r>
      <w:r w:rsidRPr="002A4808">
        <w:t xml:space="preserve">que la </w:t>
      </w:r>
      <w:r>
        <w:t xml:space="preserve">République de Croatie devenait </w:t>
      </w:r>
      <w:r w:rsidRPr="002A4808">
        <w:t>un pays d</w:t>
      </w:r>
      <w:r>
        <w:t>’</w:t>
      </w:r>
      <w:r w:rsidRPr="002A4808">
        <w:t xml:space="preserve">origine et de destination pour la traite des êtres humains, notamment en provenance </w:t>
      </w:r>
      <w:r>
        <w:t xml:space="preserve">de </w:t>
      </w:r>
      <w:r w:rsidRPr="002A4808">
        <w:t xml:space="preserve">pays voisins, et </w:t>
      </w:r>
      <w:r>
        <w:t>qu’</w:t>
      </w:r>
      <w:r w:rsidRPr="002A4808">
        <w:t xml:space="preserve">un nombre égal </w:t>
      </w:r>
      <w:r>
        <w:t xml:space="preserve">d’hommes et de femmes en étaient victimes. </w:t>
      </w:r>
      <w:r w:rsidRPr="002A4808">
        <w:t xml:space="preserve">Les autorités ont </w:t>
      </w:r>
      <w:r>
        <w:t xml:space="preserve">réagi </w:t>
      </w:r>
      <w:r w:rsidRPr="002A4808">
        <w:t>à ces tendances en identifiant plus efficacement les victimes de la traite</w:t>
      </w:r>
      <w:r w:rsidRPr="00535E17">
        <w:rPr>
          <w:rStyle w:val="Appelnotedebasdep"/>
        </w:rPr>
        <w:footnoteReference w:id="13"/>
      </w:r>
      <w:r w:rsidRPr="002A4808">
        <w:t>.</w:t>
      </w:r>
    </w:p>
    <w:p w14:paraId="05179836" w14:textId="2AEB8B45" w:rsidR="000C1192" w:rsidRPr="00F546D4" w:rsidRDefault="000C1192" w:rsidP="000C1192">
      <w:pPr>
        <w:pStyle w:val="SingleTxtG"/>
      </w:pPr>
      <w:r w:rsidRPr="004D68F2">
        <w:t>22.</w:t>
      </w:r>
      <w:r w:rsidRPr="004D68F2">
        <w:tab/>
      </w:r>
      <w:r w:rsidRPr="00F546D4">
        <w:t>Toutes les activités des institutions compétentes</w:t>
      </w:r>
      <w:r>
        <w:t xml:space="preserve">, à compter du moment de </w:t>
      </w:r>
      <w:r w:rsidRPr="00F546D4">
        <w:t>l</w:t>
      </w:r>
      <w:r>
        <w:t>’</w:t>
      </w:r>
      <w:r w:rsidRPr="00F546D4">
        <w:t>identification</w:t>
      </w:r>
      <w:r>
        <w:t xml:space="preserve">, </w:t>
      </w:r>
      <w:r w:rsidRPr="00F546D4">
        <w:t xml:space="preserve">visent à </w:t>
      </w:r>
      <w:r>
        <w:t>assurer l’</w:t>
      </w:r>
      <w:r w:rsidRPr="00F546D4">
        <w:t xml:space="preserve">assistance et </w:t>
      </w:r>
      <w:r>
        <w:t xml:space="preserve">la </w:t>
      </w:r>
      <w:r w:rsidRPr="00F546D4">
        <w:t xml:space="preserve">protection </w:t>
      </w:r>
      <w:r>
        <w:t>appropriées aux victimes</w:t>
      </w:r>
      <w:r w:rsidRPr="00F546D4">
        <w:t xml:space="preserve">, </w:t>
      </w:r>
      <w:r>
        <w:t xml:space="preserve">par l’action </w:t>
      </w:r>
      <w:r w:rsidRPr="00F546D4">
        <w:t xml:space="preserve">de deux </w:t>
      </w:r>
      <w:r>
        <w:t xml:space="preserve">centres d’accueil </w:t>
      </w:r>
      <w:r w:rsidRPr="00F546D4">
        <w:t xml:space="preserve">nationaux, </w:t>
      </w:r>
      <w:r>
        <w:t xml:space="preserve">qui leur apportent </w:t>
      </w:r>
      <w:r w:rsidRPr="00F546D4">
        <w:t xml:space="preserve">une assistance </w:t>
      </w:r>
      <w:r>
        <w:t>médicale</w:t>
      </w:r>
      <w:r w:rsidRPr="00F546D4">
        <w:t>, psychologique, sociale et juridique</w:t>
      </w:r>
      <w:r>
        <w:t xml:space="preserve"> et des services de </w:t>
      </w:r>
      <w:r w:rsidRPr="00F546D4">
        <w:t xml:space="preserve">protection, et </w:t>
      </w:r>
      <w:r>
        <w:t xml:space="preserve">en garantissant le rapatriement sûr et librement consenti </w:t>
      </w:r>
      <w:r w:rsidRPr="00F546D4">
        <w:t>dans le pays d</w:t>
      </w:r>
      <w:r>
        <w:t>’</w:t>
      </w:r>
      <w:r w:rsidRPr="00F546D4">
        <w:t xml:space="preserve">origine. En raison de la complexité </w:t>
      </w:r>
      <w:r>
        <w:t xml:space="preserve">du </w:t>
      </w:r>
      <w:r>
        <w:lastRenderedPageBreak/>
        <w:t>problème</w:t>
      </w:r>
      <w:r w:rsidRPr="00F546D4">
        <w:t xml:space="preserve">, mais aussi du traumatisme </w:t>
      </w:r>
      <w:r>
        <w:t xml:space="preserve">subi par </w:t>
      </w:r>
      <w:r w:rsidRPr="00F546D4">
        <w:t xml:space="preserve">les victimes, </w:t>
      </w:r>
      <w:r>
        <w:t xml:space="preserve">l’élaboration </w:t>
      </w:r>
      <w:r w:rsidRPr="00F546D4">
        <w:t xml:space="preserve">de programmes individuels </w:t>
      </w:r>
      <w:r>
        <w:t xml:space="preserve">demande un niveau élevé de compétences </w:t>
      </w:r>
      <w:r w:rsidRPr="00F546D4">
        <w:t xml:space="preserve">et de coopération des autorités </w:t>
      </w:r>
      <w:r>
        <w:t xml:space="preserve">concernées </w:t>
      </w:r>
      <w:r w:rsidRPr="00F546D4">
        <w:t xml:space="preserve">avec les ONG, acteurs </w:t>
      </w:r>
      <w:r>
        <w:t xml:space="preserve">essentiels </w:t>
      </w:r>
      <w:r w:rsidRPr="00F546D4">
        <w:t xml:space="preserve">dans ce domaine. Le Plan national accorde une attention particulière </w:t>
      </w:r>
      <w:r>
        <w:t xml:space="preserve">au traitement individuel de chaque cas </w:t>
      </w:r>
      <w:r w:rsidRPr="00F546D4">
        <w:t xml:space="preserve">et à la protection </w:t>
      </w:r>
      <w:r>
        <w:t>de l’</w:t>
      </w:r>
      <w:r w:rsidRPr="00F546D4">
        <w:t>intérêt supérieur des victimes de la traite des êtres humain</w:t>
      </w:r>
      <w:r>
        <w:t xml:space="preserve"> (pour plus de renseignements sur les v</w:t>
      </w:r>
      <w:r w:rsidRPr="00F546D4">
        <w:t xml:space="preserve">ictimes de la traite des êtres humains </w:t>
      </w:r>
      <w:r>
        <w:t>en République de Croatie, voir l’a</w:t>
      </w:r>
      <w:r w:rsidRPr="00F546D4">
        <w:t>nnexe</w:t>
      </w:r>
      <w:r w:rsidR="00A858B3">
        <w:t> </w:t>
      </w:r>
      <w:r w:rsidRPr="00F546D4">
        <w:t>6</w:t>
      </w:r>
      <w:r>
        <w:t>).</w:t>
      </w:r>
    </w:p>
    <w:p w14:paraId="7536F873" w14:textId="24DF2784" w:rsidR="000C1192" w:rsidRPr="00C1490E" w:rsidRDefault="000C1192" w:rsidP="000C1192">
      <w:pPr>
        <w:pStyle w:val="SingleTxtG"/>
      </w:pPr>
      <w:r w:rsidRPr="0004385D">
        <w:t>23.</w:t>
      </w:r>
      <w:r w:rsidRPr="0004385D">
        <w:tab/>
      </w:r>
      <w:r>
        <w:t>Les</w:t>
      </w:r>
      <w:r w:rsidRPr="00C1490E">
        <w:t xml:space="preserve"> procédure</w:t>
      </w:r>
      <w:r>
        <w:t>s</w:t>
      </w:r>
      <w:r w:rsidRPr="00C1490E">
        <w:t xml:space="preserve"> et </w:t>
      </w:r>
      <w:r>
        <w:t xml:space="preserve">les </w:t>
      </w:r>
      <w:r w:rsidRPr="00C1490E">
        <w:t>pratique</w:t>
      </w:r>
      <w:r>
        <w:t>s</w:t>
      </w:r>
      <w:r w:rsidRPr="00C1490E">
        <w:t xml:space="preserve"> </w:t>
      </w:r>
      <w:r>
        <w:t xml:space="preserve">en vigueur en ce qui concerne les </w:t>
      </w:r>
      <w:r w:rsidRPr="00C1490E">
        <w:t xml:space="preserve">enfants </w:t>
      </w:r>
      <w:r>
        <w:t>de</w:t>
      </w:r>
      <w:r w:rsidRPr="00C1490E">
        <w:t xml:space="preserve"> demandeurs d</w:t>
      </w:r>
      <w:r>
        <w:t>’</w:t>
      </w:r>
      <w:r w:rsidRPr="00C1490E">
        <w:t xml:space="preserve">asile, </w:t>
      </w:r>
      <w:r>
        <w:t xml:space="preserve">les </w:t>
      </w:r>
      <w:r w:rsidRPr="00C1490E">
        <w:t xml:space="preserve">enfants non accompagnés, </w:t>
      </w:r>
      <w:r>
        <w:t xml:space="preserve">les </w:t>
      </w:r>
      <w:r w:rsidRPr="00C1490E">
        <w:t xml:space="preserve">enfants réfugiés et </w:t>
      </w:r>
      <w:r>
        <w:t xml:space="preserve">les </w:t>
      </w:r>
      <w:r w:rsidRPr="00C1490E">
        <w:t>enfants migrants</w:t>
      </w:r>
      <w:r>
        <w:t xml:space="preserve"> sont décrites aux </w:t>
      </w:r>
      <w:r w:rsidR="00A858B3">
        <w:t>paragraphes </w:t>
      </w:r>
      <w:r w:rsidRPr="00C1490E">
        <w:t xml:space="preserve">261 à 280 </w:t>
      </w:r>
      <w:r>
        <w:t>du rapport au Comité des droits de l’enfant</w:t>
      </w:r>
      <w:r w:rsidRPr="00535E17">
        <w:rPr>
          <w:rStyle w:val="Appelnotedebasdep"/>
        </w:rPr>
        <w:footnoteReference w:id="14"/>
      </w:r>
      <w:r w:rsidRPr="00C1490E">
        <w:t>, et les problèmes liés à la traite des êtres humains et à l</w:t>
      </w:r>
      <w:r>
        <w:t>’</w:t>
      </w:r>
      <w:r w:rsidRPr="00C1490E">
        <w:t>enlèvement d</w:t>
      </w:r>
      <w:r>
        <w:t>’</w:t>
      </w:r>
      <w:r w:rsidRPr="00C1490E">
        <w:t>enfants</w:t>
      </w:r>
      <w:r>
        <w:t xml:space="preserve"> aux </w:t>
      </w:r>
      <w:r w:rsidR="00A858B3">
        <w:t>paragraphes </w:t>
      </w:r>
      <w:r w:rsidRPr="00C1490E">
        <w:t>281 à 286</w:t>
      </w:r>
      <w:r>
        <w:t xml:space="preserve"> du même rapport</w:t>
      </w:r>
      <w:r w:rsidRPr="00C1490E">
        <w:t>.</w:t>
      </w:r>
    </w:p>
    <w:p w14:paraId="58E653C1" w14:textId="009833BD" w:rsidR="000C1192" w:rsidRPr="008C6EF8" w:rsidRDefault="000C1192" w:rsidP="000C1192">
      <w:pPr>
        <w:pStyle w:val="SingleTxtG"/>
        <w:rPr>
          <w:rStyle w:val="Appelnotedebasdep"/>
          <w:color w:val="000000" w:themeColor="text1"/>
        </w:rPr>
      </w:pPr>
      <w:r w:rsidRPr="002D7B6A">
        <w:t>24.</w:t>
      </w:r>
      <w:r w:rsidRPr="002D7B6A">
        <w:tab/>
        <w:t>On trouvera de plus amples renseignements sur la nature, l’étendue et les causes du phénomène</w:t>
      </w:r>
      <w:r w:rsidRPr="002C06DB">
        <w:t xml:space="preserve"> de la traite des êtres humains</w:t>
      </w:r>
      <w:r>
        <w:t xml:space="preserve"> aux </w:t>
      </w:r>
      <w:r w:rsidR="00A858B3">
        <w:t>paragraphes </w:t>
      </w:r>
      <w:r w:rsidRPr="008C6EF8">
        <w:t>85 à 90 du ra</w:t>
      </w:r>
      <w:r>
        <w:t xml:space="preserve">pport de la République de Croatie au titre du troisième cycle de l’examen périodique universel (EPU) </w:t>
      </w:r>
      <w:r w:rsidRPr="008C6EF8">
        <w:t>(</w:t>
      </w:r>
      <w:hyperlink r:id="rId11" w:history="1">
        <w:r w:rsidR="00EE6A74">
          <w:rPr>
            <w:rStyle w:val="Lienhypertexte"/>
          </w:rPr>
          <w:t>A/HRC/WG.6/36/HRV/1</w:t>
        </w:r>
      </w:hyperlink>
      <w:r w:rsidRPr="008C6EF8">
        <w:t>)</w:t>
      </w:r>
      <w:r w:rsidRPr="00535E17">
        <w:rPr>
          <w:rStyle w:val="Appelnotedebasdep"/>
        </w:rPr>
        <w:footnoteReference w:id="15"/>
      </w:r>
      <w:r w:rsidRPr="008C6EF8">
        <w:t>.</w:t>
      </w:r>
    </w:p>
    <w:p w14:paraId="1727F63F" w14:textId="2258E3F3" w:rsidR="000C1192" w:rsidRPr="00D54E7C" w:rsidRDefault="000C1192" w:rsidP="00A858B3">
      <w:pPr>
        <w:pStyle w:val="H23G"/>
      </w:pPr>
      <w:r w:rsidRPr="002C06DB">
        <w:tab/>
      </w:r>
      <w:r w:rsidRPr="002C06DB">
        <w:tab/>
      </w:r>
      <w:r w:rsidRPr="002C06DB">
        <w:tab/>
      </w:r>
      <w:r w:rsidR="00A858B3">
        <w:t>Paragraphe </w:t>
      </w:r>
      <w:r w:rsidRPr="00D54E7C">
        <w:t xml:space="preserve">15 </w:t>
      </w:r>
      <w:r w:rsidR="00A858B3">
        <w:t xml:space="preserve">− </w:t>
      </w:r>
      <w:r w:rsidRPr="00D54E7C">
        <w:t>Arriéré judiciaire et f</w:t>
      </w:r>
      <w:r>
        <w:t>onctionnement de la justice</w:t>
      </w:r>
    </w:p>
    <w:p w14:paraId="731E8E46" w14:textId="77777777" w:rsidR="000C1192" w:rsidRPr="00D54E7C" w:rsidRDefault="000C1192" w:rsidP="000C1192">
      <w:pPr>
        <w:pStyle w:val="SingleTxtG"/>
        <w:rPr>
          <w:rStyle w:val="Appelnotedebasdep"/>
          <w:color w:val="000000" w:themeColor="text1"/>
        </w:rPr>
      </w:pPr>
      <w:r w:rsidRPr="002D7B6A">
        <w:t>25.</w:t>
      </w:r>
      <w:r w:rsidRPr="002D7B6A">
        <w:tab/>
        <w:t>En ce qui</w:t>
      </w:r>
      <w:r w:rsidRPr="00D54E7C">
        <w:t xml:space="preserve"> concerne la réalisation du droit </w:t>
      </w:r>
      <w:r>
        <w:t xml:space="preserve">fondamental </w:t>
      </w:r>
      <w:r w:rsidRPr="00D54E7C">
        <w:t xml:space="preserve">à </w:t>
      </w:r>
      <w:r>
        <w:t>la liberté d’</w:t>
      </w:r>
      <w:r w:rsidRPr="00D54E7C">
        <w:t xml:space="preserve">accès à la justice et à un système judiciaire efficace, </w:t>
      </w:r>
      <w:r>
        <w:t xml:space="preserve">l’arriéré judiciaire </w:t>
      </w:r>
      <w:r w:rsidRPr="00D54E7C">
        <w:t xml:space="preserve">diminue régulièrement depuis </w:t>
      </w:r>
      <w:r>
        <w:t xml:space="preserve">plusieurs </w:t>
      </w:r>
      <w:r w:rsidRPr="00D54E7C">
        <w:t>années</w:t>
      </w:r>
      <w:r w:rsidRPr="00535E17">
        <w:rPr>
          <w:rStyle w:val="Appelnotedebasdep"/>
        </w:rPr>
        <w:footnoteReference w:id="16"/>
      </w:r>
      <w:r>
        <w:t>.</w:t>
      </w:r>
    </w:p>
    <w:p w14:paraId="764506E4" w14:textId="77777777" w:rsidR="000C1192" w:rsidRPr="006B6CD9" w:rsidRDefault="000C1192" w:rsidP="00A858B3">
      <w:pPr>
        <w:pStyle w:val="Titre1"/>
      </w:pPr>
      <w:r w:rsidRPr="006B6CD9">
        <w:t>Tableau 1</w:t>
      </w:r>
    </w:p>
    <w:p w14:paraId="51265595" w14:textId="77777777" w:rsidR="000C1192" w:rsidRPr="006B6CD9" w:rsidRDefault="000C1192" w:rsidP="00A858B3">
      <w:pPr>
        <w:pStyle w:val="SingleTxtG"/>
        <w:rPr>
          <w:b/>
          <w:bCs/>
        </w:rPr>
      </w:pPr>
      <w:r w:rsidRPr="006B6CD9">
        <w:rPr>
          <w:b/>
          <w:bCs/>
        </w:rPr>
        <w:t xml:space="preserve">Données sur les affaires judiciaires </w:t>
      </w:r>
      <w:r>
        <w:rPr>
          <w:b/>
          <w:bCs/>
        </w:rPr>
        <w:t>sur une</w:t>
      </w:r>
      <w:r w:rsidRPr="006B6CD9">
        <w:rPr>
          <w:b/>
          <w:bCs/>
        </w:rPr>
        <w:t xml:space="preserve"> période de six ans</w:t>
      </w:r>
    </w:p>
    <w:tbl>
      <w:tblPr>
        <w:tblW w:w="8504" w:type="dxa"/>
        <w:tblInd w:w="1134" w:type="dxa"/>
        <w:tblLayout w:type="fixed"/>
        <w:tblCellMar>
          <w:left w:w="0" w:type="dxa"/>
          <w:right w:w="0" w:type="dxa"/>
        </w:tblCellMar>
        <w:tblLook w:val="04A0" w:firstRow="1" w:lastRow="0" w:firstColumn="1" w:lastColumn="0" w:noHBand="0" w:noVBand="1"/>
      </w:tblPr>
      <w:tblGrid>
        <w:gridCol w:w="2268"/>
        <w:gridCol w:w="1039"/>
        <w:gridCol w:w="1039"/>
        <w:gridCol w:w="1040"/>
        <w:gridCol w:w="1039"/>
        <w:gridCol w:w="1039"/>
        <w:gridCol w:w="1040"/>
      </w:tblGrid>
      <w:tr w:rsidR="00A858B3" w:rsidRPr="00A858B3" w14:paraId="2F068516" w14:textId="77777777" w:rsidTr="00A858B3">
        <w:trPr>
          <w:tblHeader/>
        </w:trPr>
        <w:tc>
          <w:tcPr>
            <w:tcW w:w="2268" w:type="dxa"/>
            <w:tcBorders>
              <w:top w:val="single" w:sz="4" w:space="0" w:color="auto"/>
              <w:bottom w:val="single" w:sz="12" w:space="0" w:color="auto"/>
            </w:tcBorders>
            <w:shd w:val="clear" w:color="auto" w:fill="auto"/>
            <w:vAlign w:val="bottom"/>
          </w:tcPr>
          <w:p w14:paraId="46AE1F9A" w14:textId="3B53AF03" w:rsidR="000C1192" w:rsidRPr="00A858B3" w:rsidRDefault="000C1192" w:rsidP="00A858B3">
            <w:pPr>
              <w:suppressAutoHyphens w:val="0"/>
              <w:spacing w:before="80" w:after="80" w:line="200" w:lineRule="exact"/>
              <w:rPr>
                <w:i/>
                <w:sz w:val="16"/>
              </w:rPr>
            </w:pPr>
            <w:r w:rsidRPr="00A858B3">
              <w:rPr>
                <w:i/>
                <w:sz w:val="16"/>
              </w:rPr>
              <w:t xml:space="preserve">Données sur le travail </w:t>
            </w:r>
            <w:r w:rsidR="00974F3E">
              <w:rPr>
                <w:i/>
                <w:sz w:val="16"/>
              </w:rPr>
              <w:br/>
            </w:r>
            <w:r w:rsidRPr="00A858B3">
              <w:rPr>
                <w:i/>
                <w:sz w:val="16"/>
              </w:rPr>
              <w:t>des tribunaux</w:t>
            </w:r>
          </w:p>
        </w:tc>
        <w:tc>
          <w:tcPr>
            <w:tcW w:w="1039" w:type="dxa"/>
            <w:tcBorders>
              <w:top w:val="single" w:sz="4" w:space="0" w:color="auto"/>
              <w:bottom w:val="single" w:sz="12" w:space="0" w:color="auto"/>
            </w:tcBorders>
            <w:shd w:val="clear" w:color="auto" w:fill="auto"/>
            <w:vAlign w:val="bottom"/>
          </w:tcPr>
          <w:p w14:paraId="20FF350F" w14:textId="77777777" w:rsidR="000C1192" w:rsidRPr="00A858B3" w:rsidRDefault="000C1192" w:rsidP="00A858B3">
            <w:pPr>
              <w:suppressAutoHyphens w:val="0"/>
              <w:spacing w:before="80" w:after="80" w:line="200" w:lineRule="exact"/>
              <w:jc w:val="right"/>
              <w:rPr>
                <w:i/>
                <w:sz w:val="16"/>
              </w:rPr>
            </w:pPr>
            <w:r w:rsidRPr="00A858B3">
              <w:rPr>
                <w:i/>
                <w:sz w:val="16"/>
              </w:rPr>
              <w:t>2014</w:t>
            </w:r>
          </w:p>
        </w:tc>
        <w:tc>
          <w:tcPr>
            <w:tcW w:w="1039" w:type="dxa"/>
            <w:tcBorders>
              <w:top w:val="single" w:sz="4" w:space="0" w:color="auto"/>
              <w:bottom w:val="single" w:sz="12" w:space="0" w:color="auto"/>
            </w:tcBorders>
            <w:shd w:val="clear" w:color="auto" w:fill="auto"/>
            <w:vAlign w:val="bottom"/>
          </w:tcPr>
          <w:p w14:paraId="79A33951" w14:textId="77777777" w:rsidR="000C1192" w:rsidRPr="00A858B3" w:rsidRDefault="000C1192" w:rsidP="00A858B3">
            <w:pPr>
              <w:suppressAutoHyphens w:val="0"/>
              <w:spacing w:before="80" w:after="80" w:line="200" w:lineRule="exact"/>
              <w:jc w:val="right"/>
              <w:rPr>
                <w:i/>
                <w:sz w:val="16"/>
              </w:rPr>
            </w:pPr>
            <w:r w:rsidRPr="00A858B3">
              <w:rPr>
                <w:i/>
                <w:sz w:val="16"/>
              </w:rPr>
              <w:t>2015</w:t>
            </w:r>
          </w:p>
        </w:tc>
        <w:tc>
          <w:tcPr>
            <w:tcW w:w="1040" w:type="dxa"/>
            <w:tcBorders>
              <w:top w:val="single" w:sz="4" w:space="0" w:color="auto"/>
              <w:bottom w:val="single" w:sz="12" w:space="0" w:color="auto"/>
            </w:tcBorders>
            <w:shd w:val="clear" w:color="auto" w:fill="auto"/>
            <w:vAlign w:val="bottom"/>
          </w:tcPr>
          <w:p w14:paraId="05DAD376" w14:textId="77777777" w:rsidR="000C1192" w:rsidRPr="00A858B3" w:rsidRDefault="000C1192" w:rsidP="00A858B3">
            <w:pPr>
              <w:suppressAutoHyphens w:val="0"/>
              <w:spacing w:before="80" w:after="80" w:line="200" w:lineRule="exact"/>
              <w:jc w:val="right"/>
              <w:rPr>
                <w:i/>
                <w:sz w:val="16"/>
              </w:rPr>
            </w:pPr>
            <w:r w:rsidRPr="00A858B3">
              <w:rPr>
                <w:i/>
                <w:sz w:val="16"/>
              </w:rPr>
              <w:t>2016</w:t>
            </w:r>
          </w:p>
        </w:tc>
        <w:tc>
          <w:tcPr>
            <w:tcW w:w="1039" w:type="dxa"/>
            <w:tcBorders>
              <w:top w:val="single" w:sz="4" w:space="0" w:color="auto"/>
              <w:bottom w:val="single" w:sz="12" w:space="0" w:color="auto"/>
            </w:tcBorders>
            <w:shd w:val="clear" w:color="auto" w:fill="auto"/>
            <w:vAlign w:val="bottom"/>
          </w:tcPr>
          <w:p w14:paraId="36EF133C" w14:textId="77777777" w:rsidR="000C1192" w:rsidRPr="00A858B3" w:rsidRDefault="000C1192" w:rsidP="00A858B3">
            <w:pPr>
              <w:suppressAutoHyphens w:val="0"/>
              <w:spacing w:before="80" w:after="80" w:line="200" w:lineRule="exact"/>
              <w:jc w:val="right"/>
              <w:rPr>
                <w:i/>
                <w:sz w:val="16"/>
              </w:rPr>
            </w:pPr>
            <w:r w:rsidRPr="00A858B3">
              <w:rPr>
                <w:i/>
                <w:sz w:val="16"/>
              </w:rPr>
              <w:t>2017</w:t>
            </w:r>
          </w:p>
        </w:tc>
        <w:tc>
          <w:tcPr>
            <w:tcW w:w="1039" w:type="dxa"/>
            <w:tcBorders>
              <w:top w:val="single" w:sz="4" w:space="0" w:color="auto"/>
              <w:bottom w:val="single" w:sz="12" w:space="0" w:color="auto"/>
            </w:tcBorders>
            <w:shd w:val="clear" w:color="auto" w:fill="auto"/>
            <w:vAlign w:val="bottom"/>
          </w:tcPr>
          <w:p w14:paraId="0CC1B593" w14:textId="77777777" w:rsidR="000C1192" w:rsidRPr="00A858B3" w:rsidRDefault="000C1192" w:rsidP="00A858B3">
            <w:pPr>
              <w:suppressAutoHyphens w:val="0"/>
              <w:spacing w:before="80" w:after="80" w:line="200" w:lineRule="exact"/>
              <w:jc w:val="right"/>
              <w:rPr>
                <w:i/>
                <w:sz w:val="16"/>
              </w:rPr>
            </w:pPr>
            <w:r w:rsidRPr="00A858B3">
              <w:rPr>
                <w:i/>
                <w:sz w:val="16"/>
              </w:rPr>
              <w:t>2018</w:t>
            </w:r>
          </w:p>
        </w:tc>
        <w:tc>
          <w:tcPr>
            <w:tcW w:w="1040" w:type="dxa"/>
            <w:tcBorders>
              <w:top w:val="single" w:sz="4" w:space="0" w:color="auto"/>
              <w:bottom w:val="single" w:sz="12" w:space="0" w:color="auto"/>
            </w:tcBorders>
            <w:shd w:val="clear" w:color="auto" w:fill="auto"/>
            <w:vAlign w:val="bottom"/>
          </w:tcPr>
          <w:p w14:paraId="7E5F7488" w14:textId="77777777" w:rsidR="000C1192" w:rsidRPr="00A858B3" w:rsidRDefault="000C1192" w:rsidP="00A858B3">
            <w:pPr>
              <w:suppressAutoHyphens w:val="0"/>
              <w:spacing w:before="80" w:after="80" w:line="200" w:lineRule="exact"/>
              <w:jc w:val="right"/>
              <w:rPr>
                <w:i/>
                <w:sz w:val="16"/>
              </w:rPr>
            </w:pPr>
            <w:r w:rsidRPr="00A858B3">
              <w:rPr>
                <w:i/>
                <w:sz w:val="16"/>
              </w:rPr>
              <w:t>2019</w:t>
            </w:r>
          </w:p>
        </w:tc>
      </w:tr>
      <w:tr w:rsidR="00A858B3" w:rsidRPr="00A858B3" w14:paraId="2E922306" w14:textId="77777777" w:rsidTr="00A858B3">
        <w:tc>
          <w:tcPr>
            <w:tcW w:w="2268" w:type="dxa"/>
            <w:tcBorders>
              <w:top w:val="single" w:sz="12" w:space="0" w:color="auto"/>
            </w:tcBorders>
            <w:shd w:val="clear" w:color="auto" w:fill="auto"/>
          </w:tcPr>
          <w:p w14:paraId="282C6440" w14:textId="77777777" w:rsidR="000C1192" w:rsidRPr="00A858B3" w:rsidRDefault="000C1192" w:rsidP="00A858B3">
            <w:pPr>
              <w:suppressAutoHyphens w:val="0"/>
              <w:spacing w:before="40" w:after="40" w:line="220" w:lineRule="exact"/>
              <w:rPr>
                <w:sz w:val="18"/>
              </w:rPr>
            </w:pPr>
            <w:r w:rsidRPr="00A858B3">
              <w:rPr>
                <w:sz w:val="18"/>
              </w:rPr>
              <w:t>Nombre d’affaires en début d’année</w:t>
            </w:r>
          </w:p>
        </w:tc>
        <w:tc>
          <w:tcPr>
            <w:tcW w:w="1039" w:type="dxa"/>
            <w:tcBorders>
              <w:top w:val="single" w:sz="12" w:space="0" w:color="auto"/>
            </w:tcBorders>
            <w:shd w:val="clear" w:color="auto" w:fill="auto"/>
            <w:vAlign w:val="bottom"/>
          </w:tcPr>
          <w:p w14:paraId="4A0EBB20" w14:textId="77777777" w:rsidR="000C1192" w:rsidRPr="00A858B3" w:rsidRDefault="000C1192" w:rsidP="00A858B3">
            <w:pPr>
              <w:suppressAutoHyphens w:val="0"/>
              <w:spacing w:before="40" w:after="40" w:line="220" w:lineRule="exact"/>
              <w:jc w:val="right"/>
              <w:rPr>
                <w:sz w:val="18"/>
              </w:rPr>
            </w:pPr>
            <w:r w:rsidRPr="00A858B3">
              <w:rPr>
                <w:sz w:val="18"/>
              </w:rPr>
              <w:t>735 873</w:t>
            </w:r>
          </w:p>
        </w:tc>
        <w:tc>
          <w:tcPr>
            <w:tcW w:w="1039" w:type="dxa"/>
            <w:tcBorders>
              <w:top w:val="single" w:sz="12" w:space="0" w:color="auto"/>
            </w:tcBorders>
            <w:shd w:val="clear" w:color="auto" w:fill="auto"/>
            <w:vAlign w:val="bottom"/>
          </w:tcPr>
          <w:p w14:paraId="322D863B" w14:textId="77777777" w:rsidR="000C1192" w:rsidRPr="00A858B3" w:rsidRDefault="000C1192" w:rsidP="00A858B3">
            <w:pPr>
              <w:suppressAutoHyphens w:val="0"/>
              <w:spacing w:before="40" w:after="40" w:line="220" w:lineRule="exact"/>
              <w:jc w:val="right"/>
              <w:rPr>
                <w:sz w:val="18"/>
              </w:rPr>
            </w:pPr>
            <w:r w:rsidRPr="00A858B3">
              <w:rPr>
                <w:sz w:val="18"/>
              </w:rPr>
              <w:t>616 686</w:t>
            </w:r>
          </w:p>
        </w:tc>
        <w:tc>
          <w:tcPr>
            <w:tcW w:w="1040" w:type="dxa"/>
            <w:tcBorders>
              <w:top w:val="single" w:sz="12" w:space="0" w:color="auto"/>
            </w:tcBorders>
            <w:shd w:val="clear" w:color="auto" w:fill="auto"/>
            <w:vAlign w:val="bottom"/>
          </w:tcPr>
          <w:p w14:paraId="1783437A" w14:textId="77777777" w:rsidR="000C1192" w:rsidRPr="00A858B3" w:rsidRDefault="000C1192" w:rsidP="00A858B3">
            <w:pPr>
              <w:suppressAutoHyphens w:val="0"/>
              <w:spacing w:before="40" w:after="40" w:line="220" w:lineRule="exact"/>
              <w:jc w:val="right"/>
              <w:rPr>
                <w:sz w:val="18"/>
              </w:rPr>
            </w:pPr>
            <w:r w:rsidRPr="00A858B3">
              <w:rPr>
                <w:sz w:val="18"/>
              </w:rPr>
              <w:t>559 072</w:t>
            </w:r>
          </w:p>
        </w:tc>
        <w:tc>
          <w:tcPr>
            <w:tcW w:w="1039" w:type="dxa"/>
            <w:tcBorders>
              <w:top w:val="single" w:sz="12" w:space="0" w:color="auto"/>
            </w:tcBorders>
            <w:shd w:val="clear" w:color="auto" w:fill="auto"/>
            <w:vAlign w:val="bottom"/>
          </w:tcPr>
          <w:p w14:paraId="21C06215" w14:textId="77777777" w:rsidR="000C1192" w:rsidRPr="00A858B3" w:rsidRDefault="000C1192" w:rsidP="00A858B3">
            <w:pPr>
              <w:suppressAutoHyphens w:val="0"/>
              <w:spacing w:before="40" w:after="40" w:line="220" w:lineRule="exact"/>
              <w:jc w:val="right"/>
              <w:rPr>
                <w:sz w:val="18"/>
              </w:rPr>
            </w:pPr>
            <w:r w:rsidRPr="00A858B3">
              <w:rPr>
                <w:sz w:val="18"/>
              </w:rPr>
              <w:t>508 931</w:t>
            </w:r>
          </w:p>
        </w:tc>
        <w:tc>
          <w:tcPr>
            <w:tcW w:w="1039" w:type="dxa"/>
            <w:tcBorders>
              <w:top w:val="single" w:sz="12" w:space="0" w:color="auto"/>
            </w:tcBorders>
            <w:shd w:val="clear" w:color="auto" w:fill="auto"/>
            <w:vAlign w:val="bottom"/>
          </w:tcPr>
          <w:p w14:paraId="6C7F9365" w14:textId="77777777" w:rsidR="000C1192" w:rsidRPr="00A858B3" w:rsidRDefault="000C1192" w:rsidP="00A858B3">
            <w:pPr>
              <w:suppressAutoHyphens w:val="0"/>
              <w:spacing w:before="40" w:after="40" w:line="220" w:lineRule="exact"/>
              <w:jc w:val="right"/>
              <w:rPr>
                <w:sz w:val="18"/>
              </w:rPr>
            </w:pPr>
            <w:r w:rsidRPr="00A858B3">
              <w:rPr>
                <w:sz w:val="18"/>
              </w:rPr>
              <w:t>464 124</w:t>
            </w:r>
          </w:p>
        </w:tc>
        <w:tc>
          <w:tcPr>
            <w:tcW w:w="1040" w:type="dxa"/>
            <w:tcBorders>
              <w:top w:val="single" w:sz="12" w:space="0" w:color="auto"/>
            </w:tcBorders>
            <w:shd w:val="clear" w:color="auto" w:fill="auto"/>
            <w:vAlign w:val="bottom"/>
          </w:tcPr>
          <w:p w14:paraId="75468CBD" w14:textId="77777777" w:rsidR="000C1192" w:rsidRPr="00A858B3" w:rsidRDefault="000C1192" w:rsidP="00A858B3">
            <w:pPr>
              <w:suppressAutoHyphens w:val="0"/>
              <w:spacing w:before="40" w:after="40" w:line="220" w:lineRule="exact"/>
              <w:jc w:val="right"/>
              <w:rPr>
                <w:sz w:val="18"/>
              </w:rPr>
            </w:pPr>
            <w:r w:rsidRPr="00A858B3">
              <w:rPr>
                <w:sz w:val="18"/>
              </w:rPr>
              <w:t>407 062</w:t>
            </w:r>
          </w:p>
        </w:tc>
      </w:tr>
      <w:tr w:rsidR="00A858B3" w:rsidRPr="00A858B3" w14:paraId="5F138E47" w14:textId="77777777" w:rsidTr="00A858B3">
        <w:tc>
          <w:tcPr>
            <w:tcW w:w="2268" w:type="dxa"/>
            <w:shd w:val="clear" w:color="auto" w:fill="auto"/>
          </w:tcPr>
          <w:p w14:paraId="37567A77" w14:textId="77777777" w:rsidR="000C1192" w:rsidRPr="00A858B3" w:rsidRDefault="000C1192" w:rsidP="00A858B3">
            <w:pPr>
              <w:suppressAutoHyphens w:val="0"/>
              <w:spacing w:before="40" w:after="40" w:line="220" w:lineRule="exact"/>
              <w:rPr>
                <w:sz w:val="18"/>
              </w:rPr>
            </w:pPr>
            <w:r w:rsidRPr="00A858B3">
              <w:rPr>
                <w:sz w:val="18"/>
              </w:rPr>
              <w:t>Nombre d’affaires reçues pendant l’année</w:t>
            </w:r>
          </w:p>
        </w:tc>
        <w:tc>
          <w:tcPr>
            <w:tcW w:w="1039" w:type="dxa"/>
            <w:shd w:val="clear" w:color="auto" w:fill="auto"/>
            <w:vAlign w:val="bottom"/>
          </w:tcPr>
          <w:p w14:paraId="0BA5068B" w14:textId="77777777" w:rsidR="000C1192" w:rsidRPr="00A858B3" w:rsidRDefault="000C1192" w:rsidP="00A858B3">
            <w:pPr>
              <w:suppressAutoHyphens w:val="0"/>
              <w:spacing w:before="40" w:after="40" w:line="220" w:lineRule="exact"/>
              <w:jc w:val="right"/>
              <w:rPr>
                <w:sz w:val="18"/>
              </w:rPr>
            </w:pPr>
            <w:r w:rsidRPr="00A858B3">
              <w:rPr>
                <w:sz w:val="18"/>
              </w:rPr>
              <w:t>1 341 919</w:t>
            </w:r>
          </w:p>
        </w:tc>
        <w:tc>
          <w:tcPr>
            <w:tcW w:w="1039" w:type="dxa"/>
            <w:shd w:val="clear" w:color="auto" w:fill="auto"/>
            <w:vAlign w:val="bottom"/>
          </w:tcPr>
          <w:p w14:paraId="54F8B7C5" w14:textId="77777777" w:rsidR="000C1192" w:rsidRPr="00A858B3" w:rsidRDefault="000C1192" w:rsidP="00A858B3">
            <w:pPr>
              <w:suppressAutoHyphens w:val="0"/>
              <w:spacing w:before="40" w:after="40" w:line="220" w:lineRule="exact"/>
              <w:jc w:val="right"/>
              <w:rPr>
                <w:sz w:val="18"/>
              </w:rPr>
            </w:pPr>
            <w:r w:rsidRPr="00A858B3">
              <w:rPr>
                <w:sz w:val="18"/>
              </w:rPr>
              <w:t xml:space="preserve">1 252 451 </w:t>
            </w:r>
          </w:p>
        </w:tc>
        <w:tc>
          <w:tcPr>
            <w:tcW w:w="1040" w:type="dxa"/>
            <w:shd w:val="clear" w:color="auto" w:fill="auto"/>
            <w:vAlign w:val="bottom"/>
          </w:tcPr>
          <w:p w14:paraId="64AEE006" w14:textId="77777777" w:rsidR="000C1192" w:rsidRPr="00A858B3" w:rsidRDefault="000C1192" w:rsidP="00A858B3">
            <w:pPr>
              <w:suppressAutoHyphens w:val="0"/>
              <w:spacing w:before="40" w:after="40" w:line="220" w:lineRule="exact"/>
              <w:jc w:val="right"/>
              <w:rPr>
                <w:sz w:val="18"/>
              </w:rPr>
            </w:pPr>
            <w:r w:rsidRPr="00A858B3">
              <w:rPr>
                <w:sz w:val="18"/>
              </w:rPr>
              <w:t xml:space="preserve">1 297 410 </w:t>
            </w:r>
          </w:p>
        </w:tc>
        <w:tc>
          <w:tcPr>
            <w:tcW w:w="1039" w:type="dxa"/>
            <w:shd w:val="clear" w:color="auto" w:fill="auto"/>
            <w:vAlign w:val="bottom"/>
          </w:tcPr>
          <w:p w14:paraId="23D52FC1" w14:textId="77777777" w:rsidR="000C1192" w:rsidRPr="00A858B3" w:rsidRDefault="000C1192" w:rsidP="00A858B3">
            <w:pPr>
              <w:suppressAutoHyphens w:val="0"/>
              <w:spacing w:before="40" w:after="40" w:line="220" w:lineRule="exact"/>
              <w:jc w:val="right"/>
              <w:rPr>
                <w:sz w:val="18"/>
              </w:rPr>
            </w:pPr>
            <w:r w:rsidRPr="00A858B3">
              <w:rPr>
                <w:sz w:val="18"/>
              </w:rPr>
              <w:t>1 242 300</w:t>
            </w:r>
          </w:p>
        </w:tc>
        <w:tc>
          <w:tcPr>
            <w:tcW w:w="1039" w:type="dxa"/>
            <w:shd w:val="clear" w:color="auto" w:fill="auto"/>
            <w:vAlign w:val="bottom"/>
          </w:tcPr>
          <w:p w14:paraId="4495D654" w14:textId="77777777" w:rsidR="000C1192" w:rsidRPr="00A858B3" w:rsidRDefault="000C1192" w:rsidP="00A858B3">
            <w:pPr>
              <w:suppressAutoHyphens w:val="0"/>
              <w:spacing w:before="40" w:after="40" w:line="220" w:lineRule="exact"/>
              <w:jc w:val="right"/>
              <w:rPr>
                <w:sz w:val="18"/>
              </w:rPr>
            </w:pPr>
            <w:r w:rsidRPr="00A858B3">
              <w:rPr>
                <w:sz w:val="18"/>
              </w:rPr>
              <w:t>1 166 130</w:t>
            </w:r>
          </w:p>
        </w:tc>
        <w:tc>
          <w:tcPr>
            <w:tcW w:w="1040" w:type="dxa"/>
            <w:shd w:val="clear" w:color="auto" w:fill="auto"/>
            <w:vAlign w:val="bottom"/>
          </w:tcPr>
          <w:p w14:paraId="434C3ED7" w14:textId="77777777" w:rsidR="000C1192" w:rsidRPr="00A858B3" w:rsidRDefault="000C1192" w:rsidP="00A858B3">
            <w:pPr>
              <w:suppressAutoHyphens w:val="0"/>
              <w:spacing w:before="40" w:after="40" w:line="220" w:lineRule="exact"/>
              <w:jc w:val="right"/>
              <w:rPr>
                <w:sz w:val="18"/>
              </w:rPr>
            </w:pPr>
            <w:r w:rsidRPr="00A858B3">
              <w:rPr>
                <w:sz w:val="18"/>
              </w:rPr>
              <w:t>1 289 716*</w:t>
            </w:r>
          </w:p>
        </w:tc>
      </w:tr>
      <w:tr w:rsidR="00A858B3" w:rsidRPr="00A858B3" w14:paraId="1417602B" w14:textId="77777777" w:rsidTr="00A858B3">
        <w:tc>
          <w:tcPr>
            <w:tcW w:w="2268" w:type="dxa"/>
            <w:shd w:val="clear" w:color="auto" w:fill="auto"/>
          </w:tcPr>
          <w:p w14:paraId="0C462146" w14:textId="77777777" w:rsidR="000C1192" w:rsidRPr="00A858B3" w:rsidRDefault="000C1192" w:rsidP="00A858B3">
            <w:pPr>
              <w:suppressAutoHyphens w:val="0"/>
              <w:spacing w:before="40" w:after="40" w:line="220" w:lineRule="exact"/>
              <w:ind w:left="284"/>
              <w:rPr>
                <w:b/>
                <w:sz w:val="18"/>
              </w:rPr>
            </w:pPr>
            <w:r w:rsidRPr="00A858B3">
              <w:rPr>
                <w:b/>
                <w:sz w:val="18"/>
              </w:rPr>
              <w:t>Nombre total d’affaires en cours</w:t>
            </w:r>
          </w:p>
        </w:tc>
        <w:tc>
          <w:tcPr>
            <w:tcW w:w="1039" w:type="dxa"/>
            <w:shd w:val="clear" w:color="auto" w:fill="auto"/>
            <w:vAlign w:val="bottom"/>
          </w:tcPr>
          <w:p w14:paraId="797727FC" w14:textId="77777777" w:rsidR="000C1192" w:rsidRPr="00A858B3" w:rsidRDefault="000C1192" w:rsidP="00A858B3">
            <w:pPr>
              <w:suppressAutoHyphens w:val="0"/>
              <w:spacing w:before="40" w:after="40" w:line="220" w:lineRule="exact"/>
              <w:jc w:val="right"/>
              <w:rPr>
                <w:b/>
                <w:sz w:val="18"/>
              </w:rPr>
            </w:pPr>
            <w:r w:rsidRPr="00A858B3">
              <w:rPr>
                <w:b/>
                <w:sz w:val="18"/>
              </w:rPr>
              <w:t>2 077 792</w:t>
            </w:r>
          </w:p>
        </w:tc>
        <w:tc>
          <w:tcPr>
            <w:tcW w:w="1039" w:type="dxa"/>
            <w:shd w:val="clear" w:color="auto" w:fill="auto"/>
            <w:vAlign w:val="bottom"/>
          </w:tcPr>
          <w:p w14:paraId="6B45D92B" w14:textId="77777777" w:rsidR="000C1192" w:rsidRPr="00A858B3" w:rsidRDefault="000C1192" w:rsidP="00A858B3">
            <w:pPr>
              <w:suppressAutoHyphens w:val="0"/>
              <w:spacing w:before="40" w:after="40" w:line="220" w:lineRule="exact"/>
              <w:jc w:val="right"/>
              <w:rPr>
                <w:b/>
                <w:sz w:val="18"/>
              </w:rPr>
            </w:pPr>
            <w:r w:rsidRPr="00A858B3">
              <w:rPr>
                <w:b/>
                <w:sz w:val="18"/>
              </w:rPr>
              <w:t>1 869 137</w:t>
            </w:r>
          </w:p>
        </w:tc>
        <w:tc>
          <w:tcPr>
            <w:tcW w:w="1040" w:type="dxa"/>
            <w:shd w:val="clear" w:color="auto" w:fill="auto"/>
            <w:vAlign w:val="bottom"/>
          </w:tcPr>
          <w:p w14:paraId="71A932BD" w14:textId="77777777" w:rsidR="000C1192" w:rsidRPr="00A858B3" w:rsidRDefault="000C1192" w:rsidP="00A858B3">
            <w:pPr>
              <w:suppressAutoHyphens w:val="0"/>
              <w:spacing w:before="40" w:after="40" w:line="220" w:lineRule="exact"/>
              <w:jc w:val="right"/>
              <w:rPr>
                <w:b/>
                <w:sz w:val="18"/>
              </w:rPr>
            </w:pPr>
            <w:r w:rsidRPr="00A858B3">
              <w:rPr>
                <w:b/>
                <w:sz w:val="18"/>
              </w:rPr>
              <w:t xml:space="preserve">1 856 482 </w:t>
            </w:r>
          </w:p>
        </w:tc>
        <w:tc>
          <w:tcPr>
            <w:tcW w:w="1039" w:type="dxa"/>
            <w:shd w:val="clear" w:color="auto" w:fill="auto"/>
            <w:vAlign w:val="bottom"/>
          </w:tcPr>
          <w:p w14:paraId="030C8110" w14:textId="77777777" w:rsidR="000C1192" w:rsidRPr="00A858B3" w:rsidRDefault="000C1192" w:rsidP="00A858B3">
            <w:pPr>
              <w:suppressAutoHyphens w:val="0"/>
              <w:spacing w:before="40" w:after="40" w:line="220" w:lineRule="exact"/>
              <w:jc w:val="right"/>
              <w:rPr>
                <w:b/>
                <w:sz w:val="18"/>
              </w:rPr>
            </w:pPr>
            <w:r w:rsidRPr="00A858B3">
              <w:rPr>
                <w:b/>
                <w:sz w:val="18"/>
              </w:rPr>
              <w:t>1 751 231</w:t>
            </w:r>
          </w:p>
        </w:tc>
        <w:tc>
          <w:tcPr>
            <w:tcW w:w="1039" w:type="dxa"/>
            <w:shd w:val="clear" w:color="auto" w:fill="auto"/>
            <w:vAlign w:val="bottom"/>
          </w:tcPr>
          <w:p w14:paraId="11BFF4CB" w14:textId="77777777" w:rsidR="000C1192" w:rsidRPr="00A858B3" w:rsidRDefault="000C1192" w:rsidP="00A858B3">
            <w:pPr>
              <w:suppressAutoHyphens w:val="0"/>
              <w:spacing w:before="40" w:after="40" w:line="220" w:lineRule="exact"/>
              <w:jc w:val="right"/>
              <w:rPr>
                <w:b/>
                <w:sz w:val="18"/>
              </w:rPr>
            </w:pPr>
            <w:r w:rsidRPr="00A858B3">
              <w:rPr>
                <w:b/>
                <w:sz w:val="18"/>
              </w:rPr>
              <w:t>1 630 254</w:t>
            </w:r>
          </w:p>
        </w:tc>
        <w:tc>
          <w:tcPr>
            <w:tcW w:w="1040" w:type="dxa"/>
            <w:shd w:val="clear" w:color="auto" w:fill="auto"/>
            <w:vAlign w:val="bottom"/>
          </w:tcPr>
          <w:p w14:paraId="0C1EC926" w14:textId="77777777" w:rsidR="000C1192" w:rsidRPr="00A858B3" w:rsidRDefault="000C1192" w:rsidP="00A858B3">
            <w:pPr>
              <w:suppressAutoHyphens w:val="0"/>
              <w:spacing w:before="40" w:after="40" w:line="220" w:lineRule="exact"/>
              <w:jc w:val="right"/>
              <w:rPr>
                <w:b/>
                <w:sz w:val="18"/>
              </w:rPr>
            </w:pPr>
            <w:r w:rsidRPr="00A858B3">
              <w:rPr>
                <w:b/>
                <w:sz w:val="18"/>
              </w:rPr>
              <w:t>1 696 778</w:t>
            </w:r>
          </w:p>
        </w:tc>
      </w:tr>
      <w:tr w:rsidR="00A858B3" w:rsidRPr="00A858B3" w14:paraId="2B1D12C1" w14:textId="77777777" w:rsidTr="00A858B3">
        <w:tc>
          <w:tcPr>
            <w:tcW w:w="2268" w:type="dxa"/>
            <w:shd w:val="clear" w:color="auto" w:fill="auto"/>
          </w:tcPr>
          <w:p w14:paraId="5FD10F49" w14:textId="77777777" w:rsidR="000C1192" w:rsidRPr="00A858B3" w:rsidRDefault="000C1192" w:rsidP="00A858B3">
            <w:pPr>
              <w:suppressAutoHyphens w:val="0"/>
              <w:spacing w:before="40" w:after="40" w:line="220" w:lineRule="exact"/>
              <w:rPr>
                <w:sz w:val="18"/>
              </w:rPr>
            </w:pPr>
            <w:r w:rsidRPr="00A858B3">
              <w:rPr>
                <w:sz w:val="18"/>
              </w:rPr>
              <w:t>Affaires jugées</w:t>
            </w:r>
          </w:p>
        </w:tc>
        <w:tc>
          <w:tcPr>
            <w:tcW w:w="1039" w:type="dxa"/>
            <w:shd w:val="clear" w:color="auto" w:fill="auto"/>
            <w:vAlign w:val="bottom"/>
          </w:tcPr>
          <w:p w14:paraId="7244502A" w14:textId="77777777" w:rsidR="000C1192" w:rsidRPr="00A858B3" w:rsidRDefault="000C1192" w:rsidP="00A858B3">
            <w:pPr>
              <w:suppressAutoHyphens w:val="0"/>
              <w:spacing w:before="40" w:after="40" w:line="220" w:lineRule="exact"/>
              <w:jc w:val="right"/>
              <w:rPr>
                <w:sz w:val="18"/>
              </w:rPr>
            </w:pPr>
            <w:r w:rsidRPr="00A858B3">
              <w:rPr>
                <w:sz w:val="18"/>
              </w:rPr>
              <w:t>1 432 912</w:t>
            </w:r>
          </w:p>
        </w:tc>
        <w:tc>
          <w:tcPr>
            <w:tcW w:w="1039" w:type="dxa"/>
            <w:shd w:val="clear" w:color="auto" w:fill="auto"/>
            <w:vAlign w:val="bottom"/>
          </w:tcPr>
          <w:p w14:paraId="41C443A2" w14:textId="77777777" w:rsidR="000C1192" w:rsidRPr="00A858B3" w:rsidRDefault="000C1192" w:rsidP="00A858B3">
            <w:pPr>
              <w:suppressAutoHyphens w:val="0"/>
              <w:spacing w:before="40" w:after="40" w:line="220" w:lineRule="exact"/>
              <w:jc w:val="right"/>
              <w:rPr>
                <w:sz w:val="18"/>
              </w:rPr>
            </w:pPr>
            <w:r w:rsidRPr="00A858B3">
              <w:rPr>
                <w:sz w:val="18"/>
              </w:rPr>
              <w:t>1 290 442</w:t>
            </w:r>
          </w:p>
        </w:tc>
        <w:tc>
          <w:tcPr>
            <w:tcW w:w="1040" w:type="dxa"/>
            <w:shd w:val="clear" w:color="auto" w:fill="auto"/>
            <w:vAlign w:val="bottom"/>
          </w:tcPr>
          <w:p w14:paraId="216378BE" w14:textId="77777777" w:rsidR="000C1192" w:rsidRPr="00A858B3" w:rsidRDefault="000C1192" w:rsidP="00A858B3">
            <w:pPr>
              <w:suppressAutoHyphens w:val="0"/>
              <w:spacing w:before="40" w:after="40" w:line="220" w:lineRule="exact"/>
              <w:jc w:val="right"/>
              <w:rPr>
                <w:sz w:val="18"/>
              </w:rPr>
            </w:pPr>
            <w:r w:rsidRPr="00A858B3">
              <w:rPr>
                <w:sz w:val="18"/>
              </w:rPr>
              <w:t>1 340 157</w:t>
            </w:r>
          </w:p>
        </w:tc>
        <w:tc>
          <w:tcPr>
            <w:tcW w:w="1039" w:type="dxa"/>
            <w:shd w:val="clear" w:color="auto" w:fill="auto"/>
            <w:vAlign w:val="bottom"/>
          </w:tcPr>
          <w:p w14:paraId="001BD12B" w14:textId="77777777" w:rsidR="000C1192" w:rsidRPr="00A858B3" w:rsidRDefault="000C1192" w:rsidP="00A858B3">
            <w:pPr>
              <w:suppressAutoHyphens w:val="0"/>
              <w:spacing w:before="40" w:after="40" w:line="220" w:lineRule="exact"/>
              <w:jc w:val="right"/>
              <w:rPr>
                <w:sz w:val="18"/>
              </w:rPr>
            </w:pPr>
            <w:r w:rsidRPr="00A858B3">
              <w:rPr>
                <w:sz w:val="18"/>
              </w:rPr>
              <w:t>1 278 017</w:t>
            </w:r>
          </w:p>
        </w:tc>
        <w:tc>
          <w:tcPr>
            <w:tcW w:w="1039" w:type="dxa"/>
            <w:shd w:val="clear" w:color="auto" w:fill="auto"/>
            <w:vAlign w:val="bottom"/>
          </w:tcPr>
          <w:p w14:paraId="4633FE51" w14:textId="77777777" w:rsidR="000C1192" w:rsidRPr="00A858B3" w:rsidRDefault="000C1192" w:rsidP="00A858B3">
            <w:pPr>
              <w:suppressAutoHyphens w:val="0"/>
              <w:spacing w:before="40" w:after="40" w:line="220" w:lineRule="exact"/>
              <w:jc w:val="right"/>
              <w:rPr>
                <w:sz w:val="18"/>
              </w:rPr>
            </w:pPr>
            <w:r w:rsidRPr="00A858B3">
              <w:rPr>
                <w:sz w:val="18"/>
              </w:rPr>
              <w:t>1 216 561</w:t>
            </w:r>
          </w:p>
        </w:tc>
        <w:tc>
          <w:tcPr>
            <w:tcW w:w="1040" w:type="dxa"/>
            <w:shd w:val="clear" w:color="auto" w:fill="auto"/>
            <w:vAlign w:val="bottom"/>
          </w:tcPr>
          <w:p w14:paraId="53B03CE6" w14:textId="77777777" w:rsidR="000C1192" w:rsidRPr="00A858B3" w:rsidRDefault="000C1192" w:rsidP="00A858B3">
            <w:pPr>
              <w:suppressAutoHyphens w:val="0"/>
              <w:spacing w:before="40" w:after="40" w:line="220" w:lineRule="exact"/>
              <w:jc w:val="right"/>
              <w:rPr>
                <w:sz w:val="18"/>
              </w:rPr>
            </w:pPr>
            <w:r w:rsidRPr="00A858B3">
              <w:rPr>
                <w:sz w:val="18"/>
              </w:rPr>
              <w:t>1 215 959</w:t>
            </w:r>
          </w:p>
        </w:tc>
      </w:tr>
      <w:tr w:rsidR="00A858B3" w:rsidRPr="00A858B3" w14:paraId="0BBD01A8" w14:textId="77777777" w:rsidTr="00A858B3">
        <w:tc>
          <w:tcPr>
            <w:tcW w:w="2268" w:type="dxa"/>
            <w:tcBorders>
              <w:bottom w:val="single" w:sz="12" w:space="0" w:color="auto"/>
            </w:tcBorders>
            <w:shd w:val="clear" w:color="auto" w:fill="auto"/>
          </w:tcPr>
          <w:p w14:paraId="15654FBB" w14:textId="77777777" w:rsidR="000C1192" w:rsidRPr="00A858B3" w:rsidRDefault="000C1192" w:rsidP="00A858B3">
            <w:pPr>
              <w:suppressAutoHyphens w:val="0"/>
              <w:spacing w:before="40" w:after="40" w:line="220" w:lineRule="exact"/>
              <w:rPr>
                <w:sz w:val="18"/>
              </w:rPr>
            </w:pPr>
            <w:r w:rsidRPr="00A858B3">
              <w:rPr>
                <w:sz w:val="18"/>
              </w:rPr>
              <w:t>Affaires non jugées</w:t>
            </w:r>
          </w:p>
        </w:tc>
        <w:tc>
          <w:tcPr>
            <w:tcW w:w="1039" w:type="dxa"/>
            <w:tcBorders>
              <w:bottom w:val="single" w:sz="12" w:space="0" w:color="auto"/>
            </w:tcBorders>
            <w:shd w:val="clear" w:color="auto" w:fill="auto"/>
            <w:vAlign w:val="bottom"/>
          </w:tcPr>
          <w:p w14:paraId="6AB075B3" w14:textId="77777777" w:rsidR="000C1192" w:rsidRPr="00A858B3" w:rsidRDefault="000C1192" w:rsidP="00A858B3">
            <w:pPr>
              <w:suppressAutoHyphens w:val="0"/>
              <w:spacing w:before="40" w:after="40" w:line="220" w:lineRule="exact"/>
              <w:jc w:val="right"/>
              <w:rPr>
                <w:sz w:val="18"/>
              </w:rPr>
            </w:pPr>
            <w:r w:rsidRPr="00A858B3">
              <w:rPr>
                <w:sz w:val="18"/>
              </w:rPr>
              <w:t>616 686</w:t>
            </w:r>
          </w:p>
        </w:tc>
        <w:tc>
          <w:tcPr>
            <w:tcW w:w="1039" w:type="dxa"/>
            <w:tcBorders>
              <w:bottom w:val="single" w:sz="12" w:space="0" w:color="auto"/>
            </w:tcBorders>
            <w:shd w:val="clear" w:color="auto" w:fill="auto"/>
            <w:vAlign w:val="bottom"/>
          </w:tcPr>
          <w:p w14:paraId="0EA039C9" w14:textId="77777777" w:rsidR="000C1192" w:rsidRPr="00A858B3" w:rsidRDefault="000C1192" w:rsidP="00A858B3">
            <w:pPr>
              <w:suppressAutoHyphens w:val="0"/>
              <w:spacing w:before="40" w:after="40" w:line="220" w:lineRule="exact"/>
              <w:jc w:val="right"/>
              <w:rPr>
                <w:sz w:val="18"/>
              </w:rPr>
            </w:pPr>
            <w:r w:rsidRPr="00A858B3">
              <w:rPr>
                <w:sz w:val="18"/>
              </w:rPr>
              <w:t>559 072</w:t>
            </w:r>
          </w:p>
        </w:tc>
        <w:tc>
          <w:tcPr>
            <w:tcW w:w="1040" w:type="dxa"/>
            <w:tcBorders>
              <w:bottom w:val="single" w:sz="12" w:space="0" w:color="auto"/>
            </w:tcBorders>
            <w:shd w:val="clear" w:color="auto" w:fill="auto"/>
            <w:vAlign w:val="bottom"/>
          </w:tcPr>
          <w:p w14:paraId="33D57AC2" w14:textId="77777777" w:rsidR="000C1192" w:rsidRPr="00A858B3" w:rsidRDefault="000C1192" w:rsidP="00A858B3">
            <w:pPr>
              <w:suppressAutoHyphens w:val="0"/>
              <w:spacing w:before="40" w:after="40" w:line="220" w:lineRule="exact"/>
              <w:jc w:val="right"/>
              <w:rPr>
                <w:sz w:val="18"/>
              </w:rPr>
            </w:pPr>
            <w:r w:rsidRPr="00A858B3">
              <w:rPr>
                <w:sz w:val="18"/>
              </w:rPr>
              <w:t>508 931</w:t>
            </w:r>
          </w:p>
        </w:tc>
        <w:tc>
          <w:tcPr>
            <w:tcW w:w="1039" w:type="dxa"/>
            <w:tcBorders>
              <w:bottom w:val="single" w:sz="12" w:space="0" w:color="auto"/>
            </w:tcBorders>
            <w:shd w:val="clear" w:color="auto" w:fill="auto"/>
            <w:vAlign w:val="bottom"/>
          </w:tcPr>
          <w:p w14:paraId="1FD33ACC" w14:textId="77777777" w:rsidR="000C1192" w:rsidRPr="00A858B3" w:rsidRDefault="000C1192" w:rsidP="00A858B3">
            <w:pPr>
              <w:suppressAutoHyphens w:val="0"/>
              <w:spacing w:before="40" w:after="40" w:line="220" w:lineRule="exact"/>
              <w:jc w:val="right"/>
              <w:rPr>
                <w:sz w:val="18"/>
              </w:rPr>
            </w:pPr>
            <w:r w:rsidRPr="00A858B3">
              <w:rPr>
                <w:sz w:val="18"/>
              </w:rPr>
              <w:t>464 124</w:t>
            </w:r>
          </w:p>
        </w:tc>
        <w:tc>
          <w:tcPr>
            <w:tcW w:w="1039" w:type="dxa"/>
            <w:tcBorders>
              <w:bottom w:val="single" w:sz="12" w:space="0" w:color="auto"/>
            </w:tcBorders>
            <w:shd w:val="clear" w:color="auto" w:fill="auto"/>
            <w:vAlign w:val="bottom"/>
          </w:tcPr>
          <w:p w14:paraId="0583612E" w14:textId="77777777" w:rsidR="000C1192" w:rsidRPr="00A858B3" w:rsidRDefault="000C1192" w:rsidP="00A858B3">
            <w:pPr>
              <w:suppressAutoHyphens w:val="0"/>
              <w:spacing w:before="40" w:after="40" w:line="220" w:lineRule="exact"/>
              <w:jc w:val="right"/>
              <w:rPr>
                <w:sz w:val="18"/>
              </w:rPr>
            </w:pPr>
            <w:r w:rsidRPr="00A858B3">
              <w:rPr>
                <w:sz w:val="18"/>
              </w:rPr>
              <w:t>407 062</w:t>
            </w:r>
          </w:p>
        </w:tc>
        <w:tc>
          <w:tcPr>
            <w:tcW w:w="1040" w:type="dxa"/>
            <w:tcBorders>
              <w:bottom w:val="single" w:sz="12" w:space="0" w:color="auto"/>
            </w:tcBorders>
            <w:shd w:val="clear" w:color="auto" w:fill="auto"/>
            <w:vAlign w:val="bottom"/>
          </w:tcPr>
          <w:p w14:paraId="1C33D69D" w14:textId="77777777" w:rsidR="000C1192" w:rsidRPr="00A858B3" w:rsidRDefault="000C1192" w:rsidP="00A858B3">
            <w:pPr>
              <w:suppressAutoHyphens w:val="0"/>
              <w:spacing w:before="40" w:after="40" w:line="220" w:lineRule="exact"/>
              <w:jc w:val="right"/>
              <w:rPr>
                <w:sz w:val="18"/>
              </w:rPr>
            </w:pPr>
            <w:r w:rsidRPr="00A858B3">
              <w:rPr>
                <w:sz w:val="18"/>
              </w:rPr>
              <w:t xml:space="preserve">481 348 </w:t>
            </w:r>
          </w:p>
        </w:tc>
      </w:tr>
    </w:tbl>
    <w:p w14:paraId="6CF53B7B" w14:textId="4CF29E44" w:rsidR="000C1192" w:rsidRPr="008564AA" w:rsidRDefault="007449AA" w:rsidP="008564AA">
      <w:pPr>
        <w:spacing w:before="120" w:after="240"/>
        <w:ind w:left="1134" w:firstLine="170"/>
        <w:rPr>
          <w:i/>
          <w:iCs/>
          <w:sz w:val="18"/>
          <w:szCs w:val="18"/>
        </w:rPr>
      </w:pPr>
      <w:r w:rsidRPr="008564AA">
        <w:rPr>
          <w:sz w:val="18"/>
          <w:szCs w:val="18"/>
        </w:rPr>
        <w:t xml:space="preserve">*  </w:t>
      </w:r>
      <w:r w:rsidR="000C1192" w:rsidRPr="008564AA">
        <w:rPr>
          <w:i/>
          <w:iCs/>
          <w:sz w:val="18"/>
          <w:szCs w:val="18"/>
        </w:rPr>
        <w:t>Sur le nombre total d’affaires reçues, 96</w:t>
      </w:r>
      <w:r w:rsidRPr="008564AA">
        <w:rPr>
          <w:i/>
          <w:iCs/>
          <w:sz w:val="18"/>
          <w:szCs w:val="18"/>
        </w:rPr>
        <w:t> </w:t>
      </w:r>
      <w:r w:rsidR="000C1192" w:rsidRPr="008564AA">
        <w:rPr>
          <w:i/>
          <w:iCs/>
          <w:sz w:val="18"/>
          <w:szCs w:val="18"/>
        </w:rPr>
        <w:t>041</w:t>
      </w:r>
      <w:r w:rsidRPr="008564AA">
        <w:rPr>
          <w:i/>
          <w:iCs/>
          <w:sz w:val="18"/>
          <w:szCs w:val="18"/>
        </w:rPr>
        <w:t> </w:t>
      </w:r>
      <w:r w:rsidR="000C1192" w:rsidRPr="008564AA">
        <w:rPr>
          <w:i/>
          <w:iCs/>
          <w:sz w:val="18"/>
          <w:szCs w:val="18"/>
        </w:rPr>
        <w:t>affaires (7,5</w:t>
      </w:r>
      <w:r w:rsidRPr="008564AA">
        <w:rPr>
          <w:i/>
          <w:iCs/>
          <w:sz w:val="18"/>
          <w:szCs w:val="18"/>
        </w:rPr>
        <w:t> </w:t>
      </w:r>
      <w:r w:rsidR="000C1192" w:rsidRPr="008564AA">
        <w:rPr>
          <w:i/>
          <w:iCs/>
          <w:sz w:val="18"/>
          <w:szCs w:val="18"/>
        </w:rPr>
        <w:t>% du nombre total de nouvelles affaires) l’ont été après l’entrée en vigueur, début 2019, de la loi portant modification de la loi sur l’insolvabilité des consommateurs. En 2019, les tribunaux nationaux ont aussi été saisis d’un nombre important de litiges liés à des procès intentés à des banques pour des prêts en francs suisses.</w:t>
      </w:r>
    </w:p>
    <w:p w14:paraId="16F7D965" w14:textId="77777777" w:rsidR="000C1192" w:rsidRPr="00ED42E0" w:rsidRDefault="000C1192" w:rsidP="007449AA">
      <w:pPr>
        <w:pStyle w:val="Titre1"/>
      </w:pPr>
      <w:r w:rsidRPr="00ED42E0">
        <w:t>Tableau 2</w:t>
      </w:r>
    </w:p>
    <w:p w14:paraId="3D5BA6F9" w14:textId="77777777" w:rsidR="000C1192" w:rsidRPr="00ED42E0" w:rsidRDefault="000C1192" w:rsidP="007449AA">
      <w:pPr>
        <w:pStyle w:val="Titre1"/>
        <w:spacing w:after="120"/>
        <w:rPr>
          <w:b/>
          <w:bCs/>
        </w:rPr>
      </w:pPr>
      <w:r w:rsidRPr="00ED42E0">
        <w:rPr>
          <w:b/>
          <w:bCs/>
        </w:rPr>
        <w:t xml:space="preserve">Indicateurs de </w:t>
      </w:r>
      <w:r>
        <w:rPr>
          <w:b/>
          <w:bCs/>
        </w:rPr>
        <w:t xml:space="preserve">résultats </w:t>
      </w:r>
      <w:r w:rsidRPr="00ED42E0">
        <w:rPr>
          <w:b/>
          <w:bCs/>
        </w:rPr>
        <w:t xml:space="preserve">des tribunaux </w:t>
      </w:r>
      <w:r>
        <w:rPr>
          <w:b/>
          <w:bCs/>
        </w:rPr>
        <w:t xml:space="preserve">sur une </w:t>
      </w:r>
      <w:r w:rsidRPr="00ED42E0">
        <w:rPr>
          <w:b/>
          <w:bCs/>
        </w:rPr>
        <w:t>période de six ans</w:t>
      </w:r>
    </w:p>
    <w:tbl>
      <w:tblPr>
        <w:tblW w:w="7370" w:type="dxa"/>
        <w:tblInd w:w="1134" w:type="dxa"/>
        <w:tblLayout w:type="fixed"/>
        <w:tblCellMar>
          <w:left w:w="0" w:type="dxa"/>
          <w:right w:w="0" w:type="dxa"/>
        </w:tblCellMar>
        <w:tblLook w:val="04A0" w:firstRow="1" w:lastRow="0" w:firstColumn="1" w:lastColumn="0" w:noHBand="0" w:noVBand="1"/>
      </w:tblPr>
      <w:tblGrid>
        <w:gridCol w:w="2254"/>
        <w:gridCol w:w="852"/>
        <w:gridCol w:w="853"/>
        <w:gridCol w:w="853"/>
        <w:gridCol w:w="852"/>
        <w:gridCol w:w="853"/>
        <w:gridCol w:w="853"/>
      </w:tblGrid>
      <w:tr w:rsidR="007449AA" w:rsidRPr="007449AA" w14:paraId="3862D482" w14:textId="77777777" w:rsidTr="007449AA">
        <w:trPr>
          <w:tblHeader/>
        </w:trPr>
        <w:tc>
          <w:tcPr>
            <w:tcW w:w="2254" w:type="dxa"/>
            <w:tcBorders>
              <w:top w:val="single" w:sz="4" w:space="0" w:color="auto"/>
              <w:bottom w:val="single" w:sz="12" w:space="0" w:color="auto"/>
            </w:tcBorders>
            <w:shd w:val="clear" w:color="auto" w:fill="auto"/>
            <w:vAlign w:val="bottom"/>
          </w:tcPr>
          <w:p w14:paraId="0021698A" w14:textId="77777777" w:rsidR="000C1192" w:rsidRPr="007449AA" w:rsidRDefault="000C1192" w:rsidP="007449AA">
            <w:pPr>
              <w:suppressAutoHyphens w:val="0"/>
              <w:spacing w:before="80" w:after="80" w:line="200" w:lineRule="exact"/>
              <w:rPr>
                <w:i/>
                <w:sz w:val="16"/>
              </w:rPr>
            </w:pPr>
            <w:r w:rsidRPr="007449AA">
              <w:rPr>
                <w:i/>
                <w:sz w:val="16"/>
              </w:rPr>
              <w:t>Indicateurs de résultats</w:t>
            </w:r>
          </w:p>
        </w:tc>
        <w:tc>
          <w:tcPr>
            <w:tcW w:w="852" w:type="dxa"/>
            <w:tcBorders>
              <w:top w:val="single" w:sz="4" w:space="0" w:color="auto"/>
              <w:bottom w:val="single" w:sz="12" w:space="0" w:color="auto"/>
            </w:tcBorders>
            <w:shd w:val="clear" w:color="auto" w:fill="auto"/>
            <w:vAlign w:val="bottom"/>
          </w:tcPr>
          <w:p w14:paraId="1CDA86C3" w14:textId="77777777" w:rsidR="000C1192" w:rsidRPr="007449AA" w:rsidRDefault="000C1192" w:rsidP="007449AA">
            <w:pPr>
              <w:suppressAutoHyphens w:val="0"/>
              <w:spacing w:before="80" w:after="80" w:line="200" w:lineRule="exact"/>
              <w:jc w:val="right"/>
              <w:rPr>
                <w:i/>
                <w:sz w:val="16"/>
              </w:rPr>
            </w:pPr>
            <w:r w:rsidRPr="007449AA">
              <w:rPr>
                <w:i/>
                <w:sz w:val="16"/>
              </w:rPr>
              <w:t>2014</w:t>
            </w:r>
          </w:p>
        </w:tc>
        <w:tc>
          <w:tcPr>
            <w:tcW w:w="853" w:type="dxa"/>
            <w:tcBorders>
              <w:top w:val="single" w:sz="4" w:space="0" w:color="auto"/>
              <w:bottom w:val="single" w:sz="12" w:space="0" w:color="auto"/>
            </w:tcBorders>
            <w:shd w:val="clear" w:color="auto" w:fill="auto"/>
            <w:vAlign w:val="bottom"/>
          </w:tcPr>
          <w:p w14:paraId="0670A017" w14:textId="77777777" w:rsidR="000C1192" w:rsidRPr="007449AA" w:rsidRDefault="000C1192" w:rsidP="007449AA">
            <w:pPr>
              <w:suppressAutoHyphens w:val="0"/>
              <w:spacing w:before="80" w:after="80" w:line="200" w:lineRule="exact"/>
              <w:jc w:val="right"/>
              <w:rPr>
                <w:i/>
                <w:sz w:val="16"/>
              </w:rPr>
            </w:pPr>
            <w:r w:rsidRPr="007449AA">
              <w:rPr>
                <w:i/>
                <w:sz w:val="16"/>
              </w:rPr>
              <w:t>2015</w:t>
            </w:r>
          </w:p>
        </w:tc>
        <w:tc>
          <w:tcPr>
            <w:tcW w:w="853" w:type="dxa"/>
            <w:tcBorders>
              <w:top w:val="single" w:sz="4" w:space="0" w:color="auto"/>
              <w:bottom w:val="single" w:sz="12" w:space="0" w:color="auto"/>
            </w:tcBorders>
            <w:shd w:val="clear" w:color="auto" w:fill="auto"/>
            <w:vAlign w:val="bottom"/>
          </w:tcPr>
          <w:p w14:paraId="29BA4B87" w14:textId="77777777" w:rsidR="000C1192" w:rsidRPr="007449AA" w:rsidRDefault="000C1192" w:rsidP="007449AA">
            <w:pPr>
              <w:suppressAutoHyphens w:val="0"/>
              <w:spacing w:before="80" w:after="80" w:line="200" w:lineRule="exact"/>
              <w:jc w:val="right"/>
              <w:rPr>
                <w:i/>
                <w:sz w:val="16"/>
              </w:rPr>
            </w:pPr>
            <w:r w:rsidRPr="007449AA">
              <w:rPr>
                <w:i/>
                <w:sz w:val="16"/>
              </w:rPr>
              <w:t>2016</w:t>
            </w:r>
          </w:p>
        </w:tc>
        <w:tc>
          <w:tcPr>
            <w:tcW w:w="852" w:type="dxa"/>
            <w:tcBorders>
              <w:top w:val="single" w:sz="4" w:space="0" w:color="auto"/>
              <w:bottom w:val="single" w:sz="12" w:space="0" w:color="auto"/>
            </w:tcBorders>
            <w:shd w:val="clear" w:color="auto" w:fill="auto"/>
            <w:vAlign w:val="bottom"/>
          </w:tcPr>
          <w:p w14:paraId="6AF04438" w14:textId="77777777" w:rsidR="000C1192" w:rsidRPr="007449AA" w:rsidRDefault="000C1192" w:rsidP="007449AA">
            <w:pPr>
              <w:suppressAutoHyphens w:val="0"/>
              <w:spacing w:before="80" w:after="80" w:line="200" w:lineRule="exact"/>
              <w:jc w:val="right"/>
              <w:rPr>
                <w:i/>
                <w:sz w:val="16"/>
              </w:rPr>
            </w:pPr>
            <w:r w:rsidRPr="007449AA">
              <w:rPr>
                <w:i/>
                <w:sz w:val="16"/>
              </w:rPr>
              <w:t>2017</w:t>
            </w:r>
          </w:p>
        </w:tc>
        <w:tc>
          <w:tcPr>
            <w:tcW w:w="853" w:type="dxa"/>
            <w:tcBorders>
              <w:top w:val="single" w:sz="4" w:space="0" w:color="auto"/>
              <w:bottom w:val="single" w:sz="12" w:space="0" w:color="auto"/>
            </w:tcBorders>
            <w:shd w:val="clear" w:color="auto" w:fill="auto"/>
            <w:vAlign w:val="bottom"/>
          </w:tcPr>
          <w:p w14:paraId="1E7611CE" w14:textId="77777777" w:rsidR="000C1192" w:rsidRPr="007449AA" w:rsidRDefault="000C1192" w:rsidP="007449AA">
            <w:pPr>
              <w:suppressAutoHyphens w:val="0"/>
              <w:spacing w:before="80" w:after="80" w:line="200" w:lineRule="exact"/>
              <w:jc w:val="right"/>
              <w:rPr>
                <w:i/>
                <w:sz w:val="16"/>
              </w:rPr>
            </w:pPr>
            <w:r w:rsidRPr="007449AA">
              <w:rPr>
                <w:i/>
                <w:sz w:val="16"/>
              </w:rPr>
              <w:t>2018</w:t>
            </w:r>
          </w:p>
        </w:tc>
        <w:tc>
          <w:tcPr>
            <w:tcW w:w="853" w:type="dxa"/>
            <w:tcBorders>
              <w:top w:val="single" w:sz="4" w:space="0" w:color="auto"/>
              <w:bottom w:val="single" w:sz="12" w:space="0" w:color="auto"/>
            </w:tcBorders>
            <w:shd w:val="clear" w:color="auto" w:fill="auto"/>
            <w:vAlign w:val="bottom"/>
          </w:tcPr>
          <w:p w14:paraId="3295D03F" w14:textId="77777777" w:rsidR="000C1192" w:rsidRPr="007449AA" w:rsidRDefault="000C1192" w:rsidP="007449AA">
            <w:pPr>
              <w:suppressAutoHyphens w:val="0"/>
              <w:spacing w:before="80" w:after="80" w:line="200" w:lineRule="exact"/>
              <w:jc w:val="right"/>
              <w:rPr>
                <w:i/>
                <w:sz w:val="16"/>
              </w:rPr>
            </w:pPr>
            <w:r w:rsidRPr="007449AA">
              <w:rPr>
                <w:i/>
                <w:sz w:val="16"/>
              </w:rPr>
              <w:t>2019</w:t>
            </w:r>
          </w:p>
        </w:tc>
      </w:tr>
      <w:tr w:rsidR="007449AA" w:rsidRPr="007449AA" w14:paraId="65952C38" w14:textId="77777777" w:rsidTr="007449AA">
        <w:tc>
          <w:tcPr>
            <w:tcW w:w="2254" w:type="dxa"/>
            <w:tcBorders>
              <w:top w:val="single" w:sz="12" w:space="0" w:color="auto"/>
            </w:tcBorders>
            <w:shd w:val="clear" w:color="auto" w:fill="auto"/>
          </w:tcPr>
          <w:p w14:paraId="427F4DFA" w14:textId="77777777" w:rsidR="000C1192" w:rsidRPr="007449AA" w:rsidRDefault="000C1192" w:rsidP="007449AA">
            <w:pPr>
              <w:suppressAutoHyphens w:val="0"/>
              <w:spacing w:before="40" w:after="40" w:line="220" w:lineRule="exact"/>
              <w:rPr>
                <w:sz w:val="18"/>
              </w:rPr>
            </w:pPr>
            <w:r w:rsidRPr="007449AA">
              <w:rPr>
                <w:sz w:val="18"/>
              </w:rPr>
              <w:t>Taux de rapidité</w:t>
            </w:r>
          </w:p>
        </w:tc>
        <w:tc>
          <w:tcPr>
            <w:tcW w:w="852" w:type="dxa"/>
            <w:tcBorders>
              <w:top w:val="single" w:sz="12" w:space="0" w:color="auto"/>
            </w:tcBorders>
            <w:shd w:val="clear" w:color="auto" w:fill="auto"/>
            <w:vAlign w:val="bottom"/>
          </w:tcPr>
          <w:p w14:paraId="28DF45FD" w14:textId="55EA6991" w:rsidR="000C1192" w:rsidRPr="007449AA" w:rsidRDefault="000C1192" w:rsidP="007449AA">
            <w:pPr>
              <w:suppressAutoHyphens w:val="0"/>
              <w:spacing w:before="40" w:after="40" w:line="220" w:lineRule="exact"/>
              <w:jc w:val="right"/>
              <w:rPr>
                <w:sz w:val="18"/>
              </w:rPr>
            </w:pPr>
            <w:r w:rsidRPr="007449AA">
              <w:rPr>
                <w:sz w:val="18"/>
              </w:rPr>
              <w:t>106</w:t>
            </w:r>
            <w:r w:rsidR="007449AA">
              <w:rPr>
                <w:sz w:val="18"/>
              </w:rPr>
              <w:t>,</w:t>
            </w:r>
            <w:r w:rsidRPr="007449AA">
              <w:rPr>
                <w:sz w:val="18"/>
              </w:rPr>
              <w:t>78</w:t>
            </w:r>
            <w:r w:rsidR="007449AA">
              <w:rPr>
                <w:sz w:val="18"/>
              </w:rPr>
              <w:t> </w:t>
            </w:r>
            <w:r w:rsidRPr="007449AA">
              <w:rPr>
                <w:sz w:val="18"/>
              </w:rPr>
              <w:t>%</w:t>
            </w:r>
          </w:p>
        </w:tc>
        <w:tc>
          <w:tcPr>
            <w:tcW w:w="853" w:type="dxa"/>
            <w:tcBorders>
              <w:top w:val="single" w:sz="12" w:space="0" w:color="auto"/>
            </w:tcBorders>
            <w:shd w:val="clear" w:color="auto" w:fill="auto"/>
            <w:vAlign w:val="bottom"/>
          </w:tcPr>
          <w:p w14:paraId="188CD068" w14:textId="76985356" w:rsidR="000C1192" w:rsidRPr="007449AA" w:rsidRDefault="000C1192" w:rsidP="007449AA">
            <w:pPr>
              <w:suppressAutoHyphens w:val="0"/>
              <w:spacing w:before="40" w:after="40" w:line="220" w:lineRule="exact"/>
              <w:jc w:val="right"/>
              <w:rPr>
                <w:sz w:val="18"/>
              </w:rPr>
            </w:pPr>
            <w:r w:rsidRPr="007449AA">
              <w:rPr>
                <w:sz w:val="18"/>
              </w:rPr>
              <w:t>103</w:t>
            </w:r>
            <w:r w:rsidR="007449AA">
              <w:rPr>
                <w:sz w:val="18"/>
              </w:rPr>
              <w:t>,</w:t>
            </w:r>
            <w:r w:rsidRPr="007449AA">
              <w:rPr>
                <w:sz w:val="18"/>
              </w:rPr>
              <w:t>03</w:t>
            </w:r>
            <w:r w:rsidR="007449AA">
              <w:rPr>
                <w:sz w:val="18"/>
              </w:rPr>
              <w:t> </w:t>
            </w:r>
            <w:r w:rsidRPr="007449AA">
              <w:rPr>
                <w:sz w:val="18"/>
              </w:rPr>
              <w:t>%</w:t>
            </w:r>
          </w:p>
        </w:tc>
        <w:tc>
          <w:tcPr>
            <w:tcW w:w="853" w:type="dxa"/>
            <w:tcBorders>
              <w:top w:val="single" w:sz="12" w:space="0" w:color="auto"/>
            </w:tcBorders>
            <w:shd w:val="clear" w:color="auto" w:fill="auto"/>
            <w:vAlign w:val="bottom"/>
          </w:tcPr>
          <w:p w14:paraId="6D23E2EC" w14:textId="473215F6" w:rsidR="000C1192" w:rsidRPr="007449AA" w:rsidRDefault="000C1192" w:rsidP="007449AA">
            <w:pPr>
              <w:suppressAutoHyphens w:val="0"/>
              <w:spacing w:before="40" w:after="40" w:line="220" w:lineRule="exact"/>
              <w:jc w:val="right"/>
              <w:rPr>
                <w:sz w:val="18"/>
              </w:rPr>
            </w:pPr>
            <w:r w:rsidRPr="007449AA">
              <w:rPr>
                <w:sz w:val="18"/>
              </w:rPr>
              <w:t>103</w:t>
            </w:r>
            <w:r w:rsidR="007449AA">
              <w:rPr>
                <w:sz w:val="18"/>
              </w:rPr>
              <w:t>,</w:t>
            </w:r>
            <w:r w:rsidRPr="007449AA">
              <w:rPr>
                <w:sz w:val="18"/>
              </w:rPr>
              <w:t>29</w:t>
            </w:r>
            <w:r w:rsidR="007449AA">
              <w:rPr>
                <w:sz w:val="18"/>
              </w:rPr>
              <w:t> </w:t>
            </w:r>
            <w:r w:rsidRPr="007449AA">
              <w:rPr>
                <w:sz w:val="18"/>
              </w:rPr>
              <w:t>%</w:t>
            </w:r>
          </w:p>
        </w:tc>
        <w:tc>
          <w:tcPr>
            <w:tcW w:w="852" w:type="dxa"/>
            <w:tcBorders>
              <w:top w:val="single" w:sz="12" w:space="0" w:color="auto"/>
            </w:tcBorders>
            <w:shd w:val="clear" w:color="auto" w:fill="auto"/>
            <w:vAlign w:val="bottom"/>
          </w:tcPr>
          <w:p w14:paraId="14C559F8" w14:textId="69A5C977" w:rsidR="000C1192" w:rsidRPr="007449AA" w:rsidRDefault="000C1192" w:rsidP="007449AA">
            <w:pPr>
              <w:suppressAutoHyphens w:val="0"/>
              <w:spacing w:before="40" w:after="40" w:line="220" w:lineRule="exact"/>
              <w:jc w:val="right"/>
              <w:rPr>
                <w:sz w:val="18"/>
              </w:rPr>
            </w:pPr>
            <w:r w:rsidRPr="007449AA">
              <w:rPr>
                <w:sz w:val="18"/>
              </w:rPr>
              <w:t>102</w:t>
            </w:r>
            <w:r w:rsidR="007449AA">
              <w:rPr>
                <w:sz w:val="18"/>
              </w:rPr>
              <w:t>,</w:t>
            </w:r>
            <w:r w:rsidRPr="007449AA">
              <w:rPr>
                <w:sz w:val="18"/>
              </w:rPr>
              <w:t>88</w:t>
            </w:r>
            <w:r w:rsidR="007449AA">
              <w:rPr>
                <w:sz w:val="18"/>
              </w:rPr>
              <w:t> </w:t>
            </w:r>
            <w:r w:rsidRPr="007449AA">
              <w:rPr>
                <w:sz w:val="18"/>
              </w:rPr>
              <w:t>%</w:t>
            </w:r>
          </w:p>
        </w:tc>
        <w:tc>
          <w:tcPr>
            <w:tcW w:w="853" w:type="dxa"/>
            <w:tcBorders>
              <w:top w:val="single" w:sz="12" w:space="0" w:color="auto"/>
            </w:tcBorders>
            <w:shd w:val="clear" w:color="auto" w:fill="auto"/>
            <w:vAlign w:val="bottom"/>
          </w:tcPr>
          <w:p w14:paraId="721937A9" w14:textId="558AA802" w:rsidR="000C1192" w:rsidRPr="007449AA" w:rsidRDefault="000C1192" w:rsidP="007449AA">
            <w:pPr>
              <w:suppressAutoHyphens w:val="0"/>
              <w:spacing w:before="40" w:after="40" w:line="220" w:lineRule="exact"/>
              <w:jc w:val="right"/>
              <w:rPr>
                <w:sz w:val="18"/>
              </w:rPr>
            </w:pPr>
            <w:r w:rsidRPr="007449AA">
              <w:rPr>
                <w:sz w:val="18"/>
              </w:rPr>
              <w:t>104</w:t>
            </w:r>
            <w:r w:rsidR="007449AA">
              <w:rPr>
                <w:sz w:val="18"/>
              </w:rPr>
              <w:t>,</w:t>
            </w:r>
            <w:r w:rsidRPr="007449AA">
              <w:rPr>
                <w:sz w:val="18"/>
              </w:rPr>
              <w:t>32</w:t>
            </w:r>
            <w:r w:rsidR="007449AA">
              <w:rPr>
                <w:sz w:val="18"/>
              </w:rPr>
              <w:t> </w:t>
            </w:r>
            <w:r w:rsidRPr="007449AA">
              <w:rPr>
                <w:sz w:val="18"/>
              </w:rPr>
              <w:t>%</w:t>
            </w:r>
          </w:p>
        </w:tc>
        <w:tc>
          <w:tcPr>
            <w:tcW w:w="853" w:type="dxa"/>
            <w:tcBorders>
              <w:top w:val="single" w:sz="12" w:space="0" w:color="auto"/>
            </w:tcBorders>
            <w:shd w:val="clear" w:color="auto" w:fill="auto"/>
            <w:vAlign w:val="bottom"/>
          </w:tcPr>
          <w:p w14:paraId="4C7953EB" w14:textId="43D4D271" w:rsidR="000C1192" w:rsidRPr="007449AA" w:rsidRDefault="000C1192" w:rsidP="007449AA">
            <w:pPr>
              <w:suppressAutoHyphens w:val="0"/>
              <w:spacing w:before="40" w:after="40" w:line="220" w:lineRule="exact"/>
              <w:jc w:val="right"/>
              <w:rPr>
                <w:sz w:val="18"/>
              </w:rPr>
            </w:pPr>
            <w:r w:rsidRPr="007449AA">
              <w:rPr>
                <w:sz w:val="18"/>
              </w:rPr>
              <w:t>94</w:t>
            </w:r>
            <w:r w:rsidR="007449AA">
              <w:rPr>
                <w:sz w:val="18"/>
              </w:rPr>
              <w:t>,</w:t>
            </w:r>
            <w:r w:rsidRPr="007449AA">
              <w:rPr>
                <w:sz w:val="18"/>
              </w:rPr>
              <w:t>28</w:t>
            </w:r>
            <w:r w:rsidR="007449AA">
              <w:rPr>
                <w:sz w:val="18"/>
              </w:rPr>
              <w:t> </w:t>
            </w:r>
            <w:r w:rsidRPr="007449AA">
              <w:rPr>
                <w:sz w:val="18"/>
              </w:rPr>
              <w:t>%</w:t>
            </w:r>
          </w:p>
        </w:tc>
      </w:tr>
      <w:tr w:rsidR="007449AA" w:rsidRPr="007449AA" w14:paraId="13070EBC" w14:textId="77777777" w:rsidTr="007449AA">
        <w:tc>
          <w:tcPr>
            <w:tcW w:w="2254" w:type="dxa"/>
            <w:shd w:val="clear" w:color="auto" w:fill="auto"/>
          </w:tcPr>
          <w:p w14:paraId="26CE55FC" w14:textId="77777777" w:rsidR="000C1192" w:rsidRPr="007449AA" w:rsidRDefault="000C1192" w:rsidP="007449AA">
            <w:pPr>
              <w:suppressAutoHyphens w:val="0"/>
              <w:spacing w:before="40" w:after="40" w:line="220" w:lineRule="exact"/>
              <w:rPr>
                <w:sz w:val="18"/>
              </w:rPr>
            </w:pPr>
            <w:r w:rsidRPr="007449AA">
              <w:rPr>
                <w:sz w:val="18"/>
              </w:rPr>
              <w:t xml:space="preserve">Durée de la procédure </w:t>
            </w:r>
          </w:p>
        </w:tc>
        <w:tc>
          <w:tcPr>
            <w:tcW w:w="852" w:type="dxa"/>
            <w:shd w:val="clear" w:color="auto" w:fill="auto"/>
            <w:vAlign w:val="bottom"/>
          </w:tcPr>
          <w:p w14:paraId="54C55EC4" w14:textId="77777777" w:rsidR="000C1192" w:rsidRPr="007449AA" w:rsidRDefault="000C1192" w:rsidP="007449AA">
            <w:pPr>
              <w:suppressAutoHyphens w:val="0"/>
              <w:spacing w:before="40" w:after="40" w:line="220" w:lineRule="exact"/>
              <w:jc w:val="right"/>
              <w:rPr>
                <w:sz w:val="18"/>
              </w:rPr>
            </w:pPr>
            <w:r w:rsidRPr="007449AA">
              <w:rPr>
                <w:sz w:val="18"/>
              </w:rPr>
              <w:t>157</w:t>
            </w:r>
          </w:p>
        </w:tc>
        <w:tc>
          <w:tcPr>
            <w:tcW w:w="853" w:type="dxa"/>
            <w:shd w:val="clear" w:color="auto" w:fill="auto"/>
            <w:vAlign w:val="bottom"/>
          </w:tcPr>
          <w:p w14:paraId="32D16437" w14:textId="77777777" w:rsidR="000C1192" w:rsidRPr="007449AA" w:rsidRDefault="000C1192" w:rsidP="007449AA">
            <w:pPr>
              <w:suppressAutoHyphens w:val="0"/>
              <w:spacing w:before="40" w:after="40" w:line="220" w:lineRule="exact"/>
              <w:jc w:val="right"/>
              <w:rPr>
                <w:sz w:val="18"/>
              </w:rPr>
            </w:pPr>
            <w:r w:rsidRPr="007449AA">
              <w:rPr>
                <w:sz w:val="18"/>
              </w:rPr>
              <w:t>158</w:t>
            </w:r>
          </w:p>
        </w:tc>
        <w:tc>
          <w:tcPr>
            <w:tcW w:w="853" w:type="dxa"/>
            <w:shd w:val="clear" w:color="auto" w:fill="auto"/>
            <w:vAlign w:val="bottom"/>
          </w:tcPr>
          <w:p w14:paraId="25FE51BF" w14:textId="77777777" w:rsidR="000C1192" w:rsidRPr="007449AA" w:rsidRDefault="000C1192" w:rsidP="007449AA">
            <w:pPr>
              <w:suppressAutoHyphens w:val="0"/>
              <w:spacing w:before="40" w:after="40" w:line="220" w:lineRule="exact"/>
              <w:jc w:val="right"/>
              <w:rPr>
                <w:sz w:val="18"/>
              </w:rPr>
            </w:pPr>
            <w:r w:rsidRPr="007449AA">
              <w:rPr>
                <w:sz w:val="18"/>
              </w:rPr>
              <w:t>139</w:t>
            </w:r>
          </w:p>
        </w:tc>
        <w:tc>
          <w:tcPr>
            <w:tcW w:w="852" w:type="dxa"/>
            <w:shd w:val="clear" w:color="auto" w:fill="auto"/>
            <w:vAlign w:val="bottom"/>
          </w:tcPr>
          <w:p w14:paraId="2892D5F8" w14:textId="77777777" w:rsidR="000C1192" w:rsidRPr="007449AA" w:rsidRDefault="000C1192" w:rsidP="007449AA">
            <w:pPr>
              <w:suppressAutoHyphens w:val="0"/>
              <w:spacing w:before="40" w:after="40" w:line="220" w:lineRule="exact"/>
              <w:jc w:val="right"/>
              <w:rPr>
                <w:sz w:val="18"/>
              </w:rPr>
            </w:pPr>
            <w:r w:rsidRPr="007449AA">
              <w:rPr>
                <w:sz w:val="18"/>
              </w:rPr>
              <w:t>133</w:t>
            </w:r>
          </w:p>
        </w:tc>
        <w:tc>
          <w:tcPr>
            <w:tcW w:w="853" w:type="dxa"/>
            <w:shd w:val="clear" w:color="auto" w:fill="auto"/>
            <w:vAlign w:val="bottom"/>
          </w:tcPr>
          <w:p w14:paraId="24274CCF" w14:textId="77777777" w:rsidR="000C1192" w:rsidRPr="007449AA" w:rsidRDefault="000C1192" w:rsidP="007449AA">
            <w:pPr>
              <w:suppressAutoHyphens w:val="0"/>
              <w:spacing w:before="40" w:after="40" w:line="220" w:lineRule="exact"/>
              <w:jc w:val="right"/>
              <w:rPr>
                <w:sz w:val="18"/>
              </w:rPr>
            </w:pPr>
            <w:r w:rsidRPr="007449AA">
              <w:rPr>
                <w:sz w:val="18"/>
              </w:rPr>
              <w:t>122</w:t>
            </w:r>
          </w:p>
        </w:tc>
        <w:tc>
          <w:tcPr>
            <w:tcW w:w="853" w:type="dxa"/>
            <w:shd w:val="clear" w:color="auto" w:fill="auto"/>
            <w:vAlign w:val="bottom"/>
          </w:tcPr>
          <w:p w14:paraId="12BA6024" w14:textId="77777777" w:rsidR="000C1192" w:rsidRPr="007449AA" w:rsidRDefault="000C1192" w:rsidP="007449AA">
            <w:pPr>
              <w:suppressAutoHyphens w:val="0"/>
              <w:spacing w:before="40" w:after="40" w:line="220" w:lineRule="exact"/>
              <w:jc w:val="right"/>
              <w:rPr>
                <w:sz w:val="18"/>
              </w:rPr>
            </w:pPr>
            <w:r w:rsidRPr="007449AA">
              <w:rPr>
                <w:sz w:val="18"/>
              </w:rPr>
              <w:t>144</w:t>
            </w:r>
          </w:p>
        </w:tc>
      </w:tr>
      <w:tr w:rsidR="007449AA" w:rsidRPr="007449AA" w14:paraId="1138EA18" w14:textId="77777777" w:rsidTr="007449AA">
        <w:tc>
          <w:tcPr>
            <w:tcW w:w="2254" w:type="dxa"/>
            <w:shd w:val="clear" w:color="auto" w:fill="auto"/>
          </w:tcPr>
          <w:p w14:paraId="10CD0AFB" w14:textId="77777777" w:rsidR="000C1192" w:rsidRPr="007449AA" w:rsidRDefault="000C1192" w:rsidP="007449AA">
            <w:pPr>
              <w:suppressAutoHyphens w:val="0"/>
              <w:spacing w:before="40" w:after="40" w:line="220" w:lineRule="exact"/>
              <w:rPr>
                <w:sz w:val="18"/>
              </w:rPr>
            </w:pPr>
            <w:r w:rsidRPr="007449AA">
              <w:rPr>
                <w:sz w:val="18"/>
              </w:rPr>
              <w:t xml:space="preserve">Nombre de juges/conseillers </w:t>
            </w:r>
          </w:p>
        </w:tc>
        <w:tc>
          <w:tcPr>
            <w:tcW w:w="852" w:type="dxa"/>
            <w:shd w:val="clear" w:color="auto" w:fill="auto"/>
            <w:vAlign w:val="bottom"/>
          </w:tcPr>
          <w:p w14:paraId="252AFA01" w14:textId="77777777" w:rsidR="000C1192" w:rsidRPr="007449AA" w:rsidRDefault="000C1192" w:rsidP="007449AA">
            <w:pPr>
              <w:suppressAutoHyphens w:val="0"/>
              <w:spacing w:before="40" w:after="40" w:line="220" w:lineRule="exact"/>
              <w:jc w:val="right"/>
              <w:rPr>
                <w:sz w:val="18"/>
              </w:rPr>
            </w:pPr>
            <w:r w:rsidRPr="007449AA">
              <w:rPr>
                <w:sz w:val="18"/>
              </w:rPr>
              <w:t xml:space="preserve">2 507 </w:t>
            </w:r>
          </w:p>
        </w:tc>
        <w:tc>
          <w:tcPr>
            <w:tcW w:w="853" w:type="dxa"/>
            <w:shd w:val="clear" w:color="auto" w:fill="auto"/>
            <w:vAlign w:val="bottom"/>
          </w:tcPr>
          <w:p w14:paraId="7CC5C264" w14:textId="77777777" w:rsidR="000C1192" w:rsidRPr="007449AA" w:rsidRDefault="000C1192" w:rsidP="007449AA">
            <w:pPr>
              <w:suppressAutoHyphens w:val="0"/>
              <w:spacing w:before="40" w:after="40" w:line="220" w:lineRule="exact"/>
              <w:jc w:val="right"/>
              <w:rPr>
                <w:sz w:val="18"/>
              </w:rPr>
            </w:pPr>
            <w:r w:rsidRPr="007449AA">
              <w:rPr>
                <w:sz w:val="18"/>
              </w:rPr>
              <w:t>2 460</w:t>
            </w:r>
          </w:p>
        </w:tc>
        <w:tc>
          <w:tcPr>
            <w:tcW w:w="853" w:type="dxa"/>
            <w:shd w:val="clear" w:color="auto" w:fill="auto"/>
            <w:vAlign w:val="bottom"/>
          </w:tcPr>
          <w:p w14:paraId="49BF61DA" w14:textId="77777777" w:rsidR="000C1192" w:rsidRPr="007449AA" w:rsidRDefault="000C1192" w:rsidP="007449AA">
            <w:pPr>
              <w:suppressAutoHyphens w:val="0"/>
              <w:spacing w:before="40" w:after="40" w:line="220" w:lineRule="exact"/>
              <w:jc w:val="right"/>
              <w:rPr>
                <w:sz w:val="18"/>
              </w:rPr>
            </w:pPr>
            <w:r w:rsidRPr="007449AA">
              <w:rPr>
                <w:sz w:val="18"/>
              </w:rPr>
              <w:t>2 433</w:t>
            </w:r>
          </w:p>
        </w:tc>
        <w:tc>
          <w:tcPr>
            <w:tcW w:w="852" w:type="dxa"/>
            <w:shd w:val="clear" w:color="auto" w:fill="auto"/>
            <w:vAlign w:val="bottom"/>
          </w:tcPr>
          <w:p w14:paraId="4E19B4D9" w14:textId="77777777" w:rsidR="000C1192" w:rsidRPr="007449AA" w:rsidRDefault="000C1192" w:rsidP="007449AA">
            <w:pPr>
              <w:suppressAutoHyphens w:val="0"/>
              <w:spacing w:before="40" w:after="40" w:line="220" w:lineRule="exact"/>
              <w:jc w:val="right"/>
              <w:rPr>
                <w:sz w:val="18"/>
              </w:rPr>
            </w:pPr>
            <w:r w:rsidRPr="007449AA">
              <w:rPr>
                <w:sz w:val="18"/>
              </w:rPr>
              <w:t>2 400</w:t>
            </w:r>
          </w:p>
        </w:tc>
        <w:tc>
          <w:tcPr>
            <w:tcW w:w="853" w:type="dxa"/>
            <w:shd w:val="clear" w:color="auto" w:fill="auto"/>
            <w:vAlign w:val="bottom"/>
          </w:tcPr>
          <w:p w14:paraId="4B3BBBB4" w14:textId="77777777" w:rsidR="000C1192" w:rsidRPr="007449AA" w:rsidRDefault="000C1192" w:rsidP="007449AA">
            <w:pPr>
              <w:suppressAutoHyphens w:val="0"/>
              <w:spacing w:before="40" w:after="40" w:line="220" w:lineRule="exact"/>
              <w:jc w:val="right"/>
              <w:rPr>
                <w:sz w:val="18"/>
              </w:rPr>
            </w:pPr>
            <w:r w:rsidRPr="007449AA">
              <w:rPr>
                <w:sz w:val="18"/>
              </w:rPr>
              <w:t xml:space="preserve">2 352 </w:t>
            </w:r>
          </w:p>
        </w:tc>
        <w:tc>
          <w:tcPr>
            <w:tcW w:w="853" w:type="dxa"/>
            <w:shd w:val="clear" w:color="auto" w:fill="auto"/>
            <w:vAlign w:val="bottom"/>
          </w:tcPr>
          <w:p w14:paraId="4D9CBE2F" w14:textId="77777777" w:rsidR="000C1192" w:rsidRPr="007449AA" w:rsidRDefault="000C1192" w:rsidP="007449AA">
            <w:pPr>
              <w:suppressAutoHyphens w:val="0"/>
              <w:spacing w:before="40" w:after="40" w:line="220" w:lineRule="exact"/>
              <w:jc w:val="right"/>
              <w:rPr>
                <w:sz w:val="18"/>
              </w:rPr>
            </w:pPr>
            <w:r w:rsidRPr="007449AA">
              <w:rPr>
                <w:sz w:val="18"/>
              </w:rPr>
              <w:t xml:space="preserve">2 325 </w:t>
            </w:r>
          </w:p>
        </w:tc>
      </w:tr>
      <w:tr w:rsidR="007449AA" w:rsidRPr="007449AA" w14:paraId="4508E92E" w14:textId="77777777" w:rsidTr="007449AA">
        <w:tc>
          <w:tcPr>
            <w:tcW w:w="2254" w:type="dxa"/>
            <w:shd w:val="clear" w:color="auto" w:fill="auto"/>
          </w:tcPr>
          <w:p w14:paraId="4F79461A" w14:textId="77777777" w:rsidR="000C1192" w:rsidRPr="007449AA" w:rsidRDefault="000C1192" w:rsidP="007449AA">
            <w:pPr>
              <w:suppressAutoHyphens w:val="0"/>
              <w:spacing w:before="40" w:after="40" w:line="220" w:lineRule="exact"/>
              <w:rPr>
                <w:sz w:val="18"/>
              </w:rPr>
            </w:pPr>
            <w:r w:rsidRPr="007449AA">
              <w:rPr>
                <w:sz w:val="18"/>
              </w:rPr>
              <w:t xml:space="preserve">Nombre d’affaires reçues par un juge/conseiller </w:t>
            </w:r>
          </w:p>
        </w:tc>
        <w:tc>
          <w:tcPr>
            <w:tcW w:w="852" w:type="dxa"/>
            <w:shd w:val="clear" w:color="auto" w:fill="auto"/>
            <w:vAlign w:val="bottom"/>
          </w:tcPr>
          <w:p w14:paraId="7A8333CD" w14:textId="77777777" w:rsidR="000C1192" w:rsidRPr="007449AA" w:rsidRDefault="000C1192" w:rsidP="007449AA">
            <w:pPr>
              <w:suppressAutoHyphens w:val="0"/>
              <w:spacing w:before="40" w:after="40" w:line="220" w:lineRule="exact"/>
              <w:jc w:val="right"/>
              <w:rPr>
                <w:sz w:val="18"/>
              </w:rPr>
            </w:pPr>
            <w:r w:rsidRPr="007449AA">
              <w:rPr>
                <w:sz w:val="18"/>
              </w:rPr>
              <w:t>535</w:t>
            </w:r>
          </w:p>
        </w:tc>
        <w:tc>
          <w:tcPr>
            <w:tcW w:w="853" w:type="dxa"/>
            <w:shd w:val="clear" w:color="auto" w:fill="auto"/>
            <w:vAlign w:val="bottom"/>
          </w:tcPr>
          <w:p w14:paraId="16672FF1" w14:textId="77777777" w:rsidR="000C1192" w:rsidRPr="007449AA" w:rsidRDefault="000C1192" w:rsidP="007449AA">
            <w:pPr>
              <w:suppressAutoHyphens w:val="0"/>
              <w:spacing w:before="40" w:after="40" w:line="220" w:lineRule="exact"/>
              <w:jc w:val="right"/>
              <w:rPr>
                <w:sz w:val="18"/>
              </w:rPr>
            </w:pPr>
            <w:r w:rsidRPr="007449AA">
              <w:rPr>
                <w:sz w:val="18"/>
              </w:rPr>
              <w:t>509</w:t>
            </w:r>
          </w:p>
        </w:tc>
        <w:tc>
          <w:tcPr>
            <w:tcW w:w="853" w:type="dxa"/>
            <w:shd w:val="clear" w:color="auto" w:fill="auto"/>
            <w:vAlign w:val="bottom"/>
          </w:tcPr>
          <w:p w14:paraId="0FA6FCC2" w14:textId="77777777" w:rsidR="000C1192" w:rsidRPr="007449AA" w:rsidRDefault="000C1192" w:rsidP="007449AA">
            <w:pPr>
              <w:suppressAutoHyphens w:val="0"/>
              <w:spacing w:before="40" w:after="40" w:line="220" w:lineRule="exact"/>
              <w:jc w:val="right"/>
              <w:rPr>
                <w:sz w:val="18"/>
              </w:rPr>
            </w:pPr>
            <w:r w:rsidRPr="007449AA">
              <w:rPr>
                <w:sz w:val="18"/>
              </w:rPr>
              <w:t xml:space="preserve"> 533</w:t>
            </w:r>
          </w:p>
        </w:tc>
        <w:tc>
          <w:tcPr>
            <w:tcW w:w="852" w:type="dxa"/>
            <w:shd w:val="clear" w:color="auto" w:fill="auto"/>
            <w:vAlign w:val="bottom"/>
          </w:tcPr>
          <w:p w14:paraId="143B478A" w14:textId="77777777" w:rsidR="000C1192" w:rsidRPr="007449AA" w:rsidRDefault="000C1192" w:rsidP="007449AA">
            <w:pPr>
              <w:suppressAutoHyphens w:val="0"/>
              <w:spacing w:before="40" w:after="40" w:line="220" w:lineRule="exact"/>
              <w:jc w:val="right"/>
              <w:rPr>
                <w:sz w:val="18"/>
              </w:rPr>
            </w:pPr>
            <w:r w:rsidRPr="007449AA">
              <w:rPr>
                <w:sz w:val="18"/>
              </w:rPr>
              <w:t>518</w:t>
            </w:r>
          </w:p>
        </w:tc>
        <w:tc>
          <w:tcPr>
            <w:tcW w:w="853" w:type="dxa"/>
            <w:shd w:val="clear" w:color="auto" w:fill="auto"/>
            <w:vAlign w:val="bottom"/>
          </w:tcPr>
          <w:p w14:paraId="4134414A" w14:textId="77777777" w:rsidR="000C1192" w:rsidRPr="007449AA" w:rsidRDefault="000C1192" w:rsidP="007449AA">
            <w:pPr>
              <w:suppressAutoHyphens w:val="0"/>
              <w:spacing w:before="40" w:after="40" w:line="220" w:lineRule="exact"/>
              <w:jc w:val="right"/>
              <w:rPr>
                <w:sz w:val="18"/>
              </w:rPr>
            </w:pPr>
            <w:r w:rsidRPr="007449AA">
              <w:rPr>
                <w:sz w:val="18"/>
              </w:rPr>
              <w:t>496</w:t>
            </w:r>
          </w:p>
        </w:tc>
        <w:tc>
          <w:tcPr>
            <w:tcW w:w="853" w:type="dxa"/>
            <w:shd w:val="clear" w:color="auto" w:fill="auto"/>
            <w:vAlign w:val="bottom"/>
          </w:tcPr>
          <w:p w14:paraId="0CB98AA7" w14:textId="77777777" w:rsidR="000C1192" w:rsidRPr="007449AA" w:rsidRDefault="000C1192" w:rsidP="007449AA">
            <w:pPr>
              <w:suppressAutoHyphens w:val="0"/>
              <w:spacing w:before="40" w:after="40" w:line="220" w:lineRule="exact"/>
              <w:jc w:val="right"/>
              <w:rPr>
                <w:sz w:val="18"/>
              </w:rPr>
            </w:pPr>
            <w:r w:rsidRPr="007449AA">
              <w:rPr>
                <w:sz w:val="18"/>
              </w:rPr>
              <w:t>555</w:t>
            </w:r>
          </w:p>
        </w:tc>
      </w:tr>
      <w:tr w:rsidR="007449AA" w:rsidRPr="007449AA" w14:paraId="715A21B2" w14:textId="77777777" w:rsidTr="007449AA">
        <w:tc>
          <w:tcPr>
            <w:tcW w:w="2254" w:type="dxa"/>
            <w:shd w:val="clear" w:color="auto" w:fill="auto"/>
          </w:tcPr>
          <w:p w14:paraId="01E6729D" w14:textId="77777777" w:rsidR="000C1192" w:rsidRPr="007449AA" w:rsidRDefault="000C1192" w:rsidP="007449AA">
            <w:pPr>
              <w:suppressAutoHyphens w:val="0"/>
              <w:spacing w:before="40" w:after="40" w:line="220" w:lineRule="exact"/>
              <w:rPr>
                <w:sz w:val="18"/>
              </w:rPr>
            </w:pPr>
            <w:r w:rsidRPr="007449AA">
              <w:rPr>
                <w:sz w:val="18"/>
              </w:rPr>
              <w:lastRenderedPageBreak/>
              <w:t>Nombre d’affaires réglées par un juge/conseiller</w:t>
            </w:r>
          </w:p>
        </w:tc>
        <w:tc>
          <w:tcPr>
            <w:tcW w:w="852" w:type="dxa"/>
            <w:shd w:val="clear" w:color="auto" w:fill="auto"/>
            <w:vAlign w:val="bottom"/>
          </w:tcPr>
          <w:p w14:paraId="00C7AFE7" w14:textId="77777777" w:rsidR="000C1192" w:rsidRPr="007449AA" w:rsidRDefault="000C1192" w:rsidP="007449AA">
            <w:pPr>
              <w:suppressAutoHyphens w:val="0"/>
              <w:spacing w:before="40" w:after="40" w:line="220" w:lineRule="exact"/>
              <w:jc w:val="right"/>
              <w:rPr>
                <w:sz w:val="18"/>
              </w:rPr>
            </w:pPr>
            <w:r w:rsidRPr="007449AA">
              <w:rPr>
                <w:sz w:val="18"/>
              </w:rPr>
              <w:t>572</w:t>
            </w:r>
          </w:p>
        </w:tc>
        <w:tc>
          <w:tcPr>
            <w:tcW w:w="853" w:type="dxa"/>
            <w:shd w:val="clear" w:color="auto" w:fill="auto"/>
            <w:vAlign w:val="bottom"/>
          </w:tcPr>
          <w:p w14:paraId="07B3F39C" w14:textId="77777777" w:rsidR="000C1192" w:rsidRPr="007449AA" w:rsidRDefault="000C1192" w:rsidP="007449AA">
            <w:pPr>
              <w:suppressAutoHyphens w:val="0"/>
              <w:spacing w:before="40" w:after="40" w:line="220" w:lineRule="exact"/>
              <w:jc w:val="right"/>
              <w:rPr>
                <w:sz w:val="18"/>
              </w:rPr>
            </w:pPr>
            <w:r w:rsidRPr="007449AA">
              <w:rPr>
                <w:sz w:val="18"/>
              </w:rPr>
              <w:t>525</w:t>
            </w:r>
          </w:p>
        </w:tc>
        <w:tc>
          <w:tcPr>
            <w:tcW w:w="853" w:type="dxa"/>
            <w:shd w:val="clear" w:color="auto" w:fill="auto"/>
            <w:vAlign w:val="bottom"/>
          </w:tcPr>
          <w:p w14:paraId="1D95651C" w14:textId="77777777" w:rsidR="000C1192" w:rsidRPr="007449AA" w:rsidRDefault="000C1192" w:rsidP="007449AA">
            <w:pPr>
              <w:suppressAutoHyphens w:val="0"/>
              <w:spacing w:before="40" w:after="40" w:line="220" w:lineRule="exact"/>
              <w:jc w:val="right"/>
              <w:rPr>
                <w:sz w:val="18"/>
              </w:rPr>
            </w:pPr>
            <w:r w:rsidRPr="007449AA">
              <w:rPr>
                <w:sz w:val="18"/>
              </w:rPr>
              <w:t>551</w:t>
            </w:r>
          </w:p>
        </w:tc>
        <w:tc>
          <w:tcPr>
            <w:tcW w:w="852" w:type="dxa"/>
            <w:shd w:val="clear" w:color="auto" w:fill="auto"/>
            <w:vAlign w:val="bottom"/>
          </w:tcPr>
          <w:p w14:paraId="0754A7CB" w14:textId="77777777" w:rsidR="000C1192" w:rsidRPr="007449AA" w:rsidRDefault="000C1192" w:rsidP="007449AA">
            <w:pPr>
              <w:suppressAutoHyphens w:val="0"/>
              <w:spacing w:before="40" w:after="40" w:line="220" w:lineRule="exact"/>
              <w:jc w:val="right"/>
              <w:rPr>
                <w:sz w:val="18"/>
              </w:rPr>
            </w:pPr>
            <w:r w:rsidRPr="007449AA">
              <w:rPr>
                <w:sz w:val="18"/>
              </w:rPr>
              <w:t xml:space="preserve"> 533</w:t>
            </w:r>
          </w:p>
        </w:tc>
        <w:tc>
          <w:tcPr>
            <w:tcW w:w="853" w:type="dxa"/>
            <w:shd w:val="clear" w:color="auto" w:fill="auto"/>
            <w:vAlign w:val="bottom"/>
          </w:tcPr>
          <w:p w14:paraId="55B5BA69" w14:textId="77777777" w:rsidR="000C1192" w:rsidRPr="007449AA" w:rsidRDefault="000C1192" w:rsidP="007449AA">
            <w:pPr>
              <w:suppressAutoHyphens w:val="0"/>
              <w:spacing w:before="40" w:after="40" w:line="220" w:lineRule="exact"/>
              <w:jc w:val="right"/>
              <w:rPr>
                <w:sz w:val="18"/>
              </w:rPr>
            </w:pPr>
            <w:r w:rsidRPr="007449AA">
              <w:rPr>
                <w:sz w:val="18"/>
              </w:rPr>
              <w:t>517</w:t>
            </w:r>
          </w:p>
        </w:tc>
        <w:tc>
          <w:tcPr>
            <w:tcW w:w="853" w:type="dxa"/>
            <w:shd w:val="clear" w:color="auto" w:fill="auto"/>
            <w:vAlign w:val="bottom"/>
          </w:tcPr>
          <w:p w14:paraId="37BD39AB" w14:textId="77777777" w:rsidR="000C1192" w:rsidRPr="007449AA" w:rsidRDefault="000C1192" w:rsidP="007449AA">
            <w:pPr>
              <w:suppressAutoHyphens w:val="0"/>
              <w:spacing w:before="40" w:after="40" w:line="220" w:lineRule="exact"/>
              <w:jc w:val="right"/>
              <w:rPr>
                <w:sz w:val="18"/>
              </w:rPr>
            </w:pPr>
            <w:r w:rsidRPr="007449AA">
              <w:rPr>
                <w:sz w:val="18"/>
              </w:rPr>
              <w:t>523</w:t>
            </w:r>
          </w:p>
        </w:tc>
      </w:tr>
      <w:tr w:rsidR="007449AA" w:rsidRPr="007449AA" w14:paraId="0445E954" w14:textId="77777777" w:rsidTr="007449AA">
        <w:tc>
          <w:tcPr>
            <w:tcW w:w="2254" w:type="dxa"/>
            <w:tcBorders>
              <w:bottom w:val="single" w:sz="12" w:space="0" w:color="auto"/>
            </w:tcBorders>
            <w:shd w:val="clear" w:color="auto" w:fill="auto"/>
          </w:tcPr>
          <w:p w14:paraId="29CB9BEE" w14:textId="77777777" w:rsidR="000C1192" w:rsidRPr="007449AA" w:rsidRDefault="000C1192" w:rsidP="007449AA">
            <w:pPr>
              <w:suppressAutoHyphens w:val="0"/>
              <w:spacing w:before="40" w:after="40" w:line="220" w:lineRule="exact"/>
              <w:rPr>
                <w:sz w:val="18"/>
              </w:rPr>
            </w:pPr>
            <w:r w:rsidRPr="007449AA">
              <w:rPr>
                <w:sz w:val="18"/>
              </w:rPr>
              <w:t>Nombre d’affaires non réglées par un juge/conseiller</w:t>
            </w:r>
          </w:p>
        </w:tc>
        <w:tc>
          <w:tcPr>
            <w:tcW w:w="852" w:type="dxa"/>
            <w:tcBorders>
              <w:bottom w:val="single" w:sz="12" w:space="0" w:color="auto"/>
            </w:tcBorders>
            <w:shd w:val="clear" w:color="auto" w:fill="auto"/>
            <w:vAlign w:val="bottom"/>
          </w:tcPr>
          <w:p w14:paraId="0329D374" w14:textId="77777777" w:rsidR="000C1192" w:rsidRPr="007449AA" w:rsidRDefault="000C1192" w:rsidP="007449AA">
            <w:pPr>
              <w:suppressAutoHyphens w:val="0"/>
              <w:spacing w:before="40" w:after="40" w:line="220" w:lineRule="exact"/>
              <w:jc w:val="right"/>
              <w:rPr>
                <w:sz w:val="18"/>
              </w:rPr>
            </w:pPr>
            <w:r w:rsidRPr="007449AA">
              <w:rPr>
                <w:sz w:val="18"/>
              </w:rPr>
              <w:t>246</w:t>
            </w:r>
          </w:p>
        </w:tc>
        <w:tc>
          <w:tcPr>
            <w:tcW w:w="853" w:type="dxa"/>
            <w:tcBorders>
              <w:bottom w:val="single" w:sz="12" w:space="0" w:color="auto"/>
            </w:tcBorders>
            <w:shd w:val="clear" w:color="auto" w:fill="auto"/>
            <w:vAlign w:val="bottom"/>
          </w:tcPr>
          <w:p w14:paraId="76A1C262" w14:textId="77777777" w:rsidR="000C1192" w:rsidRPr="007449AA" w:rsidRDefault="000C1192" w:rsidP="007449AA">
            <w:pPr>
              <w:suppressAutoHyphens w:val="0"/>
              <w:spacing w:before="40" w:after="40" w:line="220" w:lineRule="exact"/>
              <w:jc w:val="right"/>
              <w:rPr>
                <w:sz w:val="18"/>
              </w:rPr>
            </w:pPr>
            <w:r w:rsidRPr="007449AA">
              <w:rPr>
                <w:sz w:val="18"/>
              </w:rPr>
              <w:t>227</w:t>
            </w:r>
          </w:p>
        </w:tc>
        <w:tc>
          <w:tcPr>
            <w:tcW w:w="853" w:type="dxa"/>
            <w:tcBorders>
              <w:bottom w:val="single" w:sz="12" w:space="0" w:color="auto"/>
            </w:tcBorders>
            <w:shd w:val="clear" w:color="auto" w:fill="auto"/>
            <w:vAlign w:val="bottom"/>
          </w:tcPr>
          <w:p w14:paraId="36AB211E" w14:textId="77777777" w:rsidR="000C1192" w:rsidRPr="007449AA" w:rsidRDefault="000C1192" w:rsidP="007449AA">
            <w:pPr>
              <w:suppressAutoHyphens w:val="0"/>
              <w:spacing w:before="40" w:after="40" w:line="220" w:lineRule="exact"/>
              <w:jc w:val="right"/>
              <w:rPr>
                <w:sz w:val="18"/>
              </w:rPr>
            </w:pPr>
            <w:r w:rsidRPr="007449AA">
              <w:rPr>
                <w:sz w:val="18"/>
              </w:rPr>
              <w:t>209</w:t>
            </w:r>
          </w:p>
        </w:tc>
        <w:tc>
          <w:tcPr>
            <w:tcW w:w="852" w:type="dxa"/>
            <w:tcBorders>
              <w:bottom w:val="single" w:sz="12" w:space="0" w:color="auto"/>
            </w:tcBorders>
            <w:shd w:val="clear" w:color="auto" w:fill="auto"/>
            <w:vAlign w:val="bottom"/>
          </w:tcPr>
          <w:p w14:paraId="5E223B83" w14:textId="77777777" w:rsidR="000C1192" w:rsidRPr="007449AA" w:rsidRDefault="000C1192" w:rsidP="007449AA">
            <w:pPr>
              <w:suppressAutoHyphens w:val="0"/>
              <w:spacing w:before="40" w:after="40" w:line="220" w:lineRule="exact"/>
              <w:jc w:val="right"/>
              <w:rPr>
                <w:sz w:val="18"/>
              </w:rPr>
            </w:pPr>
            <w:r w:rsidRPr="007449AA">
              <w:rPr>
                <w:sz w:val="18"/>
              </w:rPr>
              <w:t>193</w:t>
            </w:r>
          </w:p>
        </w:tc>
        <w:tc>
          <w:tcPr>
            <w:tcW w:w="853" w:type="dxa"/>
            <w:tcBorders>
              <w:bottom w:val="single" w:sz="12" w:space="0" w:color="auto"/>
            </w:tcBorders>
            <w:shd w:val="clear" w:color="auto" w:fill="auto"/>
            <w:vAlign w:val="bottom"/>
          </w:tcPr>
          <w:p w14:paraId="6251F298" w14:textId="77777777" w:rsidR="000C1192" w:rsidRPr="007449AA" w:rsidRDefault="000C1192" w:rsidP="007449AA">
            <w:pPr>
              <w:suppressAutoHyphens w:val="0"/>
              <w:spacing w:before="40" w:after="40" w:line="220" w:lineRule="exact"/>
              <w:jc w:val="right"/>
              <w:rPr>
                <w:sz w:val="18"/>
              </w:rPr>
            </w:pPr>
            <w:r w:rsidRPr="007449AA">
              <w:rPr>
                <w:sz w:val="18"/>
              </w:rPr>
              <w:t>173</w:t>
            </w:r>
          </w:p>
        </w:tc>
        <w:tc>
          <w:tcPr>
            <w:tcW w:w="853" w:type="dxa"/>
            <w:tcBorders>
              <w:bottom w:val="single" w:sz="12" w:space="0" w:color="auto"/>
            </w:tcBorders>
            <w:shd w:val="clear" w:color="auto" w:fill="auto"/>
            <w:vAlign w:val="bottom"/>
          </w:tcPr>
          <w:p w14:paraId="7CD4A188" w14:textId="77777777" w:rsidR="000C1192" w:rsidRPr="007449AA" w:rsidRDefault="000C1192" w:rsidP="007449AA">
            <w:pPr>
              <w:suppressAutoHyphens w:val="0"/>
              <w:spacing w:before="40" w:after="40" w:line="220" w:lineRule="exact"/>
              <w:jc w:val="right"/>
              <w:rPr>
                <w:sz w:val="18"/>
              </w:rPr>
            </w:pPr>
            <w:r w:rsidRPr="007449AA">
              <w:rPr>
                <w:sz w:val="18"/>
              </w:rPr>
              <w:t>207</w:t>
            </w:r>
          </w:p>
        </w:tc>
      </w:tr>
    </w:tbl>
    <w:p w14:paraId="0914E601" w14:textId="77777777" w:rsidR="000C1192" w:rsidRPr="00D321CA" w:rsidRDefault="000C1192" w:rsidP="007449AA">
      <w:pPr>
        <w:pStyle w:val="SingleTxtG"/>
        <w:spacing w:before="240"/>
      </w:pPr>
      <w:r w:rsidRPr="001B2115">
        <w:t>26.</w:t>
      </w:r>
      <w:r w:rsidRPr="001B2115">
        <w:tab/>
      </w:r>
      <w:r>
        <w:t xml:space="preserve">Afin de rendre plus efficaces et de raccourcir les </w:t>
      </w:r>
      <w:r w:rsidRPr="00D321CA">
        <w:t xml:space="preserve">procédures, la </w:t>
      </w:r>
      <w:r>
        <w:t>loi de procédure</w:t>
      </w:r>
      <w:r w:rsidRPr="00D321CA">
        <w:t xml:space="preserve"> </w:t>
      </w:r>
      <w:r>
        <w:t xml:space="preserve">civile et la loi de procédure pénale ont fait l’objet de </w:t>
      </w:r>
      <w:r w:rsidRPr="00D321CA">
        <w:t xml:space="preserve">plusieurs </w:t>
      </w:r>
      <w:r>
        <w:t>modifications</w:t>
      </w:r>
      <w:r w:rsidRPr="00D321CA">
        <w:t>.</w:t>
      </w:r>
    </w:p>
    <w:p w14:paraId="01C86778" w14:textId="00BF5414" w:rsidR="000C1192" w:rsidRPr="004C155A" w:rsidRDefault="000C1192" w:rsidP="007449AA">
      <w:pPr>
        <w:pStyle w:val="H23G"/>
      </w:pPr>
      <w:r w:rsidRPr="008E7F4B">
        <w:tab/>
      </w:r>
      <w:r w:rsidRPr="008E7F4B">
        <w:tab/>
      </w:r>
      <w:r w:rsidR="00A858B3">
        <w:t>Paragraphe </w:t>
      </w:r>
      <w:r w:rsidRPr="004C155A">
        <w:t xml:space="preserve">16 </w:t>
      </w:r>
      <w:r w:rsidR="007449AA">
        <w:t>−</w:t>
      </w:r>
      <w:r w:rsidRPr="004C155A">
        <w:t xml:space="preserve"> </w:t>
      </w:r>
      <w:r>
        <w:t>C</w:t>
      </w:r>
      <w:r w:rsidRPr="004C155A">
        <w:t xml:space="preserve">réation de syndicats, et </w:t>
      </w:r>
      <w:r w:rsidR="00A858B3">
        <w:t>paragraphe </w:t>
      </w:r>
      <w:r w:rsidRPr="004C155A">
        <w:t xml:space="preserve">30 </w:t>
      </w:r>
      <w:r w:rsidR="00974F3E">
        <w:t>−</w:t>
      </w:r>
      <w:r w:rsidRPr="004C155A">
        <w:t xml:space="preserve"> </w:t>
      </w:r>
      <w:r>
        <w:t>E</w:t>
      </w:r>
      <w:r w:rsidRPr="004C155A">
        <w:t xml:space="preserve">xaminer les critères régissant la création de syndicats conformément </w:t>
      </w:r>
      <w:r w:rsidRPr="00D9783B">
        <w:t>aux conventions de l</w:t>
      </w:r>
      <w:r>
        <w:t>’</w:t>
      </w:r>
      <w:r w:rsidRPr="00D9783B">
        <w:t>OIT</w:t>
      </w:r>
    </w:p>
    <w:p w14:paraId="0036156E" w14:textId="232F9842" w:rsidR="000C1192" w:rsidRPr="00595714" w:rsidRDefault="000C1192" w:rsidP="000C1192">
      <w:pPr>
        <w:pStyle w:val="SingleTxtG"/>
      </w:pPr>
      <w:r w:rsidRPr="00595714">
        <w:t>27.</w:t>
      </w:r>
      <w:r w:rsidRPr="00595714">
        <w:tab/>
      </w:r>
      <w:r>
        <w:t>En ce qui concerne</w:t>
      </w:r>
      <w:r w:rsidRPr="00595714">
        <w:t xml:space="preserve"> </w:t>
      </w:r>
      <w:r>
        <w:t xml:space="preserve">la création </w:t>
      </w:r>
      <w:r w:rsidRPr="00595714">
        <w:t xml:space="preserve">et le fonctionnement des syndicats, voir </w:t>
      </w:r>
      <w:r>
        <w:t xml:space="preserve">les réponses relatives à </w:t>
      </w:r>
      <w:r w:rsidRPr="00595714">
        <w:t>l</w:t>
      </w:r>
      <w:r>
        <w:t>’</w:t>
      </w:r>
      <w:r w:rsidR="00A858B3">
        <w:t>article </w:t>
      </w:r>
      <w:r w:rsidRPr="00595714">
        <w:t>8.</w:t>
      </w:r>
    </w:p>
    <w:p w14:paraId="35E0BE3B" w14:textId="5D8C57B4" w:rsidR="000C1192" w:rsidRPr="003C77A1" w:rsidRDefault="000C1192" w:rsidP="007449AA">
      <w:pPr>
        <w:pStyle w:val="H23G"/>
      </w:pPr>
      <w:r w:rsidRPr="00595714">
        <w:tab/>
      </w:r>
      <w:r w:rsidRPr="00595714">
        <w:tab/>
      </w:r>
      <w:r w:rsidR="00A858B3">
        <w:t>Paragraphe </w:t>
      </w:r>
      <w:r w:rsidRPr="003C77A1">
        <w:t xml:space="preserve">17 </w:t>
      </w:r>
      <w:r w:rsidR="007449AA">
        <w:t>−</w:t>
      </w:r>
      <w:r w:rsidRPr="003C77A1">
        <w:t xml:space="preserve"> </w:t>
      </w:r>
      <w:r>
        <w:t>A</w:t>
      </w:r>
      <w:r w:rsidRPr="003C77A1">
        <w:t>bsence de donnée</w:t>
      </w:r>
      <w:r>
        <w:t>s</w:t>
      </w:r>
      <w:r w:rsidRPr="003C77A1">
        <w:t xml:space="preserve"> fiable</w:t>
      </w:r>
      <w:r>
        <w:t>s</w:t>
      </w:r>
      <w:r w:rsidRPr="003C77A1">
        <w:t xml:space="preserve"> permettant à l</w:t>
      </w:r>
      <w:r>
        <w:t>’</w:t>
      </w:r>
      <w:r w:rsidRPr="003C77A1">
        <w:t>État d</w:t>
      </w:r>
      <w:r>
        <w:t>’</w:t>
      </w:r>
      <w:r w:rsidRPr="003C77A1">
        <w:t xml:space="preserve">identifier </w:t>
      </w:r>
      <w:r w:rsidR="007449AA">
        <w:br/>
      </w:r>
      <w:r w:rsidRPr="003C77A1">
        <w:t>les groupes les plus défavorisés et marginalisés</w:t>
      </w:r>
      <w:r>
        <w:t xml:space="preserve">, et </w:t>
      </w:r>
      <w:r w:rsidR="00A858B3">
        <w:t>paragraphe </w:t>
      </w:r>
      <w:r w:rsidRPr="003C77A1">
        <w:t xml:space="preserve">31 </w:t>
      </w:r>
      <w:r w:rsidR="007449AA">
        <w:t>−</w:t>
      </w:r>
      <w:r>
        <w:t xml:space="preserve"> </w:t>
      </w:r>
      <w:r w:rsidRPr="003C77A1">
        <w:t>Structur</w:t>
      </w:r>
      <w:r>
        <w:t xml:space="preserve">er </w:t>
      </w:r>
      <w:r w:rsidR="007449AA">
        <w:br/>
      </w:r>
      <w:r>
        <w:t xml:space="preserve">les données de telle manière qu’il soit possible d’identifier clairement </w:t>
      </w:r>
      <w:r w:rsidR="007449AA">
        <w:br/>
      </w:r>
      <w:r>
        <w:t>les groupes vulnérables et marginalisés</w:t>
      </w:r>
    </w:p>
    <w:p w14:paraId="09EEC0C9" w14:textId="77777777" w:rsidR="000C1192" w:rsidRPr="00B41BEC" w:rsidRDefault="000C1192" w:rsidP="000C1192">
      <w:pPr>
        <w:pStyle w:val="SingleTxtG"/>
      </w:pPr>
      <w:r w:rsidRPr="00C57A12">
        <w:t>28.</w:t>
      </w:r>
      <w:r w:rsidRPr="00C57A12">
        <w:tab/>
      </w:r>
      <w:r w:rsidRPr="00B41BEC">
        <w:t>L</w:t>
      </w:r>
      <w:r>
        <w:t>’Office croate de statistique</w:t>
      </w:r>
      <w:r w:rsidRPr="00B41BEC">
        <w:t>, et depuis 2013</w:t>
      </w:r>
      <w:r>
        <w:t>,</w:t>
      </w:r>
      <w:r w:rsidRPr="00B41BEC">
        <w:t xml:space="preserve"> EUROSTAT, ont établi une méthodologie conforme aux règle</w:t>
      </w:r>
      <w:r>
        <w:t xml:space="preserve">s et aux </w:t>
      </w:r>
      <w:r w:rsidRPr="00B41BEC">
        <w:t xml:space="preserve">normes </w:t>
      </w:r>
      <w:r>
        <w:t>pertinentes.</w:t>
      </w:r>
    </w:p>
    <w:p w14:paraId="2766A30E" w14:textId="675FB414" w:rsidR="000C1192" w:rsidRPr="00886C1A" w:rsidRDefault="000C1192" w:rsidP="007449AA">
      <w:pPr>
        <w:pStyle w:val="H23G"/>
      </w:pPr>
      <w:r w:rsidRPr="008E7F4B">
        <w:tab/>
      </w:r>
      <w:r w:rsidRPr="008E7F4B">
        <w:tab/>
      </w:r>
      <w:r w:rsidR="00A858B3">
        <w:t>Paragraphe </w:t>
      </w:r>
      <w:r w:rsidRPr="00886C1A">
        <w:t xml:space="preserve">18 </w:t>
      </w:r>
      <w:r w:rsidR="007449AA">
        <w:t>−</w:t>
      </w:r>
      <w:r>
        <w:t xml:space="preserve"> Dégradation </w:t>
      </w:r>
      <w:r w:rsidRPr="00886C1A">
        <w:t xml:space="preserve">du niveau de vie général </w:t>
      </w:r>
      <w:r>
        <w:t xml:space="preserve">par l’effet des </w:t>
      </w:r>
      <w:r w:rsidRPr="00886C1A">
        <w:t xml:space="preserve">destructions </w:t>
      </w:r>
      <w:r>
        <w:t xml:space="preserve">survenues pendant </w:t>
      </w:r>
      <w:r w:rsidRPr="00886C1A">
        <w:t xml:space="preserve">la guerre, </w:t>
      </w:r>
      <w:r>
        <w:t xml:space="preserve">de </w:t>
      </w:r>
      <w:r w:rsidRPr="00886C1A">
        <w:t>l</w:t>
      </w:r>
      <w:r>
        <w:t>’</w:t>
      </w:r>
      <w:r w:rsidRPr="00886C1A">
        <w:t xml:space="preserve">instabilité économique, </w:t>
      </w:r>
      <w:r>
        <w:t xml:space="preserve">du </w:t>
      </w:r>
      <w:r w:rsidRPr="00886C1A">
        <w:t xml:space="preserve">chômage élevé, </w:t>
      </w:r>
      <w:r w:rsidR="007449AA">
        <w:br/>
      </w:r>
      <w:r>
        <w:t xml:space="preserve">du </w:t>
      </w:r>
      <w:r w:rsidRPr="00886C1A">
        <w:t>non-</w:t>
      </w:r>
      <w:r>
        <w:t xml:space="preserve">versement </w:t>
      </w:r>
      <w:r w:rsidRPr="00886C1A">
        <w:t xml:space="preserve">des salaires, </w:t>
      </w:r>
      <w:r>
        <w:t xml:space="preserve">de </w:t>
      </w:r>
      <w:r w:rsidRPr="00886C1A">
        <w:t>la non-reconnaissance de l</w:t>
      </w:r>
      <w:r>
        <w:t>’</w:t>
      </w:r>
      <w:r w:rsidRPr="00886C1A">
        <w:t>expérience professionnelle acquise avant l</w:t>
      </w:r>
      <w:r>
        <w:t>’</w:t>
      </w:r>
      <w:r w:rsidRPr="00886C1A">
        <w:t xml:space="preserve">indépendance et </w:t>
      </w:r>
      <w:r>
        <w:t xml:space="preserve">de </w:t>
      </w:r>
      <w:r w:rsidRPr="00886C1A">
        <w:t xml:space="preserve">la destruction </w:t>
      </w:r>
      <w:r w:rsidR="007449AA">
        <w:br/>
      </w:r>
      <w:r>
        <w:t>d’</w:t>
      </w:r>
      <w:r w:rsidRPr="00886C1A">
        <w:t xml:space="preserve">infrastructures et </w:t>
      </w:r>
      <w:r>
        <w:t>de localités</w:t>
      </w:r>
    </w:p>
    <w:p w14:paraId="278A273B" w14:textId="5557FEAB" w:rsidR="000C1192" w:rsidRPr="00C15B2A" w:rsidRDefault="000C1192" w:rsidP="000C1192">
      <w:pPr>
        <w:pStyle w:val="SingleTxtG"/>
      </w:pPr>
      <w:r w:rsidRPr="00963459">
        <w:t>29.</w:t>
      </w:r>
      <w:r w:rsidRPr="00963459">
        <w:tab/>
      </w:r>
      <w:r w:rsidRPr="00C15B2A">
        <w:t>L</w:t>
      </w:r>
      <w:r>
        <w:t>es</w:t>
      </w:r>
      <w:r w:rsidRPr="00C15B2A">
        <w:t xml:space="preserve"> réponse</w:t>
      </w:r>
      <w:r>
        <w:t>s</w:t>
      </w:r>
      <w:r w:rsidRPr="00C15B2A">
        <w:t xml:space="preserve"> </w:t>
      </w:r>
      <w:r>
        <w:t xml:space="preserve">concernant </w:t>
      </w:r>
      <w:r w:rsidRPr="00C15B2A">
        <w:t xml:space="preserve">la question de la reconstruction </w:t>
      </w:r>
      <w:r>
        <w:t xml:space="preserve">figurent aux </w:t>
      </w:r>
      <w:r w:rsidR="00A858B3">
        <w:t>paragraphes </w:t>
      </w:r>
      <w:r w:rsidRPr="00C15B2A">
        <w:t>95</w:t>
      </w:r>
      <w:r>
        <w:t xml:space="preserve"> à </w:t>
      </w:r>
      <w:r w:rsidRPr="00C15B2A">
        <w:t xml:space="preserve">102 du rapport </w:t>
      </w:r>
      <w:r>
        <w:t xml:space="preserve">sur la mise en œuvre de la Convention internationale sur l’élimination de toutes les formes de discrimination raciale </w:t>
      </w:r>
      <w:r w:rsidRPr="00C15B2A">
        <w:t>(</w:t>
      </w:r>
      <w:hyperlink r:id="rId12" w:history="1">
        <w:r w:rsidR="00EE6A74" w:rsidRPr="00974F3E">
          <w:rPr>
            <w:rStyle w:val="Lienhypertexte"/>
          </w:rPr>
          <w:t>CERD/C/CRO/9-14</w:t>
        </w:r>
      </w:hyperlink>
      <w:r w:rsidRPr="00C15B2A">
        <w:t>)</w:t>
      </w:r>
      <w:r w:rsidRPr="00535E17">
        <w:rPr>
          <w:rStyle w:val="Appelnotedebasdep"/>
        </w:rPr>
        <w:footnoteReference w:id="17"/>
      </w:r>
      <w:r>
        <w:t xml:space="preserve">, où il est question de la mise en place durable de zones </w:t>
      </w:r>
      <w:r w:rsidRPr="00C15B2A">
        <w:t>d</w:t>
      </w:r>
      <w:r>
        <w:t>’</w:t>
      </w:r>
      <w:r w:rsidRPr="00C15B2A">
        <w:t xml:space="preserve">intérêt </w:t>
      </w:r>
      <w:r>
        <w:t xml:space="preserve">particulier pour l’État. Pour les autres aspects, voir les réponses fournies dans le présent rapport pour les </w:t>
      </w:r>
      <w:r w:rsidR="00A858B3">
        <w:t>articles </w:t>
      </w:r>
      <w:r w:rsidRPr="00C15B2A">
        <w:t>6 et 11</w:t>
      </w:r>
      <w:r w:rsidR="007449AA">
        <w:t> </w:t>
      </w:r>
      <w:r w:rsidRPr="00C15B2A">
        <w:t>a</w:t>
      </w:r>
      <w:r>
        <w:t>)</w:t>
      </w:r>
      <w:r w:rsidRPr="00C15B2A">
        <w:t>.</w:t>
      </w:r>
    </w:p>
    <w:p w14:paraId="7A0FBF6C" w14:textId="64533687" w:rsidR="000C1192" w:rsidRPr="00685486" w:rsidRDefault="000C1192" w:rsidP="007449AA">
      <w:pPr>
        <w:pStyle w:val="H23G"/>
      </w:pPr>
      <w:r w:rsidRPr="00C15B2A">
        <w:tab/>
      </w:r>
      <w:r w:rsidRPr="00C15B2A">
        <w:tab/>
      </w:r>
      <w:r w:rsidR="00A858B3">
        <w:t>Paragraphe </w:t>
      </w:r>
      <w:r w:rsidRPr="00685486">
        <w:t xml:space="preserve">19 </w:t>
      </w:r>
      <w:r w:rsidR="007449AA">
        <w:t>−</w:t>
      </w:r>
      <w:r w:rsidRPr="00685486">
        <w:t xml:space="preserve"> Enseignement primaire des enfants roms et apatrides, </w:t>
      </w:r>
      <w:r w:rsidR="007449AA">
        <w:br/>
      </w:r>
      <w:r w:rsidRPr="00685486">
        <w:t xml:space="preserve">et </w:t>
      </w:r>
      <w:r w:rsidR="00A858B3">
        <w:t>paragraphe </w:t>
      </w:r>
      <w:r w:rsidRPr="00685486">
        <w:t xml:space="preserve">36 </w:t>
      </w:r>
      <w:r w:rsidR="007449AA">
        <w:t>−</w:t>
      </w:r>
      <w:r w:rsidRPr="00685486">
        <w:t xml:space="preserve"> </w:t>
      </w:r>
      <w:r w:rsidRPr="00047A6B">
        <w:t xml:space="preserve">Tous les enfants </w:t>
      </w:r>
      <w:r>
        <w:t xml:space="preserve">vivant </w:t>
      </w:r>
      <w:r w:rsidRPr="00047A6B">
        <w:t xml:space="preserve">sur le territoire de la </w:t>
      </w:r>
      <w:r>
        <w:t xml:space="preserve">République </w:t>
      </w:r>
      <w:r w:rsidR="007449AA">
        <w:br/>
      </w:r>
      <w:r>
        <w:t>de Croatie</w:t>
      </w:r>
      <w:r w:rsidRPr="00047A6B">
        <w:t xml:space="preserve"> doivent être scolarisés, quels que soient leur origine nationale </w:t>
      </w:r>
      <w:r w:rsidR="007449AA">
        <w:br/>
      </w:r>
      <w:r>
        <w:t xml:space="preserve">ou la condition </w:t>
      </w:r>
      <w:r w:rsidRPr="00047A6B">
        <w:t>de leurs parents</w:t>
      </w:r>
    </w:p>
    <w:p w14:paraId="492F8CE4" w14:textId="638A6F5F" w:rsidR="000C1192" w:rsidRPr="007648F2" w:rsidRDefault="000C1192" w:rsidP="000C1192">
      <w:pPr>
        <w:pStyle w:val="SingleTxtG"/>
      </w:pPr>
      <w:r w:rsidRPr="006B2D04">
        <w:t>30.</w:t>
      </w:r>
      <w:r w:rsidRPr="006B2D04">
        <w:tab/>
      </w:r>
      <w:r>
        <w:t xml:space="preserve">Les </w:t>
      </w:r>
      <w:r w:rsidR="00A858B3">
        <w:t>paragraphes </w:t>
      </w:r>
      <w:r>
        <w:t xml:space="preserve">82 à 104 du </w:t>
      </w:r>
      <w:r w:rsidRPr="006B2D04">
        <w:t>rapport valant cinquième et sixième rapports périodiques sur la mise en œuvre Convention relative aux droits de l</w:t>
      </w:r>
      <w:r>
        <w:t>’</w:t>
      </w:r>
      <w:r w:rsidRPr="006B2D04">
        <w:t>enfant (</w:t>
      </w:r>
      <w:hyperlink r:id="rId13" w:history="1">
        <w:r w:rsidR="00EE6A74" w:rsidRPr="00974F3E">
          <w:rPr>
            <w:rStyle w:val="Lienhypertexte"/>
          </w:rPr>
          <w:t>CRC/HRV/5-6</w:t>
        </w:r>
      </w:hyperlink>
      <w:r w:rsidRPr="006B2D04">
        <w:t>)</w:t>
      </w:r>
      <w:r w:rsidRPr="00535E17">
        <w:rPr>
          <w:rStyle w:val="Appelnotedebasdep"/>
        </w:rPr>
        <w:footnoteReference w:id="18"/>
      </w:r>
      <w:r w:rsidRPr="006B2D04">
        <w:t xml:space="preserve"> </w:t>
      </w:r>
      <w:r w:rsidRPr="009806E7">
        <w:t>décri</w:t>
      </w:r>
      <w:r>
        <w:t>vent</w:t>
      </w:r>
      <w:r w:rsidRPr="009806E7">
        <w:t xml:space="preserve"> la politique </w:t>
      </w:r>
      <w:r>
        <w:t xml:space="preserve">suivie en matière de </w:t>
      </w:r>
      <w:r w:rsidRPr="009806E7">
        <w:t>droits des enfants roms et migrants</w:t>
      </w:r>
      <w:r w:rsidRPr="006B2D04">
        <w:t xml:space="preserve">. </w:t>
      </w:r>
      <w:r w:rsidRPr="009806E7">
        <w:t>Les mesures visant à lutter contre la discrimination à l</w:t>
      </w:r>
      <w:r>
        <w:t>’</w:t>
      </w:r>
      <w:r w:rsidRPr="009806E7">
        <w:t xml:space="preserve">égard des Roms sont décrites aux </w:t>
      </w:r>
      <w:r w:rsidR="00A858B3">
        <w:t>paragraphes </w:t>
      </w:r>
      <w:r w:rsidRPr="009806E7">
        <w:t xml:space="preserve">31 à 57 du rapport </w:t>
      </w:r>
      <w:r>
        <w:t xml:space="preserve">sur la mise en œuvre de la Convention internationale sur l’élimination de toutes les formes de discrimination raciale </w:t>
      </w:r>
      <w:r w:rsidRPr="009806E7">
        <w:t>(</w:t>
      </w:r>
      <w:hyperlink r:id="rId14" w:history="1">
        <w:r w:rsidR="00EE6A74">
          <w:rPr>
            <w:rStyle w:val="Lienhypertexte"/>
          </w:rPr>
          <w:t>CERD/C/HRV/9-14</w:t>
        </w:r>
      </w:hyperlink>
      <w:r w:rsidRPr="009806E7">
        <w:t>)</w:t>
      </w:r>
      <w:r w:rsidRPr="00535E17">
        <w:rPr>
          <w:rStyle w:val="Appelnotedebasdep"/>
        </w:rPr>
        <w:footnoteReference w:id="19"/>
      </w:r>
      <w:r w:rsidRPr="009806E7">
        <w:t xml:space="preserve"> et dans les observations </w:t>
      </w:r>
      <w:r>
        <w:t xml:space="preserve">formulées dans le présent </w:t>
      </w:r>
      <w:r w:rsidRPr="009806E7">
        <w:t>rapport</w:t>
      </w:r>
      <w:r>
        <w:t xml:space="preserve"> concernant </w:t>
      </w:r>
      <w:r w:rsidRPr="009806E7">
        <w:t>l</w:t>
      </w:r>
      <w:r>
        <w:t>’</w:t>
      </w:r>
      <w:r w:rsidR="00A858B3">
        <w:t>article </w:t>
      </w:r>
      <w:r w:rsidRPr="009806E7">
        <w:t xml:space="preserve">13. </w:t>
      </w:r>
    </w:p>
    <w:p w14:paraId="403CEE01" w14:textId="0542AFF0" w:rsidR="000C1192" w:rsidRPr="00D40B62" w:rsidRDefault="000C1192" w:rsidP="007449AA">
      <w:pPr>
        <w:pStyle w:val="H23G"/>
      </w:pPr>
      <w:r w:rsidRPr="007648F2">
        <w:lastRenderedPageBreak/>
        <w:tab/>
      </w:r>
      <w:r w:rsidRPr="007648F2">
        <w:tab/>
      </w:r>
      <w:r w:rsidR="00A858B3">
        <w:t>Paragraphe </w:t>
      </w:r>
      <w:r w:rsidRPr="00D40B62">
        <w:t xml:space="preserve">20 </w:t>
      </w:r>
      <w:r w:rsidR="007449AA">
        <w:t>−</w:t>
      </w:r>
      <w:r>
        <w:t xml:space="preserve"> </w:t>
      </w:r>
      <w:r w:rsidRPr="00D40B62">
        <w:t xml:space="preserve">Prendre toutes les mesures nécessaires pour lutter contre </w:t>
      </w:r>
      <w:r w:rsidR="007449AA">
        <w:br/>
      </w:r>
      <w:r w:rsidRPr="00D40B62">
        <w:t>la discrimination conformé</w:t>
      </w:r>
      <w:r>
        <w:t xml:space="preserve">ment au </w:t>
      </w:r>
      <w:r w:rsidRPr="00D40B62">
        <w:t xml:space="preserve">Pacte international relatif aux droits </w:t>
      </w:r>
      <w:r w:rsidR="007449AA">
        <w:br/>
      </w:r>
      <w:r w:rsidRPr="00D40B62">
        <w:t>civils et politiques</w:t>
      </w:r>
      <w:r>
        <w:t xml:space="preserve"> et à la </w:t>
      </w:r>
      <w:r w:rsidRPr="00D40B62">
        <w:t>Convention internationale sur l</w:t>
      </w:r>
      <w:r>
        <w:t>’</w:t>
      </w:r>
      <w:r w:rsidRPr="00D40B62">
        <w:t xml:space="preserve">élimination </w:t>
      </w:r>
      <w:r w:rsidR="007449AA">
        <w:br/>
      </w:r>
      <w:r w:rsidRPr="00D40B62">
        <w:t>de toutes les formes de discrimination raciale</w:t>
      </w:r>
    </w:p>
    <w:p w14:paraId="7C837AC5" w14:textId="648B2241" w:rsidR="000C1192" w:rsidRPr="002C73A2" w:rsidRDefault="000C1192" w:rsidP="000C1192">
      <w:pPr>
        <w:pStyle w:val="SingleTxtG"/>
      </w:pPr>
      <w:r w:rsidRPr="00892A08">
        <w:t>31.</w:t>
      </w:r>
      <w:r w:rsidRPr="00892A08">
        <w:tab/>
      </w:r>
      <w:r>
        <w:t xml:space="preserve">Les réponses de la République de Croatie aux questions soulevées aux </w:t>
      </w:r>
      <w:r w:rsidR="00A858B3">
        <w:t>paragraphes </w:t>
      </w:r>
      <w:r>
        <w:t>1, 2 et 7 des o</w:t>
      </w:r>
      <w:r w:rsidRPr="002C73A2">
        <w:t xml:space="preserve">bservations finales concernant </w:t>
      </w:r>
      <w:r>
        <w:t xml:space="preserve">son </w:t>
      </w:r>
      <w:r w:rsidRPr="002C73A2">
        <w:t>troisième rapport périodique sur la mise en œuvre du Pacte international relatif</w:t>
      </w:r>
      <w:r>
        <w:t xml:space="preserve"> </w:t>
      </w:r>
      <w:r w:rsidRPr="002C73A2">
        <w:t>aux droits civils et politiques</w:t>
      </w:r>
      <w:r>
        <w:t xml:space="preserve"> </w:t>
      </w:r>
      <w:r w:rsidRPr="002C73A2">
        <w:t>(</w:t>
      </w:r>
      <w:hyperlink r:id="rId15" w:history="1">
        <w:r w:rsidR="00EE6A74" w:rsidRPr="00974F3E">
          <w:rPr>
            <w:rStyle w:val="Lienhypertexte"/>
          </w:rPr>
          <w:t>CCPR/C/CRO/3</w:t>
        </w:r>
      </w:hyperlink>
      <w:r w:rsidRPr="002C73A2">
        <w:t>)</w:t>
      </w:r>
      <w:r w:rsidRPr="00535E17">
        <w:rPr>
          <w:rStyle w:val="Appelnotedebasdep"/>
        </w:rPr>
        <w:footnoteReference w:id="20"/>
      </w:r>
      <w:r>
        <w:t xml:space="preserve"> décrivent la législation applicable en matière de lutte contre la discrimination.</w:t>
      </w:r>
      <w:r w:rsidRPr="002C73A2">
        <w:t xml:space="preserve"> Les mesures ultérieures sont décrites aux </w:t>
      </w:r>
      <w:r w:rsidR="00A858B3">
        <w:t>paragraphes </w:t>
      </w:r>
      <w:r w:rsidRPr="002C73A2">
        <w:t>9 à 28 du rapport sur la mise en œuvre de la Convention internationale sur l</w:t>
      </w:r>
      <w:r>
        <w:t>’</w:t>
      </w:r>
      <w:r w:rsidRPr="002C73A2">
        <w:t>élimination de toutes les formes de discrimination raciale (</w:t>
      </w:r>
      <w:hyperlink r:id="rId16" w:history="1">
        <w:r w:rsidR="00EE6A74">
          <w:rPr>
            <w:rStyle w:val="Lienhypertexte"/>
          </w:rPr>
          <w:t>CERD/C/HRV/9-14</w:t>
        </w:r>
      </w:hyperlink>
      <w:r w:rsidRPr="00535E17">
        <w:rPr>
          <w:rStyle w:val="Appelnotedebasdep"/>
        </w:rPr>
        <w:footnoteReference w:id="21"/>
      </w:r>
      <w:r w:rsidRPr="002C73A2">
        <w:t>).</w:t>
      </w:r>
    </w:p>
    <w:p w14:paraId="5B09D2AC" w14:textId="1712A23D" w:rsidR="000C1192" w:rsidRPr="000C3ECD" w:rsidRDefault="000C1192" w:rsidP="007449AA">
      <w:pPr>
        <w:pStyle w:val="H23G"/>
      </w:pPr>
      <w:r w:rsidRPr="008E7F4B">
        <w:tab/>
      </w:r>
      <w:r w:rsidRPr="008E7F4B">
        <w:tab/>
      </w:r>
      <w:r w:rsidR="00A858B3">
        <w:t>Paragraphe </w:t>
      </w:r>
      <w:r w:rsidRPr="000C3ECD">
        <w:t xml:space="preserve">23 </w:t>
      </w:r>
      <w:r w:rsidR="007449AA">
        <w:t>−</w:t>
      </w:r>
      <w:r>
        <w:t xml:space="preserve"> Nécessité de prendre des mesures </w:t>
      </w:r>
      <w:r w:rsidRPr="000C3ECD">
        <w:t xml:space="preserve">pour réduire le chômage </w:t>
      </w:r>
      <w:r w:rsidR="007449AA">
        <w:br/>
      </w:r>
      <w:r w:rsidRPr="000C3ECD">
        <w:t>et promouvoir l</w:t>
      </w:r>
      <w:r>
        <w:t>’</w:t>
      </w:r>
      <w:r w:rsidRPr="000C3ECD">
        <w:t>esprit d</w:t>
      </w:r>
      <w:r>
        <w:t>’</w:t>
      </w:r>
      <w:r w:rsidRPr="000C3ECD">
        <w:t>entreprise</w:t>
      </w:r>
      <w:r>
        <w:t>, ce de manière non discriminatoire</w:t>
      </w:r>
    </w:p>
    <w:p w14:paraId="22E3FB1C" w14:textId="6FBA8F0B" w:rsidR="000C1192" w:rsidRPr="004119B2" w:rsidRDefault="000C1192" w:rsidP="000C1192">
      <w:pPr>
        <w:pStyle w:val="SingleTxtG"/>
        <w:rPr>
          <w:i/>
        </w:rPr>
      </w:pPr>
      <w:r w:rsidRPr="004119B2">
        <w:t>32.</w:t>
      </w:r>
      <w:r w:rsidRPr="004119B2">
        <w:tab/>
      </w:r>
      <w:r w:rsidRPr="00540EF9">
        <w:rPr>
          <w:iCs/>
        </w:rPr>
        <w:t>Outre les mesures décrites dans le présent rapport à propos de l</w:t>
      </w:r>
      <w:r>
        <w:rPr>
          <w:iCs/>
        </w:rPr>
        <w:t>’</w:t>
      </w:r>
      <w:r w:rsidR="00A858B3">
        <w:rPr>
          <w:iCs/>
        </w:rPr>
        <w:t>article </w:t>
      </w:r>
      <w:r w:rsidRPr="00540EF9">
        <w:rPr>
          <w:iCs/>
        </w:rPr>
        <w:t>6, on trouvera des renseignements sur les aides versées aux entrepreneuses à l</w:t>
      </w:r>
      <w:r>
        <w:rPr>
          <w:iCs/>
        </w:rPr>
        <w:t>’</w:t>
      </w:r>
      <w:r w:rsidRPr="00540EF9">
        <w:rPr>
          <w:iCs/>
        </w:rPr>
        <w:t>annexe</w:t>
      </w:r>
      <w:r w:rsidR="007449AA">
        <w:rPr>
          <w:iCs/>
        </w:rPr>
        <w:t> </w:t>
      </w:r>
      <w:r w:rsidRPr="00540EF9">
        <w:rPr>
          <w:iCs/>
        </w:rPr>
        <w:t xml:space="preserve">8 </w:t>
      </w:r>
      <w:r>
        <w:rPr>
          <w:iCs/>
        </w:rPr>
        <w:t xml:space="preserve">du rapport, </w:t>
      </w:r>
      <w:r w:rsidRPr="00540EF9">
        <w:rPr>
          <w:iCs/>
        </w:rPr>
        <w:t>relative à l</w:t>
      </w:r>
      <w:r>
        <w:rPr>
          <w:iCs/>
        </w:rPr>
        <w:t>’</w:t>
      </w:r>
      <w:r w:rsidRPr="00540EF9">
        <w:rPr>
          <w:iCs/>
        </w:rPr>
        <w:t>entreprenariat féminin.</w:t>
      </w:r>
      <w:r>
        <w:rPr>
          <w:i/>
        </w:rPr>
        <w:t xml:space="preserve"> </w:t>
      </w:r>
    </w:p>
    <w:p w14:paraId="1F2526DC" w14:textId="182EDE7E" w:rsidR="000C1192" w:rsidRPr="00540EF9" w:rsidRDefault="000C1192" w:rsidP="007449AA">
      <w:pPr>
        <w:pStyle w:val="H23G"/>
      </w:pPr>
      <w:r w:rsidRPr="004119B2">
        <w:tab/>
      </w:r>
      <w:r w:rsidRPr="004119B2">
        <w:tab/>
      </w:r>
      <w:r w:rsidR="00A858B3">
        <w:t>Paragraphe </w:t>
      </w:r>
      <w:r w:rsidRPr="00540EF9">
        <w:t xml:space="preserve">24 </w:t>
      </w:r>
      <w:r w:rsidR="007449AA">
        <w:t>−</w:t>
      </w:r>
      <w:r w:rsidRPr="00540EF9">
        <w:t xml:space="preserve"> Examen de la situation des femmes et des droits des femmes </w:t>
      </w:r>
      <w:r w:rsidR="007449AA">
        <w:br/>
      </w:r>
      <w:r w:rsidRPr="00540EF9">
        <w:t>dans tous les aspects de la vie</w:t>
      </w:r>
      <w:r>
        <w:t>,</w:t>
      </w:r>
      <w:r w:rsidRPr="00540EF9">
        <w:t xml:space="preserve"> et </w:t>
      </w:r>
      <w:r w:rsidR="00A858B3">
        <w:t>paragraphe </w:t>
      </w:r>
      <w:r w:rsidRPr="00540EF9">
        <w:t xml:space="preserve">26 </w:t>
      </w:r>
      <w:r w:rsidR="007449AA">
        <w:t>−</w:t>
      </w:r>
      <w:r>
        <w:t xml:space="preserve"> </w:t>
      </w:r>
      <w:r w:rsidRPr="00540EF9">
        <w:t>Recommandation d</w:t>
      </w:r>
      <w:r>
        <w:t>’</w:t>
      </w:r>
      <w:r w:rsidRPr="00540EF9">
        <w:t xml:space="preserve">examiner </w:t>
      </w:r>
      <w:r w:rsidR="007449AA">
        <w:br/>
      </w:r>
      <w:r w:rsidRPr="00540EF9">
        <w:t xml:space="preserve">toutes les politiques, lois et pratiques </w:t>
      </w:r>
      <w:r>
        <w:t>présentes</w:t>
      </w:r>
      <w:r w:rsidRPr="00540EF9">
        <w:t xml:space="preserve"> et futures à la lumière </w:t>
      </w:r>
      <w:r w:rsidR="00EE6A74">
        <w:br/>
      </w:r>
      <w:r w:rsidRPr="00540EF9">
        <w:t xml:space="preserve">de leurs </w:t>
      </w:r>
      <w:r>
        <w:t xml:space="preserve">incidences </w:t>
      </w:r>
      <w:r w:rsidRPr="00540EF9">
        <w:t>potentiel</w:t>
      </w:r>
      <w:r>
        <w:t>le</w:t>
      </w:r>
      <w:r w:rsidRPr="00540EF9">
        <w:t>s sur les femmes</w:t>
      </w:r>
    </w:p>
    <w:p w14:paraId="6F50768C" w14:textId="2A658D2B" w:rsidR="000C1192" w:rsidRPr="009451C9" w:rsidRDefault="000C1192" w:rsidP="000C1192">
      <w:pPr>
        <w:pStyle w:val="SingleTxtG"/>
      </w:pPr>
      <w:r w:rsidRPr="009451C9">
        <w:t>33.</w:t>
      </w:r>
      <w:r w:rsidRPr="009451C9">
        <w:tab/>
        <w:t xml:space="preserve">Voir </w:t>
      </w:r>
      <w:r>
        <w:t xml:space="preserve">les </w:t>
      </w:r>
      <w:r w:rsidRPr="009451C9">
        <w:t>réponses formulées dans le présent ra</w:t>
      </w:r>
      <w:r>
        <w:t>pport au sujet de l’</w:t>
      </w:r>
      <w:r w:rsidR="00A858B3">
        <w:t>article </w:t>
      </w:r>
      <w:r w:rsidRPr="009451C9">
        <w:t>3.</w:t>
      </w:r>
    </w:p>
    <w:p w14:paraId="7CE0D4A3" w14:textId="60D5DF6E" w:rsidR="000C1192" w:rsidRPr="00AB3C7B" w:rsidRDefault="000C1192" w:rsidP="00EE6A74">
      <w:pPr>
        <w:pStyle w:val="H23G"/>
      </w:pPr>
      <w:r w:rsidRPr="009451C9">
        <w:tab/>
      </w:r>
      <w:r w:rsidRPr="009451C9">
        <w:tab/>
      </w:r>
      <w:r w:rsidR="00A858B3">
        <w:t>Paragraphe </w:t>
      </w:r>
      <w:r w:rsidRPr="00AB3C7B">
        <w:t xml:space="preserve">25 </w:t>
      </w:r>
      <w:r w:rsidR="00EE6A74">
        <w:t>−</w:t>
      </w:r>
      <w:r w:rsidRPr="00AB3C7B">
        <w:t xml:space="preserve"> </w:t>
      </w:r>
      <w:r>
        <w:t>M</w:t>
      </w:r>
      <w:r w:rsidRPr="00AB3C7B">
        <w:t xml:space="preserve">esures </w:t>
      </w:r>
      <w:r>
        <w:t xml:space="preserve">visant à prévenir et à réprimer le </w:t>
      </w:r>
      <w:r w:rsidRPr="00AB3C7B">
        <w:t xml:space="preserve">harcèlement sexuel </w:t>
      </w:r>
      <w:r w:rsidR="00EE6A74">
        <w:br/>
      </w:r>
      <w:r w:rsidRPr="00AB3C7B">
        <w:t xml:space="preserve">sur le lieu de travail </w:t>
      </w:r>
    </w:p>
    <w:p w14:paraId="584A741D" w14:textId="4425D3E4" w:rsidR="000C1192" w:rsidRPr="009451C9" w:rsidRDefault="000C1192" w:rsidP="000C1192">
      <w:pPr>
        <w:pStyle w:val="SingleTxtG"/>
      </w:pPr>
      <w:r w:rsidRPr="009451C9">
        <w:t>34.</w:t>
      </w:r>
      <w:r w:rsidRPr="009451C9">
        <w:tab/>
        <w:t xml:space="preserve">Voir </w:t>
      </w:r>
      <w:r>
        <w:t xml:space="preserve">les </w:t>
      </w:r>
      <w:r w:rsidRPr="009451C9">
        <w:t>réponses formulées dans le présent ra</w:t>
      </w:r>
      <w:r>
        <w:t>pport au sujet de l’</w:t>
      </w:r>
      <w:r w:rsidR="00A858B3">
        <w:t>article </w:t>
      </w:r>
      <w:r>
        <w:t>7</w:t>
      </w:r>
      <w:r w:rsidRPr="009451C9">
        <w:t>.</w:t>
      </w:r>
    </w:p>
    <w:p w14:paraId="3B5562F6" w14:textId="7C4590C7" w:rsidR="000C1192" w:rsidRPr="005D3ED1" w:rsidRDefault="000C1192" w:rsidP="00EE6A74">
      <w:pPr>
        <w:pStyle w:val="H23G"/>
      </w:pPr>
      <w:r w:rsidRPr="008E7F4B">
        <w:tab/>
      </w:r>
      <w:r w:rsidRPr="008E7F4B">
        <w:tab/>
      </w:r>
      <w:r w:rsidR="00A858B3">
        <w:t>Paragraphe </w:t>
      </w:r>
      <w:r w:rsidRPr="005D3ED1">
        <w:t xml:space="preserve">29 </w:t>
      </w:r>
      <w:r w:rsidR="00EE6A74">
        <w:t>−</w:t>
      </w:r>
      <w:r>
        <w:t xml:space="preserve"> </w:t>
      </w:r>
      <w:r w:rsidRPr="005D3ED1">
        <w:t>Promotion des droits de l</w:t>
      </w:r>
      <w:r>
        <w:t>’</w:t>
      </w:r>
      <w:r w:rsidRPr="005D3ED1">
        <w:t>homme et des instrument</w:t>
      </w:r>
      <w:r>
        <w:t xml:space="preserve">s en vigueur </w:t>
      </w:r>
      <w:r w:rsidR="00EE6A74">
        <w:br/>
      </w:r>
      <w:r>
        <w:t xml:space="preserve">dans ce domaine auprès des </w:t>
      </w:r>
      <w:r w:rsidRPr="005D3ED1">
        <w:t xml:space="preserve">juges, </w:t>
      </w:r>
      <w:r>
        <w:t xml:space="preserve">des </w:t>
      </w:r>
      <w:r w:rsidRPr="005D3ED1">
        <w:t xml:space="preserve">avocats, </w:t>
      </w:r>
      <w:r>
        <w:t xml:space="preserve">des </w:t>
      </w:r>
      <w:r w:rsidRPr="005D3ED1">
        <w:t xml:space="preserve">policiers et </w:t>
      </w:r>
      <w:r>
        <w:t xml:space="preserve">des </w:t>
      </w:r>
      <w:r w:rsidRPr="005D3ED1">
        <w:t>militaires</w:t>
      </w:r>
    </w:p>
    <w:p w14:paraId="55C25CD2" w14:textId="77777777" w:rsidR="000C1192" w:rsidRPr="001A3B02" w:rsidRDefault="000C1192" w:rsidP="000C1192">
      <w:pPr>
        <w:pStyle w:val="SingleTxtG"/>
      </w:pPr>
      <w:r w:rsidRPr="001B48A3">
        <w:t>35.</w:t>
      </w:r>
      <w:r w:rsidRPr="001B48A3">
        <w:tab/>
      </w:r>
      <w:r>
        <w:t>D</w:t>
      </w:r>
      <w:r w:rsidRPr="001A3B02">
        <w:t xml:space="preserve">es mesures sont </w:t>
      </w:r>
      <w:r>
        <w:t xml:space="preserve">prises à cet égard </w:t>
      </w:r>
      <w:r w:rsidRPr="001A3B02">
        <w:t>en coopération avec l</w:t>
      </w:r>
      <w:r>
        <w:t>’</w:t>
      </w:r>
      <w:r w:rsidRPr="001A3B02">
        <w:rPr>
          <w:caps/>
        </w:rPr>
        <w:t>é</w:t>
      </w:r>
      <w:r>
        <w:t>cole de la magistrature</w:t>
      </w:r>
      <w:r w:rsidRPr="001A3B02">
        <w:t>, l</w:t>
      </w:r>
      <w:r>
        <w:t>’</w:t>
      </w:r>
      <w:r w:rsidRPr="001A3B02">
        <w:t xml:space="preserve">Association du </w:t>
      </w:r>
      <w:r>
        <w:t>b</w:t>
      </w:r>
      <w:r w:rsidRPr="001A3B02">
        <w:t>arreau, le Ministère de l</w:t>
      </w:r>
      <w:r>
        <w:t>’i</w:t>
      </w:r>
      <w:r w:rsidRPr="001A3B02">
        <w:t xml:space="preserve">ntérieur, le Ministère de la </w:t>
      </w:r>
      <w:r>
        <w:t>d</w:t>
      </w:r>
      <w:r w:rsidRPr="001A3B02">
        <w:t>éfense</w:t>
      </w:r>
      <w:r>
        <w:t>,</w:t>
      </w:r>
      <w:r w:rsidRPr="001A3B02">
        <w:t xml:space="preserve"> et les médiateurs.</w:t>
      </w:r>
    </w:p>
    <w:p w14:paraId="1C6FBBE2" w14:textId="44E18E3D" w:rsidR="000C1192" w:rsidRPr="008E7F4B" w:rsidRDefault="000C1192" w:rsidP="00EE6A74">
      <w:pPr>
        <w:pStyle w:val="H23G"/>
      </w:pPr>
      <w:r w:rsidRPr="001A3B02">
        <w:tab/>
      </w:r>
      <w:r w:rsidRPr="001A3B02">
        <w:tab/>
      </w:r>
      <w:r w:rsidR="00A858B3">
        <w:t>Paragraphe </w:t>
      </w:r>
      <w:r w:rsidRPr="008E7F4B">
        <w:t xml:space="preserve">32 </w:t>
      </w:r>
      <w:r w:rsidR="00EE6A74">
        <w:t>−</w:t>
      </w:r>
      <w:r w:rsidRPr="008E7F4B">
        <w:t xml:space="preserve"> Renforcer les mesures prises pour lutter contre le chômage élevé </w:t>
      </w:r>
    </w:p>
    <w:p w14:paraId="05878D8B" w14:textId="53E492EB" w:rsidR="000C1192" w:rsidRPr="00E25793" w:rsidRDefault="000C1192" w:rsidP="000C1192">
      <w:pPr>
        <w:pStyle w:val="SingleTxtG"/>
      </w:pPr>
      <w:r w:rsidRPr="00E25793">
        <w:t>36.</w:t>
      </w:r>
      <w:r w:rsidRPr="00E25793">
        <w:tab/>
      </w:r>
      <w:r w:rsidRPr="009451C9">
        <w:t xml:space="preserve">Voir </w:t>
      </w:r>
      <w:r>
        <w:t xml:space="preserve">les </w:t>
      </w:r>
      <w:r w:rsidRPr="009451C9">
        <w:t>réponses formulées dans le présent ra</w:t>
      </w:r>
      <w:r>
        <w:t>pport au sujet de l’</w:t>
      </w:r>
      <w:r w:rsidR="00A858B3">
        <w:t>article </w:t>
      </w:r>
      <w:r>
        <w:t>6</w:t>
      </w:r>
      <w:r w:rsidRPr="00E25793">
        <w:t>.</w:t>
      </w:r>
    </w:p>
    <w:p w14:paraId="3C4DC911" w14:textId="40D6C9C2" w:rsidR="000C1192" w:rsidRPr="000E5911" w:rsidRDefault="000C1192" w:rsidP="00EE6A74">
      <w:pPr>
        <w:pStyle w:val="H23G"/>
      </w:pPr>
      <w:r w:rsidRPr="00E25793">
        <w:tab/>
      </w:r>
      <w:r w:rsidRPr="00E25793">
        <w:tab/>
      </w:r>
      <w:r w:rsidR="00A858B3">
        <w:t>Paragraphe </w:t>
      </w:r>
      <w:r w:rsidRPr="000E5911">
        <w:t xml:space="preserve">34 </w:t>
      </w:r>
      <w:r w:rsidR="00EE6A74">
        <w:t>−</w:t>
      </w:r>
      <w:r>
        <w:t xml:space="preserve"> R</w:t>
      </w:r>
      <w:r w:rsidRPr="000E5911">
        <w:t>ecommand</w:t>
      </w:r>
      <w:r>
        <w:t xml:space="preserve">ation </w:t>
      </w:r>
      <w:r w:rsidRPr="000E5911">
        <w:t>d</w:t>
      </w:r>
      <w:r>
        <w:t>’</w:t>
      </w:r>
      <w:r w:rsidRPr="000E5911">
        <w:t xml:space="preserve">examiner les effets </w:t>
      </w:r>
      <w:r>
        <w:t xml:space="preserve">possibles des </w:t>
      </w:r>
      <w:r w:rsidRPr="000E5911">
        <w:t xml:space="preserve">projets </w:t>
      </w:r>
      <w:r w:rsidR="00EE6A74">
        <w:br/>
      </w:r>
      <w:r w:rsidRPr="000E5911">
        <w:t xml:space="preserve">de privatisation de certaines parties du système national de soins de santé </w:t>
      </w:r>
      <w:r w:rsidR="00EE6A74">
        <w:br/>
      </w:r>
      <w:r w:rsidRPr="000E5911">
        <w:t xml:space="preserve">sur les </w:t>
      </w:r>
      <w:r>
        <w:t>groupes vulnérables</w:t>
      </w:r>
    </w:p>
    <w:p w14:paraId="0F27542A" w14:textId="77777777" w:rsidR="000C1192" w:rsidRPr="001B48A3" w:rsidRDefault="000C1192" w:rsidP="000C1192">
      <w:pPr>
        <w:pStyle w:val="SingleTxtG"/>
      </w:pPr>
      <w:r w:rsidRPr="001B48A3">
        <w:t>37.</w:t>
      </w:r>
      <w:r w:rsidRPr="001B48A3">
        <w:tab/>
        <w:t xml:space="preserve">La </w:t>
      </w:r>
      <w:r>
        <w:t xml:space="preserve">République de Croatie </w:t>
      </w:r>
      <w:r w:rsidRPr="001B48A3">
        <w:t>n</w:t>
      </w:r>
      <w:r>
        <w:t>’</w:t>
      </w:r>
      <w:r w:rsidRPr="001B48A3">
        <w:t>a pas privatisé le système national de santé</w:t>
      </w:r>
      <w:r>
        <w:t>.</w:t>
      </w:r>
    </w:p>
    <w:p w14:paraId="72D49191" w14:textId="77777777" w:rsidR="000C1192" w:rsidRPr="0088504F" w:rsidRDefault="000C1192" w:rsidP="000C1192">
      <w:pPr>
        <w:pStyle w:val="SingleTxtG"/>
      </w:pPr>
      <w:r w:rsidRPr="0088504F">
        <w:t>38.</w:t>
      </w:r>
      <w:r w:rsidRPr="0088504F">
        <w:tab/>
        <w:t>Tous les citoyens</w:t>
      </w:r>
      <w:r>
        <w:t xml:space="preserve"> </w:t>
      </w:r>
      <w:r w:rsidRPr="0088504F">
        <w:t xml:space="preserve">ont droit </w:t>
      </w:r>
      <w:r>
        <w:t xml:space="preserve">aux </w:t>
      </w:r>
      <w:r w:rsidRPr="0088504F">
        <w:t>soins de santé, y compris les groupes vulnérables</w:t>
      </w:r>
      <w:r>
        <w:t>.</w:t>
      </w:r>
    </w:p>
    <w:p w14:paraId="5FE15E5C" w14:textId="7D26A455" w:rsidR="000C1192" w:rsidRPr="00F21C04" w:rsidRDefault="000C1192" w:rsidP="00EE6A74">
      <w:pPr>
        <w:pStyle w:val="H23G"/>
      </w:pPr>
      <w:r w:rsidRPr="008E7F4B">
        <w:tab/>
      </w:r>
      <w:r w:rsidRPr="008E7F4B">
        <w:tab/>
      </w:r>
      <w:r w:rsidR="00A858B3">
        <w:t>Paragraphe </w:t>
      </w:r>
      <w:r w:rsidRPr="00F21C04">
        <w:t xml:space="preserve">35 </w:t>
      </w:r>
      <w:r w:rsidR="00EE6A74">
        <w:t xml:space="preserve">− </w:t>
      </w:r>
      <w:r>
        <w:t>V</w:t>
      </w:r>
      <w:r w:rsidRPr="00F21C04">
        <w:t>eiller à ce que</w:t>
      </w:r>
      <w:r>
        <w:t xml:space="preserve"> </w:t>
      </w:r>
      <w:r w:rsidRPr="00F21C04">
        <w:t>le contenu de l</w:t>
      </w:r>
      <w:r>
        <w:t>’</w:t>
      </w:r>
      <w:r w:rsidRPr="00F21C04">
        <w:t>éducation vise à renforcer le respect des droits de l</w:t>
      </w:r>
      <w:r>
        <w:t>’</w:t>
      </w:r>
      <w:r w:rsidRPr="00F21C04">
        <w:t xml:space="preserve">homme et des libertés fondamentales, à mettre toute personne </w:t>
      </w:r>
      <w:r w:rsidR="00EE6A74">
        <w:br/>
      </w:r>
      <w:r w:rsidRPr="00F21C04">
        <w:t xml:space="preserve">en mesure de jouer un rôle utile dans une société libre, et à favoriser </w:t>
      </w:r>
      <w:r w:rsidR="00EE6A74">
        <w:br/>
      </w:r>
      <w:r w:rsidRPr="00F21C04">
        <w:t>la compréhension, la tolérance et l</w:t>
      </w:r>
      <w:r>
        <w:t>’</w:t>
      </w:r>
      <w:r w:rsidRPr="00F21C04">
        <w:t>amitié</w:t>
      </w:r>
    </w:p>
    <w:p w14:paraId="63EDE4D5" w14:textId="2B546CA7" w:rsidR="000C1192" w:rsidRPr="00F21C04" w:rsidRDefault="000C1192" w:rsidP="000C1192">
      <w:pPr>
        <w:pStyle w:val="SingleTxtG"/>
      </w:pPr>
      <w:r w:rsidRPr="00F21C04">
        <w:t>39.</w:t>
      </w:r>
      <w:r w:rsidRPr="00F21C04">
        <w:tab/>
        <w:t>Voir les observations concernant l</w:t>
      </w:r>
      <w:r>
        <w:t>’</w:t>
      </w:r>
      <w:r w:rsidR="00A858B3">
        <w:t>article </w:t>
      </w:r>
      <w:r w:rsidRPr="00F21C04">
        <w:t>13.</w:t>
      </w:r>
    </w:p>
    <w:p w14:paraId="3870B16C" w14:textId="7C662951" w:rsidR="000C1192" w:rsidRPr="00032414" w:rsidRDefault="000C1192" w:rsidP="00EE6A74">
      <w:pPr>
        <w:pStyle w:val="H23G"/>
      </w:pPr>
      <w:r w:rsidRPr="008E7F4B">
        <w:lastRenderedPageBreak/>
        <w:tab/>
      </w:r>
      <w:r w:rsidRPr="008E7F4B">
        <w:tab/>
      </w:r>
      <w:r w:rsidR="00A858B3">
        <w:t>Paragraphe </w:t>
      </w:r>
      <w:r w:rsidRPr="00032414">
        <w:t xml:space="preserve">37 </w:t>
      </w:r>
      <w:r w:rsidR="00EE6A74">
        <w:t>−</w:t>
      </w:r>
      <w:r w:rsidRPr="00032414">
        <w:t xml:space="preserve"> Réexaminer les programmes scolaires de tous niveaux </w:t>
      </w:r>
      <w:r w:rsidR="00EE6A74">
        <w:br/>
      </w:r>
      <w:r w:rsidRPr="00032414">
        <w:t>afin de promouvoir les droits de l</w:t>
      </w:r>
      <w:r>
        <w:t>’</w:t>
      </w:r>
      <w:r w:rsidRPr="00032414">
        <w:t xml:space="preserve">homme, la compréhension mutuelle, </w:t>
      </w:r>
      <w:r w:rsidR="00EE6A74">
        <w:br/>
      </w:r>
      <w:r w:rsidRPr="00032414">
        <w:t>la tolérance et l</w:t>
      </w:r>
      <w:r>
        <w:t>’</w:t>
      </w:r>
      <w:r w:rsidRPr="00032414">
        <w:t>amitié, conformément à l</w:t>
      </w:r>
      <w:r>
        <w:t>’</w:t>
      </w:r>
      <w:r w:rsidR="00A858B3">
        <w:t>article </w:t>
      </w:r>
      <w:r w:rsidRPr="00032414">
        <w:t>13</w:t>
      </w:r>
      <w:r>
        <w:t xml:space="preserve"> du Pacte</w:t>
      </w:r>
    </w:p>
    <w:p w14:paraId="5653413E" w14:textId="7BBB3D5C" w:rsidR="000C1192" w:rsidRPr="005F0EA2" w:rsidRDefault="000C1192" w:rsidP="000C1192">
      <w:pPr>
        <w:pStyle w:val="SingleTxtG"/>
      </w:pPr>
      <w:bookmarkStart w:id="2" w:name="_Hlk109200406"/>
      <w:r w:rsidRPr="002F4282">
        <w:t>40.</w:t>
      </w:r>
      <w:r w:rsidRPr="002F4282">
        <w:tab/>
      </w:r>
      <w:r w:rsidRPr="005F0EA2">
        <w:t xml:space="preserve">La question </w:t>
      </w:r>
      <w:r>
        <w:t>de l’enseignement des</w:t>
      </w:r>
      <w:r w:rsidRPr="005F0EA2">
        <w:t xml:space="preserve"> droits de l</w:t>
      </w:r>
      <w:r>
        <w:t>’</w:t>
      </w:r>
      <w:r w:rsidRPr="005F0EA2">
        <w:t xml:space="preserve">homme et des libertés </w:t>
      </w:r>
      <w:r>
        <w:t xml:space="preserve">au sein du </w:t>
      </w:r>
      <w:r w:rsidRPr="005F0EA2">
        <w:t xml:space="preserve">système éducatif est décrite </w:t>
      </w:r>
      <w:r>
        <w:t xml:space="preserve">au </w:t>
      </w:r>
      <w:r w:rsidR="00A858B3">
        <w:t>paragraphe </w:t>
      </w:r>
      <w:r>
        <w:t xml:space="preserve">138 du </w:t>
      </w:r>
      <w:r w:rsidRPr="008C6EF8">
        <w:t>ra</w:t>
      </w:r>
      <w:r>
        <w:t xml:space="preserve">pport de la République de Croatie au titre de </w:t>
      </w:r>
      <w:r w:rsidRPr="00C16D9E">
        <w:t>l’EPU</w:t>
      </w:r>
      <w:r w:rsidR="00C16D9E" w:rsidRPr="00C16D9E">
        <w:t xml:space="preserve"> (A/HRC/WG.6/36/CRO)</w:t>
      </w:r>
      <w:r w:rsidRPr="00C16D9E">
        <w:rPr>
          <w:rStyle w:val="Appelnotedebasdep"/>
        </w:rPr>
        <w:footnoteReference w:id="22"/>
      </w:r>
      <w:r>
        <w:t xml:space="preserve"> et dans les réponses indiquées dans le présent rapport concernant l’</w:t>
      </w:r>
      <w:r w:rsidR="00A858B3">
        <w:t>article </w:t>
      </w:r>
      <w:r>
        <w:t>13.</w:t>
      </w:r>
    </w:p>
    <w:bookmarkEnd w:id="2"/>
    <w:p w14:paraId="52FACC87" w14:textId="1D8EE067" w:rsidR="000C1192" w:rsidRPr="008E7F4B" w:rsidRDefault="000C1192" w:rsidP="00EE6A74">
      <w:pPr>
        <w:pStyle w:val="HChG"/>
      </w:pPr>
      <w:r w:rsidRPr="005F0EA2">
        <w:tab/>
      </w:r>
      <w:r w:rsidRPr="008E7F4B">
        <w:t>III.</w:t>
      </w:r>
      <w:r w:rsidRPr="008E7F4B">
        <w:tab/>
        <w:t>Dispositions générales</w:t>
      </w:r>
    </w:p>
    <w:p w14:paraId="7A852B2F" w14:textId="682EED06" w:rsidR="000C1192" w:rsidRPr="008E7F4B" w:rsidRDefault="000C1192" w:rsidP="00EE6A74">
      <w:pPr>
        <w:pStyle w:val="H1G"/>
      </w:pPr>
      <w:r w:rsidRPr="008E7F4B">
        <w:tab/>
      </w:r>
      <w:r w:rsidRPr="008E7F4B">
        <w:tab/>
      </w:r>
      <w:r w:rsidR="00A858B3">
        <w:t>Article</w:t>
      </w:r>
      <w:r w:rsidR="00EE6A74">
        <w:t xml:space="preserve"> </w:t>
      </w:r>
      <w:r w:rsidRPr="008E7F4B">
        <w:t>premier</w:t>
      </w:r>
    </w:p>
    <w:p w14:paraId="61D6A99A" w14:textId="77777777" w:rsidR="000C1192" w:rsidRPr="00445A48" w:rsidRDefault="000C1192" w:rsidP="000C1192">
      <w:pPr>
        <w:pStyle w:val="SingleTxtG"/>
      </w:pPr>
      <w:r w:rsidRPr="00B652F6">
        <w:t>41.</w:t>
      </w:r>
      <w:r w:rsidRPr="00B652F6">
        <w:tab/>
      </w:r>
      <w:r w:rsidRPr="00445A48">
        <w:t>Le droit à l</w:t>
      </w:r>
      <w:r>
        <w:t>’</w:t>
      </w:r>
      <w:r w:rsidRPr="00445A48">
        <w:t xml:space="preserve">autodétermination est </w:t>
      </w:r>
      <w:r>
        <w:t xml:space="preserve">consacré par la Constitution de la République de Croatie et des explications détaillées ont été données à ce sujet </w:t>
      </w:r>
      <w:r w:rsidRPr="00445A48">
        <w:t xml:space="preserve">dans </w:t>
      </w:r>
      <w:r>
        <w:t xml:space="preserve">son </w:t>
      </w:r>
      <w:r w:rsidRPr="00445A48">
        <w:t xml:space="preserve">rapport initial </w:t>
      </w:r>
      <w:r>
        <w:t>au titre du Pacte international relatif aux droits économiques, sociaux et culturels</w:t>
      </w:r>
      <w:r w:rsidRPr="00445A48">
        <w:t>.</w:t>
      </w:r>
    </w:p>
    <w:p w14:paraId="033558C8" w14:textId="631F6D57" w:rsidR="000C1192" w:rsidRPr="008E7F4B" w:rsidRDefault="000C1192" w:rsidP="00EE6A74">
      <w:pPr>
        <w:pStyle w:val="H1G"/>
      </w:pPr>
      <w:r w:rsidRPr="00445A48">
        <w:tab/>
      </w:r>
      <w:r w:rsidRPr="00445A48">
        <w:tab/>
      </w:r>
      <w:r w:rsidR="00A858B3">
        <w:t>Article </w:t>
      </w:r>
      <w:r w:rsidRPr="008E7F4B">
        <w:t>2</w:t>
      </w:r>
    </w:p>
    <w:p w14:paraId="309BB059" w14:textId="77777777" w:rsidR="000C1192" w:rsidRPr="00A92326" w:rsidRDefault="000C1192" w:rsidP="000C1192">
      <w:pPr>
        <w:pStyle w:val="SingleTxtG"/>
      </w:pPr>
      <w:r w:rsidRPr="00817E0D">
        <w:t>42.</w:t>
      </w:r>
      <w:r w:rsidRPr="00817E0D">
        <w:tab/>
      </w:r>
      <w:r w:rsidRPr="00A92326">
        <w:t xml:space="preserve">Dans </w:t>
      </w:r>
      <w:r>
        <w:t xml:space="preserve">le cadre de son </w:t>
      </w:r>
      <w:r w:rsidRPr="00A92326">
        <w:t xml:space="preserve">programme </w:t>
      </w:r>
      <w:r>
        <w:t xml:space="preserve">de formation pour </w:t>
      </w:r>
      <w:r w:rsidRPr="00A92326">
        <w:t>2019, l</w:t>
      </w:r>
      <w:r>
        <w:t>’</w:t>
      </w:r>
      <w:r w:rsidRPr="00D25D53">
        <w:rPr>
          <w:caps/>
        </w:rPr>
        <w:t>é</w:t>
      </w:r>
      <w:r>
        <w:t xml:space="preserve">cole de la magistrature </w:t>
      </w:r>
      <w:r w:rsidRPr="00A92326">
        <w:t xml:space="preserve">a </w:t>
      </w:r>
      <w:r>
        <w:t xml:space="preserve">assuré une formation sur les </w:t>
      </w:r>
      <w:r w:rsidRPr="00A92326">
        <w:t xml:space="preserve">conflits du travail </w:t>
      </w:r>
      <w:r>
        <w:t xml:space="preserve">axée sur </w:t>
      </w:r>
      <w:r w:rsidRPr="00A92326">
        <w:t>la discrimination et l</w:t>
      </w:r>
      <w:r>
        <w:t>’</w:t>
      </w:r>
      <w:r w:rsidRPr="00A92326">
        <w:t>application de la jurisprudence de la Cour européenne des droits de l</w:t>
      </w:r>
      <w:r>
        <w:t>’</w:t>
      </w:r>
      <w:r w:rsidRPr="00A92326">
        <w:t xml:space="preserve">homme, </w:t>
      </w:r>
      <w:r>
        <w:t xml:space="preserve">qui s’adressait aux </w:t>
      </w:r>
      <w:r w:rsidRPr="00A92326">
        <w:t xml:space="preserve">juges et </w:t>
      </w:r>
      <w:r>
        <w:t xml:space="preserve">aux </w:t>
      </w:r>
      <w:r w:rsidRPr="00A92326">
        <w:t xml:space="preserve">procureurs. </w:t>
      </w:r>
      <w:r>
        <w:t>Le M</w:t>
      </w:r>
      <w:r w:rsidRPr="00A92326">
        <w:t xml:space="preserve">édiateur </w:t>
      </w:r>
      <w:r>
        <w:t xml:space="preserve">mène, au titre </w:t>
      </w:r>
      <w:r w:rsidRPr="00A92326">
        <w:t xml:space="preserve">de ses activités </w:t>
      </w:r>
      <w:r>
        <w:t>ordinaires</w:t>
      </w:r>
      <w:r w:rsidRPr="00A92326">
        <w:t xml:space="preserve">, </w:t>
      </w:r>
      <w:r>
        <w:t xml:space="preserve">une action de </w:t>
      </w:r>
      <w:r w:rsidRPr="00A92326">
        <w:t>sensibilisation du public et des professionnels aux droits de l</w:t>
      </w:r>
      <w:r>
        <w:t>’</w:t>
      </w:r>
      <w:r w:rsidRPr="00A92326">
        <w:t xml:space="preserve">homme. Une contribution importante est apportée par les ONG, qui </w:t>
      </w:r>
      <w:r>
        <w:t xml:space="preserve">bénéficient aussi d’un financement imputé sur </w:t>
      </w:r>
      <w:r w:rsidRPr="00A92326">
        <w:t>le budget de l</w:t>
      </w:r>
      <w:r>
        <w:t>’</w:t>
      </w:r>
      <w:r w:rsidRPr="00A92326">
        <w:t>État.</w:t>
      </w:r>
    </w:p>
    <w:p w14:paraId="5FC908F2" w14:textId="29B2FDA8" w:rsidR="000C1192" w:rsidRPr="00E201BC" w:rsidRDefault="000C1192" w:rsidP="000C1192">
      <w:pPr>
        <w:pStyle w:val="SingleTxtG"/>
      </w:pPr>
      <w:r w:rsidRPr="00AE445C">
        <w:t>43.</w:t>
      </w:r>
      <w:r w:rsidRPr="00AE445C">
        <w:tab/>
      </w:r>
      <w:r w:rsidRPr="00DF52D2">
        <w:t>L</w:t>
      </w:r>
      <w:r>
        <w:t>’</w:t>
      </w:r>
      <w:r w:rsidRPr="00DF52D2">
        <w:t xml:space="preserve">exercice des droits conférés par le régime des pensions </w:t>
      </w:r>
      <w:r>
        <w:t xml:space="preserve">s’agissant </w:t>
      </w:r>
      <w:r w:rsidRPr="00DF52D2">
        <w:t xml:space="preserve">de pensions dues mais non acquittées </w:t>
      </w:r>
      <w:r>
        <w:t xml:space="preserve">est évoqué au </w:t>
      </w:r>
      <w:r w:rsidR="00A858B3">
        <w:t>paragraphe </w:t>
      </w:r>
      <w:r w:rsidRPr="00DF52D2">
        <w:t xml:space="preserve">117 </w:t>
      </w:r>
      <w:r>
        <w:t xml:space="preserve">du </w:t>
      </w:r>
      <w:r w:rsidRPr="008C6EF8">
        <w:t>ra</w:t>
      </w:r>
      <w:r>
        <w:t xml:space="preserve">pport de la République de Croatie au titre du troisième cycle de l’EPU </w:t>
      </w:r>
      <w:r w:rsidRPr="00DF52D2">
        <w:t>(</w:t>
      </w:r>
      <w:r w:rsidR="00C16D9E" w:rsidRPr="006F3840">
        <w:t>A/HRC/WG.6/36/HRV/1</w:t>
      </w:r>
      <w:r w:rsidRPr="00DF52D2">
        <w:t>)</w:t>
      </w:r>
      <w:r w:rsidRPr="00535E17">
        <w:rPr>
          <w:rStyle w:val="Appelnotedebasdep"/>
        </w:rPr>
        <w:footnoteReference w:id="23"/>
      </w:r>
      <w:r w:rsidRPr="00DF52D2">
        <w:t xml:space="preserve">. </w:t>
      </w:r>
      <w:r w:rsidRPr="00E201BC">
        <w:t>L</w:t>
      </w:r>
      <w:r>
        <w:t>’</w:t>
      </w:r>
      <w:r w:rsidRPr="00E201BC">
        <w:t xml:space="preserve">arrêt </w:t>
      </w:r>
      <w:r>
        <w:t xml:space="preserve">rendu par </w:t>
      </w:r>
      <w:r w:rsidRPr="00E201BC">
        <w:t>la Cour européenne des droits de l</w:t>
      </w:r>
      <w:r>
        <w:t>’</w:t>
      </w:r>
      <w:r w:rsidRPr="00E201BC">
        <w:t xml:space="preserve">homme </w:t>
      </w:r>
      <w:r>
        <w:t xml:space="preserve">dans </w:t>
      </w:r>
      <w:r w:rsidRPr="00E201BC">
        <w:t>l</w:t>
      </w:r>
      <w:r>
        <w:t>’</w:t>
      </w:r>
      <w:r w:rsidRPr="00E201BC">
        <w:t xml:space="preserve">affaire </w:t>
      </w:r>
      <w:r w:rsidRPr="00362282">
        <w:rPr>
          <w:i/>
          <w:iCs/>
        </w:rPr>
        <w:t>Ljuba Čekić v. Croatia</w:t>
      </w:r>
      <w:r>
        <w:t xml:space="preserve"> énonce : </w:t>
      </w:r>
    </w:p>
    <w:p w14:paraId="3E6908C0" w14:textId="00F59362" w:rsidR="000C1192" w:rsidRPr="000952D6" w:rsidRDefault="000C1192" w:rsidP="00EE6A74">
      <w:pPr>
        <w:pStyle w:val="SingleTxtG"/>
        <w:ind w:left="1701" w:firstLine="567"/>
        <w:rPr>
          <w:i/>
          <w:iCs/>
        </w:rPr>
      </w:pPr>
      <w:r w:rsidRPr="00EE6A74">
        <w:t>« </w:t>
      </w:r>
      <w:r>
        <w:rPr>
          <w:i/>
          <w:iCs/>
        </w:rPr>
        <w:t>L</w:t>
      </w:r>
      <w:r w:rsidRPr="000952D6">
        <w:rPr>
          <w:i/>
          <w:iCs/>
        </w:rPr>
        <w:t xml:space="preserve">a suspension du </w:t>
      </w:r>
      <w:r>
        <w:rPr>
          <w:i/>
          <w:iCs/>
        </w:rPr>
        <w:t xml:space="preserve">versement </w:t>
      </w:r>
      <w:r w:rsidRPr="000952D6">
        <w:rPr>
          <w:i/>
          <w:iCs/>
        </w:rPr>
        <w:t xml:space="preserve">des pensions dans les </w:t>
      </w:r>
      <w:r>
        <w:rPr>
          <w:i/>
          <w:iCs/>
        </w:rPr>
        <w:t xml:space="preserve">parties occupées du </w:t>
      </w:r>
      <w:r w:rsidRPr="000952D6">
        <w:rPr>
          <w:i/>
          <w:iCs/>
        </w:rPr>
        <w:t xml:space="preserve">territoire </w:t>
      </w:r>
      <w:r>
        <w:rPr>
          <w:i/>
          <w:iCs/>
        </w:rPr>
        <w:t xml:space="preserve">est </w:t>
      </w:r>
      <w:r w:rsidRPr="000952D6">
        <w:rPr>
          <w:i/>
          <w:iCs/>
        </w:rPr>
        <w:t>raisonnablement justifié</w:t>
      </w:r>
      <w:r>
        <w:rPr>
          <w:i/>
          <w:iCs/>
        </w:rPr>
        <w:t>e</w:t>
      </w:r>
      <w:r w:rsidRPr="000952D6">
        <w:rPr>
          <w:i/>
          <w:iCs/>
        </w:rPr>
        <w:t xml:space="preserve">, </w:t>
      </w:r>
      <w:r>
        <w:rPr>
          <w:i/>
          <w:iCs/>
        </w:rPr>
        <w:t xml:space="preserve">de sorte que </w:t>
      </w:r>
      <w:r w:rsidRPr="000952D6">
        <w:rPr>
          <w:i/>
          <w:iCs/>
        </w:rPr>
        <w:t>le non-</w:t>
      </w:r>
      <w:r>
        <w:rPr>
          <w:i/>
          <w:iCs/>
        </w:rPr>
        <w:t>versement</w:t>
      </w:r>
      <w:r w:rsidRPr="000952D6">
        <w:rPr>
          <w:i/>
          <w:iCs/>
        </w:rPr>
        <w:t xml:space="preserve"> des pensions pendant cette période n</w:t>
      </w:r>
      <w:r>
        <w:rPr>
          <w:i/>
          <w:iCs/>
        </w:rPr>
        <w:t>’est</w:t>
      </w:r>
      <w:r w:rsidRPr="000952D6">
        <w:rPr>
          <w:i/>
          <w:iCs/>
        </w:rPr>
        <w:t xml:space="preserve"> pas discriminatoire, </w:t>
      </w:r>
      <w:r>
        <w:rPr>
          <w:i/>
          <w:iCs/>
        </w:rPr>
        <w:t xml:space="preserve">car </w:t>
      </w:r>
      <w:r w:rsidRPr="000952D6">
        <w:rPr>
          <w:i/>
          <w:iCs/>
        </w:rPr>
        <w:t xml:space="preserve">le </w:t>
      </w:r>
      <w:r>
        <w:rPr>
          <w:i/>
          <w:iCs/>
        </w:rPr>
        <w:t>versement de pensions</w:t>
      </w:r>
      <w:r w:rsidR="00936B25">
        <w:rPr>
          <w:i/>
          <w:iCs/>
        </w:rPr>
        <w:t xml:space="preserve"> </w:t>
      </w:r>
      <w:r w:rsidRPr="000952D6">
        <w:rPr>
          <w:i/>
          <w:iCs/>
        </w:rPr>
        <w:t xml:space="preserve">par </w:t>
      </w:r>
      <w:r>
        <w:rPr>
          <w:i/>
          <w:iCs/>
        </w:rPr>
        <w:t>la para-caisse </w:t>
      </w:r>
      <w:r w:rsidRPr="000952D6">
        <w:rPr>
          <w:i/>
          <w:iCs/>
        </w:rPr>
        <w:t>exclu</w:t>
      </w:r>
      <w:r>
        <w:rPr>
          <w:i/>
          <w:iCs/>
        </w:rPr>
        <w:t>t</w:t>
      </w:r>
      <w:r w:rsidRPr="000952D6">
        <w:rPr>
          <w:i/>
          <w:iCs/>
        </w:rPr>
        <w:t xml:space="preserve"> le </w:t>
      </w:r>
      <w:r>
        <w:rPr>
          <w:i/>
          <w:iCs/>
        </w:rPr>
        <w:t xml:space="preserve">versement de </w:t>
      </w:r>
      <w:r w:rsidRPr="000952D6">
        <w:rPr>
          <w:i/>
          <w:iCs/>
        </w:rPr>
        <w:t xml:space="preserve">pensions </w:t>
      </w:r>
      <w:r>
        <w:rPr>
          <w:i/>
          <w:iCs/>
        </w:rPr>
        <w:t xml:space="preserve">au titre de </w:t>
      </w:r>
      <w:r w:rsidRPr="000952D6">
        <w:rPr>
          <w:i/>
          <w:iCs/>
        </w:rPr>
        <w:t xml:space="preserve">la même période par les organes </w:t>
      </w:r>
      <w:r>
        <w:rPr>
          <w:i/>
          <w:iCs/>
        </w:rPr>
        <w:t xml:space="preserve">légaux </w:t>
      </w:r>
      <w:r w:rsidRPr="000952D6">
        <w:rPr>
          <w:i/>
          <w:iCs/>
        </w:rPr>
        <w:t xml:space="preserve">de la </w:t>
      </w:r>
      <w:r>
        <w:rPr>
          <w:i/>
          <w:iCs/>
        </w:rPr>
        <w:t>République de Croatie</w:t>
      </w:r>
      <w:r w:rsidRPr="000952D6">
        <w:rPr>
          <w:i/>
          <w:iCs/>
        </w:rPr>
        <w:t xml:space="preserve">. Cela confirme la justesse </w:t>
      </w:r>
      <w:r>
        <w:rPr>
          <w:i/>
          <w:iCs/>
        </w:rPr>
        <w:t xml:space="preserve">des </w:t>
      </w:r>
      <w:r w:rsidRPr="000952D6">
        <w:rPr>
          <w:i/>
          <w:iCs/>
        </w:rPr>
        <w:t>décision</w:t>
      </w:r>
      <w:r>
        <w:rPr>
          <w:i/>
          <w:iCs/>
        </w:rPr>
        <w:t>s</w:t>
      </w:r>
      <w:r w:rsidRPr="000952D6">
        <w:rPr>
          <w:i/>
          <w:iCs/>
        </w:rPr>
        <w:t xml:space="preserve"> </w:t>
      </w:r>
      <w:r>
        <w:rPr>
          <w:i/>
          <w:iCs/>
        </w:rPr>
        <w:t xml:space="preserve">de la Caisse croate d’assurance retraite </w:t>
      </w:r>
      <w:r w:rsidRPr="000952D6">
        <w:rPr>
          <w:i/>
          <w:iCs/>
        </w:rPr>
        <w:t xml:space="preserve">et des tribunaux de la </w:t>
      </w:r>
      <w:r>
        <w:rPr>
          <w:i/>
          <w:iCs/>
        </w:rPr>
        <w:t xml:space="preserve">République de Croatie selon lesquelles, pour </w:t>
      </w:r>
      <w:r w:rsidRPr="000952D6">
        <w:rPr>
          <w:i/>
          <w:iCs/>
        </w:rPr>
        <w:t xml:space="preserve">la période allant du début de la guerre à la fin de la réintégration pacifique, les assurés </w:t>
      </w:r>
      <w:r>
        <w:rPr>
          <w:i/>
          <w:iCs/>
        </w:rPr>
        <w:t xml:space="preserve">ont droit uniquement au versement </w:t>
      </w:r>
      <w:r w:rsidRPr="000952D6">
        <w:rPr>
          <w:i/>
          <w:iCs/>
        </w:rPr>
        <w:t>d</w:t>
      </w:r>
      <w:r>
        <w:rPr>
          <w:i/>
          <w:iCs/>
        </w:rPr>
        <w:t>’</w:t>
      </w:r>
      <w:r w:rsidRPr="000952D6">
        <w:rPr>
          <w:i/>
          <w:iCs/>
        </w:rPr>
        <w:t xml:space="preserve">une seule pension </w:t>
      </w:r>
      <w:r>
        <w:rPr>
          <w:i/>
          <w:iCs/>
        </w:rPr>
        <w:t xml:space="preserve">au titre de </w:t>
      </w:r>
      <w:r w:rsidRPr="000952D6">
        <w:rPr>
          <w:i/>
          <w:iCs/>
        </w:rPr>
        <w:t>la même période</w:t>
      </w:r>
      <w:r w:rsidR="00EE6A74">
        <w:rPr>
          <w:i/>
          <w:iCs/>
        </w:rPr>
        <w:t>.</w:t>
      </w:r>
      <w:r>
        <w:rPr>
          <w:i/>
          <w:iCs/>
        </w:rPr>
        <w:t> </w:t>
      </w:r>
      <w:r w:rsidRPr="00EE6A74">
        <w:t>».</w:t>
      </w:r>
    </w:p>
    <w:p w14:paraId="5E81899C" w14:textId="77777777" w:rsidR="000C1192" w:rsidRPr="00FA7E36" w:rsidRDefault="000C1192" w:rsidP="00EE6A74">
      <w:pPr>
        <w:pStyle w:val="H23G"/>
      </w:pPr>
      <w:r w:rsidRPr="008E7F4B">
        <w:tab/>
      </w:r>
      <w:r w:rsidRPr="008E7F4B">
        <w:tab/>
      </w:r>
      <w:r w:rsidRPr="00FA7E36">
        <w:t>Droit au travail des étrangers</w:t>
      </w:r>
    </w:p>
    <w:p w14:paraId="2A891A0A" w14:textId="77777777" w:rsidR="000C1192" w:rsidRPr="00777456" w:rsidRDefault="000C1192" w:rsidP="000C1192">
      <w:pPr>
        <w:pStyle w:val="SingleTxtG"/>
      </w:pPr>
      <w:r w:rsidRPr="009E00E0">
        <w:t>44.</w:t>
      </w:r>
      <w:r w:rsidRPr="009E00E0">
        <w:tab/>
      </w:r>
      <w:r w:rsidRPr="001A7BBF">
        <w:t>Les citoyens des États membres de l</w:t>
      </w:r>
      <w:r>
        <w:t>’</w:t>
      </w:r>
      <w:r w:rsidRPr="001A7BBF">
        <w:t>Espace économique européen et de la Confédération suisse ont le droit de circuler librement dans l</w:t>
      </w:r>
      <w:r>
        <w:t>’</w:t>
      </w:r>
      <w:r w:rsidRPr="001A7BBF">
        <w:t>UE, conformément à la directive 2004/38/CE</w:t>
      </w:r>
      <w:r w:rsidRPr="00535E17">
        <w:rPr>
          <w:rStyle w:val="Appelnotedebasdep"/>
        </w:rPr>
        <w:footnoteReference w:id="24"/>
      </w:r>
      <w:r w:rsidRPr="001A7BBF">
        <w:t>, qui a été transposée dans le droit croate, et peuvent travailler et fournir des services en République de Croatie sans permis de séjour ni de travail ni attestation d</w:t>
      </w:r>
      <w:r>
        <w:t>’</w:t>
      </w:r>
      <w:r w:rsidRPr="001A7BBF">
        <w:t xml:space="preserve">enregistrement. </w:t>
      </w:r>
      <w:r w:rsidRPr="00777456">
        <w:t>S</w:t>
      </w:r>
      <w:r>
        <w:t>’</w:t>
      </w:r>
      <w:r w:rsidRPr="00777456">
        <w:t xml:space="preserve">ils </w:t>
      </w:r>
      <w:r>
        <w:t xml:space="preserve">prévoient </w:t>
      </w:r>
      <w:r w:rsidRPr="00777456">
        <w:t xml:space="preserve">de travailler en </w:t>
      </w:r>
      <w:r>
        <w:t xml:space="preserve">République de Croatie </w:t>
      </w:r>
      <w:r w:rsidRPr="00777456">
        <w:t xml:space="preserve">pendant plus de trois mois, ils </w:t>
      </w:r>
      <w:r>
        <w:t>doivent</w:t>
      </w:r>
      <w:r w:rsidRPr="00777456">
        <w:t xml:space="preserve"> </w:t>
      </w:r>
      <w:r>
        <w:t xml:space="preserve">régulariser </w:t>
      </w:r>
      <w:r w:rsidRPr="00777456">
        <w:t xml:space="preserve">leur séjour en suivant une procédure très simple </w:t>
      </w:r>
      <w:r>
        <w:t xml:space="preserve">reposant </w:t>
      </w:r>
      <w:r w:rsidRPr="00777456">
        <w:t>sur un</w:t>
      </w:r>
      <w:r>
        <w:t xml:space="preserve"> permis de travail temporaire</w:t>
      </w:r>
      <w:r w:rsidRPr="00777456">
        <w:t xml:space="preserve">, </w:t>
      </w:r>
      <w:r>
        <w:t xml:space="preserve">qui leur est </w:t>
      </w:r>
      <w:r w:rsidRPr="00777456">
        <w:t>délivré s</w:t>
      </w:r>
      <w:r>
        <w:t>’</w:t>
      </w:r>
      <w:r w:rsidRPr="00777456">
        <w:t xml:space="preserve">ils </w:t>
      </w:r>
      <w:r>
        <w:t>disposent d’</w:t>
      </w:r>
      <w:r w:rsidRPr="00777456">
        <w:t>une carte d</w:t>
      </w:r>
      <w:r>
        <w:t>’</w:t>
      </w:r>
      <w:r w:rsidRPr="00777456">
        <w:t xml:space="preserve">identité ou </w:t>
      </w:r>
      <w:r>
        <w:t>d’</w:t>
      </w:r>
      <w:r w:rsidRPr="00777456">
        <w:t xml:space="preserve">un document de voyage </w:t>
      </w:r>
      <w:r>
        <w:t xml:space="preserve">en cours de validité </w:t>
      </w:r>
      <w:r w:rsidRPr="00777456">
        <w:t xml:space="preserve">et </w:t>
      </w:r>
      <w:r>
        <w:t>d’</w:t>
      </w:r>
      <w:r w:rsidRPr="00777456">
        <w:t>un</w:t>
      </w:r>
      <w:r>
        <w:t xml:space="preserve">e attestation </w:t>
      </w:r>
      <w:r w:rsidRPr="00777456">
        <w:t>d</w:t>
      </w:r>
      <w:r>
        <w:t>’</w:t>
      </w:r>
      <w:r w:rsidRPr="00777456">
        <w:t xml:space="preserve">emploi ou </w:t>
      </w:r>
      <w:r>
        <w:t>d’</w:t>
      </w:r>
      <w:r w:rsidRPr="00777456">
        <w:t xml:space="preserve">une preuve de travail indépendant ou </w:t>
      </w:r>
      <w:r>
        <w:t xml:space="preserve">du statut de </w:t>
      </w:r>
      <w:r w:rsidRPr="00777456">
        <w:t>travailleur détaché.</w:t>
      </w:r>
    </w:p>
    <w:p w14:paraId="68B8A87A" w14:textId="35275DC4" w:rsidR="000C1192" w:rsidRPr="00192675" w:rsidRDefault="000C1192" w:rsidP="000C1192">
      <w:pPr>
        <w:pStyle w:val="SingleTxtG"/>
      </w:pPr>
      <w:r w:rsidRPr="00172FB6">
        <w:lastRenderedPageBreak/>
        <w:t>45.</w:t>
      </w:r>
      <w:r w:rsidRPr="00172FB6">
        <w:tab/>
      </w:r>
      <w:r w:rsidRPr="00192675">
        <w:t xml:space="preserve">Les ressortissants étrangers de pays tiers </w:t>
      </w:r>
      <w:r>
        <w:t xml:space="preserve">sont soumis à des conditions </w:t>
      </w:r>
      <w:r w:rsidRPr="00192675">
        <w:t xml:space="preserve">différentes. </w:t>
      </w:r>
      <w:r>
        <w:t xml:space="preserve">Il existe </w:t>
      </w:r>
      <w:r w:rsidRPr="00192675">
        <w:t>des quotas annuels pour l</w:t>
      </w:r>
      <w:r>
        <w:t>’</w:t>
      </w:r>
      <w:r w:rsidRPr="00192675">
        <w:t>emploi d</w:t>
      </w:r>
      <w:r>
        <w:t xml:space="preserve">es </w:t>
      </w:r>
      <w:r w:rsidRPr="00192675">
        <w:t xml:space="preserve">étrangers </w:t>
      </w:r>
      <w:r>
        <w:t>depuis 2004</w:t>
      </w:r>
      <w:r w:rsidRPr="00192675">
        <w:t>. D</w:t>
      </w:r>
      <w:r>
        <w:t>es d</w:t>
      </w:r>
      <w:r w:rsidRPr="00192675">
        <w:t xml:space="preserve">onnées sur les quotas et les conditions </w:t>
      </w:r>
      <w:r>
        <w:t xml:space="preserve">demandées et le nombre de permis </w:t>
      </w:r>
      <w:r w:rsidRPr="00192675">
        <w:t xml:space="preserve">de séjour et de travail </w:t>
      </w:r>
      <w:r>
        <w:t>accordés peuvent être consultées à la feuille</w:t>
      </w:r>
      <w:r w:rsidR="00974F3E">
        <w:t> </w:t>
      </w:r>
      <w:r w:rsidRPr="00192675">
        <w:t>2.1.2</w:t>
      </w:r>
      <w:r>
        <w:t xml:space="preserve"> de l’a</w:t>
      </w:r>
      <w:r w:rsidRPr="00192675">
        <w:t>nnexe</w:t>
      </w:r>
      <w:r w:rsidR="00974F3E">
        <w:t> </w:t>
      </w:r>
      <w:r w:rsidRPr="00192675">
        <w:t xml:space="preserve">2 du </w:t>
      </w:r>
      <w:r>
        <w:t xml:space="preserve">présent </w:t>
      </w:r>
      <w:r w:rsidRPr="00192675">
        <w:t>rapport.</w:t>
      </w:r>
    </w:p>
    <w:p w14:paraId="0F244F07" w14:textId="77777777" w:rsidR="000C1192" w:rsidRPr="00172FB6" w:rsidRDefault="000C1192" w:rsidP="00974F3E">
      <w:pPr>
        <w:pStyle w:val="SingleTxtG"/>
        <w:keepNext/>
      </w:pPr>
      <w:r w:rsidRPr="00172FB6">
        <w:t>46.</w:t>
      </w:r>
      <w:r w:rsidRPr="00172FB6">
        <w:tab/>
        <w:t xml:space="preserve">Conformément aux dispositions de </w:t>
      </w:r>
      <w:r>
        <w:t>la loi sur les étrangers</w:t>
      </w:r>
      <w:r w:rsidRPr="00172FB6">
        <w:t xml:space="preserve">, un ressortissant </w:t>
      </w:r>
      <w:r>
        <w:t>d’un</w:t>
      </w:r>
      <w:r w:rsidRPr="00172FB6">
        <w:t xml:space="preserve"> pays tiers peut travailler </w:t>
      </w:r>
      <w:r>
        <w:t>en République de Croatie aux conditions suivantes :</w:t>
      </w:r>
    </w:p>
    <w:p w14:paraId="7EF878EF" w14:textId="4F0DA39B" w:rsidR="000C1192" w:rsidRPr="004F0A78" w:rsidRDefault="000C1192" w:rsidP="00974F3E">
      <w:pPr>
        <w:pStyle w:val="SingleTxtG"/>
        <w:keepNext/>
        <w:ind w:left="1701"/>
      </w:pPr>
      <w:r w:rsidRPr="007950B2">
        <w:t>1.</w:t>
      </w:r>
      <w:r w:rsidRPr="007950B2">
        <w:tab/>
      </w:r>
      <w:r w:rsidRPr="004C3A64">
        <w:rPr>
          <w:b/>
          <w:bCs/>
        </w:rPr>
        <w:t>Permis de séjour et de travail</w:t>
      </w:r>
      <w:r w:rsidRPr="004C3A64">
        <w:t xml:space="preserve"> </w:t>
      </w:r>
      <w:r w:rsidR="00974F3E">
        <w:t>−</w:t>
      </w:r>
      <w:r w:rsidRPr="004C3A64">
        <w:t xml:space="preserve"> l</w:t>
      </w:r>
      <w:r>
        <w:t>’</w:t>
      </w:r>
      <w:r w:rsidRPr="004C3A64">
        <w:t>étranger doit répondre aux critères d</w:t>
      </w:r>
      <w:r>
        <w:t>’</w:t>
      </w:r>
      <w:r w:rsidRPr="004C3A64">
        <w:t xml:space="preserve">octroi du séjour temporaire. Il doit </w:t>
      </w:r>
      <w:r>
        <w:t xml:space="preserve">aussi </w:t>
      </w:r>
      <w:r w:rsidRPr="004C3A64">
        <w:t xml:space="preserve">être </w:t>
      </w:r>
      <w:r>
        <w:t xml:space="preserve">en possession </w:t>
      </w:r>
      <w:r w:rsidRPr="004C3A64">
        <w:t>d</w:t>
      </w:r>
      <w:r>
        <w:t>’</w:t>
      </w:r>
      <w:r w:rsidRPr="004C3A64">
        <w:t>un contrat de travail et d</w:t>
      </w:r>
      <w:r>
        <w:t>’</w:t>
      </w:r>
      <w:r w:rsidRPr="004C3A64">
        <w:t xml:space="preserve">autres </w:t>
      </w:r>
      <w:r>
        <w:t xml:space="preserve">pièces justificatives </w:t>
      </w:r>
      <w:r w:rsidRPr="004C3A64">
        <w:t xml:space="preserve">en fonction de la catégorie </w:t>
      </w:r>
      <w:r>
        <w:t xml:space="preserve">pour </w:t>
      </w:r>
      <w:r w:rsidRPr="004C3A64">
        <w:t xml:space="preserve">laquelle il demande un permis de travail. </w:t>
      </w:r>
      <w:r w:rsidRPr="004F0A78">
        <w:t>Les permis de séjour et de travail peuvent être délivrés</w:t>
      </w:r>
      <w:r>
        <w:t> :</w:t>
      </w:r>
    </w:p>
    <w:p w14:paraId="1D446E46" w14:textId="601F4C18" w:rsidR="000C1192" w:rsidRPr="00020459" w:rsidRDefault="000C1192" w:rsidP="00974F3E">
      <w:pPr>
        <w:pStyle w:val="SingleTxtG"/>
        <w:ind w:left="1701" w:firstLine="567"/>
      </w:pPr>
      <w:r w:rsidRPr="00020459">
        <w:t>a)</w:t>
      </w:r>
      <w:r w:rsidRPr="00020459">
        <w:tab/>
        <w:t xml:space="preserve">Au titre du quota annuel </w:t>
      </w:r>
      <w:r w:rsidR="00974F3E">
        <w:t>−</w:t>
      </w:r>
      <w:r>
        <w:t xml:space="preserve"> d’après la décision du Gouvernement de la République de Croatie fixant le quota </w:t>
      </w:r>
      <w:r w:rsidRPr="000426BF">
        <w:t>annuel de permis de travail pour étrangers pour chaque année civile, ou</w:t>
      </w:r>
    </w:p>
    <w:p w14:paraId="65473A3C" w14:textId="4A4FF3E4" w:rsidR="000C1192" w:rsidRPr="004C226C" w:rsidRDefault="000C1192" w:rsidP="00974F3E">
      <w:pPr>
        <w:pStyle w:val="SingleTxtG"/>
        <w:ind w:left="1701" w:firstLine="567"/>
        <w:rPr>
          <w:iCs/>
        </w:rPr>
      </w:pPr>
      <w:r w:rsidRPr="004C226C">
        <w:t>b)</w:t>
      </w:r>
      <w:r w:rsidRPr="004C226C">
        <w:tab/>
      </w:r>
      <w:r w:rsidRPr="004C226C">
        <w:rPr>
          <w:iCs/>
        </w:rPr>
        <w:t xml:space="preserve">En dehors du quota annuel </w:t>
      </w:r>
      <w:r w:rsidR="00974F3E">
        <w:rPr>
          <w:iCs/>
        </w:rPr>
        <w:t>−</w:t>
      </w:r>
      <w:r w:rsidRPr="004C226C">
        <w:rPr>
          <w:iCs/>
        </w:rPr>
        <w:t xml:space="preserve"> </w:t>
      </w:r>
      <w:r>
        <w:rPr>
          <w:iCs/>
        </w:rPr>
        <w:t xml:space="preserve">ces permis étant </w:t>
      </w:r>
      <w:r w:rsidRPr="000426BF">
        <w:rPr>
          <w:iCs/>
        </w:rPr>
        <w:t>délivrés aux catégories d</w:t>
      </w:r>
      <w:r>
        <w:rPr>
          <w:iCs/>
        </w:rPr>
        <w:t>’</w:t>
      </w:r>
      <w:r w:rsidRPr="000426BF">
        <w:rPr>
          <w:iCs/>
        </w:rPr>
        <w:t>étrangers</w:t>
      </w:r>
      <w:r>
        <w:rPr>
          <w:iCs/>
        </w:rPr>
        <w:t xml:space="preserve"> limitativement énumérées</w:t>
      </w:r>
      <w:r w:rsidR="00A408E1">
        <w:rPr>
          <w:iCs/>
        </w:rPr>
        <w:t> ;</w:t>
      </w:r>
    </w:p>
    <w:p w14:paraId="78920295" w14:textId="12B237DE" w:rsidR="000C1192" w:rsidRPr="006D1A06" w:rsidRDefault="000C1192" w:rsidP="00974F3E">
      <w:pPr>
        <w:pStyle w:val="SingleTxtG"/>
        <w:ind w:left="1701"/>
      </w:pPr>
      <w:r w:rsidRPr="006D1A06">
        <w:t>2.</w:t>
      </w:r>
      <w:r w:rsidRPr="006D1A06">
        <w:tab/>
      </w:r>
      <w:r>
        <w:rPr>
          <w:b/>
          <w:bCs/>
        </w:rPr>
        <w:t>Les a</w:t>
      </w:r>
      <w:r w:rsidRPr="006D1A06">
        <w:rPr>
          <w:b/>
          <w:bCs/>
        </w:rPr>
        <w:t>utorisations de travail</w:t>
      </w:r>
      <w:r w:rsidRPr="006D1A06">
        <w:t xml:space="preserve"> (jusqu</w:t>
      </w:r>
      <w:r>
        <w:t>’</w:t>
      </w:r>
      <w:r w:rsidRPr="006D1A06">
        <w:t>à 30, 60 ou 90</w:t>
      </w:r>
      <w:r w:rsidR="00A408E1">
        <w:t> </w:t>
      </w:r>
      <w:r w:rsidRPr="006D1A06">
        <w:t>jours par année civile) sont délivré</w:t>
      </w:r>
      <w:r>
        <w:t>e</w:t>
      </w:r>
      <w:r w:rsidRPr="006D1A06">
        <w:t xml:space="preserve">s </w:t>
      </w:r>
      <w:r>
        <w:t xml:space="preserve">aux </w:t>
      </w:r>
      <w:r w:rsidRPr="006D1A06">
        <w:t>catégories d</w:t>
      </w:r>
      <w:r>
        <w:t>’</w:t>
      </w:r>
      <w:r w:rsidRPr="006D1A06">
        <w:t xml:space="preserve">étrangers </w:t>
      </w:r>
      <w:r>
        <w:t xml:space="preserve">limitativement </w:t>
      </w:r>
      <w:r w:rsidRPr="006D1A06">
        <w:t xml:space="preserve">énumérées (par exemple, les membres </w:t>
      </w:r>
      <w:r>
        <w:t xml:space="preserve">d’un </w:t>
      </w:r>
      <w:r w:rsidRPr="006D1A06">
        <w:t xml:space="preserve">conseil de surveillance, les scientifiques, les correspondants étrangers, les bénévoles, les artistes et le personnel technique </w:t>
      </w:r>
      <w:r>
        <w:t>de représentations d’</w:t>
      </w:r>
      <w:r w:rsidRPr="006D1A06">
        <w:t xml:space="preserve">opéra, </w:t>
      </w:r>
      <w:r>
        <w:t>de</w:t>
      </w:r>
      <w:r w:rsidRPr="006D1A06">
        <w:t xml:space="preserve"> ballet et d</w:t>
      </w:r>
      <w:r>
        <w:t>’</w:t>
      </w:r>
      <w:r w:rsidRPr="006D1A06">
        <w:t xml:space="preserve">autres </w:t>
      </w:r>
      <w:r>
        <w:t xml:space="preserve">spectacles </w:t>
      </w:r>
      <w:r w:rsidRPr="006D1A06">
        <w:t>culturels, les musiciens, etc.)</w:t>
      </w:r>
      <w:r>
        <w:t> ;</w:t>
      </w:r>
    </w:p>
    <w:p w14:paraId="147A18D3" w14:textId="23E85ACF" w:rsidR="000C1192" w:rsidRPr="00812F9C" w:rsidRDefault="000C1192" w:rsidP="00974F3E">
      <w:pPr>
        <w:pStyle w:val="SingleTxtG"/>
        <w:ind w:left="1701"/>
      </w:pPr>
      <w:r w:rsidRPr="00812F9C">
        <w:t>3.</w:t>
      </w:r>
      <w:r w:rsidRPr="00812F9C">
        <w:tab/>
      </w:r>
      <w:r w:rsidRPr="00812F9C">
        <w:rPr>
          <w:b/>
          <w:bCs/>
        </w:rPr>
        <w:t>Sans permis de séjour et de travail ni autorisation de travail</w:t>
      </w:r>
      <w:r w:rsidRPr="00812F9C">
        <w:t xml:space="preserve"> </w:t>
      </w:r>
      <w:r w:rsidR="00A408E1">
        <w:t>−</w:t>
      </w:r>
      <w:r w:rsidRPr="00812F9C">
        <w:t xml:space="preserve"> </w:t>
      </w:r>
      <w:r w:rsidRPr="00FA0AF5">
        <w:t>un étranger peut travailler s</w:t>
      </w:r>
      <w:r>
        <w:t>’</w:t>
      </w:r>
      <w:r w:rsidRPr="00FA0AF5">
        <w:t xml:space="preserve">il </w:t>
      </w:r>
      <w:r>
        <w:t xml:space="preserve">a obtenu un permis de séjour permanent, bénéficie de la </w:t>
      </w:r>
      <w:r w:rsidRPr="00FA0AF5">
        <w:t xml:space="preserve">protection internationale ou </w:t>
      </w:r>
      <w:r>
        <w:t xml:space="preserve">d’une </w:t>
      </w:r>
      <w:r w:rsidRPr="00FA0AF5">
        <w:t>protection temporaire</w:t>
      </w:r>
      <w:r>
        <w:t xml:space="preserve">, </w:t>
      </w:r>
      <w:r w:rsidRPr="00FA0AF5">
        <w:t xml:space="preserve">est demandeur de </w:t>
      </w:r>
      <w:r>
        <w:t xml:space="preserve">la </w:t>
      </w:r>
      <w:r w:rsidRPr="00FA0AF5">
        <w:t>protection internationale,</w:t>
      </w:r>
      <w:r>
        <w:t xml:space="preserve"> ou</w:t>
      </w:r>
      <w:r w:rsidRPr="00FA0AF5">
        <w:t xml:space="preserve"> </w:t>
      </w:r>
      <w:r>
        <w:t xml:space="preserve">est titulaire d’un permis de séjour </w:t>
      </w:r>
      <w:r w:rsidRPr="00FA0AF5">
        <w:t xml:space="preserve">temporaire aux fins </w:t>
      </w:r>
      <w:r>
        <w:t xml:space="preserve">du </w:t>
      </w:r>
      <w:r w:rsidRPr="00FA0AF5">
        <w:t xml:space="preserve">regroupement familial ou </w:t>
      </w:r>
      <w:r>
        <w:t xml:space="preserve">du </w:t>
      </w:r>
      <w:r w:rsidRPr="00FA0AF5">
        <w:t>partenariat de vie avec un</w:t>
      </w:r>
      <w:r>
        <w:t xml:space="preserve"> ressortissant </w:t>
      </w:r>
      <w:r w:rsidRPr="00FA0AF5">
        <w:t>croate</w:t>
      </w:r>
      <w:r>
        <w:t xml:space="preserve"> ; sont aussi autorisés à travailler les </w:t>
      </w:r>
      <w:r w:rsidRPr="00FA0AF5">
        <w:t>ressortissant</w:t>
      </w:r>
      <w:r>
        <w:t>s</w:t>
      </w:r>
      <w:r w:rsidRPr="00FA0AF5">
        <w:t xml:space="preserve"> de pays tiers</w:t>
      </w:r>
      <w:r>
        <w:t xml:space="preserve"> et les </w:t>
      </w:r>
      <w:r w:rsidRPr="00FA0AF5">
        <w:t>demandeur</w:t>
      </w:r>
      <w:r>
        <w:t>s</w:t>
      </w:r>
      <w:r w:rsidRPr="00FA0AF5">
        <w:t xml:space="preserve"> d</w:t>
      </w:r>
      <w:r>
        <w:t>’</w:t>
      </w:r>
      <w:r w:rsidRPr="00FA0AF5">
        <w:t>asile bénéficiant d</w:t>
      </w:r>
      <w:r>
        <w:t>’</w:t>
      </w:r>
      <w:r w:rsidRPr="00FA0AF5">
        <w:t>une protection subsidiaire ou temporaire</w:t>
      </w:r>
      <w:r>
        <w:t xml:space="preserve">, et les personnes demandant un permis de séjour </w:t>
      </w:r>
      <w:r w:rsidRPr="00FA0AF5">
        <w:t xml:space="preserve">temporaire pour des raisons humanitaires, </w:t>
      </w:r>
      <w:r>
        <w:t xml:space="preserve">ou un permis de séjour </w:t>
      </w:r>
      <w:r w:rsidRPr="00FA0AF5">
        <w:t>autonome</w:t>
      </w:r>
      <w:r>
        <w:t xml:space="preserve"> avec le </w:t>
      </w:r>
      <w:r w:rsidRPr="00FA0AF5">
        <w:t>statut d</w:t>
      </w:r>
      <w:r>
        <w:t>’</w:t>
      </w:r>
      <w:r w:rsidRPr="00FA0AF5">
        <w:t xml:space="preserve">étudiant à temps </w:t>
      </w:r>
      <w:r>
        <w:t xml:space="preserve">complet si les </w:t>
      </w:r>
      <w:r w:rsidRPr="00FA0AF5">
        <w:t xml:space="preserve">activités </w:t>
      </w:r>
      <w:r>
        <w:t xml:space="preserve">sont exercées sous la responsabilité </w:t>
      </w:r>
      <w:r w:rsidRPr="00FA0AF5">
        <w:t>d</w:t>
      </w:r>
      <w:r>
        <w:t>’</w:t>
      </w:r>
      <w:r w:rsidRPr="00FA0AF5">
        <w:t xml:space="preserve">intermédiaires </w:t>
      </w:r>
      <w:r>
        <w:t>agréés</w:t>
      </w:r>
      <w:r w:rsidRPr="00FA0AF5">
        <w:t xml:space="preserve">, </w:t>
      </w:r>
      <w:r>
        <w:t xml:space="preserve">un permis de séjour </w:t>
      </w:r>
      <w:r w:rsidRPr="00FA0AF5">
        <w:t xml:space="preserve">temporaire pour la recherche scientifique, </w:t>
      </w:r>
      <w:r>
        <w:t xml:space="preserve">ou un permis de séjour </w:t>
      </w:r>
      <w:r w:rsidRPr="00FA0AF5">
        <w:t>temporaire pour des études à temps</w:t>
      </w:r>
      <w:r>
        <w:t xml:space="preserve"> complet.</w:t>
      </w:r>
      <w:r w:rsidRPr="00FA0AF5">
        <w:t xml:space="preserve"> </w:t>
      </w:r>
    </w:p>
    <w:p w14:paraId="2B171286" w14:textId="77777777" w:rsidR="000C1192" w:rsidRPr="005540C0" w:rsidRDefault="000C1192" w:rsidP="000C1192">
      <w:pPr>
        <w:pStyle w:val="SingleTxtG"/>
      </w:pPr>
      <w:r w:rsidRPr="00CB24F8">
        <w:t>47.</w:t>
      </w:r>
      <w:r w:rsidRPr="00CB24F8">
        <w:tab/>
      </w:r>
      <w:r>
        <w:t xml:space="preserve">À compter de </w:t>
      </w:r>
      <w:r w:rsidRPr="006C443C">
        <w:t xml:space="preserve">2001, la </w:t>
      </w:r>
      <w:r>
        <w:t>République de Croatie</w:t>
      </w:r>
      <w:r w:rsidRPr="006C443C">
        <w:t xml:space="preserve"> a </w:t>
      </w:r>
      <w:r>
        <w:t xml:space="preserve">engagé </w:t>
      </w:r>
      <w:r w:rsidRPr="006C443C">
        <w:t xml:space="preserve">une réforme approfondie et </w:t>
      </w:r>
      <w:r>
        <w:t xml:space="preserve">institué </w:t>
      </w:r>
      <w:r w:rsidRPr="006C443C">
        <w:t>un cadre législatif et institutionnel antidiscriminat</w:t>
      </w:r>
      <w:r>
        <w:t>oire</w:t>
      </w:r>
      <w:r w:rsidRPr="006C443C">
        <w:t xml:space="preserve">. </w:t>
      </w:r>
      <w:r w:rsidRPr="005540C0">
        <w:t>L</w:t>
      </w:r>
      <w:r>
        <w:t xml:space="preserve">e texte fondamental </w:t>
      </w:r>
      <w:r w:rsidRPr="005540C0">
        <w:t>de la législation anti</w:t>
      </w:r>
      <w:r>
        <w:t xml:space="preserve">discriminatoire </w:t>
      </w:r>
      <w:r w:rsidRPr="005540C0">
        <w:t xml:space="preserve">est </w:t>
      </w:r>
      <w:r>
        <w:t>la loi sur la lutte contre la discrimination</w:t>
      </w:r>
      <w:r w:rsidRPr="005540C0">
        <w:t>, qui garantit la protection et la promotion de l</w:t>
      </w:r>
      <w:r>
        <w:t>’</w:t>
      </w:r>
      <w:r w:rsidRPr="005540C0">
        <w:t>égalité</w:t>
      </w:r>
      <w:r>
        <w:t xml:space="preserve">, </w:t>
      </w:r>
      <w:r w:rsidRPr="005540C0">
        <w:t>valeur suprême de l</w:t>
      </w:r>
      <w:r>
        <w:t>’</w:t>
      </w:r>
      <w:r w:rsidRPr="005540C0">
        <w:t xml:space="preserve">ordre constitutionnel, </w:t>
      </w:r>
      <w:r>
        <w:t xml:space="preserve">définit </w:t>
      </w:r>
      <w:r w:rsidRPr="005540C0">
        <w:t xml:space="preserve">les conditions préalables </w:t>
      </w:r>
      <w:r>
        <w:t xml:space="preserve">de </w:t>
      </w:r>
      <w:r w:rsidRPr="005540C0">
        <w:t>l</w:t>
      </w:r>
      <w:r>
        <w:t>’</w:t>
      </w:r>
      <w:r w:rsidRPr="005540C0">
        <w:t xml:space="preserve">égalité des chances et </w:t>
      </w:r>
      <w:r>
        <w:t xml:space="preserve">régit </w:t>
      </w:r>
      <w:r w:rsidRPr="005540C0">
        <w:t>la protection contre la discrimination fondée sur la race, l</w:t>
      </w:r>
      <w:r>
        <w:t xml:space="preserve">’origine </w:t>
      </w:r>
      <w:r w:rsidRPr="005540C0">
        <w:t>ethni</w:t>
      </w:r>
      <w:r>
        <w:t>qu</w:t>
      </w:r>
      <w:r w:rsidRPr="005540C0">
        <w:t>e, la couleur, le sexe, la langue, la religion, les convictions politiques ou autres, l</w:t>
      </w:r>
      <w:r>
        <w:t>’</w:t>
      </w:r>
      <w:r w:rsidRPr="005540C0">
        <w:t xml:space="preserve">origine nationale ou sociale, le </w:t>
      </w:r>
      <w:r>
        <w:t>patrimoine</w:t>
      </w:r>
      <w:r w:rsidRPr="005540C0">
        <w:t>, l</w:t>
      </w:r>
      <w:r>
        <w:t xml:space="preserve">’affiliation </w:t>
      </w:r>
      <w:r w:rsidRPr="005540C0">
        <w:t>à un syndicat, l</w:t>
      </w:r>
      <w:r>
        <w:t>’</w:t>
      </w:r>
      <w:r w:rsidRPr="005540C0">
        <w:t xml:space="preserve">éducation, le statut social, le statut </w:t>
      </w:r>
      <w:r>
        <w:t xml:space="preserve">conjugal </w:t>
      </w:r>
      <w:r w:rsidRPr="005540C0">
        <w:t>ou familial, l</w:t>
      </w:r>
      <w:r>
        <w:t>’</w:t>
      </w:r>
      <w:r w:rsidRPr="005540C0">
        <w:t>âge, l</w:t>
      </w:r>
      <w:r>
        <w:t>’</w:t>
      </w:r>
      <w:r w:rsidRPr="005540C0">
        <w:t>état de santé, le handicap, le patrimoine génétique, l</w:t>
      </w:r>
      <w:r>
        <w:t>’</w:t>
      </w:r>
      <w:r w:rsidRPr="005540C0">
        <w:t>identité ou l</w:t>
      </w:r>
      <w:r>
        <w:t>’</w:t>
      </w:r>
      <w:r w:rsidRPr="005540C0">
        <w:t>expression de genre ou l</w:t>
      </w:r>
      <w:r>
        <w:t>’</w:t>
      </w:r>
      <w:r w:rsidRPr="005540C0">
        <w:t>orientation sexuelle.</w:t>
      </w:r>
    </w:p>
    <w:p w14:paraId="2F2E572D" w14:textId="77777777" w:rsidR="000C1192" w:rsidRPr="00CC66FC" w:rsidRDefault="000C1192" w:rsidP="000C1192">
      <w:pPr>
        <w:pStyle w:val="SingleTxtG"/>
      </w:pPr>
      <w:r w:rsidRPr="00D92DFF">
        <w:t>48.</w:t>
      </w:r>
      <w:r w:rsidRPr="00D92DFF">
        <w:tab/>
      </w:r>
      <w:r>
        <w:t>L’</w:t>
      </w:r>
      <w:r w:rsidRPr="00CC66FC">
        <w:t xml:space="preserve">autorité centrale </w:t>
      </w:r>
      <w:r>
        <w:t xml:space="preserve">en matière de lutte </w:t>
      </w:r>
      <w:r w:rsidRPr="00CC66FC">
        <w:t xml:space="preserve">contre la discrimination </w:t>
      </w:r>
      <w:r>
        <w:t>est répartie, chacun dans leur domaine de compétence, entre le M</w:t>
      </w:r>
      <w:r w:rsidRPr="00CC66FC">
        <w:t xml:space="preserve">édiateur, </w:t>
      </w:r>
      <w:r>
        <w:t>le M</w:t>
      </w:r>
      <w:r w:rsidRPr="00CC66FC">
        <w:t>édiateur pour l</w:t>
      </w:r>
      <w:r>
        <w:t>’</w:t>
      </w:r>
      <w:r w:rsidRPr="00CC66FC">
        <w:t xml:space="preserve">égalité </w:t>
      </w:r>
      <w:r>
        <w:t xml:space="preserve">entre les </w:t>
      </w:r>
      <w:r w:rsidRPr="00CC66FC">
        <w:t xml:space="preserve">sexes, </w:t>
      </w:r>
      <w:r>
        <w:t>le M</w:t>
      </w:r>
      <w:r w:rsidRPr="00CC66FC">
        <w:t xml:space="preserve">édiateur pour les personnes handicapées et </w:t>
      </w:r>
      <w:r>
        <w:t>le M</w:t>
      </w:r>
      <w:r w:rsidRPr="00CC66FC">
        <w:t>édiateur pour les enfants.</w:t>
      </w:r>
    </w:p>
    <w:p w14:paraId="1FD3318A" w14:textId="77777777" w:rsidR="000C1192" w:rsidRPr="00CC66FC" w:rsidRDefault="000C1192" w:rsidP="000C1192">
      <w:pPr>
        <w:pStyle w:val="SingleTxtG"/>
      </w:pPr>
      <w:r w:rsidRPr="00AC2954">
        <w:t>49.</w:t>
      </w:r>
      <w:r w:rsidRPr="00AC2954">
        <w:tab/>
      </w:r>
      <w:r w:rsidRPr="00CC66FC">
        <w:t>L</w:t>
      </w:r>
      <w:r>
        <w:t>a loi sur la lutte contre la discrimination</w:t>
      </w:r>
      <w:r w:rsidRPr="00CC66FC">
        <w:t xml:space="preserve"> </w:t>
      </w:r>
      <w:r>
        <w:t xml:space="preserve">est appliquée en particulier </w:t>
      </w:r>
      <w:r w:rsidRPr="00CC66FC">
        <w:t>dans les domaines du travail, de l</w:t>
      </w:r>
      <w:r>
        <w:t>’</w:t>
      </w:r>
      <w:r w:rsidRPr="00CC66FC">
        <w:t xml:space="preserve">éducation, </w:t>
      </w:r>
      <w:r>
        <w:t xml:space="preserve">des sciences, du </w:t>
      </w:r>
      <w:r w:rsidRPr="00CC66FC">
        <w:t>sport, de la sécurité sociale, de la santé, de la justice, du logement, des médias, de l</w:t>
      </w:r>
      <w:r>
        <w:t>’</w:t>
      </w:r>
      <w:r w:rsidRPr="00CC66FC">
        <w:t>a</w:t>
      </w:r>
      <w:r>
        <w:t xml:space="preserve">ffiliation </w:t>
      </w:r>
      <w:r w:rsidRPr="00CC66FC">
        <w:t>à des organisations et de la créati</w:t>
      </w:r>
      <w:r>
        <w:t>on</w:t>
      </w:r>
      <w:r w:rsidRPr="00CC66FC">
        <w:t xml:space="preserve"> culturelle</w:t>
      </w:r>
      <w:r>
        <w:t>.</w:t>
      </w:r>
    </w:p>
    <w:p w14:paraId="04204CF5" w14:textId="77777777" w:rsidR="000C1192" w:rsidRPr="00CC66FC" w:rsidRDefault="000C1192" w:rsidP="000C1192">
      <w:pPr>
        <w:pStyle w:val="SingleTxtG"/>
      </w:pPr>
      <w:r w:rsidRPr="00E03C88">
        <w:t>50.</w:t>
      </w:r>
      <w:r w:rsidRPr="00E03C88">
        <w:tab/>
      </w:r>
      <w:r>
        <w:t xml:space="preserve">Des </w:t>
      </w:r>
      <w:r w:rsidRPr="00CC66FC">
        <w:t xml:space="preserve">dispositions antidiscriminatoires </w:t>
      </w:r>
      <w:r>
        <w:t xml:space="preserve">figurent </w:t>
      </w:r>
      <w:r w:rsidRPr="00CC66FC">
        <w:t>dans un certain nombre d</w:t>
      </w:r>
      <w:r>
        <w:t>’</w:t>
      </w:r>
      <w:r w:rsidRPr="00CC66FC">
        <w:t xml:space="preserve">autres </w:t>
      </w:r>
      <w:r>
        <w:t>textes</w:t>
      </w:r>
      <w:r w:rsidRPr="00CC66FC">
        <w:t xml:space="preserve">, parmi lesquels </w:t>
      </w:r>
      <w:r>
        <w:t>le Code pénal, la L</w:t>
      </w:r>
      <w:r w:rsidRPr="00ED2B25">
        <w:t xml:space="preserve">oi constitutionnelle </w:t>
      </w:r>
      <w:r>
        <w:t xml:space="preserve">sur les </w:t>
      </w:r>
      <w:r w:rsidRPr="00ED2B25">
        <w:t>droits des minorités nationales</w:t>
      </w:r>
      <w:r>
        <w:t xml:space="preserve">, la loi sur le travail, la loi sur l’égalité entre les sexes, la loi sur le partenariat de vie entre personnes de même sexe et la loi sur la fonction publique. </w:t>
      </w:r>
    </w:p>
    <w:p w14:paraId="663513F7" w14:textId="77777777" w:rsidR="000C1192" w:rsidRPr="00CC66FC" w:rsidRDefault="000C1192" w:rsidP="00A408E1">
      <w:pPr>
        <w:pStyle w:val="SingleTxtG"/>
        <w:keepLines/>
      </w:pPr>
      <w:r w:rsidRPr="00FE5242">
        <w:lastRenderedPageBreak/>
        <w:t>51.</w:t>
      </w:r>
      <w:r w:rsidRPr="00FE5242">
        <w:tab/>
      </w:r>
      <w:r w:rsidRPr="00CC66FC">
        <w:t>À l</w:t>
      </w:r>
      <w:r>
        <w:t>’</w:t>
      </w:r>
      <w:r w:rsidRPr="00CC66FC">
        <w:t>occasion du dixième anniversaire de l</w:t>
      </w:r>
      <w:r>
        <w:t>’</w:t>
      </w:r>
      <w:r w:rsidRPr="00CC66FC">
        <w:t xml:space="preserve">adoption de </w:t>
      </w:r>
      <w:r>
        <w:t>la loi sur la lutte contre la discrimination</w:t>
      </w:r>
      <w:r w:rsidRPr="00CC66FC">
        <w:t xml:space="preserve">, une analyse de la jurisprudence relative aux </w:t>
      </w:r>
      <w:r>
        <w:t xml:space="preserve">affaires </w:t>
      </w:r>
      <w:r w:rsidRPr="00CC66FC">
        <w:t>de discrimination a été publiée. Le travail et l</w:t>
      </w:r>
      <w:r>
        <w:t>’</w:t>
      </w:r>
      <w:r w:rsidRPr="00CC66FC">
        <w:t xml:space="preserve">emploi sont les domaines où le nombre de plaintes est le plus élevé. Parmi les chômeurs, </w:t>
      </w:r>
      <w:r>
        <w:t xml:space="preserve">le motif de discrimination le </w:t>
      </w:r>
      <w:r w:rsidRPr="00CC66FC">
        <w:t xml:space="preserve">plus courant </w:t>
      </w:r>
      <w:r>
        <w:t xml:space="preserve">est </w:t>
      </w:r>
      <w:r w:rsidRPr="00CC66FC">
        <w:t>l</w:t>
      </w:r>
      <w:r>
        <w:t>’</w:t>
      </w:r>
      <w:r w:rsidRPr="00CC66FC">
        <w:t xml:space="preserve">âge, </w:t>
      </w:r>
      <w:r>
        <w:t xml:space="preserve">suivi du </w:t>
      </w:r>
      <w:r w:rsidRPr="00CC66FC">
        <w:t xml:space="preserve">sexe. En </w:t>
      </w:r>
      <w:r>
        <w:t xml:space="preserve">suivant </w:t>
      </w:r>
      <w:r w:rsidRPr="00CC66FC">
        <w:t>les offres d</w:t>
      </w:r>
      <w:r>
        <w:t>’</w:t>
      </w:r>
      <w:r w:rsidRPr="00CC66FC">
        <w:t xml:space="preserve">emploi, la </w:t>
      </w:r>
      <w:r>
        <w:t>M</w:t>
      </w:r>
      <w:r w:rsidRPr="00CC66FC">
        <w:t xml:space="preserve">édiatrice a </w:t>
      </w:r>
      <w:r>
        <w:t xml:space="preserve">pu relever </w:t>
      </w:r>
      <w:r w:rsidRPr="00CC66FC">
        <w:t>qu</w:t>
      </w:r>
      <w:r>
        <w:t>’</w:t>
      </w:r>
      <w:r w:rsidRPr="00CC66FC">
        <w:t xml:space="preserve">elles </w:t>
      </w:r>
      <w:r>
        <w:t xml:space="preserve">comportent </w:t>
      </w:r>
      <w:r w:rsidRPr="00CC66FC">
        <w:t>souvent des motifs discriminatoires</w:t>
      </w:r>
      <w:r>
        <w:t>,</w:t>
      </w:r>
      <w:r w:rsidRPr="00CC66FC">
        <w:t xml:space="preserve"> comme </w:t>
      </w:r>
      <w:r>
        <w:t xml:space="preserve">l’imposition d’un </w:t>
      </w:r>
      <w:r w:rsidRPr="00CC66FC">
        <w:t>certain âge comme condition d</w:t>
      </w:r>
      <w:r>
        <w:t>’</w:t>
      </w:r>
      <w:r w:rsidRPr="00CC66FC">
        <w:t>emploi. La discrimination fondée sur l</w:t>
      </w:r>
      <w:r>
        <w:t>’</w:t>
      </w:r>
      <w:r w:rsidRPr="00CC66FC">
        <w:t xml:space="preserve">âge </w:t>
      </w:r>
      <w:r>
        <w:t xml:space="preserve">peut aussi exister dans </w:t>
      </w:r>
      <w:r w:rsidRPr="00CC66FC">
        <w:t>l</w:t>
      </w:r>
      <w:r>
        <w:t>’</w:t>
      </w:r>
      <w:r w:rsidRPr="00CC66FC">
        <w:t>entreprise</w:t>
      </w:r>
      <w:r>
        <w:t xml:space="preserve"> sous la forme </w:t>
      </w:r>
      <w:r w:rsidRPr="00CC66FC">
        <w:t>du refus de certain</w:t>
      </w:r>
      <w:r>
        <w:t>e</w:t>
      </w:r>
      <w:r w:rsidRPr="00CC66FC">
        <w:t xml:space="preserve">s </w:t>
      </w:r>
      <w:r>
        <w:t>prestations</w:t>
      </w:r>
      <w:r w:rsidRPr="00CC66FC">
        <w:t xml:space="preserve">, de conditions de travail </w:t>
      </w:r>
      <w:r>
        <w:t xml:space="preserve">moins favorables </w:t>
      </w:r>
      <w:r w:rsidRPr="00CC66FC">
        <w:t xml:space="preserve">et </w:t>
      </w:r>
      <w:r>
        <w:t xml:space="preserve">d’un risque de </w:t>
      </w:r>
      <w:r w:rsidRPr="00CC66FC">
        <w:t xml:space="preserve">licenciement plus </w:t>
      </w:r>
      <w:r>
        <w:t>élevé</w:t>
      </w:r>
      <w:r w:rsidRPr="00CC66FC">
        <w:t xml:space="preserve">, et </w:t>
      </w:r>
      <w:r>
        <w:t xml:space="preserve">peut être vécue </w:t>
      </w:r>
      <w:r w:rsidRPr="00CC66FC">
        <w:t xml:space="preserve">aussi bien par les personnes valides </w:t>
      </w:r>
      <w:r>
        <w:t xml:space="preserve">plus âgées </w:t>
      </w:r>
      <w:r w:rsidRPr="00CC66FC">
        <w:t>que par les jeunes.</w:t>
      </w:r>
    </w:p>
    <w:p w14:paraId="1D4BD714" w14:textId="4C1918A4" w:rsidR="000C1192" w:rsidRPr="000A5007" w:rsidRDefault="000C1192" w:rsidP="000C1192">
      <w:pPr>
        <w:pStyle w:val="SingleTxtG"/>
        <w:rPr>
          <w:rStyle w:val="Appelnotedebasdep"/>
          <w:color w:val="000000" w:themeColor="text1"/>
        </w:rPr>
      </w:pPr>
      <w:r w:rsidRPr="004E5840">
        <w:t>52.</w:t>
      </w:r>
      <w:r w:rsidRPr="004E5840">
        <w:tab/>
      </w:r>
      <w:r w:rsidRPr="000A5007">
        <w:t>Le C</w:t>
      </w:r>
      <w:r>
        <w:t xml:space="preserve">ode pénal confère le caractère d’infraction pénale liée à la discrimination aux </w:t>
      </w:r>
      <w:r w:rsidRPr="000A5007">
        <w:t xml:space="preserve">actes de torture et autres peines ou traitements cruels, inhumains ou dégradants, </w:t>
      </w:r>
      <w:r>
        <w:t xml:space="preserve">aux atteintes à </w:t>
      </w:r>
      <w:r w:rsidRPr="000A5007">
        <w:t>l</w:t>
      </w:r>
      <w:r>
        <w:t>’</w:t>
      </w:r>
      <w:r w:rsidRPr="000A5007">
        <w:t xml:space="preserve">égalité, </w:t>
      </w:r>
      <w:r>
        <w:t xml:space="preserve">aux atteintes à </w:t>
      </w:r>
      <w:r w:rsidRPr="000A5007">
        <w:t>la liberté d</w:t>
      </w:r>
      <w:r>
        <w:t>’</w:t>
      </w:r>
      <w:r w:rsidRPr="000A5007">
        <w:t xml:space="preserve">expression, </w:t>
      </w:r>
      <w:r>
        <w:t xml:space="preserve">au </w:t>
      </w:r>
      <w:r w:rsidRPr="000A5007">
        <w:t xml:space="preserve">harcèlement sexuel, </w:t>
      </w:r>
      <w:r>
        <w:t xml:space="preserve">et à </w:t>
      </w:r>
      <w:r w:rsidRPr="000A5007">
        <w:t>l</w:t>
      </w:r>
      <w:r>
        <w:t>’</w:t>
      </w:r>
      <w:r w:rsidRPr="000A5007">
        <w:t xml:space="preserve">incitation publique à la violence et </w:t>
      </w:r>
      <w:r>
        <w:t xml:space="preserve">à </w:t>
      </w:r>
      <w:r w:rsidRPr="000A5007">
        <w:t>la haine. Jusqu</w:t>
      </w:r>
      <w:r>
        <w:t>’</w:t>
      </w:r>
      <w:r w:rsidRPr="000A5007">
        <w:t>à 20</w:t>
      </w:r>
      <w:r w:rsidR="00A408E1">
        <w:t> </w:t>
      </w:r>
      <w:r w:rsidRPr="000A5007">
        <w:t xml:space="preserve">affaires </w:t>
      </w:r>
      <w:r>
        <w:t xml:space="preserve">d’une durée supérieure à un an </w:t>
      </w:r>
      <w:r w:rsidRPr="000A5007">
        <w:t>sont traitées chaque année, et la plupart d</w:t>
      </w:r>
      <w:r>
        <w:t>’</w:t>
      </w:r>
      <w:r w:rsidRPr="000A5007">
        <w:t xml:space="preserve">entre elles </w:t>
      </w:r>
      <w:r>
        <w:t xml:space="preserve">débouchent sur une </w:t>
      </w:r>
      <w:r w:rsidRPr="000A5007">
        <w:t xml:space="preserve">condamnation, le plus souvent </w:t>
      </w:r>
      <w:r>
        <w:t xml:space="preserve">à </w:t>
      </w:r>
      <w:r w:rsidRPr="000A5007">
        <w:t>une peine d</w:t>
      </w:r>
      <w:r>
        <w:t>’</w:t>
      </w:r>
      <w:r w:rsidRPr="000A5007">
        <w:t xml:space="preserve">emprisonnement avec sursis. </w:t>
      </w:r>
      <w:r>
        <w:t xml:space="preserve">En </w:t>
      </w:r>
      <w:r w:rsidRPr="000A5007">
        <w:t>2019, 51</w:t>
      </w:r>
      <w:r w:rsidR="00A408E1">
        <w:t> </w:t>
      </w:r>
      <w:r w:rsidRPr="000A5007">
        <w:t xml:space="preserve">crimes de haine ont été enregistrés, </w:t>
      </w:r>
      <w:r>
        <w:t xml:space="preserve">en hausse sensible </w:t>
      </w:r>
      <w:r w:rsidRPr="000A5007">
        <w:t xml:space="preserve">par rapport à 2018 où </w:t>
      </w:r>
      <w:r>
        <w:t xml:space="preserve">il y en a eu </w:t>
      </w:r>
      <w:r w:rsidRPr="000A5007">
        <w:t>33</w:t>
      </w:r>
      <w:r w:rsidRPr="00535E17">
        <w:rPr>
          <w:rStyle w:val="Appelnotedebasdep"/>
        </w:rPr>
        <w:footnoteReference w:id="25"/>
      </w:r>
      <w:r>
        <w:t>.</w:t>
      </w:r>
    </w:p>
    <w:p w14:paraId="0186E6C6" w14:textId="77777777" w:rsidR="000C1192" w:rsidRPr="00D826A4" w:rsidRDefault="000C1192" w:rsidP="000C1192">
      <w:pPr>
        <w:pStyle w:val="SingleTxtG"/>
      </w:pPr>
      <w:r w:rsidRPr="00D826A4">
        <w:t>53.</w:t>
      </w:r>
      <w:r w:rsidRPr="00D826A4">
        <w:tab/>
        <w:t>Outre les documents stratégiques actuels dans le domaine des droits de l</w:t>
      </w:r>
      <w:r>
        <w:t>’</w:t>
      </w:r>
      <w:r w:rsidRPr="00D826A4">
        <w:t xml:space="preserve">homme et de la discrimination, un </w:t>
      </w:r>
      <w:r>
        <w:t>P</w:t>
      </w:r>
      <w:r w:rsidRPr="00D826A4">
        <w:t>lan national pour la protection et la promotion des droits de l</w:t>
      </w:r>
      <w:r>
        <w:t>’</w:t>
      </w:r>
      <w:r w:rsidRPr="00D826A4">
        <w:t xml:space="preserve">homme et la lutte contre la discrimination </w:t>
      </w:r>
      <w:r>
        <w:t>(</w:t>
      </w:r>
      <w:r w:rsidRPr="00D826A4">
        <w:t>2021</w:t>
      </w:r>
      <w:r>
        <w:t>-</w:t>
      </w:r>
      <w:r w:rsidRPr="00D826A4">
        <w:t>2027</w:t>
      </w:r>
      <w:r>
        <w:t>)</w:t>
      </w:r>
      <w:r w:rsidRPr="00D826A4">
        <w:t xml:space="preserve">, </w:t>
      </w:r>
      <w:r>
        <w:t xml:space="preserve">assorti </w:t>
      </w:r>
      <w:r w:rsidRPr="00D826A4">
        <w:t xml:space="preserve">de deux documents </w:t>
      </w:r>
      <w:r>
        <w:t xml:space="preserve">d’exécution, </w:t>
      </w:r>
      <w:r w:rsidRPr="00D826A4">
        <w:t>le plan d</w:t>
      </w:r>
      <w:r>
        <w:t>’</w:t>
      </w:r>
      <w:r w:rsidRPr="00D826A4">
        <w:t>action pour la protection et la promotion des droits de l</w:t>
      </w:r>
      <w:r>
        <w:t>’</w:t>
      </w:r>
      <w:r w:rsidRPr="00D826A4">
        <w:t xml:space="preserve">homme </w:t>
      </w:r>
      <w:r>
        <w:t>(</w:t>
      </w:r>
      <w:r w:rsidRPr="00D826A4">
        <w:t>2021</w:t>
      </w:r>
      <w:r>
        <w:t>-</w:t>
      </w:r>
      <w:r w:rsidRPr="00D826A4">
        <w:t>2023</w:t>
      </w:r>
      <w:r>
        <w:t>)</w:t>
      </w:r>
      <w:r w:rsidRPr="00D826A4">
        <w:t xml:space="preserve"> et le plan d</w:t>
      </w:r>
      <w:r>
        <w:t>’</w:t>
      </w:r>
      <w:r w:rsidRPr="00D826A4">
        <w:t xml:space="preserve">action pour la lutte contre la discrimination </w:t>
      </w:r>
      <w:r>
        <w:t>(</w:t>
      </w:r>
      <w:r w:rsidRPr="00D826A4">
        <w:t>2021</w:t>
      </w:r>
      <w:r>
        <w:t>-</w:t>
      </w:r>
      <w:r w:rsidRPr="00D826A4">
        <w:t>2023</w:t>
      </w:r>
      <w:r>
        <w:t>)</w:t>
      </w:r>
      <w:r w:rsidRPr="00D826A4">
        <w:t xml:space="preserve">, est en cours </w:t>
      </w:r>
      <w:r>
        <w:t xml:space="preserve">d’élaboration. </w:t>
      </w:r>
    </w:p>
    <w:p w14:paraId="2F4FD880" w14:textId="299B8234" w:rsidR="000C1192" w:rsidRPr="008E7F4B" w:rsidRDefault="000C1192" w:rsidP="00A408E1">
      <w:pPr>
        <w:pStyle w:val="H1G"/>
      </w:pPr>
      <w:r w:rsidRPr="00D826A4">
        <w:tab/>
      </w:r>
      <w:r w:rsidRPr="00D826A4">
        <w:tab/>
      </w:r>
      <w:r w:rsidR="00A858B3">
        <w:t>Article </w:t>
      </w:r>
      <w:r w:rsidRPr="008E7F4B">
        <w:t>3</w:t>
      </w:r>
    </w:p>
    <w:p w14:paraId="2531848A" w14:textId="4070CE6A" w:rsidR="000C1192" w:rsidRPr="00C66AE1" w:rsidRDefault="000C1192" w:rsidP="000C1192">
      <w:pPr>
        <w:pStyle w:val="SingleTxtG"/>
      </w:pPr>
      <w:r w:rsidRPr="0058036F">
        <w:t>54.</w:t>
      </w:r>
      <w:r w:rsidRPr="0058036F">
        <w:tab/>
      </w:r>
      <w:r>
        <w:t>U</w:t>
      </w:r>
      <w:r w:rsidRPr="00C66AE1">
        <w:t xml:space="preserve">ne des valeurs les plus </w:t>
      </w:r>
      <w:r>
        <w:t xml:space="preserve">hautes </w:t>
      </w:r>
      <w:r w:rsidRPr="00C66AE1">
        <w:t>de l</w:t>
      </w:r>
      <w:r>
        <w:t>’</w:t>
      </w:r>
      <w:r w:rsidRPr="00C66AE1">
        <w:t>ordre constitutionnel</w:t>
      </w:r>
      <w:r>
        <w:t>, qui est l’une des bases</w:t>
      </w:r>
      <w:r w:rsidR="00936B25">
        <w:t xml:space="preserve"> </w:t>
      </w:r>
      <w:r w:rsidRPr="00C66AE1">
        <w:t>de l</w:t>
      </w:r>
      <w:r>
        <w:t>’</w:t>
      </w:r>
      <w:r w:rsidRPr="00C66AE1">
        <w:t xml:space="preserve">interprétation de la </w:t>
      </w:r>
      <w:r>
        <w:t>Constitution de la République de Croatie, consiste à faire prendre conscience que les femmes et les hommes ont les mêmes droits</w:t>
      </w:r>
      <w:r w:rsidRPr="00C66AE1">
        <w:t>. L</w:t>
      </w:r>
      <w:r>
        <w:t>’</w:t>
      </w:r>
      <w:r w:rsidRPr="00C66AE1">
        <w:t xml:space="preserve">égalité </w:t>
      </w:r>
      <w:r>
        <w:t xml:space="preserve">entre les </w:t>
      </w:r>
      <w:r w:rsidRPr="00C66AE1">
        <w:t xml:space="preserve">sexes signifie que les femmes et les hommes sont présents </w:t>
      </w:r>
      <w:r>
        <w:t xml:space="preserve">à égalité </w:t>
      </w:r>
      <w:r w:rsidRPr="00C66AE1">
        <w:t>dans tous les domaines de la vie publique et de la vie privée, ont un statut égal</w:t>
      </w:r>
      <w:r>
        <w:t xml:space="preserve"> et</w:t>
      </w:r>
      <w:r w:rsidRPr="00C66AE1">
        <w:t xml:space="preserve"> des chances égales d</w:t>
      </w:r>
      <w:r>
        <w:t>’</w:t>
      </w:r>
      <w:r w:rsidRPr="00C66AE1">
        <w:t>exercer leurs droits</w:t>
      </w:r>
      <w:r>
        <w:t>,</w:t>
      </w:r>
      <w:r w:rsidRPr="00C66AE1">
        <w:t xml:space="preserve"> et </w:t>
      </w:r>
      <w:r>
        <w:t xml:space="preserve">jouissent à égalité des </w:t>
      </w:r>
      <w:r w:rsidRPr="00C66AE1">
        <w:t xml:space="preserve">résultats </w:t>
      </w:r>
      <w:r>
        <w:t>obtenus</w:t>
      </w:r>
      <w:r w:rsidRPr="00C66AE1">
        <w:t>.</w:t>
      </w:r>
    </w:p>
    <w:p w14:paraId="77B65F89" w14:textId="77777777" w:rsidR="000C1192" w:rsidRPr="0058036F" w:rsidRDefault="000C1192" w:rsidP="000C1192">
      <w:pPr>
        <w:pStyle w:val="SingleTxtG"/>
      </w:pPr>
      <w:r w:rsidRPr="00013DC4">
        <w:t>55.</w:t>
      </w:r>
      <w:r w:rsidRPr="00013DC4">
        <w:tab/>
      </w:r>
      <w:r w:rsidRPr="002A182C">
        <w:t>Le Médiateur pour l</w:t>
      </w:r>
      <w:r>
        <w:t>’</w:t>
      </w:r>
      <w:r w:rsidRPr="002A182C">
        <w:t xml:space="preserve">égalité des sexes a été créé en 2004 pour constituer un service professionnel </w:t>
      </w:r>
      <w:r>
        <w:t xml:space="preserve">pour les </w:t>
      </w:r>
      <w:r w:rsidRPr="002A182C">
        <w:t xml:space="preserve">questions </w:t>
      </w:r>
      <w:r>
        <w:t xml:space="preserve">relatives </w:t>
      </w:r>
      <w:r w:rsidRPr="002A182C">
        <w:t>à l</w:t>
      </w:r>
      <w:r>
        <w:t>’</w:t>
      </w:r>
      <w:r w:rsidRPr="002A182C">
        <w:t xml:space="preserve">égalité des sexes. </w:t>
      </w:r>
      <w:r>
        <w:t xml:space="preserve">Il a pour </w:t>
      </w:r>
      <w:r w:rsidRPr="0058036F">
        <w:t>mission de coordonner toutes les activités visant à établir l</w:t>
      </w:r>
      <w:r>
        <w:t>’</w:t>
      </w:r>
      <w:r w:rsidRPr="0058036F">
        <w:t xml:space="preserve">égalité, à </w:t>
      </w:r>
      <w:r>
        <w:t xml:space="preserve">instaurer le cadre nécessaire à </w:t>
      </w:r>
      <w:r w:rsidRPr="0058036F">
        <w:t>la promotion de l</w:t>
      </w:r>
      <w:r>
        <w:t>’</w:t>
      </w:r>
      <w:r w:rsidRPr="0058036F">
        <w:t xml:space="preserve">égalité et à </w:t>
      </w:r>
      <w:r>
        <w:t xml:space="preserve">faire en sorte que </w:t>
      </w:r>
      <w:r w:rsidRPr="0058036F">
        <w:t xml:space="preserve">la </w:t>
      </w:r>
      <w:r>
        <w:t xml:space="preserve">loi et </w:t>
      </w:r>
      <w:r w:rsidRPr="0058036F">
        <w:t xml:space="preserve">la politique nationale </w:t>
      </w:r>
      <w:r>
        <w:t>dans ce domaine soient appliquées efficacement</w:t>
      </w:r>
      <w:r w:rsidRPr="0058036F">
        <w:t>.</w:t>
      </w:r>
    </w:p>
    <w:p w14:paraId="2A7BF236" w14:textId="76872678" w:rsidR="000C1192" w:rsidRPr="00013DC4" w:rsidRDefault="000C1192" w:rsidP="000C1192">
      <w:pPr>
        <w:pStyle w:val="SingleTxtG"/>
      </w:pPr>
      <w:r w:rsidRPr="00D61D3D">
        <w:t>56.</w:t>
      </w:r>
      <w:r w:rsidRPr="00D61D3D">
        <w:tab/>
      </w:r>
      <w:r w:rsidRPr="003B4A8C">
        <w:t>La première loi sur l</w:t>
      </w:r>
      <w:r>
        <w:t>’</w:t>
      </w:r>
      <w:r w:rsidRPr="003B4A8C">
        <w:t>égalité entre les sexes a été adoptée en 2003, tandis que la nouv</w:t>
      </w:r>
      <w:r>
        <w:t xml:space="preserve">elle </w:t>
      </w:r>
      <w:r w:rsidRPr="003B4A8C">
        <w:t>est entré</w:t>
      </w:r>
      <w:r>
        <w:t>e</w:t>
      </w:r>
      <w:r w:rsidRPr="003B4A8C">
        <w:t xml:space="preserve"> en vigueur en 2008</w:t>
      </w:r>
      <w:r>
        <w:t>,</w:t>
      </w:r>
      <w:r w:rsidRPr="003B4A8C">
        <w:t xml:space="preserve"> et ses </w:t>
      </w:r>
      <w:r>
        <w:t xml:space="preserve">modifications, </w:t>
      </w:r>
      <w:r w:rsidRPr="003B4A8C">
        <w:t xml:space="preserve">en 2017. </w:t>
      </w:r>
      <w:r>
        <w:t xml:space="preserve">Aux termes de </w:t>
      </w:r>
      <w:r w:rsidRPr="00013DC4">
        <w:t>l</w:t>
      </w:r>
      <w:r>
        <w:t>’</w:t>
      </w:r>
      <w:r w:rsidR="00A858B3">
        <w:t>article </w:t>
      </w:r>
      <w:r w:rsidRPr="00013DC4">
        <w:t xml:space="preserve">2 de </w:t>
      </w:r>
      <w:r>
        <w:t>cette loi</w:t>
      </w:r>
      <w:r w:rsidRPr="00013DC4">
        <w:t xml:space="preserve">, </w:t>
      </w:r>
      <w:r>
        <w:t xml:space="preserve">nul </w:t>
      </w:r>
      <w:r w:rsidRPr="00013DC4">
        <w:t xml:space="preserve">ne doit </w:t>
      </w:r>
      <w:r>
        <w:t xml:space="preserve">subir un désavantage </w:t>
      </w:r>
      <w:r w:rsidRPr="00013DC4">
        <w:t xml:space="preserve">pour avoir participé à une procédure </w:t>
      </w:r>
      <w:r>
        <w:t>anti</w:t>
      </w:r>
      <w:r w:rsidRPr="00013DC4">
        <w:t>discriminat</w:t>
      </w:r>
      <w:r>
        <w:t>oire</w:t>
      </w:r>
      <w:r w:rsidRPr="00013DC4">
        <w:t xml:space="preserve"> (interdiction de la victimisation secondaire).</w:t>
      </w:r>
    </w:p>
    <w:p w14:paraId="7007BEFB" w14:textId="3F77AD41" w:rsidR="000C1192" w:rsidRPr="002762A4" w:rsidRDefault="000C1192" w:rsidP="000C1192">
      <w:pPr>
        <w:pStyle w:val="SingleTxtG"/>
      </w:pPr>
      <w:r w:rsidRPr="002762A4">
        <w:t>57.</w:t>
      </w:r>
      <w:r w:rsidRPr="002762A4">
        <w:tab/>
        <w:t>L</w:t>
      </w:r>
      <w:r>
        <w:t>’</w:t>
      </w:r>
      <w:r w:rsidR="00A858B3">
        <w:t>article </w:t>
      </w:r>
      <w:r w:rsidRPr="002762A4">
        <w:t xml:space="preserve">30 </w:t>
      </w:r>
      <w:r>
        <w:t xml:space="preserve">de la </w:t>
      </w:r>
      <w:r w:rsidRPr="003B4A8C">
        <w:t>loi sur l</w:t>
      </w:r>
      <w:r>
        <w:t>’</w:t>
      </w:r>
      <w:r w:rsidRPr="003B4A8C">
        <w:t xml:space="preserve">égalité entre les sexes </w:t>
      </w:r>
      <w:r w:rsidRPr="002762A4">
        <w:t xml:space="preserve">prévoit une protection judiciaire contre la discrimination, </w:t>
      </w:r>
      <w:r>
        <w:t>consistant dans la possibilité de demander,</w:t>
      </w:r>
      <w:r w:rsidRPr="004841FE">
        <w:t xml:space="preserve"> </w:t>
      </w:r>
      <w:r w:rsidRPr="002762A4">
        <w:t>dans le cadre d</w:t>
      </w:r>
      <w:r>
        <w:t>’</w:t>
      </w:r>
      <w:r w:rsidRPr="002762A4">
        <w:t>une procédure civile ou d</w:t>
      </w:r>
      <w:r>
        <w:t>’</w:t>
      </w:r>
      <w:r w:rsidRPr="002762A4">
        <w:t>une procédure d</w:t>
      </w:r>
      <w:r>
        <w:t>’</w:t>
      </w:r>
      <w:r w:rsidRPr="002762A4">
        <w:t>adhésion</w:t>
      </w:r>
      <w:r>
        <w:t xml:space="preserve">, l’indemnisation du préjudice subi en raison </w:t>
      </w:r>
      <w:r w:rsidRPr="002762A4">
        <w:t>d</w:t>
      </w:r>
      <w:r>
        <w:t>’</w:t>
      </w:r>
      <w:r w:rsidRPr="002762A4">
        <w:t>un comportement discriminatoire</w:t>
      </w:r>
      <w:r>
        <w:t>.</w:t>
      </w:r>
    </w:p>
    <w:p w14:paraId="74369A51" w14:textId="5B09D0F1" w:rsidR="000C1192" w:rsidRPr="002762A4" w:rsidRDefault="000C1192" w:rsidP="000C1192">
      <w:pPr>
        <w:pStyle w:val="SingleTxtG"/>
      </w:pPr>
      <w:r w:rsidRPr="00FE74A3">
        <w:t>58.</w:t>
      </w:r>
      <w:r w:rsidR="00A408E1">
        <w:tab/>
      </w:r>
      <w:r>
        <w:t>C</w:t>
      </w:r>
      <w:r w:rsidRPr="002762A4">
        <w:t xml:space="preserve">onformément à la </w:t>
      </w:r>
      <w:r>
        <w:t xml:space="preserve">loi sur l’égalité entre les sexes, </w:t>
      </w:r>
      <w:r w:rsidRPr="002762A4">
        <w:t>l</w:t>
      </w:r>
      <w:r>
        <w:t>’</w:t>
      </w:r>
      <w:r w:rsidRPr="002762A4">
        <w:t xml:space="preserve">autorité indépendante </w:t>
      </w:r>
      <w:r>
        <w:t xml:space="preserve">chargée de la lutte </w:t>
      </w:r>
      <w:r w:rsidRPr="002762A4">
        <w:t xml:space="preserve">contre la discrimination </w:t>
      </w:r>
      <w:r>
        <w:t xml:space="preserve">liée au sexe est le Médiateur </w:t>
      </w:r>
      <w:r w:rsidRPr="002762A4">
        <w:t>pour l</w:t>
      </w:r>
      <w:r>
        <w:t>’</w:t>
      </w:r>
      <w:r w:rsidRPr="002762A4">
        <w:t>égalité des sexes</w:t>
      </w:r>
      <w:r>
        <w:t xml:space="preserve">. Le Médiateur rend compte </w:t>
      </w:r>
      <w:r w:rsidRPr="002762A4">
        <w:t>au Parlement croate et enquête sur les cas de violation des principes de l</w:t>
      </w:r>
      <w:r>
        <w:t>’</w:t>
      </w:r>
      <w:r w:rsidRPr="002762A4">
        <w:t xml:space="preserve">égalité </w:t>
      </w:r>
      <w:r>
        <w:t xml:space="preserve">entre les </w:t>
      </w:r>
      <w:r w:rsidRPr="002762A4">
        <w:t xml:space="preserve">sexes et </w:t>
      </w:r>
      <w:r>
        <w:t xml:space="preserve">les cas </w:t>
      </w:r>
      <w:r w:rsidRPr="002762A4">
        <w:t xml:space="preserve">de discrimination </w:t>
      </w:r>
      <w:r>
        <w:t xml:space="preserve">dont serait responsable toute </w:t>
      </w:r>
      <w:r w:rsidRPr="002762A4">
        <w:t>autorité publique</w:t>
      </w:r>
      <w:r>
        <w:t xml:space="preserve"> </w:t>
      </w:r>
      <w:r w:rsidRPr="002762A4">
        <w:t>à l</w:t>
      </w:r>
      <w:r>
        <w:t>’</w:t>
      </w:r>
      <w:r w:rsidRPr="002762A4">
        <w:t xml:space="preserve">égard </w:t>
      </w:r>
      <w:r>
        <w:t xml:space="preserve">de </w:t>
      </w:r>
      <w:r w:rsidRPr="002762A4">
        <w:t>groupes</w:t>
      </w:r>
      <w:r>
        <w:t xml:space="preserve"> ou d’individus</w:t>
      </w:r>
      <w:r w:rsidRPr="002762A4">
        <w:t xml:space="preserve">. </w:t>
      </w:r>
      <w:r>
        <w:t xml:space="preserve">Chacun </w:t>
      </w:r>
      <w:r w:rsidRPr="002762A4">
        <w:t xml:space="preserve">a le droit de </w:t>
      </w:r>
      <w:r>
        <w:t xml:space="preserve">saisir le Médiateur </w:t>
      </w:r>
      <w:r w:rsidRPr="002762A4">
        <w:t xml:space="preserve">pour </w:t>
      </w:r>
      <w:r w:rsidRPr="002762A4">
        <w:lastRenderedPageBreak/>
        <w:t>violation de la loi sur l</w:t>
      </w:r>
      <w:r>
        <w:t>’</w:t>
      </w:r>
      <w:r w:rsidRPr="002762A4">
        <w:t xml:space="preserve">égalité </w:t>
      </w:r>
      <w:r>
        <w:t xml:space="preserve">entre les </w:t>
      </w:r>
      <w:r w:rsidRPr="002762A4">
        <w:t xml:space="preserve">sexes, </w:t>
      </w:r>
      <w:r>
        <w:t xml:space="preserve">soit en tant que victime </w:t>
      </w:r>
      <w:r w:rsidRPr="002762A4">
        <w:t>direct</w:t>
      </w:r>
      <w:r>
        <w:t>e d’un préjudice ou au nom d’un tiers</w:t>
      </w:r>
      <w:r w:rsidRPr="002762A4">
        <w:t xml:space="preserve">, </w:t>
      </w:r>
      <w:r>
        <w:t xml:space="preserve">pour autant que la </w:t>
      </w:r>
      <w:r w:rsidRPr="002762A4">
        <w:t>partie lésée ne s</w:t>
      </w:r>
      <w:r>
        <w:t>’</w:t>
      </w:r>
      <w:r w:rsidRPr="002762A4">
        <w:t>y oppose pas.</w:t>
      </w:r>
    </w:p>
    <w:p w14:paraId="6DCB0E6F" w14:textId="77777777" w:rsidR="000C1192" w:rsidRPr="002762A4" w:rsidRDefault="000C1192" w:rsidP="000C1192">
      <w:pPr>
        <w:pStyle w:val="SingleTxtG"/>
        <w:rPr>
          <w:rStyle w:val="Appelnotedebasdep"/>
          <w:color w:val="000000" w:themeColor="text1"/>
        </w:rPr>
      </w:pPr>
      <w:r w:rsidRPr="004E5840">
        <w:t>59.</w:t>
      </w:r>
      <w:r w:rsidRPr="004E5840">
        <w:tab/>
      </w:r>
      <w:r w:rsidRPr="002762A4">
        <w:t xml:space="preserve">De 2003 à 2013, </w:t>
      </w:r>
      <w:r>
        <w:t xml:space="preserve">le rôle </w:t>
      </w:r>
      <w:r w:rsidRPr="002762A4">
        <w:t xml:space="preserve">institutionnel de la </w:t>
      </w:r>
      <w:r>
        <w:t>M</w:t>
      </w:r>
      <w:r w:rsidRPr="002762A4">
        <w:t xml:space="preserve">édiatrice dans le domaine des relations familiales a été </w:t>
      </w:r>
      <w:r>
        <w:t xml:space="preserve">vaste </w:t>
      </w:r>
      <w:r w:rsidRPr="002762A4">
        <w:t>et a couvert plusieurs aspects</w:t>
      </w:r>
      <w:r w:rsidRPr="00535E17">
        <w:rPr>
          <w:rStyle w:val="Appelnotedebasdep"/>
        </w:rPr>
        <w:footnoteReference w:id="26"/>
      </w:r>
      <w:r w:rsidRPr="002762A4">
        <w:t>.</w:t>
      </w:r>
    </w:p>
    <w:p w14:paraId="21F59FA7" w14:textId="1461976D" w:rsidR="000C1192" w:rsidRPr="002762A4" w:rsidRDefault="000C1192" w:rsidP="000C1192">
      <w:pPr>
        <w:pStyle w:val="SingleTxtG"/>
      </w:pPr>
      <w:r w:rsidRPr="00D13A1D">
        <w:t>60.</w:t>
      </w:r>
      <w:r w:rsidRPr="00D13A1D">
        <w:tab/>
        <w:t>La</w:t>
      </w:r>
      <w:r>
        <w:t xml:space="preserve"> loi de protection contre la violence domestique règle la conduite </w:t>
      </w:r>
      <w:r w:rsidRPr="00D13A1D">
        <w:t xml:space="preserve">des institutions </w:t>
      </w:r>
      <w:r>
        <w:t xml:space="preserve">dans les cas </w:t>
      </w:r>
      <w:r w:rsidRPr="00D13A1D">
        <w:t xml:space="preserve">de violence domestique. </w:t>
      </w:r>
      <w:r>
        <w:t xml:space="preserve">Les actes suivants relèvent de la </w:t>
      </w:r>
      <w:r w:rsidRPr="002762A4">
        <w:t>violence domestique</w:t>
      </w:r>
      <w:r>
        <w:t xml:space="preserve"> : </w:t>
      </w:r>
      <w:r w:rsidRPr="002762A4">
        <w:t>a)</w:t>
      </w:r>
      <w:r w:rsidR="00711B54">
        <w:t> </w:t>
      </w:r>
      <w:r w:rsidRPr="002762A4">
        <w:t xml:space="preserve">tout acte de violence physique </w:t>
      </w:r>
      <w:r>
        <w:t xml:space="preserve">commis sans </w:t>
      </w:r>
      <w:r w:rsidRPr="002762A4">
        <w:t>infliger de blessures</w:t>
      </w:r>
      <w:r>
        <w:t> ;</w:t>
      </w:r>
      <w:r w:rsidRPr="002762A4">
        <w:t xml:space="preserve"> b)</w:t>
      </w:r>
      <w:r w:rsidR="00711B54">
        <w:t> </w:t>
      </w:r>
      <w:r w:rsidRPr="002762A4">
        <w:t>les châtiments corporels ou autres traitements humiliants envers les enfants</w:t>
      </w:r>
      <w:r>
        <w:t> ;</w:t>
      </w:r>
      <w:r w:rsidRPr="002762A4">
        <w:t xml:space="preserve"> c)</w:t>
      </w:r>
      <w:r w:rsidR="00711B54">
        <w:t> </w:t>
      </w:r>
      <w:r w:rsidRPr="002762A4">
        <w:t xml:space="preserve">les </w:t>
      </w:r>
      <w:r>
        <w:t xml:space="preserve">violences psychologiques </w:t>
      </w:r>
      <w:r w:rsidRPr="002762A4">
        <w:t xml:space="preserve">qui </w:t>
      </w:r>
      <w:r>
        <w:t xml:space="preserve">portent </w:t>
      </w:r>
      <w:r w:rsidRPr="002762A4">
        <w:t xml:space="preserve">atteinte à la dignité de la victime ou </w:t>
      </w:r>
      <w:r>
        <w:t xml:space="preserve">constituent un </w:t>
      </w:r>
      <w:r w:rsidRPr="002762A4">
        <w:t>harcèlement</w:t>
      </w:r>
      <w:r>
        <w:t> ;</w:t>
      </w:r>
      <w:r w:rsidRPr="002762A4">
        <w:t xml:space="preserve"> d)</w:t>
      </w:r>
      <w:r w:rsidR="00711B54">
        <w:t> </w:t>
      </w:r>
      <w:r w:rsidRPr="002762A4">
        <w:t>le harcèlement sexuel</w:t>
      </w:r>
      <w:r>
        <w:t> ;</w:t>
      </w:r>
      <w:r w:rsidRPr="002762A4">
        <w:t xml:space="preserve"> e)</w:t>
      </w:r>
      <w:r w:rsidR="00711B54">
        <w:t> </w:t>
      </w:r>
      <w:r w:rsidRPr="002762A4">
        <w:t>la violence économique (</w:t>
      </w:r>
      <w:r>
        <w:t xml:space="preserve">empêcher une personne </w:t>
      </w:r>
      <w:r w:rsidRPr="002762A4">
        <w:t>de trouver un emploi</w:t>
      </w:r>
      <w:r>
        <w:t xml:space="preserve">, </w:t>
      </w:r>
      <w:r w:rsidRPr="002762A4">
        <w:t>empêcher l</w:t>
      </w:r>
      <w:r>
        <w:t>’</w:t>
      </w:r>
      <w:r w:rsidRPr="002762A4">
        <w:t xml:space="preserve">utilisation de biens personnels ou collectifs, retenir des fonds ou des </w:t>
      </w:r>
      <w:r>
        <w:t xml:space="preserve">avoirs </w:t>
      </w:r>
      <w:r w:rsidRPr="002762A4">
        <w:t xml:space="preserve">acquis par le travail personnel ou par </w:t>
      </w:r>
      <w:r>
        <w:t>voie successorale</w:t>
      </w:r>
      <w:r w:rsidRPr="002762A4">
        <w:t>, refuser les fonds nécessaires à l</w:t>
      </w:r>
      <w:r>
        <w:t>’</w:t>
      </w:r>
      <w:r w:rsidRPr="002762A4">
        <w:t>entretien d</w:t>
      </w:r>
      <w:r>
        <w:t>’</w:t>
      </w:r>
      <w:r w:rsidRPr="002762A4">
        <w:t xml:space="preserve">un ménage commun et à </w:t>
      </w:r>
      <w:r>
        <w:t xml:space="preserve">l’entretien </w:t>
      </w:r>
      <w:r w:rsidRPr="002762A4">
        <w:t>des enfants)</w:t>
      </w:r>
      <w:r>
        <w:t xml:space="preserve"> ; </w:t>
      </w:r>
      <w:r w:rsidRPr="002762A4">
        <w:t>et f)</w:t>
      </w:r>
      <w:r w:rsidR="00711B54">
        <w:t> </w:t>
      </w:r>
      <w:r w:rsidRPr="002762A4">
        <w:t xml:space="preserve">la négligence </w:t>
      </w:r>
      <w:r>
        <w:t xml:space="preserve">envers les </w:t>
      </w:r>
      <w:r w:rsidRPr="002762A4">
        <w:t xml:space="preserve">personnes âgées ou </w:t>
      </w:r>
      <w:r>
        <w:t xml:space="preserve">les </w:t>
      </w:r>
      <w:r w:rsidRPr="002762A4">
        <w:t xml:space="preserve">personnes handicapées ou </w:t>
      </w:r>
      <w:r>
        <w:t xml:space="preserve">les atteintes </w:t>
      </w:r>
      <w:r w:rsidRPr="002762A4">
        <w:t>à leur dignité</w:t>
      </w:r>
      <w:r>
        <w:t xml:space="preserve"> ayant pour effet de leur </w:t>
      </w:r>
      <w:r w:rsidRPr="002762A4">
        <w:t>inflige</w:t>
      </w:r>
      <w:r>
        <w:t xml:space="preserve">r </w:t>
      </w:r>
      <w:r w:rsidRPr="002762A4">
        <w:t xml:space="preserve">des souffrances physiques ou </w:t>
      </w:r>
      <w:r>
        <w:t>psychologiques.</w:t>
      </w:r>
    </w:p>
    <w:p w14:paraId="66FA8FB9" w14:textId="56A8AD2E" w:rsidR="000C1192" w:rsidRPr="000657F6" w:rsidRDefault="000C1192" w:rsidP="000C1192">
      <w:pPr>
        <w:pStyle w:val="SingleTxtG"/>
      </w:pPr>
      <w:r w:rsidRPr="00452F85">
        <w:t>61.</w:t>
      </w:r>
      <w:r w:rsidRPr="00452F85">
        <w:tab/>
      </w:r>
      <w:r>
        <w:t xml:space="preserve">D’après </w:t>
      </w:r>
      <w:r w:rsidRPr="002762A4">
        <w:t xml:space="preserve">le rapport </w:t>
      </w:r>
      <w:r>
        <w:t xml:space="preserve">de </w:t>
      </w:r>
      <w:r w:rsidRPr="002762A4">
        <w:t>2019</w:t>
      </w:r>
      <w:r>
        <w:t xml:space="preserve"> de la Médiatrice </w:t>
      </w:r>
      <w:r w:rsidRPr="002762A4">
        <w:t>pour l</w:t>
      </w:r>
      <w:r>
        <w:t>’</w:t>
      </w:r>
      <w:r w:rsidRPr="002762A4">
        <w:t xml:space="preserve">égalité </w:t>
      </w:r>
      <w:r>
        <w:t xml:space="preserve">entre les </w:t>
      </w:r>
      <w:r w:rsidRPr="002762A4">
        <w:t xml:space="preserve">sexes, 123 </w:t>
      </w:r>
      <w:r>
        <w:t xml:space="preserve">des </w:t>
      </w:r>
      <w:r w:rsidRPr="002762A4">
        <w:t>503</w:t>
      </w:r>
      <w:r w:rsidR="00711B54">
        <w:t> </w:t>
      </w:r>
      <w:r>
        <w:t xml:space="preserve">affaires traitées ont concerné </w:t>
      </w:r>
      <w:r w:rsidRPr="002762A4">
        <w:t xml:space="preserve">la protection de </w:t>
      </w:r>
      <w:r>
        <w:t xml:space="preserve">personnes qui étaient </w:t>
      </w:r>
      <w:r w:rsidRPr="002762A4">
        <w:t>exposé</w:t>
      </w:r>
      <w:r>
        <w:t>e</w:t>
      </w:r>
      <w:r w:rsidRPr="002762A4">
        <w:t>s à des violences physiques</w:t>
      </w:r>
      <w:r>
        <w:t xml:space="preserve"> et</w:t>
      </w:r>
      <w:r w:rsidRPr="002762A4">
        <w:t xml:space="preserve"> psychologiques et </w:t>
      </w:r>
      <w:r>
        <w:t>à d’</w:t>
      </w:r>
      <w:r w:rsidRPr="002762A4">
        <w:t xml:space="preserve">autres formes de violence domestique ou </w:t>
      </w:r>
      <w:r>
        <w:t>de violence du partenaire</w:t>
      </w:r>
      <w:r w:rsidRPr="002762A4">
        <w:t xml:space="preserve">, ainsi </w:t>
      </w:r>
      <w:r>
        <w:t>que de victimes de violence dans l’</w:t>
      </w:r>
      <w:r w:rsidRPr="002762A4">
        <w:t xml:space="preserve">espace public. </w:t>
      </w:r>
      <w:r w:rsidR="00756F77" w:rsidRPr="002762A4">
        <w:t>L</w:t>
      </w:r>
      <w:r w:rsidR="00756F77">
        <w:t>a Médiatrice</w:t>
      </w:r>
      <w:r>
        <w:t xml:space="preserve"> a adressé, au total, </w:t>
      </w:r>
      <w:r w:rsidRPr="002762A4">
        <w:t>143</w:t>
      </w:r>
      <w:r w:rsidR="00711B54">
        <w:t> </w:t>
      </w:r>
      <w:r w:rsidRPr="002762A4">
        <w:t>avertissements, 178</w:t>
      </w:r>
      <w:r w:rsidR="00711B54">
        <w:t> </w:t>
      </w:r>
      <w:r w:rsidRPr="002762A4">
        <w:t>recommandations et 34</w:t>
      </w:r>
      <w:r w:rsidR="00711B54">
        <w:t> </w:t>
      </w:r>
      <w:r w:rsidRPr="002762A4">
        <w:t xml:space="preserve">propositions. Elle a signalé </w:t>
      </w:r>
      <w:r>
        <w:t xml:space="preserve">aux services compétents du Bureau </w:t>
      </w:r>
      <w:r w:rsidRPr="002762A4">
        <w:t xml:space="preserve">du </w:t>
      </w:r>
      <w:r>
        <w:t>P</w:t>
      </w:r>
      <w:r w:rsidRPr="002762A4">
        <w:t xml:space="preserve">rocureur </w:t>
      </w:r>
      <w:r>
        <w:t>de l’État 5</w:t>
      </w:r>
      <w:r w:rsidR="00711B54">
        <w:t> </w:t>
      </w:r>
      <w:r w:rsidRPr="002762A4">
        <w:t>cas</w:t>
      </w:r>
      <w:r>
        <w:t xml:space="preserve"> où une infraction pénale était soupçonnée et</w:t>
      </w:r>
      <w:r w:rsidRPr="002762A4">
        <w:t xml:space="preserve"> </w:t>
      </w:r>
      <w:r>
        <w:t>1</w:t>
      </w:r>
      <w:r w:rsidR="00711B54">
        <w:t> </w:t>
      </w:r>
      <w:r w:rsidRPr="002762A4">
        <w:t>cas</w:t>
      </w:r>
      <w:r>
        <w:t xml:space="preserve"> relatif à une infraction mineure ; dans 3</w:t>
      </w:r>
      <w:r w:rsidR="00711B54">
        <w:t> </w:t>
      </w:r>
      <w:r>
        <w:t xml:space="preserve">cas, elle a engagé une </w:t>
      </w:r>
      <w:r w:rsidRPr="002762A4">
        <w:t xml:space="preserve">initiative visant à modifier </w:t>
      </w:r>
      <w:r>
        <w:t xml:space="preserve">des </w:t>
      </w:r>
      <w:r w:rsidRPr="002762A4">
        <w:t xml:space="preserve">dispositions légales. </w:t>
      </w:r>
      <w:r>
        <w:t xml:space="preserve">En analysant les données d’expérience, il est apparu que </w:t>
      </w:r>
      <w:r w:rsidRPr="002762A4">
        <w:t xml:space="preserve">les avertissements, recommandations et suggestions </w:t>
      </w:r>
      <w:r>
        <w:t>de la M</w:t>
      </w:r>
      <w:r w:rsidRPr="002762A4">
        <w:t>édiat</w:t>
      </w:r>
      <w:r>
        <w:t xml:space="preserve">rice avaient </w:t>
      </w:r>
      <w:r w:rsidRPr="002762A4">
        <w:t xml:space="preserve">été </w:t>
      </w:r>
      <w:r>
        <w:t xml:space="preserve">intégralement </w:t>
      </w:r>
      <w:r w:rsidRPr="002762A4">
        <w:t>pris</w:t>
      </w:r>
      <w:r>
        <w:t>es</w:t>
      </w:r>
      <w:r w:rsidRPr="002762A4">
        <w:t xml:space="preserve"> en compte dans 89,3</w:t>
      </w:r>
      <w:r w:rsidR="00711B54">
        <w:t> </w:t>
      </w:r>
      <w:r w:rsidRPr="002762A4">
        <w:t xml:space="preserve">% des cas, et partiellement </w:t>
      </w:r>
      <w:r>
        <w:t xml:space="preserve">prises en compte </w:t>
      </w:r>
      <w:r w:rsidRPr="002762A4">
        <w:t>dans 7,1</w:t>
      </w:r>
      <w:r w:rsidR="00711B54">
        <w:t> </w:t>
      </w:r>
      <w:r w:rsidRPr="002762A4">
        <w:t>% des cas.</w:t>
      </w:r>
      <w:r w:rsidR="00936B25">
        <w:t xml:space="preserve"> </w:t>
      </w:r>
    </w:p>
    <w:p w14:paraId="3568A60B" w14:textId="3F8CAB53" w:rsidR="000C1192" w:rsidRPr="00580692" w:rsidRDefault="000C1192" w:rsidP="000C1192">
      <w:pPr>
        <w:pStyle w:val="SingleTxtG"/>
      </w:pPr>
      <w:r w:rsidRPr="00704746">
        <w:t>62.</w:t>
      </w:r>
      <w:r w:rsidRPr="00704746">
        <w:tab/>
      </w:r>
      <w:r w:rsidRPr="00165B4E">
        <w:t>La Médiatrice a coordonné l</w:t>
      </w:r>
      <w:r>
        <w:t>’</w:t>
      </w:r>
      <w:r w:rsidRPr="00165B4E">
        <w:t>exécution du projet soutenu par l</w:t>
      </w:r>
      <w:r>
        <w:t>’</w:t>
      </w:r>
      <w:r w:rsidRPr="00165B4E">
        <w:t xml:space="preserve">UE intitulé </w:t>
      </w:r>
      <w:r>
        <w:t>« </w:t>
      </w:r>
      <w:r w:rsidRPr="00165B4E">
        <w:t>Bâtir une protection plus efficace</w:t>
      </w:r>
      <w:r w:rsidR="00936B25">
        <w:t> </w:t>
      </w:r>
      <w:r w:rsidRPr="00165B4E">
        <w:t xml:space="preserve">: transformer le système pour </w:t>
      </w:r>
      <w:r>
        <w:t>lutter contre la violence à l’égard des femmes ». C</w:t>
      </w:r>
      <w:r w:rsidRPr="000657F6">
        <w:t xml:space="preserve">e projet </w:t>
      </w:r>
      <w:r>
        <w:t xml:space="preserve">traitait du </w:t>
      </w:r>
      <w:r w:rsidRPr="000657F6">
        <w:t xml:space="preserve">rôle de la police, du système judiciaire et des médias </w:t>
      </w:r>
      <w:r>
        <w:t xml:space="preserve">face aux </w:t>
      </w:r>
      <w:r w:rsidRPr="000657F6">
        <w:t>cas de violence à l</w:t>
      </w:r>
      <w:r>
        <w:t>’</w:t>
      </w:r>
      <w:r w:rsidRPr="000657F6">
        <w:t xml:space="preserve">égard des femmes, </w:t>
      </w:r>
      <w:r>
        <w:t>l’</w:t>
      </w:r>
      <w:r w:rsidRPr="000657F6">
        <w:t xml:space="preserve">accent </w:t>
      </w:r>
      <w:r>
        <w:t xml:space="preserve">étant mis en </w:t>
      </w:r>
      <w:r w:rsidRPr="000657F6">
        <w:t xml:space="preserve">particulier sur </w:t>
      </w:r>
      <w:r>
        <w:t xml:space="preserve">la question du </w:t>
      </w:r>
      <w:r w:rsidRPr="000657F6">
        <w:t xml:space="preserve">féminicide. </w:t>
      </w:r>
      <w:r>
        <w:t>Il est ressorti de l’</w:t>
      </w:r>
      <w:r w:rsidRPr="000657F6">
        <w:t>enquête que 90</w:t>
      </w:r>
      <w:r w:rsidR="00711B54">
        <w:t> </w:t>
      </w:r>
      <w:r w:rsidRPr="000657F6">
        <w:t xml:space="preserve">% des auteurs de violences </w:t>
      </w:r>
      <w:r>
        <w:t xml:space="preserve">étaient </w:t>
      </w:r>
      <w:r w:rsidRPr="000657F6">
        <w:t xml:space="preserve">condamnés à des amendes et à des peines </w:t>
      </w:r>
      <w:r>
        <w:t xml:space="preserve">d’emprisonnement </w:t>
      </w:r>
      <w:r w:rsidRPr="000657F6">
        <w:t>avec sursis, et 10</w:t>
      </w:r>
      <w:r w:rsidR="00711B54">
        <w:t> </w:t>
      </w:r>
      <w:r w:rsidRPr="000657F6">
        <w:t xml:space="preserve">% à des peines </w:t>
      </w:r>
      <w:r>
        <w:t>d’emprisonnement ferme (v</w:t>
      </w:r>
      <w:r w:rsidRPr="00580692">
        <w:t xml:space="preserve">oir </w:t>
      </w:r>
      <w:r>
        <w:t>l’a</w:t>
      </w:r>
      <w:r w:rsidRPr="00580692">
        <w:t>nnexe</w:t>
      </w:r>
      <w:r w:rsidR="00711B54">
        <w:t> </w:t>
      </w:r>
      <w:r w:rsidRPr="00580692">
        <w:t xml:space="preserve">9 </w:t>
      </w:r>
      <w:r>
        <w:t>sur les s</w:t>
      </w:r>
      <w:r w:rsidRPr="00580692">
        <w:t>tatistiques sur l</w:t>
      </w:r>
      <w:r>
        <w:t>’</w:t>
      </w:r>
      <w:r w:rsidRPr="00580692">
        <w:t xml:space="preserve">application de </w:t>
      </w:r>
      <w:r>
        <w:t xml:space="preserve">la loi de protection contre la violence domestique </w:t>
      </w:r>
      <w:r w:rsidRPr="00580692">
        <w:t xml:space="preserve">et </w:t>
      </w:r>
      <w:r>
        <w:t>le nombre de victimes d’infractions pénales).</w:t>
      </w:r>
    </w:p>
    <w:p w14:paraId="0AB6B4D0" w14:textId="29FF77B0" w:rsidR="000C1192" w:rsidRPr="000657F6" w:rsidRDefault="000C1192" w:rsidP="000C1192">
      <w:pPr>
        <w:pStyle w:val="SingleTxtG"/>
      </w:pPr>
      <w:r w:rsidRPr="00674010">
        <w:t>63.</w:t>
      </w:r>
      <w:r w:rsidRPr="00674010">
        <w:tab/>
      </w:r>
      <w:r w:rsidRPr="00277872">
        <w:t>S</w:t>
      </w:r>
      <w:r>
        <w:t>’</w:t>
      </w:r>
      <w:r w:rsidRPr="00277872">
        <w:t>agissant des formes graves d</w:t>
      </w:r>
      <w:r>
        <w:t>’</w:t>
      </w:r>
      <w:r w:rsidRPr="00277872">
        <w:t>infraction qui portent attein</w:t>
      </w:r>
      <w:r>
        <w:t xml:space="preserve">te aux droits consacrés aux </w:t>
      </w:r>
      <w:r w:rsidR="00A858B3">
        <w:t>articles </w:t>
      </w:r>
      <w:r w:rsidRPr="00277872">
        <w:t xml:space="preserve">2 et 3 du Pacte, </w:t>
      </w:r>
      <w:r>
        <w:t xml:space="preserve">la possibilité de faire valoir ces </w:t>
      </w:r>
      <w:r w:rsidRPr="000657F6">
        <w:t xml:space="preserve">droits </w:t>
      </w:r>
      <w:r>
        <w:t xml:space="preserve">en justice est aussi liée à l’existence du droit à une aide juridictionnelle gratuite. </w:t>
      </w:r>
      <w:r w:rsidRPr="000657F6">
        <w:t>L</w:t>
      </w:r>
      <w:r>
        <w:t>a loi sur l’aide juridictionnelle gratuite</w:t>
      </w:r>
      <w:r w:rsidRPr="000657F6">
        <w:t xml:space="preserve"> </w:t>
      </w:r>
      <w:r>
        <w:t xml:space="preserve">a pris effet initialement </w:t>
      </w:r>
      <w:r w:rsidRPr="000657F6">
        <w:t xml:space="preserve">en 2008. La nouvelle </w:t>
      </w:r>
      <w:r>
        <w:t xml:space="preserve">version de la loi </w:t>
      </w:r>
      <w:r w:rsidRPr="000657F6">
        <w:t xml:space="preserve">(2013) </w:t>
      </w:r>
      <w:r>
        <w:t xml:space="preserve">diffère sensiblement par son </w:t>
      </w:r>
      <w:r w:rsidRPr="000657F6">
        <w:t>champ d</w:t>
      </w:r>
      <w:r>
        <w:t>’</w:t>
      </w:r>
      <w:r w:rsidRPr="000657F6">
        <w:t xml:space="preserve">application et </w:t>
      </w:r>
      <w:r>
        <w:t xml:space="preserve">le </w:t>
      </w:r>
      <w:r w:rsidRPr="000657F6">
        <w:t xml:space="preserve">type de procédures </w:t>
      </w:r>
      <w:r>
        <w:t>qu’elle prévoit pour la mise en place de l’aide juridictionnelle gratuite.</w:t>
      </w:r>
    </w:p>
    <w:p w14:paraId="1E43479C" w14:textId="7ED655D9" w:rsidR="000C1192" w:rsidRPr="000657F6" w:rsidRDefault="000C1192" w:rsidP="000C1192">
      <w:pPr>
        <w:pStyle w:val="SingleTxtG"/>
      </w:pPr>
      <w:r w:rsidRPr="00D66340">
        <w:t>64.</w:t>
      </w:r>
      <w:r w:rsidRPr="00D66340">
        <w:tab/>
      </w:r>
      <w:r w:rsidRPr="001A1322">
        <w:t>La loi sur l</w:t>
      </w:r>
      <w:r>
        <w:t>’</w:t>
      </w:r>
      <w:r w:rsidRPr="001A1322">
        <w:t>aide juridictionnelle gratuite prévoit l</w:t>
      </w:r>
      <w:r>
        <w:t>’</w:t>
      </w:r>
      <w:r w:rsidRPr="001A1322">
        <w:t xml:space="preserve">octroi de cette aide aux victimes de violence dans le cadre </w:t>
      </w:r>
      <w:r>
        <w:t xml:space="preserve">des </w:t>
      </w:r>
      <w:r w:rsidRPr="001A1322">
        <w:t>procédure</w:t>
      </w:r>
      <w:r>
        <w:t>s visant à demander l’</w:t>
      </w:r>
      <w:r w:rsidRPr="001A1322">
        <w:t xml:space="preserve">indemnisation </w:t>
      </w:r>
      <w:r>
        <w:t xml:space="preserve">de </w:t>
      </w:r>
      <w:r w:rsidRPr="001A1322">
        <w:t xml:space="preserve">dommages </w:t>
      </w:r>
      <w:r>
        <w:t xml:space="preserve">résultant de la </w:t>
      </w:r>
      <w:r w:rsidRPr="001A1322">
        <w:t>commission d</w:t>
      </w:r>
      <w:r>
        <w:t>’</w:t>
      </w:r>
      <w:r w:rsidRPr="001A1322">
        <w:t xml:space="preserve">une infraction pénale. </w:t>
      </w:r>
      <w:r w:rsidRPr="000657F6">
        <w:t>L</w:t>
      </w:r>
      <w:r>
        <w:t>’</w:t>
      </w:r>
      <w:r w:rsidRPr="000657F6">
        <w:t xml:space="preserve">aide </w:t>
      </w:r>
      <w:r>
        <w:t xml:space="preserve">juridictionnelle </w:t>
      </w:r>
      <w:r w:rsidRPr="000657F6">
        <w:t>secondaire</w:t>
      </w:r>
      <w:r w:rsidRPr="00535E17">
        <w:rPr>
          <w:rStyle w:val="Appelnotedebasdep"/>
        </w:rPr>
        <w:footnoteReference w:id="27"/>
      </w:r>
      <w:r w:rsidRPr="000657F6">
        <w:t xml:space="preserve"> est accordée sans détermin</w:t>
      </w:r>
      <w:r>
        <w:t>ation de</w:t>
      </w:r>
      <w:r w:rsidRPr="000657F6">
        <w:t xml:space="preserve"> la situation patrimoniale de la victime, </w:t>
      </w:r>
      <w:r>
        <w:t xml:space="preserve">condition sinon imposée </w:t>
      </w:r>
      <w:r w:rsidRPr="000657F6">
        <w:t xml:space="preserve">dans </w:t>
      </w:r>
      <w:r>
        <w:t xml:space="preserve">les </w:t>
      </w:r>
      <w:r w:rsidRPr="000657F6">
        <w:t xml:space="preserve">autres procédures </w:t>
      </w:r>
      <w:r>
        <w:t>d’</w:t>
      </w:r>
      <w:r w:rsidRPr="000657F6">
        <w:t>octroi de l</w:t>
      </w:r>
      <w:r>
        <w:t>’</w:t>
      </w:r>
      <w:r w:rsidRPr="000657F6">
        <w:t xml:space="preserve">aide </w:t>
      </w:r>
      <w:r>
        <w:t>juridictionnelle</w:t>
      </w:r>
      <w:r w:rsidRPr="000657F6">
        <w:t xml:space="preserve">. </w:t>
      </w:r>
      <w:r>
        <w:t xml:space="preserve">Pour évaluer </w:t>
      </w:r>
      <w:r w:rsidRPr="000657F6">
        <w:t xml:space="preserve">la </w:t>
      </w:r>
      <w:r w:rsidRPr="000657F6">
        <w:lastRenderedPageBreak/>
        <w:t xml:space="preserve">situation financière, </w:t>
      </w:r>
      <w:r>
        <w:t xml:space="preserve">il n’est pas tenu compte des </w:t>
      </w:r>
      <w:r w:rsidRPr="000657F6">
        <w:t>éléments suivants</w:t>
      </w:r>
      <w:r w:rsidR="00711B54">
        <w:t> </w:t>
      </w:r>
      <w:r w:rsidRPr="000657F6">
        <w:t>: a)</w:t>
      </w:r>
      <w:r w:rsidR="00711B54">
        <w:t> </w:t>
      </w:r>
      <w:r w:rsidRPr="000657F6">
        <w:t>revenu total et patrimoine de l</w:t>
      </w:r>
      <w:r>
        <w:t>’</w:t>
      </w:r>
      <w:r w:rsidRPr="000657F6">
        <w:t xml:space="preserve">auteur </w:t>
      </w:r>
      <w:r>
        <w:t xml:space="preserve">des actes de </w:t>
      </w:r>
      <w:r w:rsidRPr="000657F6">
        <w:t xml:space="preserve">violence domestique </w:t>
      </w:r>
      <w:r>
        <w:t xml:space="preserve">lorsque </w:t>
      </w:r>
      <w:r w:rsidRPr="000657F6">
        <w:t xml:space="preserve">le demandeur est </w:t>
      </w:r>
      <w:r>
        <w:t xml:space="preserve">la </w:t>
      </w:r>
      <w:r w:rsidRPr="000657F6">
        <w:t xml:space="preserve">victime de </w:t>
      </w:r>
      <w:r>
        <w:t xml:space="preserve">ces actes ; </w:t>
      </w:r>
      <w:r w:rsidRPr="000657F6">
        <w:t>b)</w:t>
      </w:r>
      <w:r w:rsidR="00711B54">
        <w:t> </w:t>
      </w:r>
      <w:r w:rsidRPr="000657F6">
        <w:t xml:space="preserve">revenu total et patrimoine des membres du ménage participant à la procédure </w:t>
      </w:r>
      <w:r>
        <w:t xml:space="preserve">comme partie adverse ; </w:t>
      </w:r>
      <w:r w:rsidRPr="000657F6">
        <w:t>c)</w:t>
      </w:r>
      <w:r w:rsidR="00711B54">
        <w:t> </w:t>
      </w:r>
      <w:r>
        <w:t xml:space="preserve">divers </w:t>
      </w:r>
      <w:r w:rsidRPr="000657F6">
        <w:t xml:space="preserve">éléments </w:t>
      </w:r>
      <w:r>
        <w:t>exonérés</w:t>
      </w:r>
      <w:r w:rsidRPr="000657F6">
        <w:t>.</w:t>
      </w:r>
    </w:p>
    <w:p w14:paraId="161F006B" w14:textId="7BD7C825" w:rsidR="000C1192" w:rsidRPr="00705303" w:rsidRDefault="000C1192" w:rsidP="000C1192">
      <w:pPr>
        <w:pStyle w:val="SingleTxtG"/>
      </w:pPr>
      <w:r w:rsidRPr="00D66340">
        <w:t>65.</w:t>
      </w:r>
      <w:r w:rsidRPr="00D66340">
        <w:tab/>
      </w:r>
      <w:r>
        <w:t>Des d</w:t>
      </w:r>
      <w:r w:rsidRPr="00705303">
        <w:t>onnées sur l</w:t>
      </w:r>
      <w:r>
        <w:t xml:space="preserve">’aide juridictionnelle </w:t>
      </w:r>
      <w:r w:rsidRPr="00705303">
        <w:t>gratuite</w:t>
      </w:r>
      <w:r>
        <w:t xml:space="preserve"> sont présentées à l’a</w:t>
      </w:r>
      <w:r w:rsidRPr="00705303">
        <w:t>nnexe</w:t>
      </w:r>
      <w:r w:rsidR="00711B54">
        <w:t> </w:t>
      </w:r>
      <w:r w:rsidRPr="00705303">
        <w:t>10</w:t>
      </w:r>
      <w:r>
        <w:t>.</w:t>
      </w:r>
    </w:p>
    <w:p w14:paraId="3E5FCD0E" w14:textId="1480F21B" w:rsidR="000C1192" w:rsidRPr="00705303" w:rsidRDefault="000C1192" w:rsidP="000C1192">
      <w:pPr>
        <w:pStyle w:val="SingleTxtG"/>
      </w:pPr>
      <w:r w:rsidRPr="009C5019">
        <w:t>66.</w:t>
      </w:r>
      <w:r w:rsidRPr="009C5019">
        <w:tab/>
      </w:r>
      <w:r w:rsidRPr="00705303">
        <w:t>L</w:t>
      </w:r>
      <w:r>
        <w:t>’</w:t>
      </w:r>
      <w:r w:rsidR="00A858B3">
        <w:t>article </w:t>
      </w:r>
      <w:r w:rsidRPr="00705303">
        <w:t xml:space="preserve">7 de la loi </w:t>
      </w:r>
      <w:r>
        <w:t xml:space="preserve">sur le travail </w:t>
      </w:r>
      <w:r w:rsidRPr="00705303">
        <w:t xml:space="preserve">prévoit </w:t>
      </w:r>
      <w:r>
        <w:t xml:space="preserve">dans ce domaine des </w:t>
      </w:r>
      <w:r w:rsidRPr="00705303">
        <w:t>obligations et des droits fondamentaux</w:t>
      </w:r>
      <w:r>
        <w:t xml:space="preserve">, </w:t>
      </w:r>
      <w:r w:rsidRPr="00705303">
        <w:t>l</w:t>
      </w:r>
      <w:r>
        <w:t>’</w:t>
      </w:r>
      <w:r w:rsidRPr="00705303">
        <w:t xml:space="preserve">employeur </w:t>
      </w:r>
      <w:r>
        <w:t xml:space="preserve">étant </w:t>
      </w:r>
      <w:r w:rsidRPr="00705303">
        <w:t xml:space="preserve">tenu de respecter les droits et la dignité des travailleurs </w:t>
      </w:r>
      <w:r>
        <w:t xml:space="preserve">dans l’organisation du </w:t>
      </w:r>
      <w:r w:rsidRPr="00705303">
        <w:t xml:space="preserve">lieu de travail et </w:t>
      </w:r>
      <w:r>
        <w:t xml:space="preserve">les conditions du </w:t>
      </w:r>
      <w:r w:rsidRPr="00705303">
        <w:t xml:space="preserve">travail. La discrimination directe et indirecte </w:t>
      </w:r>
      <w:r>
        <w:t xml:space="preserve">sur le lieu de </w:t>
      </w:r>
      <w:r w:rsidRPr="00705303">
        <w:t xml:space="preserve">travail et </w:t>
      </w:r>
      <w:r>
        <w:t xml:space="preserve">liée aux </w:t>
      </w:r>
      <w:r w:rsidRPr="00705303">
        <w:t xml:space="preserve">conditions de travail est interdite, y compris </w:t>
      </w:r>
      <w:r>
        <w:t xml:space="preserve">en ce qui concerne </w:t>
      </w:r>
      <w:r w:rsidRPr="00705303">
        <w:t>les critères de sélection et les conditions d</w:t>
      </w:r>
      <w:r>
        <w:t>’</w:t>
      </w:r>
      <w:r w:rsidRPr="00705303">
        <w:t>emploi, l</w:t>
      </w:r>
      <w:r>
        <w:t>es</w:t>
      </w:r>
      <w:r w:rsidRPr="00705303">
        <w:t xml:space="preserve"> promotion</w:t>
      </w:r>
      <w:r>
        <w:t>s</w:t>
      </w:r>
      <w:r w:rsidRPr="00705303">
        <w:t>, l</w:t>
      </w:r>
      <w:r>
        <w:t>’</w:t>
      </w:r>
      <w:r w:rsidRPr="00705303">
        <w:t xml:space="preserve">orientation professionnelle, la formation professionnelle et </w:t>
      </w:r>
      <w:r>
        <w:t>le reclassement</w:t>
      </w:r>
      <w:r w:rsidRPr="00705303">
        <w:t>. L</w:t>
      </w:r>
      <w:r>
        <w:t>’</w:t>
      </w:r>
      <w:r w:rsidRPr="00705303">
        <w:t>employeur est tenu de protéger la dignité de l</w:t>
      </w:r>
      <w:r>
        <w:t>’</w:t>
      </w:r>
      <w:r w:rsidRPr="00705303">
        <w:t xml:space="preserve">employé contre les </w:t>
      </w:r>
      <w:r>
        <w:t xml:space="preserve">actes </w:t>
      </w:r>
      <w:r w:rsidRPr="00705303">
        <w:t>de</w:t>
      </w:r>
      <w:r>
        <w:t xml:space="preserve"> ses</w:t>
      </w:r>
      <w:r w:rsidRPr="00705303">
        <w:t xml:space="preserve"> supérieurs</w:t>
      </w:r>
      <w:r>
        <w:t xml:space="preserve"> et </w:t>
      </w:r>
      <w:r w:rsidRPr="00705303">
        <w:t xml:space="preserve">associés et </w:t>
      </w:r>
      <w:r>
        <w:t xml:space="preserve">de toute </w:t>
      </w:r>
      <w:r w:rsidRPr="00705303">
        <w:t xml:space="preserve">personne avec </w:t>
      </w:r>
      <w:r>
        <w:t xml:space="preserve">laquelle il est </w:t>
      </w:r>
      <w:r w:rsidRPr="00705303">
        <w:t>en contact régulièrement dans l</w:t>
      </w:r>
      <w:r>
        <w:t>’</w:t>
      </w:r>
      <w:r w:rsidRPr="00705303">
        <w:t xml:space="preserve">exercice de ses fonctions. </w:t>
      </w:r>
      <w:r>
        <w:t xml:space="preserve">Tout </w:t>
      </w:r>
      <w:r w:rsidRPr="00705303">
        <w:t xml:space="preserve">employeur </w:t>
      </w:r>
      <w:r>
        <w:t xml:space="preserve">d’au moins </w:t>
      </w:r>
      <w:r w:rsidR="00756F77">
        <w:t>20 </w:t>
      </w:r>
      <w:r>
        <w:t xml:space="preserve">salariés doit adopter et publier des règles sur </w:t>
      </w:r>
      <w:r w:rsidRPr="00705303">
        <w:t xml:space="preserve">les mesures de protection de la dignité </w:t>
      </w:r>
      <w:r>
        <w:t xml:space="preserve">des </w:t>
      </w:r>
      <w:r w:rsidRPr="00705303">
        <w:t>travailleur</w:t>
      </w:r>
      <w:r>
        <w:t>s</w:t>
      </w:r>
      <w:r w:rsidRPr="00705303">
        <w:t xml:space="preserve"> et les mesures anti</w:t>
      </w:r>
      <w:r>
        <w:t>discriminatoires.</w:t>
      </w:r>
    </w:p>
    <w:p w14:paraId="7C4A7729" w14:textId="33BE6B49" w:rsidR="000C1192" w:rsidRPr="00705303" w:rsidRDefault="000C1192" w:rsidP="000C1192">
      <w:pPr>
        <w:pStyle w:val="SingleTxtG"/>
      </w:pPr>
      <w:r w:rsidRPr="00C4011F">
        <w:t>67.</w:t>
      </w:r>
      <w:r w:rsidRPr="00C4011F">
        <w:tab/>
        <w:t>L</w:t>
      </w:r>
      <w:r>
        <w:t>’</w:t>
      </w:r>
      <w:r w:rsidRPr="00C4011F">
        <w:t xml:space="preserve">employeur ne peut refuser </w:t>
      </w:r>
      <w:r>
        <w:t xml:space="preserve">un emploi à </w:t>
      </w:r>
      <w:r w:rsidRPr="00C4011F">
        <w:t xml:space="preserve">une femme </w:t>
      </w:r>
      <w:r>
        <w:t xml:space="preserve">pour </w:t>
      </w:r>
      <w:r w:rsidRPr="00C4011F">
        <w:t xml:space="preserve">grossesse ou modifier </w:t>
      </w:r>
      <w:r>
        <w:t xml:space="preserve">dans un sens </w:t>
      </w:r>
      <w:r w:rsidRPr="00C4011F">
        <w:t xml:space="preserve">moins favorable </w:t>
      </w:r>
      <w:r>
        <w:t xml:space="preserve">les clauses de </w:t>
      </w:r>
      <w:r w:rsidRPr="00C4011F">
        <w:t xml:space="preserve">contrat de travail. </w:t>
      </w:r>
      <w:r>
        <w:t>Quand</w:t>
      </w:r>
      <w:r w:rsidRPr="00705303">
        <w:t xml:space="preserve"> </w:t>
      </w:r>
      <w:r>
        <w:t>l’</w:t>
      </w:r>
      <w:r w:rsidRPr="00705303">
        <w:t xml:space="preserve">emploi met en danger la vie ou la santé </w:t>
      </w:r>
      <w:r>
        <w:t xml:space="preserve">de la </w:t>
      </w:r>
      <w:r w:rsidRPr="00705303">
        <w:t xml:space="preserve">femme enceinte ou </w:t>
      </w:r>
      <w:r>
        <w:t xml:space="preserve">de son </w:t>
      </w:r>
      <w:r w:rsidRPr="00705303">
        <w:t>enfant, l</w:t>
      </w:r>
      <w:r>
        <w:t>’</w:t>
      </w:r>
      <w:r w:rsidRPr="00705303">
        <w:t xml:space="preserve">employeur </w:t>
      </w:r>
      <w:r>
        <w:t xml:space="preserve">doit </w:t>
      </w:r>
      <w:r w:rsidRPr="00705303">
        <w:t xml:space="preserve">lui proposer un contrat de travail pour </w:t>
      </w:r>
      <w:r>
        <w:t xml:space="preserve">un autre </w:t>
      </w:r>
      <w:r w:rsidRPr="00705303">
        <w:t xml:space="preserve">emploi, sans </w:t>
      </w:r>
      <w:r>
        <w:t>que</w:t>
      </w:r>
      <w:r w:rsidRPr="00705303">
        <w:t xml:space="preserve"> </w:t>
      </w:r>
      <w:r>
        <w:t xml:space="preserve">le </w:t>
      </w:r>
      <w:r w:rsidRPr="00705303">
        <w:t xml:space="preserve">salaire </w:t>
      </w:r>
      <w:r>
        <w:t>actuel puisse être diminué</w:t>
      </w:r>
      <w:r w:rsidRPr="00705303">
        <w:t xml:space="preserve">. Pendant la période de protection </w:t>
      </w:r>
      <w:r>
        <w:t xml:space="preserve">prévue </w:t>
      </w:r>
      <w:r w:rsidRPr="00705303">
        <w:t>à l</w:t>
      </w:r>
      <w:r>
        <w:t>’</w:t>
      </w:r>
      <w:r w:rsidR="00A858B3">
        <w:t>article </w:t>
      </w:r>
      <w:r w:rsidRPr="00705303">
        <w:t xml:space="preserve">34 de la </w:t>
      </w:r>
      <w:r>
        <w:t>loi sur le travail</w:t>
      </w:r>
      <w:r w:rsidRPr="00705303">
        <w:t xml:space="preserve">, qui </w:t>
      </w:r>
      <w:r>
        <w:t xml:space="preserve">concerne les personnes bénéficiant </w:t>
      </w:r>
      <w:r w:rsidRPr="00705303">
        <w:t xml:space="preserve">de certains des droits </w:t>
      </w:r>
      <w:r>
        <w:t xml:space="preserve">au titre </w:t>
      </w:r>
      <w:r w:rsidRPr="00705303">
        <w:t xml:space="preserve">de la </w:t>
      </w:r>
      <w:r>
        <w:t>l</w:t>
      </w:r>
      <w:r w:rsidRPr="00FD7AC8">
        <w:t>oi sur les prestations de maternité et les prestations parentales</w:t>
      </w:r>
      <w:r w:rsidRPr="00705303">
        <w:t>, l</w:t>
      </w:r>
      <w:r>
        <w:t>’</w:t>
      </w:r>
      <w:r w:rsidRPr="00705303">
        <w:t xml:space="preserve">employeur ne doit pas résilier le contrat de travail, même en cas de faute de </w:t>
      </w:r>
      <w:r>
        <w:t>l’employée</w:t>
      </w:r>
      <w:r w:rsidRPr="00705303">
        <w:t>.</w:t>
      </w:r>
    </w:p>
    <w:p w14:paraId="4FCA615F" w14:textId="0489C81E" w:rsidR="000C1192" w:rsidRPr="0028194A" w:rsidRDefault="000C1192" w:rsidP="000C1192">
      <w:pPr>
        <w:pStyle w:val="SingleTxtG"/>
        <w:rPr>
          <w:rStyle w:val="Appelnotedebasdep"/>
          <w:color w:val="000000" w:themeColor="text1"/>
        </w:rPr>
      </w:pPr>
      <w:r w:rsidRPr="004E5840">
        <w:t>68.</w:t>
      </w:r>
      <w:r w:rsidRPr="004E5840">
        <w:tab/>
      </w:r>
      <w:r w:rsidRPr="0028194A">
        <w:t xml:space="preserve">Le cadre </w:t>
      </w:r>
      <w:r>
        <w:t xml:space="preserve">juridique </w:t>
      </w:r>
      <w:r w:rsidRPr="0028194A">
        <w:t>de la protection de la dignité des travailleurs est défini en détail à l</w:t>
      </w:r>
      <w:r>
        <w:t>’</w:t>
      </w:r>
      <w:r w:rsidR="00A858B3">
        <w:t>article </w:t>
      </w:r>
      <w:r w:rsidRPr="0028194A">
        <w:t xml:space="preserve">134 de la </w:t>
      </w:r>
      <w:r>
        <w:t>loi sur le travail</w:t>
      </w:r>
      <w:r w:rsidRPr="00535E17">
        <w:rPr>
          <w:rStyle w:val="Appelnotedebasdep"/>
        </w:rPr>
        <w:footnoteReference w:id="28"/>
      </w:r>
      <w:r>
        <w:t>.</w:t>
      </w:r>
    </w:p>
    <w:p w14:paraId="22064E8F" w14:textId="77777777" w:rsidR="000C1192" w:rsidRPr="0028194A" w:rsidRDefault="000C1192" w:rsidP="000C1192">
      <w:pPr>
        <w:pStyle w:val="SingleTxtG"/>
      </w:pPr>
      <w:r w:rsidRPr="004A7129">
        <w:t>69.</w:t>
      </w:r>
      <w:r w:rsidRPr="004A7129">
        <w:tab/>
      </w:r>
      <w:r w:rsidRPr="0028194A">
        <w:t>L</w:t>
      </w:r>
      <w:r>
        <w:t>’</w:t>
      </w:r>
      <w:r w:rsidRPr="0028194A">
        <w:t xml:space="preserve">ensemble </w:t>
      </w:r>
      <w:r>
        <w:t xml:space="preserve">de </w:t>
      </w:r>
      <w:r w:rsidRPr="0028194A">
        <w:t xml:space="preserve">règles </w:t>
      </w:r>
      <w:r>
        <w:t xml:space="preserve">prévu </w:t>
      </w:r>
      <w:r w:rsidRPr="0028194A">
        <w:t xml:space="preserve">dans la </w:t>
      </w:r>
      <w:r>
        <w:t>loi sur le travail</w:t>
      </w:r>
      <w:r w:rsidRPr="0028194A">
        <w:t xml:space="preserve">, la </w:t>
      </w:r>
      <w:r>
        <w:t>loi sur l’égalité des sexes</w:t>
      </w:r>
      <w:r w:rsidRPr="0028194A">
        <w:t xml:space="preserve">, </w:t>
      </w:r>
      <w:r>
        <w:t xml:space="preserve">la loi sur la lutte contre la discrimination </w:t>
      </w:r>
      <w:r w:rsidRPr="0028194A">
        <w:t xml:space="preserve">et la </w:t>
      </w:r>
      <w:r>
        <w:t>loi sur les prestations de maternité et les prestations parentales</w:t>
      </w:r>
      <w:r w:rsidRPr="0028194A">
        <w:t xml:space="preserve"> </w:t>
      </w:r>
      <w:r>
        <w:t xml:space="preserve">assurent </w:t>
      </w:r>
      <w:r w:rsidRPr="0028194A">
        <w:t xml:space="preserve">une protection efficace des travailleurs et tous les droits </w:t>
      </w:r>
      <w:r>
        <w:t xml:space="preserve">correspondants </w:t>
      </w:r>
      <w:r w:rsidRPr="0028194A">
        <w:t xml:space="preserve">sont </w:t>
      </w:r>
      <w:r>
        <w:t xml:space="preserve">incorporés dans le droit interne </w:t>
      </w:r>
      <w:r w:rsidRPr="0028194A">
        <w:t xml:space="preserve">conformément aux </w:t>
      </w:r>
      <w:r>
        <w:t xml:space="preserve">règles </w:t>
      </w:r>
      <w:r w:rsidRPr="0028194A">
        <w:t>de l</w:t>
      </w:r>
      <w:r>
        <w:t>’</w:t>
      </w:r>
      <w:r w:rsidRPr="0028194A">
        <w:t xml:space="preserve">UE et aux instruments internationaux </w:t>
      </w:r>
      <w:r>
        <w:t xml:space="preserve">contraignants pour </w:t>
      </w:r>
      <w:r w:rsidRPr="0028194A">
        <w:t xml:space="preserve">la </w:t>
      </w:r>
      <w:r>
        <w:t>République de Croatie</w:t>
      </w:r>
      <w:r w:rsidRPr="0028194A">
        <w:t>.</w:t>
      </w:r>
    </w:p>
    <w:p w14:paraId="67007DA4" w14:textId="245355E1" w:rsidR="000C1192" w:rsidRPr="007E3BA0" w:rsidRDefault="000C1192" w:rsidP="00711B54">
      <w:pPr>
        <w:pStyle w:val="H1G"/>
      </w:pPr>
      <w:r w:rsidRPr="0028194A">
        <w:tab/>
      </w:r>
      <w:r w:rsidRPr="0028194A">
        <w:tab/>
      </w:r>
      <w:r w:rsidR="00A858B3">
        <w:t>Articles </w:t>
      </w:r>
      <w:r w:rsidRPr="007E3BA0">
        <w:t>4 et 5</w:t>
      </w:r>
    </w:p>
    <w:p w14:paraId="18E0F78A" w14:textId="55B7C381" w:rsidR="000C1192" w:rsidRPr="00892F61" w:rsidRDefault="000C1192" w:rsidP="000C1192">
      <w:pPr>
        <w:pStyle w:val="SingleTxtG"/>
      </w:pPr>
      <w:r w:rsidRPr="0029356A">
        <w:t>70.</w:t>
      </w:r>
      <w:r w:rsidRPr="0029356A">
        <w:tab/>
      </w:r>
      <w:r w:rsidRPr="00892F61">
        <w:t>L</w:t>
      </w:r>
      <w:r>
        <w:t xml:space="preserve">es dispositions des </w:t>
      </w:r>
      <w:r w:rsidR="00A858B3">
        <w:t>articles </w:t>
      </w:r>
      <w:r w:rsidRPr="00892F61">
        <w:t xml:space="preserve">4 et 5 du </w:t>
      </w:r>
      <w:r>
        <w:t xml:space="preserve">Pacte sont reprises dans la Constitution de la République de Croatie. Elles </w:t>
      </w:r>
      <w:r w:rsidRPr="00892F61">
        <w:t>n</w:t>
      </w:r>
      <w:r>
        <w:t>’</w:t>
      </w:r>
      <w:r w:rsidRPr="00892F61">
        <w:t>ont pas été modifiées</w:t>
      </w:r>
      <w:r>
        <w:t>,</w:t>
      </w:r>
      <w:r w:rsidRPr="00892F61">
        <w:t xml:space="preserve"> et </w:t>
      </w:r>
      <w:r>
        <w:t xml:space="preserve">une description en est donnée </w:t>
      </w:r>
      <w:r w:rsidRPr="00892F61">
        <w:t>dans le rapport initial.</w:t>
      </w:r>
    </w:p>
    <w:p w14:paraId="09851F62" w14:textId="3FA91D9D" w:rsidR="000C1192" w:rsidRPr="00B36E51" w:rsidRDefault="000C1192" w:rsidP="00711B54">
      <w:pPr>
        <w:pStyle w:val="HChG"/>
      </w:pPr>
      <w:r w:rsidRPr="00892F61">
        <w:lastRenderedPageBreak/>
        <w:tab/>
      </w:r>
      <w:r w:rsidRPr="007E3BA0">
        <w:t>IV.</w:t>
      </w:r>
      <w:r w:rsidRPr="007E3BA0">
        <w:tab/>
      </w:r>
      <w:r w:rsidRPr="00B36E51">
        <w:t>Droits spécifiques reconnus dans le Pa</w:t>
      </w:r>
      <w:r>
        <w:t xml:space="preserve">cte international </w:t>
      </w:r>
      <w:r w:rsidR="00420B93">
        <w:br/>
      </w:r>
      <w:r>
        <w:t xml:space="preserve">relatif aux droits économiques, sociaux et culturels </w:t>
      </w:r>
    </w:p>
    <w:p w14:paraId="5311B98F" w14:textId="7C96FDD2" w:rsidR="000C1192" w:rsidRPr="007E3BA0" w:rsidRDefault="000C1192" w:rsidP="00711B54">
      <w:pPr>
        <w:pStyle w:val="H1G"/>
      </w:pPr>
      <w:r w:rsidRPr="00B36E51">
        <w:tab/>
      </w:r>
      <w:r w:rsidRPr="00B36E51">
        <w:tab/>
      </w:r>
      <w:r w:rsidR="00A858B3">
        <w:t>Article </w:t>
      </w:r>
      <w:r w:rsidRPr="007E3BA0">
        <w:t>6</w:t>
      </w:r>
    </w:p>
    <w:p w14:paraId="6A087D4F" w14:textId="5CEFE678" w:rsidR="000C1192" w:rsidRPr="005A6E07" w:rsidRDefault="000C1192" w:rsidP="000C1192">
      <w:pPr>
        <w:pStyle w:val="SingleTxtG"/>
      </w:pPr>
      <w:r w:rsidRPr="00E929C2">
        <w:t>71.</w:t>
      </w:r>
      <w:r w:rsidRPr="00E929C2">
        <w:tab/>
      </w:r>
      <w:r w:rsidRPr="00B36E51">
        <w:t>Les mesures</w:t>
      </w:r>
      <w:r>
        <w:t xml:space="preserve"> volontaristes</w:t>
      </w:r>
      <w:r w:rsidRPr="00B36E51">
        <w:t xml:space="preserve"> </w:t>
      </w:r>
      <w:r>
        <w:t xml:space="preserve">prises au titre </w:t>
      </w:r>
      <w:r w:rsidRPr="00B36E51">
        <w:t xml:space="preserve">des politiques </w:t>
      </w:r>
      <w:r>
        <w:t>de</w:t>
      </w:r>
      <w:r w:rsidRPr="00B36E51">
        <w:t xml:space="preserve"> l</w:t>
      </w:r>
      <w:r>
        <w:t>’</w:t>
      </w:r>
      <w:r w:rsidRPr="00B36E51">
        <w:t xml:space="preserve">emploi de 2001 à 2019 visent </w:t>
      </w:r>
      <w:r>
        <w:t xml:space="preserve">à intégrer les </w:t>
      </w:r>
      <w:r w:rsidRPr="00B36E51">
        <w:t xml:space="preserve">personnes défavorisées sur le marché du travail. Les interventions visent à </w:t>
      </w:r>
      <w:r>
        <w:t xml:space="preserve">promouvoir </w:t>
      </w:r>
      <w:r w:rsidRPr="00B36E51">
        <w:t>l</w:t>
      </w:r>
      <w:r>
        <w:t>’</w:t>
      </w:r>
      <w:r w:rsidRPr="00B36E51">
        <w:t xml:space="preserve">emploi, </w:t>
      </w:r>
      <w:r>
        <w:t>l’activité indépendante et</w:t>
      </w:r>
      <w:r w:rsidRPr="00B36E51">
        <w:t xml:space="preserve"> l</w:t>
      </w:r>
      <w:r>
        <w:t>’</w:t>
      </w:r>
      <w:r w:rsidRPr="00B36E51">
        <w:t xml:space="preserve">éducation des groupes cibles et </w:t>
      </w:r>
      <w:r>
        <w:t xml:space="preserve">leur </w:t>
      </w:r>
      <w:r w:rsidRPr="00B36E51">
        <w:t xml:space="preserve">inclusion dans </w:t>
      </w:r>
      <w:r>
        <w:t xml:space="preserve">des </w:t>
      </w:r>
      <w:r w:rsidRPr="00B36E51">
        <w:t xml:space="preserve">programmes de travaux publics. </w:t>
      </w:r>
      <w:r>
        <w:t>Des d</w:t>
      </w:r>
      <w:r w:rsidRPr="00B36E51">
        <w:t xml:space="preserve">onnées sur le nombre de </w:t>
      </w:r>
      <w:r>
        <w:t>bénéficiaires des mesures d’aide à l’emploi, d’emploi dans les programmes de travaux publics et d’éducation et de formation sont présentées à la feuille</w:t>
      </w:r>
      <w:r w:rsidR="00711B54">
        <w:t> </w:t>
      </w:r>
      <w:r w:rsidRPr="00B36E51">
        <w:t>6.1.3</w:t>
      </w:r>
      <w:r>
        <w:t xml:space="preserve"> de l’annexe</w:t>
      </w:r>
      <w:r w:rsidR="00711B54">
        <w:t> </w:t>
      </w:r>
      <w:r>
        <w:t>2</w:t>
      </w:r>
      <w:r w:rsidRPr="00B36E51">
        <w:t xml:space="preserve">. </w:t>
      </w:r>
      <w:r w:rsidRPr="005A6E07">
        <w:t>D</w:t>
      </w:r>
      <w:r>
        <w:t>es d</w:t>
      </w:r>
      <w:r w:rsidRPr="005A6E07">
        <w:t xml:space="preserve">onnées sur la </w:t>
      </w:r>
      <w:r>
        <w:t xml:space="preserve">ventilation </w:t>
      </w:r>
      <w:r w:rsidRPr="005A6E07">
        <w:t xml:space="preserve">par âge, sexe et </w:t>
      </w:r>
      <w:r>
        <w:t>niveau d’</w:t>
      </w:r>
      <w:r w:rsidRPr="005A6E07">
        <w:t xml:space="preserve">éducation des </w:t>
      </w:r>
      <w:r>
        <w:t xml:space="preserve">bénéficiaires de </w:t>
      </w:r>
      <w:r w:rsidRPr="005A6E07">
        <w:t xml:space="preserve">mesures </w:t>
      </w:r>
      <w:r>
        <w:t xml:space="preserve">au titre des </w:t>
      </w:r>
      <w:r w:rsidRPr="005A6E07">
        <w:t>politique</w:t>
      </w:r>
      <w:r>
        <w:t>s</w:t>
      </w:r>
      <w:r w:rsidRPr="005A6E07">
        <w:t xml:space="preserve"> active</w:t>
      </w:r>
      <w:r>
        <w:t>s</w:t>
      </w:r>
      <w:r w:rsidRPr="005A6E07">
        <w:t xml:space="preserve"> </w:t>
      </w:r>
      <w:r>
        <w:t xml:space="preserve">en faveur </w:t>
      </w:r>
      <w:r w:rsidRPr="005A6E07">
        <w:t>de l</w:t>
      </w:r>
      <w:r>
        <w:t>’</w:t>
      </w:r>
      <w:r w:rsidRPr="005A6E07">
        <w:t>emploi</w:t>
      </w:r>
      <w:r>
        <w:t xml:space="preserve"> figurent à l’a</w:t>
      </w:r>
      <w:r w:rsidRPr="005A6E07">
        <w:t>nnexe</w:t>
      </w:r>
      <w:r w:rsidR="00711B54">
        <w:t> </w:t>
      </w:r>
      <w:r w:rsidRPr="005A6E07">
        <w:t>2</w:t>
      </w:r>
      <w:r>
        <w:t>, feuilles</w:t>
      </w:r>
      <w:r w:rsidR="00711B54">
        <w:t> </w:t>
      </w:r>
      <w:r w:rsidRPr="005A6E07">
        <w:t>6.1.2 et</w:t>
      </w:r>
      <w:r w:rsidR="00711B54">
        <w:t> </w:t>
      </w:r>
      <w:r w:rsidRPr="005A6E07">
        <w:t>6.1.1.</w:t>
      </w:r>
    </w:p>
    <w:p w14:paraId="62BC4226" w14:textId="45BF2375" w:rsidR="000C1192" w:rsidRPr="008C721B" w:rsidRDefault="000C1192" w:rsidP="000C1192">
      <w:pPr>
        <w:pStyle w:val="SingleTxtG"/>
      </w:pPr>
      <w:r w:rsidRPr="00CC494A">
        <w:t>72.</w:t>
      </w:r>
      <w:r w:rsidRPr="00CC494A">
        <w:tab/>
      </w:r>
      <w:r>
        <w:t xml:space="preserve">L’Agence croate pour l’emploi réalise </w:t>
      </w:r>
      <w:r w:rsidRPr="00357F6D">
        <w:t>des mesures pour l</w:t>
      </w:r>
      <w:r>
        <w:t>’</w:t>
      </w:r>
      <w:r w:rsidRPr="00357F6D">
        <w:t xml:space="preserve">emploi et la formation des </w:t>
      </w:r>
      <w:r>
        <w:t xml:space="preserve">membres de </w:t>
      </w:r>
      <w:r w:rsidRPr="00357F6D">
        <w:t xml:space="preserve">la minorité nationale rom conformément aux documents nationaux </w:t>
      </w:r>
      <w:r>
        <w:t xml:space="preserve">de stratégie dans </w:t>
      </w:r>
      <w:r w:rsidRPr="00357F6D">
        <w:t>le domaine de l</w:t>
      </w:r>
      <w:r>
        <w:t>’</w:t>
      </w:r>
      <w:r w:rsidRPr="00357F6D">
        <w:t>inclusion des Roms</w:t>
      </w:r>
      <w:r>
        <w:t>, à savoir le</w:t>
      </w:r>
      <w:r w:rsidRPr="00357F6D">
        <w:t xml:space="preserve"> Programme national pour les Roms (jusqu</w:t>
      </w:r>
      <w:r>
        <w:t>’</w:t>
      </w:r>
      <w:r w:rsidRPr="00357F6D">
        <w:t xml:space="preserve">en 2013), </w:t>
      </w:r>
      <w:r>
        <w:t xml:space="preserve">le </w:t>
      </w:r>
      <w:r w:rsidRPr="00357F6D">
        <w:t>Plan d</w:t>
      </w:r>
      <w:r>
        <w:t>’</w:t>
      </w:r>
      <w:r w:rsidRPr="00357F6D">
        <w:t>action de la Décennie pour l</w:t>
      </w:r>
      <w:r>
        <w:t>’</w:t>
      </w:r>
      <w:r w:rsidRPr="00357F6D">
        <w:t xml:space="preserve">inclusion des Roms </w:t>
      </w:r>
      <w:r>
        <w:t>(</w:t>
      </w:r>
      <w:r w:rsidRPr="00357F6D">
        <w:t>2005-2015</w:t>
      </w:r>
      <w:r>
        <w:t xml:space="preserve">) </w:t>
      </w:r>
      <w:r w:rsidRPr="00357F6D">
        <w:t>et la Stratégie nationale d</w:t>
      </w:r>
      <w:r>
        <w:t>’</w:t>
      </w:r>
      <w:r w:rsidRPr="00357F6D">
        <w:t xml:space="preserve">inclusion des Roms </w:t>
      </w:r>
      <w:r>
        <w:t>(</w:t>
      </w:r>
      <w:r w:rsidRPr="00357F6D">
        <w:t>2013-2020</w:t>
      </w:r>
      <w:r>
        <w:t>)</w:t>
      </w:r>
      <w:r w:rsidRPr="00357F6D">
        <w:t xml:space="preserve">. </w:t>
      </w:r>
      <w:r>
        <w:t>Les s</w:t>
      </w:r>
      <w:r w:rsidRPr="00357F6D">
        <w:t xml:space="preserve">tatistiques </w:t>
      </w:r>
      <w:r>
        <w:t xml:space="preserve">de l’Agence croate pour l’emploi </w:t>
      </w:r>
      <w:r w:rsidRPr="00357F6D">
        <w:t xml:space="preserve">sur </w:t>
      </w:r>
      <w:r>
        <w:t xml:space="preserve">les membres de </w:t>
      </w:r>
      <w:r w:rsidRPr="00357F6D">
        <w:t xml:space="preserve">la minorité nationale rom </w:t>
      </w:r>
      <w:r>
        <w:t xml:space="preserve">ayant bénéficié de </w:t>
      </w:r>
      <w:r w:rsidRPr="00357F6D">
        <w:t>mesures</w:t>
      </w:r>
      <w:r>
        <w:t xml:space="preserve"> volontaristes</w:t>
      </w:r>
      <w:r w:rsidRPr="00357F6D">
        <w:t xml:space="preserve"> </w:t>
      </w:r>
      <w:r>
        <w:t xml:space="preserve">au titre des </w:t>
      </w:r>
      <w:r w:rsidRPr="00357F6D">
        <w:t>politique</w:t>
      </w:r>
      <w:r>
        <w:t xml:space="preserve">s </w:t>
      </w:r>
      <w:r w:rsidRPr="00357F6D">
        <w:t>de l</w:t>
      </w:r>
      <w:r>
        <w:t>’</w:t>
      </w:r>
      <w:r w:rsidRPr="00357F6D">
        <w:t>emploi de 2015 à 2019</w:t>
      </w:r>
      <w:r>
        <w:t xml:space="preserve"> peuvent être consultées à </w:t>
      </w:r>
      <w:r w:rsidRPr="00357F6D">
        <w:t>l</w:t>
      </w:r>
      <w:r>
        <w:t>’</w:t>
      </w:r>
      <w:r w:rsidRPr="00357F6D">
        <w:t>annexe</w:t>
      </w:r>
      <w:r w:rsidR="00711B54">
        <w:t> </w:t>
      </w:r>
      <w:r w:rsidRPr="00357F6D">
        <w:t>2</w:t>
      </w:r>
      <w:r>
        <w:t>, feuille</w:t>
      </w:r>
      <w:r w:rsidR="00711B54">
        <w:t> </w:t>
      </w:r>
      <w:r w:rsidRPr="00357F6D">
        <w:t xml:space="preserve">6.1.6 </w:t>
      </w:r>
      <w:r w:rsidRPr="008C721B">
        <w:t>(</w:t>
      </w:r>
      <w:r>
        <w:t xml:space="preserve">données ventilées </w:t>
      </w:r>
      <w:r w:rsidRPr="008C721B">
        <w:t>par âge, sexe et intervention).</w:t>
      </w:r>
    </w:p>
    <w:p w14:paraId="6B428EB5" w14:textId="236B90A6" w:rsidR="000C1192" w:rsidRPr="007E3BA0" w:rsidRDefault="000C1192" w:rsidP="000C1192">
      <w:pPr>
        <w:pStyle w:val="SingleTxtG"/>
      </w:pPr>
      <w:r w:rsidRPr="00A16759">
        <w:t>73.</w:t>
      </w:r>
      <w:r w:rsidRPr="00A16759">
        <w:tab/>
      </w:r>
      <w:r w:rsidRPr="00342712">
        <w:t xml:space="preserve">En 2017, </w:t>
      </w:r>
      <w:r>
        <w:t xml:space="preserve">une nouvelle série de mesures volontaristes a </w:t>
      </w:r>
      <w:r w:rsidRPr="00342712">
        <w:t>été adopté</w:t>
      </w:r>
      <w:r>
        <w:t>e dans le cadre de la politique de l’emploi</w:t>
      </w:r>
      <w:r w:rsidRPr="00342712">
        <w:t xml:space="preserve">. </w:t>
      </w:r>
      <w:r>
        <w:t xml:space="preserve">Les </w:t>
      </w:r>
      <w:r w:rsidRPr="00342712">
        <w:t xml:space="preserve">mesures améliorées </w:t>
      </w:r>
      <w:r>
        <w:t xml:space="preserve">appliquées depuis </w:t>
      </w:r>
      <w:r w:rsidRPr="00342712">
        <w:t>janvier 2018</w:t>
      </w:r>
      <w:r>
        <w:t xml:space="preserve"> mettent </w:t>
      </w:r>
      <w:r w:rsidRPr="00342712">
        <w:t>l</w:t>
      </w:r>
      <w:r>
        <w:t>’</w:t>
      </w:r>
      <w:r w:rsidRPr="00342712">
        <w:t xml:space="preserve">accent sur </w:t>
      </w:r>
      <w:r>
        <w:t xml:space="preserve">la promotion </w:t>
      </w:r>
      <w:r w:rsidRPr="00342712">
        <w:t>de l</w:t>
      </w:r>
      <w:r>
        <w:t>’</w:t>
      </w:r>
      <w:r w:rsidRPr="00342712">
        <w:t xml:space="preserve">emploi et de </w:t>
      </w:r>
      <w:r>
        <w:t>l’activité indépendante</w:t>
      </w:r>
      <w:r w:rsidRPr="00342712">
        <w:t>, et un</w:t>
      </w:r>
      <w:r>
        <w:t xml:space="preserve">e aide </w:t>
      </w:r>
      <w:r w:rsidRPr="00342712">
        <w:t>spécial</w:t>
      </w:r>
      <w:r>
        <w:t>e</w:t>
      </w:r>
      <w:r w:rsidRPr="00342712">
        <w:t xml:space="preserve"> </w:t>
      </w:r>
      <w:r>
        <w:t xml:space="preserve">a été adoptée pour les </w:t>
      </w:r>
      <w:r w:rsidRPr="00342712">
        <w:t>stages. L</w:t>
      </w:r>
      <w:r>
        <w:t xml:space="preserve">’aide </w:t>
      </w:r>
      <w:r w:rsidRPr="00342712">
        <w:t>à l</w:t>
      </w:r>
      <w:r>
        <w:t>’</w:t>
      </w:r>
      <w:r w:rsidRPr="00342712">
        <w:t>acquisition d</w:t>
      </w:r>
      <w:r>
        <w:t>’</w:t>
      </w:r>
      <w:r w:rsidRPr="00342712">
        <w:t>une première expérience professionnelle</w:t>
      </w:r>
      <w:r>
        <w:t xml:space="preserve"> dans le cadre d’un </w:t>
      </w:r>
      <w:r w:rsidRPr="00342712">
        <w:t xml:space="preserve">stage </w:t>
      </w:r>
      <w:r>
        <w:t xml:space="preserve">permet un </w:t>
      </w:r>
      <w:r w:rsidRPr="00342712">
        <w:t>cofinance</w:t>
      </w:r>
      <w:r>
        <w:t>ment de</w:t>
      </w:r>
      <w:r w:rsidRPr="00342712">
        <w:t xml:space="preserve"> l</w:t>
      </w:r>
      <w:r>
        <w:t>’</w:t>
      </w:r>
      <w:r w:rsidRPr="00342712">
        <w:t xml:space="preserve">emploi </w:t>
      </w:r>
      <w:r>
        <w:t xml:space="preserve">de </w:t>
      </w:r>
      <w:r w:rsidRPr="00342712">
        <w:t xml:space="preserve">stagiaires </w:t>
      </w:r>
      <w:r>
        <w:t>à hauteur de</w:t>
      </w:r>
      <w:r w:rsidRPr="00342712">
        <w:t xml:space="preserve"> 50</w:t>
      </w:r>
      <w:r w:rsidR="00711B54">
        <w:t> </w:t>
      </w:r>
      <w:r w:rsidRPr="00342712">
        <w:t xml:space="preserve">% </w:t>
      </w:r>
      <w:r>
        <w:t xml:space="preserve">de la rémunération </w:t>
      </w:r>
      <w:r w:rsidRPr="00342712">
        <w:t xml:space="preserve">dans le secteur privé et </w:t>
      </w:r>
      <w:r>
        <w:t xml:space="preserve">de </w:t>
      </w:r>
      <w:r w:rsidRPr="00342712">
        <w:t>100</w:t>
      </w:r>
      <w:r w:rsidR="00711B54">
        <w:t> </w:t>
      </w:r>
      <w:r w:rsidRPr="00342712">
        <w:t>% dans le secteur public (santé, éducation, protection sociale et culture)</w:t>
      </w:r>
      <w:r>
        <w:t xml:space="preserve">. </w:t>
      </w:r>
      <w:r w:rsidRPr="007E3BA0">
        <w:t xml:space="preserve">Pour de </w:t>
      </w:r>
      <w:r>
        <w:t xml:space="preserve">plus amples </w:t>
      </w:r>
      <w:r w:rsidRPr="007E3BA0">
        <w:t>renseignements, voir annexe</w:t>
      </w:r>
      <w:r w:rsidR="00711B54">
        <w:t> </w:t>
      </w:r>
      <w:r w:rsidRPr="007E3BA0">
        <w:t xml:space="preserve">2, </w:t>
      </w:r>
      <w:r>
        <w:t>feuilles</w:t>
      </w:r>
      <w:r w:rsidR="00711B54">
        <w:t> </w:t>
      </w:r>
      <w:r w:rsidRPr="007E3BA0">
        <w:t>6.1.4 et 6.1.5.</w:t>
      </w:r>
    </w:p>
    <w:p w14:paraId="7369ACF6" w14:textId="77777777" w:rsidR="000C1192" w:rsidRPr="00661412" w:rsidRDefault="000C1192" w:rsidP="000C1192">
      <w:pPr>
        <w:pStyle w:val="SingleTxtG"/>
        <w:rPr>
          <w:rStyle w:val="Appelnotedebasdep"/>
          <w:color w:val="000000" w:themeColor="text1"/>
        </w:rPr>
      </w:pPr>
      <w:r w:rsidRPr="00552677">
        <w:t>74.</w:t>
      </w:r>
      <w:r w:rsidRPr="00552677">
        <w:tab/>
      </w:r>
      <w:r w:rsidRPr="008D32DD">
        <w:t xml:space="preserve">Chaque chômeur bénéficie </w:t>
      </w:r>
      <w:r>
        <w:t xml:space="preserve">de conseils et de l’établissement d’un plan d’orientation professionnelle qui règle </w:t>
      </w:r>
      <w:r w:rsidRPr="008D32DD">
        <w:t xml:space="preserve">les droits et </w:t>
      </w:r>
      <w:r>
        <w:t>obligations du demandeur d’emploi et du conseiller d’orientation</w:t>
      </w:r>
      <w:r w:rsidRPr="00535E17">
        <w:rPr>
          <w:rStyle w:val="Appelnotedebasdep"/>
        </w:rPr>
        <w:footnoteReference w:id="29"/>
      </w:r>
      <w:r>
        <w:t>.</w:t>
      </w:r>
    </w:p>
    <w:p w14:paraId="381D5945" w14:textId="77777777" w:rsidR="000C1192" w:rsidRPr="00B70DE7" w:rsidRDefault="000C1192" w:rsidP="000C1192">
      <w:pPr>
        <w:pStyle w:val="SingleTxtG"/>
      </w:pPr>
      <w:r w:rsidRPr="000508E7">
        <w:t>75.</w:t>
      </w:r>
      <w:r w:rsidRPr="000508E7">
        <w:tab/>
        <w:t xml:space="preserve">En 2013, </w:t>
      </w:r>
      <w:r>
        <w:t>l’Agence croate pour l’emploi a créé des c</w:t>
      </w:r>
      <w:r w:rsidRPr="00904307">
        <w:t>entre</w:t>
      </w:r>
      <w:r>
        <w:t>s</w:t>
      </w:r>
      <w:r w:rsidRPr="00904307">
        <w:t xml:space="preserve"> d</w:t>
      </w:r>
      <w:r>
        <w:t>’</w:t>
      </w:r>
      <w:r w:rsidRPr="00904307">
        <w:t>information et de conseil sur les carrières</w:t>
      </w:r>
      <w:r>
        <w:t xml:space="preserve"> en adoptant une démarche de </w:t>
      </w:r>
      <w:r w:rsidRPr="000508E7">
        <w:t xml:space="preserve">partenariat pour </w:t>
      </w:r>
      <w:r>
        <w:t xml:space="preserve">assurer </w:t>
      </w:r>
      <w:r w:rsidRPr="000508E7">
        <w:t>des services d</w:t>
      </w:r>
      <w:r>
        <w:t>’</w:t>
      </w:r>
      <w:r w:rsidRPr="000508E7">
        <w:t xml:space="preserve">orientation tout au long de la vie aux groupes les plus </w:t>
      </w:r>
      <w:r>
        <w:t>divers</w:t>
      </w:r>
      <w:r w:rsidRPr="000508E7">
        <w:t xml:space="preserve">, en particulier </w:t>
      </w:r>
      <w:r>
        <w:t xml:space="preserve">aux </w:t>
      </w:r>
      <w:r w:rsidRPr="000508E7">
        <w:t xml:space="preserve">jeunes et </w:t>
      </w:r>
      <w:r>
        <w:t xml:space="preserve">aux </w:t>
      </w:r>
      <w:r w:rsidRPr="000508E7">
        <w:t>groupes cibles qui n</w:t>
      </w:r>
      <w:r>
        <w:t xml:space="preserve">’ont pas recours habituellement aux services de l’Agence. Ces </w:t>
      </w:r>
      <w:r w:rsidRPr="000508E7">
        <w:t xml:space="preserve">centres </w:t>
      </w:r>
      <w:r>
        <w:t xml:space="preserve">exercent une compétence reconnue de pôle de recensement et d’activation des </w:t>
      </w:r>
      <w:r w:rsidRPr="000508E7">
        <w:t>groupes NEET</w:t>
      </w:r>
      <w:r w:rsidRPr="00535E17">
        <w:rPr>
          <w:rStyle w:val="Appelnotedebasdep"/>
        </w:rPr>
        <w:footnoteReference w:id="30"/>
      </w:r>
      <w:r w:rsidRPr="000508E7">
        <w:t xml:space="preserve"> </w:t>
      </w:r>
      <w:r>
        <w:t>au niveau inter</w:t>
      </w:r>
      <w:r w:rsidRPr="000508E7">
        <w:t>institutions (</w:t>
      </w:r>
      <w:r>
        <w:t>Agence croate pour l’emploi</w:t>
      </w:r>
      <w:r w:rsidRPr="000508E7">
        <w:t xml:space="preserve">, </w:t>
      </w:r>
      <w:r>
        <w:t xml:space="preserve">Ministère des sciences et de l’éducation </w:t>
      </w:r>
      <w:r w:rsidRPr="000508E7">
        <w:t xml:space="preserve">et </w:t>
      </w:r>
      <w:r>
        <w:t>la Caisse cro</w:t>
      </w:r>
      <w:r w:rsidRPr="00A16759">
        <w:t>ate d</w:t>
      </w:r>
      <w:r>
        <w:t>’</w:t>
      </w:r>
      <w:r w:rsidRPr="00A16759">
        <w:t>assurance retraite</w:t>
      </w:r>
      <w:r w:rsidRPr="000508E7">
        <w:t xml:space="preserve">) </w:t>
      </w:r>
      <w:r>
        <w:t>afin de recueillir sur ces groupes</w:t>
      </w:r>
      <w:r w:rsidRPr="000508E7">
        <w:t xml:space="preserve"> (</w:t>
      </w:r>
      <w:r>
        <w:t xml:space="preserve">par </w:t>
      </w:r>
      <w:r w:rsidRPr="000508E7">
        <w:t>âge, sexe, région</w:t>
      </w:r>
      <w:r>
        <w:t xml:space="preserve"> et</w:t>
      </w:r>
      <w:r w:rsidRPr="000508E7">
        <w:t xml:space="preserve"> programme éducatif)</w:t>
      </w:r>
      <w:r>
        <w:t xml:space="preserve"> l’ensemble des données utiles</w:t>
      </w:r>
      <w:r w:rsidRPr="000508E7">
        <w:t xml:space="preserve"> </w:t>
      </w:r>
      <w:r>
        <w:t>à partir desquelles des</w:t>
      </w:r>
      <w:r w:rsidRPr="000508E7">
        <w:t xml:space="preserve"> mesures </w:t>
      </w:r>
      <w:r>
        <w:t>ciblées peuvent ensuite être conçues</w:t>
      </w:r>
      <w:r w:rsidRPr="000508E7">
        <w:t>.</w:t>
      </w:r>
      <w:r>
        <w:t xml:space="preserve"> </w:t>
      </w:r>
    </w:p>
    <w:p w14:paraId="58F6884D" w14:textId="794AC04F" w:rsidR="000C1192" w:rsidRPr="00AC5D96" w:rsidRDefault="000C1192" w:rsidP="000C1192">
      <w:pPr>
        <w:pStyle w:val="SingleTxtG"/>
      </w:pPr>
      <w:r w:rsidRPr="006015DF">
        <w:t>76.</w:t>
      </w:r>
      <w:r w:rsidRPr="006015DF">
        <w:tab/>
      </w:r>
      <w:r w:rsidRPr="00AC5D96">
        <w:t xml:space="preserve">La nouvelle </w:t>
      </w:r>
      <w:r>
        <w:t>l</w:t>
      </w:r>
      <w:r w:rsidRPr="008057EC">
        <w:t>oi sur la réadaptation professionnelle et l</w:t>
      </w:r>
      <w:r>
        <w:t>’</w:t>
      </w:r>
      <w:r w:rsidRPr="008057EC">
        <w:t xml:space="preserve">emploi des personnes handicapées </w:t>
      </w:r>
      <w:r>
        <w:t xml:space="preserve">adopte </w:t>
      </w:r>
      <w:r w:rsidRPr="00AC5D96">
        <w:t>un cadre unique qui garantit l</w:t>
      </w:r>
      <w:r>
        <w:t>’</w:t>
      </w:r>
      <w:r w:rsidRPr="00AC5D96">
        <w:t xml:space="preserve">égalité </w:t>
      </w:r>
      <w:r>
        <w:t>de traitement et</w:t>
      </w:r>
      <w:r w:rsidRPr="00AC5D96">
        <w:t xml:space="preserve"> </w:t>
      </w:r>
      <w:r>
        <w:t xml:space="preserve">définit des </w:t>
      </w:r>
      <w:r w:rsidRPr="00AC5D96">
        <w:t xml:space="preserve">mesures et </w:t>
      </w:r>
      <w:r>
        <w:t xml:space="preserve">des modalités de </w:t>
      </w:r>
      <w:r w:rsidRPr="00AC5D96">
        <w:t xml:space="preserve">réadaptation professionnelle </w:t>
      </w:r>
      <w:r>
        <w:t>en matière d’</w:t>
      </w:r>
      <w:r w:rsidRPr="00AC5D96">
        <w:t>emploi des personnes handicapées. Le système de quotas pour l</w:t>
      </w:r>
      <w:r>
        <w:t>’</w:t>
      </w:r>
      <w:r w:rsidRPr="00AC5D96">
        <w:t xml:space="preserve">emploi </w:t>
      </w:r>
      <w:r>
        <w:t xml:space="preserve">de </w:t>
      </w:r>
      <w:r w:rsidRPr="00AC5D96">
        <w:t xml:space="preserve">personnes handicapées a été </w:t>
      </w:r>
      <w:r>
        <w:t>élargi</w:t>
      </w:r>
      <w:r w:rsidRPr="00AC5D96">
        <w:t xml:space="preserve">. </w:t>
      </w:r>
      <w:r>
        <w:t xml:space="preserve">Ce </w:t>
      </w:r>
      <w:r w:rsidRPr="00AC5D96">
        <w:lastRenderedPageBreak/>
        <w:t>système de quotas concerne les employeurs (</w:t>
      </w:r>
      <w:r>
        <w:t>d’</w:t>
      </w:r>
      <w:r w:rsidRPr="00AC5D96">
        <w:t>au moins 20</w:t>
      </w:r>
      <w:r w:rsidR="00C61166">
        <w:t> </w:t>
      </w:r>
      <w:r>
        <w:t>employés</w:t>
      </w:r>
      <w:r w:rsidRPr="00AC5D96">
        <w:t xml:space="preserve">) du secteur public et du secteur </w:t>
      </w:r>
      <w:r>
        <w:t xml:space="preserve">privé </w:t>
      </w:r>
      <w:r w:rsidRPr="00AC5D96">
        <w:t xml:space="preserve">et </w:t>
      </w:r>
      <w:r>
        <w:t xml:space="preserve">est fixé à </w:t>
      </w:r>
      <w:r w:rsidRPr="00AC5D96">
        <w:t>3</w:t>
      </w:r>
      <w:r w:rsidR="00C61166">
        <w:t> </w:t>
      </w:r>
      <w:r w:rsidRPr="00AC5D96">
        <w:t>% du nombre total d</w:t>
      </w:r>
      <w:r>
        <w:t>’</w:t>
      </w:r>
      <w:r w:rsidRPr="00AC5D96">
        <w:t>employés.</w:t>
      </w:r>
    </w:p>
    <w:p w14:paraId="04D7E2D2" w14:textId="77777777" w:rsidR="000C1192" w:rsidRPr="006E1FBF" w:rsidRDefault="000C1192" w:rsidP="000C1192">
      <w:pPr>
        <w:pStyle w:val="SingleTxtG"/>
      </w:pPr>
      <w:r w:rsidRPr="00F871A8">
        <w:t>77.</w:t>
      </w:r>
      <w:r w:rsidRPr="00F871A8">
        <w:tab/>
      </w:r>
      <w:r>
        <w:t>Des</w:t>
      </w:r>
      <w:r w:rsidRPr="006E1FBF">
        <w:t xml:space="preserve"> équipes mobiles </w:t>
      </w:r>
      <w:r>
        <w:t xml:space="preserve">exercent un rôle de </w:t>
      </w:r>
      <w:r w:rsidRPr="006E1FBF">
        <w:t xml:space="preserve">médiation et </w:t>
      </w:r>
      <w:r>
        <w:t>d’</w:t>
      </w:r>
      <w:r w:rsidRPr="006E1FBF">
        <w:t xml:space="preserve">accompagnement des </w:t>
      </w:r>
      <w:r>
        <w:t xml:space="preserve">personnes qui risquent un licenciement </w:t>
      </w:r>
      <w:r w:rsidRPr="006E1FBF">
        <w:t>ou travaill</w:t>
      </w:r>
      <w:r>
        <w:t>e</w:t>
      </w:r>
      <w:r w:rsidRPr="006E1FBF">
        <w:t xml:space="preserve">nt </w:t>
      </w:r>
      <w:r>
        <w:t xml:space="preserve">pour une entreprise qui connaît une </w:t>
      </w:r>
      <w:r w:rsidRPr="006E1FBF">
        <w:t xml:space="preserve">restructuration. </w:t>
      </w:r>
      <w:r>
        <w:t xml:space="preserve">Ces équipes </w:t>
      </w:r>
      <w:r w:rsidRPr="006E1FBF">
        <w:t xml:space="preserve">sont </w:t>
      </w:r>
      <w:r>
        <w:t xml:space="preserve">constituées </w:t>
      </w:r>
      <w:r w:rsidRPr="006E1FBF">
        <w:t xml:space="preserve">de conseillers </w:t>
      </w:r>
      <w:r>
        <w:t xml:space="preserve">à l’emploi, </w:t>
      </w:r>
      <w:r w:rsidRPr="006E1FBF">
        <w:t>d</w:t>
      </w:r>
      <w:r>
        <w:t>’</w:t>
      </w:r>
      <w:r w:rsidRPr="006E1FBF">
        <w:t>avocats et de psychologues.</w:t>
      </w:r>
    </w:p>
    <w:p w14:paraId="69253487" w14:textId="77777777" w:rsidR="000C1192" w:rsidRPr="00CD25D3" w:rsidRDefault="000C1192" w:rsidP="000C1192">
      <w:pPr>
        <w:pStyle w:val="SingleTxtG"/>
      </w:pPr>
      <w:r w:rsidRPr="005D5A93">
        <w:t>78.</w:t>
      </w:r>
      <w:r w:rsidRPr="005D5A93">
        <w:tab/>
      </w:r>
      <w:r>
        <w:t>La l</w:t>
      </w:r>
      <w:r w:rsidRPr="008F58E2">
        <w:t xml:space="preserve">oi </w:t>
      </w:r>
      <w:r>
        <w:t>d’</w:t>
      </w:r>
      <w:r w:rsidRPr="008F58E2">
        <w:t xml:space="preserve">interdiction et </w:t>
      </w:r>
      <w:r>
        <w:t xml:space="preserve">de </w:t>
      </w:r>
      <w:r w:rsidRPr="008F58E2">
        <w:t>prévention de l</w:t>
      </w:r>
      <w:r>
        <w:t>’</w:t>
      </w:r>
      <w:r w:rsidRPr="008F58E2">
        <w:t>exercice d</w:t>
      </w:r>
      <w:r>
        <w:t>’</w:t>
      </w:r>
      <w:r w:rsidRPr="008F58E2">
        <w:t>activités non enregistrées</w:t>
      </w:r>
      <w:r w:rsidRPr="00CD25D3">
        <w:t xml:space="preserve"> (2011) définit </w:t>
      </w:r>
      <w:r>
        <w:t xml:space="preserve">la notion </w:t>
      </w:r>
      <w:r w:rsidRPr="00CD25D3">
        <w:t>d</w:t>
      </w:r>
      <w:r>
        <w:t>’</w:t>
      </w:r>
      <w:r w:rsidRPr="00CD25D3">
        <w:t xml:space="preserve">activité économique non enregistrée, </w:t>
      </w:r>
      <w:r>
        <w:t xml:space="preserve">les contrôles et </w:t>
      </w:r>
      <w:r w:rsidRPr="00CD25D3">
        <w:t>inspection</w:t>
      </w:r>
      <w:r>
        <w:t>s</w:t>
      </w:r>
      <w:r w:rsidRPr="00CD25D3">
        <w:t xml:space="preserve">, </w:t>
      </w:r>
      <w:r>
        <w:t xml:space="preserve">les </w:t>
      </w:r>
      <w:r w:rsidRPr="00CD25D3">
        <w:t xml:space="preserve">mesures administratives et </w:t>
      </w:r>
      <w:r>
        <w:t xml:space="preserve">les </w:t>
      </w:r>
      <w:r w:rsidRPr="00CD25D3">
        <w:t xml:space="preserve">sanctions </w:t>
      </w:r>
      <w:r>
        <w:t>applicables en cas de manquement</w:t>
      </w:r>
      <w:r w:rsidRPr="00CD25D3">
        <w:t xml:space="preserve">. </w:t>
      </w:r>
      <w:r>
        <w:t xml:space="preserve">Cette </w:t>
      </w:r>
      <w:r w:rsidRPr="00CD25D3">
        <w:t>loi vise à lutter contre la concurrence déloyale et le travail non enregistré.</w:t>
      </w:r>
    </w:p>
    <w:p w14:paraId="535D1F9E" w14:textId="4B3C7230" w:rsidR="000C1192" w:rsidRPr="00CD25D3" w:rsidRDefault="000C1192" w:rsidP="000C1192">
      <w:pPr>
        <w:pStyle w:val="SingleTxtG"/>
      </w:pPr>
      <w:r w:rsidRPr="00664861">
        <w:t>79.</w:t>
      </w:r>
      <w:r w:rsidRPr="00664861">
        <w:tab/>
      </w:r>
      <w:r>
        <w:t>U</w:t>
      </w:r>
      <w:r w:rsidRPr="00CD25D3">
        <w:t xml:space="preserve">ne loi a été adoptée </w:t>
      </w:r>
      <w:r>
        <w:t xml:space="preserve">en 2012 pour simplifier les conditions </w:t>
      </w:r>
      <w:r w:rsidRPr="00CD25D3">
        <w:t>d</w:t>
      </w:r>
      <w:r>
        <w:t>’</w:t>
      </w:r>
      <w:r w:rsidRPr="00CD25D3">
        <w:t xml:space="preserve">emploi </w:t>
      </w:r>
      <w:r>
        <w:t xml:space="preserve">à un travail </w:t>
      </w:r>
      <w:r w:rsidRPr="00CD25D3">
        <w:t>saisonnier temporaire ou occasionnel dans l</w:t>
      </w:r>
      <w:r>
        <w:t>’</w:t>
      </w:r>
      <w:r w:rsidRPr="00CD25D3">
        <w:t>agriculture</w:t>
      </w:r>
      <w:r>
        <w:t>, en permettant la conclusion d’un contrat de travail journalier par la remise et l’acceptation d’un bon d’emploi</w:t>
      </w:r>
      <w:r w:rsidRPr="00CD25D3">
        <w:t>, ainsi qu</w:t>
      </w:r>
      <w:r>
        <w:t xml:space="preserve">’en fixant un </w:t>
      </w:r>
      <w:r w:rsidRPr="00CD25D3">
        <w:t>salaire minimum journalier pour chaque année civile.</w:t>
      </w:r>
      <w:r>
        <w:t xml:space="preserve"> Le nombre de bons d’emploi </w:t>
      </w:r>
      <w:r w:rsidRPr="00CD25D3">
        <w:t xml:space="preserve">utilisés pour </w:t>
      </w:r>
      <w:r>
        <w:t xml:space="preserve">le travail </w:t>
      </w:r>
      <w:r w:rsidRPr="00CD25D3">
        <w:t>saisonnier dans l</w:t>
      </w:r>
      <w:r>
        <w:t>’</w:t>
      </w:r>
      <w:r w:rsidRPr="00CD25D3">
        <w:t>agriculture</w:t>
      </w:r>
      <w:r>
        <w:t xml:space="preserve"> a atteint </w:t>
      </w:r>
      <w:r w:rsidRPr="00CD25D3">
        <w:t>325</w:t>
      </w:r>
      <w:r>
        <w:t> </w:t>
      </w:r>
      <w:r w:rsidRPr="00CD25D3">
        <w:t xml:space="preserve">295 </w:t>
      </w:r>
      <w:r>
        <w:t>en 2012</w:t>
      </w:r>
      <w:r w:rsidRPr="00CD25D3">
        <w:t xml:space="preserve"> et 306</w:t>
      </w:r>
      <w:r w:rsidR="00C61166">
        <w:t> </w:t>
      </w:r>
      <w:r w:rsidRPr="00CD25D3">
        <w:t>625 en 2019.</w:t>
      </w:r>
    </w:p>
    <w:p w14:paraId="3692E4EA" w14:textId="77777777" w:rsidR="000C1192" w:rsidRPr="00853B9D" w:rsidRDefault="000C1192" w:rsidP="000C1192">
      <w:pPr>
        <w:pStyle w:val="SingleTxtG"/>
      </w:pPr>
      <w:r w:rsidRPr="006C6BEC">
        <w:t>80.</w:t>
      </w:r>
      <w:r w:rsidRPr="006C6BEC">
        <w:tab/>
      </w:r>
      <w:r w:rsidRPr="004049BE">
        <w:t>La loi sur le travail prévoit la possibilité d</w:t>
      </w:r>
      <w:r>
        <w:t>’</w:t>
      </w:r>
      <w:r w:rsidRPr="004049BE">
        <w:t xml:space="preserve">exercer un travail supplémentaire pour un autre employeur. </w:t>
      </w:r>
      <w:r>
        <w:t xml:space="preserve">Avec l’adoption de la règle </w:t>
      </w:r>
      <w:r w:rsidRPr="00853B9D">
        <w:t xml:space="preserve">du </w:t>
      </w:r>
      <w:r w:rsidRPr="00C72255">
        <w:rPr>
          <w:i/>
          <w:iCs/>
        </w:rPr>
        <w:t>prorata temporis</w:t>
      </w:r>
      <w:r w:rsidRPr="00853B9D">
        <w:t xml:space="preserve"> </w:t>
      </w:r>
      <w:r>
        <w:t xml:space="preserve">pour les </w:t>
      </w:r>
      <w:r w:rsidRPr="00853B9D">
        <w:t>contrats à temps partiel</w:t>
      </w:r>
      <w:r>
        <w:t xml:space="preserve">, des </w:t>
      </w:r>
      <w:r w:rsidRPr="00853B9D">
        <w:t xml:space="preserve">droits matériels </w:t>
      </w:r>
      <w:r>
        <w:t xml:space="preserve">sont versés aux employés à proportion des </w:t>
      </w:r>
      <w:r w:rsidRPr="00853B9D">
        <w:t xml:space="preserve">heures de travail contractées, et </w:t>
      </w:r>
      <w:r>
        <w:t xml:space="preserve">les </w:t>
      </w:r>
      <w:r w:rsidRPr="00853B9D">
        <w:t>employeurs sont autorisés à utiliser le travail à temps partiel sans coût supplémentaire.</w:t>
      </w:r>
    </w:p>
    <w:p w14:paraId="3C64A9CB" w14:textId="77777777" w:rsidR="000C1192" w:rsidRPr="00853B9D" w:rsidRDefault="000C1192" w:rsidP="000C1192">
      <w:pPr>
        <w:pStyle w:val="SingleTxtG"/>
      </w:pPr>
      <w:r w:rsidRPr="00853B9D">
        <w:t>81.</w:t>
      </w:r>
      <w:r w:rsidRPr="00853B9D">
        <w:tab/>
        <w:t xml:space="preserve">Les modifications </w:t>
      </w:r>
      <w:r>
        <w:t xml:space="preserve">de </w:t>
      </w:r>
      <w:r w:rsidRPr="00853B9D">
        <w:t>2014</w:t>
      </w:r>
      <w:r>
        <w:t xml:space="preserve"> </w:t>
      </w:r>
      <w:r w:rsidRPr="00853B9D">
        <w:t xml:space="preserve">de </w:t>
      </w:r>
      <w:r>
        <w:t xml:space="preserve">la </w:t>
      </w:r>
      <w:r w:rsidRPr="00343A9D">
        <w:t>loi sur l</w:t>
      </w:r>
      <w:r>
        <w:t>’</w:t>
      </w:r>
      <w:r w:rsidRPr="00343A9D">
        <w:t>assurance vieillesse</w:t>
      </w:r>
      <w:r w:rsidRPr="00853B9D">
        <w:t xml:space="preserve"> permettent aux bénéficiaires </w:t>
      </w:r>
      <w:r>
        <w:t xml:space="preserve">d’une </w:t>
      </w:r>
      <w:r w:rsidRPr="00853B9D">
        <w:t xml:space="preserve">pension de vieillesse </w:t>
      </w:r>
      <w:r>
        <w:t>d’exercer un emploi à mi-temps tout en recevant l’intégralité de leur pension</w:t>
      </w:r>
      <w:r w:rsidRPr="00853B9D">
        <w:t xml:space="preserve">, et à </w:t>
      </w:r>
      <w:r>
        <w:t xml:space="preserve">compter </w:t>
      </w:r>
      <w:r w:rsidRPr="00853B9D">
        <w:t>de 2019, ce</w:t>
      </w:r>
      <w:r>
        <w:t xml:space="preserve">tte possibilité sera également ouverte aux </w:t>
      </w:r>
      <w:r w:rsidRPr="00853B9D">
        <w:t xml:space="preserve">bénéficiaires </w:t>
      </w:r>
      <w:r>
        <w:t xml:space="preserve">d’une </w:t>
      </w:r>
      <w:r w:rsidRPr="00853B9D">
        <w:t xml:space="preserve">pension de vieillesse anticipée, </w:t>
      </w:r>
      <w:r>
        <w:t xml:space="preserve">d’une pension selon le régime de retraite en assurance et d’une pension de vieillesse acquise en vertu d’un régime spécial. </w:t>
      </w:r>
    </w:p>
    <w:p w14:paraId="7CD2A0D7" w14:textId="77777777" w:rsidR="000C1192" w:rsidRPr="00D32B76" w:rsidRDefault="000C1192" w:rsidP="000C1192">
      <w:pPr>
        <w:pStyle w:val="SingleTxtG"/>
        <w:rPr>
          <w:rStyle w:val="Appelnotedebasdep"/>
          <w:color w:val="000000" w:themeColor="text1"/>
        </w:rPr>
      </w:pPr>
      <w:r w:rsidRPr="00552677">
        <w:t>82.</w:t>
      </w:r>
      <w:r w:rsidRPr="00552677">
        <w:tab/>
      </w:r>
      <w:r>
        <w:t>C</w:t>
      </w:r>
      <w:r w:rsidRPr="00853B9D">
        <w:t xml:space="preserve">onformément à la </w:t>
      </w:r>
      <w:r>
        <w:t>loi sur le travail</w:t>
      </w:r>
      <w:r w:rsidRPr="00853B9D">
        <w:t xml:space="preserve">, </w:t>
      </w:r>
      <w:r>
        <w:t xml:space="preserve">l’employeur </w:t>
      </w:r>
      <w:r w:rsidRPr="00853B9D">
        <w:t xml:space="preserve">peut résilier le contrat de travail </w:t>
      </w:r>
      <w:r>
        <w:t xml:space="preserve">dans le </w:t>
      </w:r>
      <w:r w:rsidRPr="00853B9D">
        <w:t xml:space="preserve">délai de préavis </w:t>
      </w:r>
      <w:r>
        <w:t xml:space="preserve">imposé </w:t>
      </w:r>
      <w:r w:rsidRPr="00853B9D">
        <w:t xml:space="preserve">ou convenu (licenciement régulier) </w:t>
      </w:r>
      <w:r>
        <w:t xml:space="preserve">si un </w:t>
      </w:r>
      <w:r w:rsidRPr="00853B9D">
        <w:t xml:space="preserve">motif </w:t>
      </w:r>
      <w:r>
        <w:t>le justifie</w:t>
      </w:r>
      <w:r w:rsidRPr="00535E17">
        <w:rPr>
          <w:rStyle w:val="Appelnotedebasdep"/>
        </w:rPr>
        <w:footnoteReference w:id="31"/>
      </w:r>
      <w:r w:rsidRPr="00D32B76">
        <w:t>.</w:t>
      </w:r>
    </w:p>
    <w:p w14:paraId="37715EFA" w14:textId="77777777" w:rsidR="000C1192" w:rsidRPr="00853B9D" w:rsidRDefault="000C1192" w:rsidP="000C1192">
      <w:pPr>
        <w:pStyle w:val="SingleTxtG"/>
      </w:pPr>
      <w:r w:rsidRPr="009F6B81">
        <w:t>83.</w:t>
      </w:r>
      <w:r w:rsidRPr="009F6B81">
        <w:tab/>
      </w:r>
      <w:r w:rsidRPr="00853B9D">
        <w:t xml:space="preserve">En cas de </w:t>
      </w:r>
      <w:r>
        <w:t xml:space="preserve">manquement </w:t>
      </w:r>
      <w:r w:rsidRPr="00853B9D">
        <w:t xml:space="preserve">particulièrement grave </w:t>
      </w:r>
      <w:r>
        <w:t>à une de ses obligations</w:t>
      </w:r>
      <w:r w:rsidRPr="00853B9D">
        <w:t xml:space="preserve">, </w:t>
      </w:r>
      <w:r>
        <w:t xml:space="preserve">l’employé </w:t>
      </w:r>
      <w:r w:rsidRPr="00853B9D">
        <w:t>peut être licencié sans préavis</w:t>
      </w:r>
      <w:r>
        <w:t xml:space="preserve">. </w:t>
      </w:r>
    </w:p>
    <w:p w14:paraId="135574DD" w14:textId="77777777" w:rsidR="000C1192" w:rsidRPr="00541FD6" w:rsidRDefault="000C1192" w:rsidP="000C1192">
      <w:pPr>
        <w:pStyle w:val="SingleTxtG"/>
      </w:pPr>
      <w:r w:rsidRPr="007C5F17">
        <w:t>84.</w:t>
      </w:r>
      <w:r w:rsidRPr="007C5F17">
        <w:tab/>
      </w:r>
      <w:r w:rsidRPr="00541FD6">
        <w:t>Toute résiliation du contrat de travail</w:t>
      </w:r>
      <w:r>
        <w:t xml:space="preserve"> doit</w:t>
      </w:r>
      <w:r w:rsidRPr="00541FD6">
        <w:t xml:space="preserve"> </w:t>
      </w:r>
      <w:r>
        <w:t xml:space="preserve">être notifiée </w:t>
      </w:r>
      <w:r w:rsidRPr="00541FD6">
        <w:t>par écrit</w:t>
      </w:r>
      <w:r>
        <w:t xml:space="preserve"> à l’employé en en indiquant les motifs</w:t>
      </w:r>
      <w:r w:rsidRPr="00541FD6">
        <w:t xml:space="preserve">. Le travailleur a droit à </w:t>
      </w:r>
      <w:r>
        <w:t xml:space="preserve">la </w:t>
      </w:r>
      <w:r w:rsidRPr="00541FD6">
        <w:t xml:space="preserve">protection judiciaire contre les licenciements </w:t>
      </w:r>
      <w:r>
        <w:t>abusifs</w:t>
      </w:r>
      <w:r w:rsidRPr="00541FD6">
        <w:t xml:space="preserve">. En cas de litige, </w:t>
      </w:r>
      <w:r>
        <w:t xml:space="preserve">il incombe à l’employeur, s’il est à l’origine de la résiliation du contrat de travail, d’apporter la preuve que le licenciement reposait sur </w:t>
      </w:r>
      <w:r w:rsidRPr="00541FD6">
        <w:t xml:space="preserve">des motifs justifiés. Si le </w:t>
      </w:r>
      <w:r>
        <w:t xml:space="preserve">juge </w:t>
      </w:r>
      <w:r w:rsidRPr="00541FD6">
        <w:t xml:space="preserve">constate </w:t>
      </w:r>
      <w:r>
        <w:t xml:space="preserve">qu’il y a eu licenciement abusif de la part de l’employeur et que la relation de travail n’a pas cessé, </w:t>
      </w:r>
      <w:r w:rsidRPr="00541FD6">
        <w:t xml:space="preserve">il </w:t>
      </w:r>
      <w:r>
        <w:t xml:space="preserve">impose </w:t>
      </w:r>
      <w:r w:rsidRPr="00541FD6">
        <w:t xml:space="preserve">le retour du travailleur </w:t>
      </w:r>
      <w:r>
        <w:t>dans son emploi.</w:t>
      </w:r>
    </w:p>
    <w:p w14:paraId="5071062B" w14:textId="77777777" w:rsidR="000C1192" w:rsidRPr="00776C19" w:rsidRDefault="000C1192" w:rsidP="000C1192">
      <w:pPr>
        <w:pStyle w:val="SingleTxtG"/>
      </w:pPr>
      <w:r w:rsidRPr="00E71314">
        <w:t>85.</w:t>
      </w:r>
      <w:r w:rsidRPr="00E71314">
        <w:tab/>
      </w:r>
      <w:r w:rsidRPr="00776C19">
        <w:t>L</w:t>
      </w:r>
      <w:r>
        <w:t>’</w:t>
      </w:r>
      <w:r w:rsidRPr="00776C19">
        <w:t xml:space="preserve">éducation et la formation des chômeurs visent à améliorer </w:t>
      </w:r>
      <w:r>
        <w:t xml:space="preserve">les perspectives </w:t>
      </w:r>
      <w:r w:rsidRPr="00776C19">
        <w:t>d</w:t>
      </w:r>
      <w:r>
        <w:t>’</w:t>
      </w:r>
      <w:r w:rsidRPr="00776C19">
        <w:t xml:space="preserve">emploi, en particulier </w:t>
      </w:r>
      <w:r>
        <w:t xml:space="preserve">celles des catégories vulnérables </w:t>
      </w:r>
      <w:r w:rsidRPr="00776C19">
        <w:t xml:space="preserve">de travailleurs, </w:t>
      </w:r>
      <w:r>
        <w:t xml:space="preserve">dont </w:t>
      </w:r>
      <w:r w:rsidRPr="00776C19">
        <w:t xml:space="preserve">les chômeurs de longue durée </w:t>
      </w:r>
      <w:r>
        <w:t xml:space="preserve">qui ont </w:t>
      </w:r>
      <w:r w:rsidRPr="00776C19">
        <w:t>un faible niveau d</w:t>
      </w:r>
      <w:r>
        <w:t>’</w:t>
      </w:r>
      <w:r w:rsidRPr="00776C19">
        <w:t xml:space="preserve">éducation, les personnes </w:t>
      </w:r>
      <w:r>
        <w:t xml:space="preserve">qui ont </w:t>
      </w:r>
      <w:r w:rsidRPr="00776C19">
        <w:t>quitté l</w:t>
      </w:r>
      <w:r>
        <w:t>’</w:t>
      </w:r>
      <w:r w:rsidRPr="00776C19">
        <w:t xml:space="preserve">école prématurément et les femmes </w:t>
      </w:r>
      <w:r>
        <w:t xml:space="preserve">peu </w:t>
      </w:r>
      <w:r w:rsidRPr="00776C19">
        <w:t xml:space="preserve">qualifiées. </w:t>
      </w:r>
      <w:r>
        <w:t xml:space="preserve">Pour adapter </w:t>
      </w:r>
      <w:r w:rsidRPr="00776C19">
        <w:t xml:space="preserve">le système éducatif </w:t>
      </w:r>
      <w:r>
        <w:t xml:space="preserve">au </w:t>
      </w:r>
      <w:r w:rsidRPr="00776C19">
        <w:t xml:space="preserve">marché du travail, </w:t>
      </w:r>
      <w:r>
        <w:t xml:space="preserve">il a été conçu en 2010 </w:t>
      </w:r>
      <w:r w:rsidRPr="00776C19">
        <w:t>une méthodologie permettant d</w:t>
      </w:r>
      <w:r>
        <w:t>’</w:t>
      </w:r>
      <w:r w:rsidRPr="00776C19">
        <w:t xml:space="preserve">élaborer des recommandations au niveau local </w:t>
      </w:r>
      <w:r>
        <w:t xml:space="preserve">concernant les inscriptions </w:t>
      </w:r>
      <w:r w:rsidRPr="00776C19">
        <w:t xml:space="preserve">dans les </w:t>
      </w:r>
      <w:r>
        <w:t>établissements du secondaire et du supérieur</w:t>
      </w:r>
      <w:r w:rsidRPr="00776C19">
        <w:t>. L</w:t>
      </w:r>
      <w:r>
        <w:t xml:space="preserve">’Agence croate pour l’emploi est consciente de ce qu’il est important d’intervenir tôt </w:t>
      </w:r>
      <w:r w:rsidRPr="00776C19">
        <w:t>dans l</w:t>
      </w:r>
      <w:r>
        <w:t>’</w:t>
      </w:r>
      <w:r w:rsidRPr="00776C19">
        <w:t xml:space="preserve">orientation professionnelle </w:t>
      </w:r>
      <w:r>
        <w:t xml:space="preserve">pour empêcher </w:t>
      </w:r>
      <w:r w:rsidRPr="00776C19">
        <w:t xml:space="preserve">les abandons scolaires précoces et autres </w:t>
      </w:r>
      <w:r>
        <w:t>incidences non souhaitées</w:t>
      </w:r>
      <w:r w:rsidRPr="00776C19">
        <w:t xml:space="preserve">. La formation </w:t>
      </w:r>
      <w:r>
        <w:t xml:space="preserve">à des compétences demandées sur le marché du </w:t>
      </w:r>
      <w:r>
        <w:lastRenderedPageBreak/>
        <w:t xml:space="preserve">travail permet </w:t>
      </w:r>
      <w:r w:rsidRPr="00776C19">
        <w:t xml:space="preserve">aux chômeurs </w:t>
      </w:r>
      <w:r>
        <w:t xml:space="preserve">inscrits à l’Agence pour l’emploi </w:t>
      </w:r>
      <w:r w:rsidRPr="00776C19">
        <w:t>d</w:t>
      </w:r>
      <w:r>
        <w:t>’</w:t>
      </w:r>
      <w:r w:rsidRPr="00776C19">
        <w:t xml:space="preserve">acquérir les qualifications </w:t>
      </w:r>
      <w:r>
        <w:t xml:space="preserve">nécessaires </w:t>
      </w:r>
      <w:r w:rsidRPr="00776C19">
        <w:t xml:space="preserve">pour le marché du travail. La formation </w:t>
      </w:r>
      <w:r>
        <w:t xml:space="preserve">en cours d’emploi </w:t>
      </w:r>
      <w:r w:rsidRPr="00776C19">
        <w:t xml:space="preserve">permet </w:t>
      </w:r>
      <w:r>
        <w:t xml:space="preserve">l’acquisition de </w:t>
      </w:r>
      <w:r w:rsidRPr="00776C19">
        <w:t xml:space="preserve">compétences professionnelles </w:t>
      </w:r>
      <w:r>
        <w:t>auprès d’</w:t>
      </w:r>
      <w:r w:rsidRPr="00776C19">
        <w:t xml:space="preserve">un employeur qui </w:t>
      </w:r>
      <w:r>
        <w:t xml:space="preserve">peut ainsi </w:t>
      </w:r>
      <w:r w:rsidRPr="00776C19">
        <w:t xml:space="preserve">participer à la formation </w:t>
      </w:r>
      <w:r>
        <w:t xml:space="preserve">de </w:t>
      </w:r>
      <w:r w:rsidRPr="00776C19">
        <w:t xml:space="preserve">futurs </w:t>
      </w:r>
      <w:r>
        <w:t xml:space="preserve">salariés qui peuvent, quant à eux, acquérir les </w:t>
      </w:r>
      <w:r w:rsidRPr="00776C19">
        <w:t xml:space="preserve">compétences </w:t>
      </w:r>
      <w:r>
        <w:t xml:space="preserve">liées à </w:t>
      </w:r>
      <w:r w:rsidRPr="00776C19">
        <w:t xml:space="preserve">certains emplois </w:t>
      </w:r>
      <w:r>
        <w:t>auprès d’une entreprise particulière</w:t>
      </w:r>
      <w:r w:rsidRPr="00776C19">
        <w:t xml:space="preserve">. La formation professionnelle </w:t>
      </w:r>
      <w:r>
        <w:t xml:space="preserve">hors contrat d’emploi est une mesure </w:t>
      </w:r>
      <w:r w:rsidRPr="00776C19">
        <w:t>qui permet aux jeunes d</w:t>
      </w:r>
      <w:r>
        <w:t>’</w:t>
      </w:r>
      <w:r w:rsidRPr="00776C19">
        <w:t xml:space="preserve">acquérir une expérience professionnelle dans la profession pour laquelle </w:t>
      </w:r>
      <w:r>
        <w:t xml:space="preserve">ils sont </w:t>
      </w:r>
      <w:r w:rsidRPr="00776C19">
        <w:t>formés.</w:t>
      </w:r>
    </w:p>
    <w:p w14:paraId="1B068F31" w14:textId="10EE91C1" w:rsidR="000C1192" w:rsidRPr="00282BDC" w:rsidRDefault="000C1192" w:rsidP="000C1192">
      <w:pPr>
        <w:pStyle w:val="SingleTxtG"/>
      </w:pPr>
      <w:r w:rsidRPr="005C55FF">
        <w:t>86.</w:t>
      </w:r>
      <w:r w:rsidRPr="005C55FF">
        <w:tab/>
      </w:r>
      <w:r>
        <w:t>En ce qui concerne le t</w:t>
      </w:r>
      <w:r w:rsidRPr="000044C3">
        <w:t>ravail indépendant</w:t>
      </w:r>
      <w:r>
        <w:t xml:space="preserve">, l’Agence croate pour l’emploi met au point actuellement un système d’aide </w:t>
      </w:r>
      <w:r w:rsidRPr="000044C3">
        <w:t xml:space="preserve">pour les chômeurs qui souhaitent </w:t>
      </w:r>
      <w:r>
        <w:t xml:space="preserve">lancer leur propre activité, qui leur proposera des conseils et un appui au développement du projet d’activité et à l’établissement du plan et du budget de l’activité. Elle propose des subsides à la création d’une activité indépendante dont peuvent bénéficier les </w:t>
      </w:r>
      <w:r w:rsidRPr="000044C3">
        <w:t xml:space="preserve">chômeurs inscrits qui ont </w:t>
      </w:r>
      <w:r>
        <w:t>établi un plan d’activité (v</w:t>
      </w:r>
      <w:r w:rsidRPr="00282BDC">
        <w:t xml:space="preserve">oir </w:t>
      </w:r>
      <w:r>
        <w:t>a</w:t>
      </w:r>
      <w:r w:rsidRPr="00282BDC">
        <w:t>nnexe</w:t>
      </w:r>
      <w:r w:rsidR="00C61166">
        <w:t> </w:t>
      </w:r>
      <w:r w:rsidRPr="00282BDC">
        <w:t>2</w:t>
      </w:r>
      <w:r>
        <w:t>, feuille</w:t>
      </w:r>
      <w:r w:rsidR="00C61166">
        <w:t> </w:t>
      </w:r>
      <w:r w:rsidRPr="00282BDC">
        <w:t>6.1.4</w:t>
      </w:r>
      <w:r>
        <w:t>).</w:t>
      </w:r>
    </w:p>
    <w:p w14:paraId="65B01008" w14:textId="244A1B0E" w:rsidR="000C1192" w:rsidRPr="007E3BA0" w:rsidRDefault="000C1192" w:rsidP="00C61166">
      <w:pPr>
        <w:pStyle w:val="H1G"/>
      </w:pPr>
      <w:r w:rsidRPr="00282BDC">
        <w:tab/>
      </w:r>
      <w:r w:rsidRPr="00282BDC">
        <w:tab/>
      </w:r>
      <w:r w:rsidR="00A858B3">
        <w:t>Article </w:t>
      </w:r>
      <w:r w:rsidRPr="007E3BA0">
        <w:t>7</w:t>
      </w:r>
    </w:p>
    <w:p w14:paraId="2E63FCD1" w14:textId="77777777" w:rsidR="000C1192" w:rsidRPr="005C55FF" w:rsidRDefault="000C1192" w:rsidP="000C1192">
      <w:pPr>
        <w:pStyle w:val="SingleTxtG"/>
      </w:pPr>
      <w:r w:rsidRPr="00D723B5">
        <w:t>87.</w:t>
      </w:r>
      <w:r w:rsidRPr="00D723B5">
        <w:tab/>
      </w:r>
      <w:r>
        <w:t>L</w:t>
      </w:r>
      <w:r w:rsidRPr="005C55FF">
        <w:t xml:space="preserve">e </w:t>
      </w:r>
      <w:r>
        <w:t xml:space="preserve">régime du </w:t>
      </w:r>
      <w:r w:rsidRPr="005C55FF">
        <w:t xml:space="preserve">salaire minimum </w:t>
      </w:r>
      <w:r>
        <w:t xml:space="preserve">est fixé depuis 2008 </w:t>
      </w:r>
      <w:r w:rsidRPr="005C55FF">
        <w:t>par la loi sur le salaire minimum</w:t>
      </w:r>
      <w:r>
        <w:t xml:space="preserve"> </w:t>
      </w:r>
      <w:r w:rsidRPr="005C55FF">
        <w:t xml:space="preserve">en </w:t>
      </w:r>
      <w:r>
        <w:t>République de Croatie</w:t>
      </w:r>
      <w:r w:rsidRPr="005C55FF">
        <w:t xml:space="preserve">. Initialement, le salaire minimum était fixé à un niveau </w:t>
      </w:r>
      <w:r>
        <w:t>plus bas</w:t>
      </w:r>
      <w:r w:rsidRPr="005C55FF">
        <w:t xml:space="preserve"> pour certaines activités à faible productivité, mais depuis 2013, il est fixé au même montant pour </w:t>
      </w:r>
      <w:r>
        <w:t xml:space="preserve">l’ensemble des </w:t>
      </w:r>
      <w:r w:rsidRPr="005C55FF">
        <w:t xml:space="preserve">travailleurs </w:t>
      </w:r>
      <w:r>
        <w:t>tous secteurs confondus</w:t>
      </w:r>
      <w:r w:rsidRPr="005C55FF">
        <w:t>, indépendamment du niveau d</w:t>
      </w:r>
      <w:r>
        <w:t>’</w:t>
      </w:r>
      <w:r w:rsidRPr="005C55FF">
        <w:t>éducation</w:t>
      </w:r>
      <w:r>
        <w:t xml:space="preserve">, </w:t>
      </w:r>
      <w:r w:rsidRPr="005C55FF">
        <w:t>de l</w:t>
      </w:r>
      <w:r>
        <w:t>’</w:t>
      </w:r>
      <w:r w:rsidRPr="005C55FF">
        <w:t>âge et d</w:t>
      </w:r>
      <w:r>
        <w:t>’</w:t>
      </w:r>
      <w:r w:rsidRPr="005C55FF">
        <w:t>autres critères</w:t>
      </w:r>
      <w:r>
        <w:t xml:space="preserve"> de cette nature</w:t>
      </w:r>
      <w:r w:rsidRPr="005C55FF">
        <w:t>.</w:t>
      </w:r>
    </w:p>
    <w:p w14:paraId="4CE6A5B5" w14:textId="77777777" w:rsidR="000C1192" w:rsidRPr="005C55FF" w:rsidRDefault="000C1192" w:rsidP="000C1192">
      <w:pPr>
        <w:pStyle w:val="SingleTxtG"/>
      </w:pPr>
      <w:r w:rsidRPr="0097147D">
        <w:t>88.</w:t>
      </w:r>
      <w:r w:rsidRPr="0097147D">
        <w:tab/>
      </w:r>
      <w:r w:rsidRPr="00D723B5">
        <w:t xml:space="preserve">Pour chaque année civile, la Gouvernement </w:t>
      </w:r>
      <w:r>
        <w:t xml:space="preserve">de la République de Croatie </w:t>
      </w:r>
      <w:r w:rsidRPr="00D723B5">
        <w:t xml:space="preserve">publie un décret </w:t>
      </w:r>
      <w:r>
        <w:t xml:space="preserve">fixant </w:t>
      </w:r>
      <w:r w:rsidRPr="00D723B5">
        <w:t>le montant du salaire minimum pour l</w:t>
      </w:r>
      <w:r>
        <w:t>’</w:t>
      </w:r>
      <w:r w:rsidRPr="00D723B5">
        <w:t xml:space="preserve">année civile suivante. </w:t>
      </w:r>
      <w:r w:rsidRPr="005C55FF">
        <w:t xml:space="preserve">Tout travailleur a droit à un salaire minimum pour un travail à temps plein. Le </w:t>
      </w:r>
      <w:r>
        <w:t>M</w:t>
      </w:r>
      <w:r w:rsidRPr="005C55FF">
        <w:t xml:space="preserve">inistre du travail propose au </w:t>
      </w:r>
      <w:r>
        <w:t>G</w:t>
      </w:r>
      <w:r w:rsidRPr="005C55FF">
        <w:t>ouvernement le montant du salaire minimum après consultation des partenaires sociaux.</w:t>
      </w:r>
    </w:p>
    <w:p w14:paraId="476FEB0B" w14:textId="0F01D9B3" w:rsidR="000C1192" w:rsidRPr="005C55FF" w:rsidRDefault="000C1192" w:rsidP="000C1192">
      <w:pPr>
        <w:pStyle w:val="SingleTxtG"/>
      </w:pPr>
      <w:r w:rsidRPr="00A2316F">
        <w:t>89.</w:t>
      </w:r>
      <w:r w:rsidRPr="00A2316F">
        <w:tab/>
      </w:r>
      <w:r w:rsidRPr="005C55FF">
        <w:t>En 2009, le salaire minimum était de 383</w:t>
      </w:r>
      <w:r w:rsidR="00C61166">
        <w:t> </w:t>
      </w:r>
      <w:r>
        <w:t>euros</w:t>
      </w:r>
      <w:r w:rsidRPr="005C55FF">
        <w:t xml:space="preserve"> brut</w:t>
      </w:r>
      <w:r>
        <w:t>s</w:t>
      </w:r>
      <w:r w:rsidRPr="005C55FF">
        <w:t xml:space="preserve">, et </w:t>
      </w:r>
      <w:r>
        <w:t xml:space="preserve">compte tenu </w:t>
      </w:r>
      <w:r w:rsidRPr="005C55FF">
        <w:t>de la crise économique, il est passé à 395</w:t>
      </w:r>
      <w:r w:rsidR="00C61166">
        <w:t> </w:t>
      </w:r>
      <w:r>
        <w:t xml:space="preserve">euros bruts </w:t>
      </w:r>
      <w:r w:rsidRPr="005C55FF">
        <w:t xml:space="preserve">en 2014. </w:t>
      </w:r>
      <w:r>
        <w:t xml:space="preserve">Lorsque l’économie a repris </w:t>
      </w:r>
      <w:r w:rsidRPr="005C55FF">
        <w:t xml:space="preserve">en 2019, il </w:t>
      </w:r>
      <w:r>
        <w:t xml:space="preserve">atteignait </w:t>
      </w:r>
      <w:r w:rsidRPr="005C55FF">
        <w:t>506</w:t>
      </w:r>
      <w:r w:rsidR="00C61166">
        <w:t> </w:t>
      </w:r>
      <w:r>
        <w:t xml:space="preserve">euros </w:t>
      </w:r>
      <w:r w:rsidRPr="005C55FF">
        <w:t>bruts.</w:t>
      </w:r>
    </w:p>
    <w:p w14:paraId="2B98DA1E" w14:textId="683C264C" w:rsidR="000C1192" w:rsidRPr="00E40996" w:rsidRDefault="000C1192" w:rsidP="000C1192">
      <w:pPr>
        <w:pStyle w:val="SingleTxtG"/>
      </w:pPr>
      <w:r w:rsidRPr="00250E00">
        <w:t>90.</w:t>
      </w:r>
      <w:r w:rsidRPr="00250E00">
        <w:tab/>
      </w:r>
      <w:r w:rsidRPr="005C55FF">
        <w:t>Le contrôle de l</w:t>
      </w:r>
      <w:r>
        <w:t>’</w:t>
      </w:r>
      <w:r w:rsidRPr="005C55FF">
        <w:t xml:space="preserve">application du </w:t>
      </w:r>
      <w:r>
        <w:t xml:space="preserve">régime </w:t>
      </w:r>
      <w:r w:rsidRPr="005C55FF">
        <w:t xml:space="preserve">de salaire minimum </w:t>
      </w:r>
      <w:r>
        <w:t xml:space="preserve">revient à l’Inspection d’État de la République de Croatie et au </w:t>
      </w:r>
      <w:r w:rsidRPr="005C55FF">
        <w:t>M</w:t>
      </w:r>
      <w:r>
        <w:t>inistère des finances</w:t>
      </w:r>
      <w:r w:rsidRPr="005C55FF">
        <w:t>. L</w:t>
      </w:r>
      <w:r>
        <w:t xml:space="preserve">’Inspection d’État </w:t>
      </w:r>
      <w:r w:rsidRPr="005C55FF">
        <w:t>vérifie si l</w:t>
      </w:r>
      <w:r>
        <w:t>’</w:t>
      </w:r>
      <w:r w:rsidRPr="005C55FF">
        <w:t xml:space="preserve">employeur paie le salaire minimum légal et délivre une fiche de salaire aux travailleurs. Le contrôle est </w:t>
      </w:r>
      <w:r>
        <w:t xml:space="preserve">aussi assuré </w:t>
      </w:r>
      <w:r w:rsidRPr="005C55FF">
        <w:t>par d</w:t>
      </w:r>
      <w:r>
        <w:t>’</w:t>
      </w:r>
      <w:r w:rsidRPr="005C55FF">
        <w:t xml:space="preserve">autres </w:t>
      </w:r>
      <w:r>
        <w:t>services d’</w:t>
      </w:r>
      <w:r w:rsidRPr="005C55FF">
        <w:t>inspection</w:t>
      </w:r>
      <w:r>
        <w:t xml:space="preserve"> de</w:t>
      </w:r>
      <w:r w:rsidRPr="005C55FF">
        <w:t xml:space="preserve"> l</w:t>
      </w:r>
      <w:r>
        <w:t>’</w:t>
      </w:r>
      <w:r w:rsidRPr="005C55FF">
        <w:t>administration qui</w:t>
      </w:r>
      <w:r>
        <w:t xml:space="preserve"> sont habilités en vertu de règles particulières </w:t>
      </w:r>
      <w:r w:rsidRPr="005C55FF">
        <w:t xml:space="preserve">à </w:t>
      </w:r>
      <w:r>
        <w:t xml:space="preserve">effectuer des contrôles dans le domaine du </w:t>
      </w:r>
      <w:r w:rsidRPr="005C55FF">
        <w:t xml:space="preserve">travail et </w:t>
      </w:r>
      <w:r>
        <w:t xml:space="preserve">de </w:t>
      </w:r>
      <w:r w:rsidRPr="005C55FF">
        <w:t>l</w:t>
      </w:r>
      <w:r>
        <w:t>’</w:t>
      </w:r>
      <w:r w:rsidRPr="005C55FF">
        <w:t>emploi</w:t>
      </w:r>
      <w:r>
        <w:t xml:space="preserve"> (v</w:t>
      </w:r>
      <w:r w:rsidRPr="00282BDC">
        <w:t xml:space="preserve">oir </w:t>
      </w:r>
      <w:r>
        <w:t>a</w:t>
      </w:r>
      <w:r w:rsidRPr="00282BDC">
        <w:t>nnexe</w:t>
      </w:r>
      <w:r w:rsidR="00C61166">
        <w:t> </w:t>
      </w:r>
      <w:r w:rsidRPr="00282BDC">
        <w:t>2</w:t>
      </w:r>
      <w:r>
        <w:t>, feuille</w:t>
      </w:r>
      <w:r w:rsidR="00C61166">
        <w:t> </w:t>
      </w:r>
      <w:r>
        <w:t>7</w:t>
      </w:r>
      <w:r w:rsidRPr="00282BDC">
        <w:t>.1.</w:t>
      </w:r>
      <w:r>
        <w:t>1)</w:t>
      </w:r>
      <w:r w:rsidRPr="005C55FF">
        <w:t xml:space="preserve">. </w:t>
      </w:r>
    </w:p>
    <w:p w14:paraId="21F47190" w14:textId="34478514" w:rsidR="000C1192" w:rsidRPr="007E3BA0" w:rsidRDefault="000C1192" w:rsidP="000C1192">
      <w:pPr>
        <w:pStyle w:val="SingleTxtG"/>
      </w:pPr>
      <w:r w:rsidRPr="00B15D30">
        <w:t>91.</w:t>
      </w:r>
      <w:r w:rsidRPr="00B15D30">
        <w:tab/>
      </w:r>
      <w:r w:rsidRPr="00F45C0C">
        <w:t xml:space="preserve">Tout employé doit avoir un contrat de travail conclu par écrit </w:t>
      </w:r>
      <w:r>
        <w:t xml:space="preserve">comportant </w:t>
      </w:r>
      <w:r w:rsidRPr="00F45C0C">
        <w:t xml:space="preserve">tous les éléments obligatoires. Avant </w:t>
      </w:r>
      <w:r>
        <w:t>le début du travail</w:t>
      </w:r>
      <w:r w:rsidRPr="00F45C0C">
        <w:t>, l</w:t>
      </w:r>
      <w:r>
        <w:t>’</w:t>
      </w:r>
      <w:r w:rsidRPr="00F45C0C">
        <w:t xml:space="preserve">employeur </w:t>
      </w:r>
      <w:r>
        <w:t xml:space="preserve">doit </w:t>
      </w:r>
      <w:r w:rsidRPr="00F45C0C">
        <w:t>inscrire le salarié à l</w:t>
      </w:r>
      <w:r>
        <w:t>’</w:t>
      </w:r>
      <w:r w:rsidRPr="00F45C0C">
        <w:t>assurance retraite et maladie obligatoire.</w:t>
      </w:r>
      <w:r>
        <w:t xml:space="preserve"> L’</w:t>
      </w:r>
      <w:r w:rsidRPr="00BF52EC">
        <w:t xml:space="preserve">employeur </w:t>
      </w:r>
      <w:r>
        <w:t xml:space="preserve">doit verser </w:t>
      </w:r>
      <w:r w:rsidRPr="00BF52EC">
        <w:t>un salaire à l</w:t>
      </w:r>
      <w:r>
        <w:t>’</w:t>
      </w:r>
      <w:r w:rsidRPr="00BF52EC">
        <w:t xml:space="preserve">employé et </w:t>
      </w:r>
      <w:r>
        <w:t xml:space="preserve">lui remettre une fiche </w:t>
      </w:r>
      <w:r w:rsidRPr="00BF52EC">
        <w:t>de salaire</w:t>
      </w:r>
      <w:r>
        <w:t xml:space="preserve"> pour </w:t>
      </w:r>
      <w:r w:rsidR="00756F77">
        <w:t xml:space="preserve">le </w:t>
      </w:r>
      <w:r w:rsidRPr="00BF52EC">
        <w:t>travail effectué. L</w:t>
      </w:r>
      <w:r>
        <w:t xml:space="preserve">a durée hebdomadaire du </w:t>
      </w:r>
      <w:r w:rsidRPr="00BF52EC">
        <w:t>travail de 40</w:t>
      </w:r>
      <w:r w:rsidR="00552677">
        <w:t> </w:t>
      </w:r>
      <w:r w:rsidRPr="00BF52EC">
        <w:t>heures par semaine</w:t>
      </w:r>
      <w:r>
        <w:t xml:space="preserve"> </w:t>
      </w:r>
      <w:r w:rsidRPr="00BF52EC">
        <w:t xml:space="preserve">à temps plein. </w:t>
      </w:r>
      <w:r>
        <w:t>En cas d’heures supplémentaires, l’</w:t>
      </w:r>
      <w:r w:rsidRPr="00BF52EC">
        <w:t xml:space="preserve">employeur </w:t>
      </w:r>
      <w:r>
        <w:t xml:space="preserve">verse à l’employé un </w:t>
      </w:r>
      <w:r w:rsidRPr="00BF52EC">
        <w:t xml:space="preserve">salaire majoré. </w:t>
      </w:r>
      <w:r>
        <w:t xml:space="preserve">Le </w:t>
      </w:r>
      <w:r w:rsidRPr="00BF52EC">
        <w:t xml:space="preserve">montant de la majoration </w:t>
      </w:r>
      <w:r>
        <w:t xml:space="preserve">est obligatoirement déterminé sur la base d’un </w:t>
      </w:r>
      <w:r w:rsidRPr="00BF52EC">
        <w:t xml:space="preserve">contrat de travail, </w:t>
      </w:r>
      <w:r>
        <w:t xml:space="preserve">d’un barème interne à l’entreprise </w:t>
      </w:r>
      <w:r w:rsidRPr="00BF52EC">
        <w:t>ou d</w:t>
      </w:r>
      <w:r>
        <w:t>’</w:t>
      </w:r>
      <w:r w:rsidRPr="00BF52EC">
        <w:t xml:space="preserve">une convention collective. </w:t>
      </w:r>
      <w:r w:rsidRPr="007E3BA0">
        <w:t>Dans la pratique, la majoration est comprise entre 20 et 50</w:t>
      </w:r>
      <w:r w:rsidR="00C61166">
        <w:t> </w:t>
      </w:r>
      <w:r w:rsidRPr="007E3BA0">
        <w:t>%.</w:t>
      </w:r>
    </w:p>
    <w:p w14:paraId="39B571C9" w14:textId="531C76A9" w:rsidR="000C1192" w:rsidRPr="008C02EB" w:rsidRDefault="000C1192" w:rsidP="000C1192">
      <w:pPr>
        <w:pStyle w:val="SingleTxtG"/>
      </w:pPr>
      <w:r w:rsidRPr="00B15D30">
        <w:t>92.</w:t>
      </w:r>
      <w:r w:rsidRPr="00B15D30">
        <w:tab/>
      </w:r>
      <w:r w:rsidRPr="008C02EB">
        <w:t>Conformément à l</w:t>
      </w:r>
      <w:r>
        <w:t>’</w:t>
      </w:r>
      <w:r w:rsidR="00A858B3">
        <w:t>article </w:t>
      </w:r>
      <w:r w:rsidRPr="008C02EB">
        <w:t xml:space="preserve">86 de la </w:t>
      </w:r>
      <w:r>
        <w:t>loi sur le travail</w:t>
      </w:r>
      <w:r w:rsidRPr="008C02EB">
        <w:t xml:space="preserve">, tout travailleur a droit </w:t>
      </w:r>
      <w:r>
        <w:t xml:space="preserve">à des congés rémunérés </w:t>
      </w:r>
      <w:r w:rsidRPr="008C02EB">
        <w:t>au cours de l</w:t>
      </w:r>
      <w:r>
        <w:t>’</w:t>
      </w:r>
      <w:r w:rsidRPr="008C02EB">
        <w:t>année civile</w:t>
      </w:r>
      <w:r>
        <w:t xml:space="preserve">, à raison de </w:t>
      </w:r>
      <w:r w:rsidR="00C61166">
        <w:t xml:space="preserve">sept </w:t>
      </w:r>
      <w:r w:rsidRPr="008C02EB">
        <w:t xml:space="preserve">jours par an, pour des raisons personnelles importantes, telles que celles </w:t>
      </w:r>
      <w:r>
        <w:t xml:space="preserve">qui ont trait </w:t>
      </w:r>
      <w:r w:rsidRPr="008C02EB">
        <w:t>au mariage, à la naissance d</w:t>
      </w:r>
      <w:r>
        <w:t>’</w:t>
      </w:r>
      <w:r w:rsidRPr="008C02EB">
        <w:t>un enfant, à une maladie grave ou au décès d</w:t>
      </w:r>
      <w:r>
        <w:t>’</w:t>
      </w:r>
      <w:r w:rsidRPr="008C02EB">
        <w:t xml:space="preserve">un </w:t>
      </w:r>
      <w:r>
        <w:t>parent proche.</w:t>
      </w:r>
    </w:p>
    <w:p w14:paraId="00DB0902" w14:textId="77777777" w:rsidR="000C1192" w:rsidRPr="008C02EB" w:rsidRDefault="000C1192" w:rsidP="000C1192">
      <w:pPr>
        <w:pStyle w:val="SingleTxtG"/>
      </w:pPr>
      <w:r w:rsidRPr="00BB6D74">
        <w:t>93.</w:t>
      </w:r>
      <w:r w:rsidRPr="00BB6D74">
        <w:tab/>
        <w:t>L</w:t>
      </w:r>
      <w:r>
        <w:t>’</w:t>
      </w:r>
      <w:r w:rsidRPr="00BB6D74">
        <w:t>employé peut disposer d</w:t>
      </w:r>
      <w:r>
        <w:t>’</w:t>
      </w:r>
      <w:r w:rsidRPr="00BB6D74">
        <w:t>un congé rémunéré si l</w:t>
      </w:r>
      <w:r>
        <w:t>’</w:t>
      </w:r>
      <w:r w:rsidRPr="00BB6D74">
        <w:t>employeur l</w:t>
      </w:r>
      <w:r>
        <w:t>’</w:t>
      </w:r>
      <w:r w:rsidRPr="00BB6D74">
        <w:t xml:space="preserve">approuve. </w:t>
      </w:r>
      <w:r w:rsidRPr="008C02EB">
        <w:t xml:space="preserve">Pendant le congé </w:t>
      </w:r>
      <w:r>
        <w:t>non rémunéré</w:t>
      </w:r>
      <w:r w:rsidRPr="008C02EB">
        <w:t xml:space="preserve">, les droits et </w:t>
      </w:r>
      <w:r>
        <w:t xml:space="preserve">les </w:t>
      </w:r>
      <w:r w:rsidRPr="008C02EB">
        <w:t>obligations découlant de l</w:t>
      </w:r>
      <w:r>
        <w:t>’</w:t>
      </w:r>
      <w:r w:rsidRPr="008C02EB">
        <w:t xml:space="preserve">emploi ou </w:t>
      </w:r>
      <w:r>
        <w:t xml:space="preserve">connexes </w:t>
      </w:r>
      <w:r w:rsidRPr="008C02EB">
        <w:t>sont maintenus.</w:t>
      </w:r>
    </w:p>
    <w:p w14:paraId="6DF55529" w14:textId="77777777" w:rsidR="000C1192" w:rsidRPr="008C02EB" w:rsidRDefault="000C1192" w:rsidP="000C1192">
      <w:pPr>
        <w:pStyle w:val="SingleTxtG"/>
      </w:pPr>
      <w:r w:rsidRPr="007328C1">
        <w:t>94.</w:t>
      </w:r>
      <w:r w:rsidRPr="007328C1">
        <w:tab/>
        <w:t>La loi sur le travail n</w:t>
      </w:r>
      <w:r>
        <w:t>’</w:t>
      </w:r>
      <w:r w:rsidRPr="007328C1">
        <w:t>oblige pas expressément l</w:t>
      </w:r>
      <w:r>
        <w:t>’</w:t>
      </w:r>
      <w:r w:rsidRPr="007328C1">
        <w:t xml:space="preserve">employeur </w:t>
      </w:r>
      <w:r>
        <w:t xml:space="preserve">à offrir au travailleur des formes souples de temps de travail lui </w:t>
      </w:r>
      <w:r w:rsidRPr="007328C1">
        <w:t xml:space="preserve">permettant </w:t>
      </w:r>
      <w:r>
        <w:t xml:space="preserve">d’équilibrer sa </w:t>
      </w:r>
      <w:r w:rsidRPr="007328C1">
        <w:t xml:space="preserve">vie privée et </w:t>
      </w:r>
      <w:r>
        <w:t xml:space="preserve">sa </w:t>
      </w:r>
      <w:r w:rsidRPr="007328C1">
        <w:t xml:space="preserve">vie professionnelle. </w:t>
      </w:r>
      <w:r w:rsidRPr="008C02EB">
        <w:t xml:space="preserve">Toutefois, la possibilité de travailler à domicile est admise, auquel cas </w:t>
      </w:r>
      <w:r>
        <w:t xml:space="preserve">le </w:t>
      </w:r>
      <w:r w:rsidRPr="008C02EB">
        <w:t>contrat de travail</w:t>
      </w:r>
      <w:r>
        <w:t xml:space="preserve"> doit comporter des clauses supplémentaires à cet effet</w:t>
      </w:r>
      <w:r w:rsidRPr="008C02EB">
        <w:t>. Il est également possible d</w:t>
      </w:r>
      <w:r>
        <w:t>’</w:t>
      </w:r>
      <w:r w:rsidRPr="008C02EB">
        <w:t xml:space="preserve">organiser </w:t>
      </w:r>
      <w:r>
        <w:t xml:space="preserve">l’horaire </w:t>
      </w:r>
      <w:r w:rsidRPr="008C02EB">
        <w:t xml:space="preserve">de travail de </w:t>
      </w:r>
      <w:r>
        <w:t xml:space="preserve">façon souple </w:t>
      </w:r>
      <w:r w:rsidRPr="008C02EB">
        <w:t xml:space="preserve">avec des horaires identiques ou </w:t>
      </w:r>
      <w:r>
        <w:lastRenderedPageBreak/>
        <w:t>irréguliers à la journée, à la semaine ou au mois</w:t>
      </w:r>
      <w:r w:rsidRPr="008C02EB">
        <w:t xml:space="preserve">. </w:t>
      </w:r>
      <w:r>
        <w:t xml:space="preserve">En matière de </w:t>
      </w:r>
      <w:r w:rsidRPr="008C02EB">
        <w:t xml:space="preserve">conciliation de la vie professionnelle et de la vie familiale, la </w:t>
      </w:r>
      <w:r>
        <w:t xml:space="preserve">loi sur les prestations de maternité et les prestations parentales prescrit </w:t>
      </w:r>
      <w:r w:rsidRPr="008C02EB">
        <w:t>la possibilité de travailler à temps partiel, l</w:t>
      </w:r>
      <w:r>
        <w:t>’</w:t>
      </w:r>
      <w:r w:rsidRPr="008C02EB">
        <w:t xml:space="preserve">utilisation du congé de maternité et du congé parental et le maintien </w:t>
      </w:r>
      <w:r>
        <w:t xml:space="preserve">dans </w:t>
      </w:r>
      <w:r w:rsidRPr="008C02EB">
        <w:t>l</w:t>
      </w:r>
      <w:r>
        <w:t>’</w:t>
      </w:r>
      <w:r w:rsidRPr="008C02EB">
        <w:t>emploi.</w:t>
      </w:r>
    </w:p>
    <w:p w14:paraId="77D0F204" w14:textId="1EE1560F" w:rsidR="000C1192" w:rsidRPr="00AB1CA8" w:rsidRDefault="000C1192" w:rsidP="000C1192">
      <w:pPr>
        <w:pStyle w:val="SingleTxtG"/>
      </w:pPr>
      <w:r w:rsidRPr="009A787F">
        <w:t>95.</w:t>
      </w:r>
      <w:r w:rsidRPr="009A787F">
        <w:tab/>
        <w:t>D</w:t>
      </w:r>
      <w:r>
        <w:t>’</w:t>
      </w:r>
      <w:r w:rsidRPr="009A787F">
        <w:t>après les données d</w:t>
      </w:r>
      <w:r>
        <w:t>’</w:t>
      </w:r>
      <w:r w:rsidRPr="009A787F">
        <w:t>Eurostat pour 2019, les femmes gagnent en moyenne 11,5</w:t>
      </w:r>
      <w:r w:rsidR="00C61166">
        <w:t> </w:t>
      </w:r>
      <w:r w:rsidRPr="009A787F">
        <w:t xml:space="preserve">% de moins que les hommes en </w:t>
      </w:r>
      <w:r>
        <w:t>République de Croatie</w:t>
      </w:r>
      <w:r w:rsidRPr="009A787F">
        <w:t xml:space="preserve">. </w:t>
      </w:r>
      <w:r w:rsidRPr="00AB1CA8">
        <w:t>L</w:t>
      </w:r>
      <w:r>
        <w:t>’</w:t>
      </w:r>
      <w:r w:rsidRPr="00AB1CA8">
        <w:t>écart de rémunération entre les femmes et les hommes est inférieur en Croatie à la moyenne de l</w:t>
      </w:r>
      <w:r>
        <w:t>’</w:t>
      </w:r>
      <w:r w:rsidRPr="00AB1CA8">
        <w:t>UE (14,1</w:t>
      </w:r>
      <w:r w:rsidR="00C61166">
        <w:t> </w:t>
      </w:r>
      <w:r w:rsidRPr="00AB1CA8">
        <w:t xml:space="preserve">%) et à </w:t>
      </w:r>
      <w:r>
        <w:t xml:space="preserve">celle </w:t>
      </w:r>
      <w:r w:rsidRPr="00AB1CA8">
        <w:t>de la plupart des pays du monde</w:t>
      </w:r>
      <w:r>
        <w:t>.</w:t>
      </w:r>
    </w:p>
    <w:p w14:paraId="25E16D07" w14:textId="77777777" w:rsidR="000C1192" w:rsidRPr="00AB1CA8" w:rsidRDefault="000C1192" w:rsidP="000C1192">
      <w:pPr>
        <w:pStyle w:val="SingleTxtG"/>
      </w:pPr>
      <w:r w:rsidRPr="008439A7">
        <w:t>96.</w:t>
      </w:r>
      <w:r w:rsidRPr="008439A7">
        <w:tab/>
      </w:r>
      <w:r w:rsidRPr="00AB1CA8">
        <w:t xml:space="preserve">La </w:t>
      </w:r>
      <w:r>
        <w:t xml:space="preserve">loi sur le travail fait expressément obligation à </w:t>
      </w:r>
      <w:r w:rsidRPr="00AB1CA8">
        <w:t>l</w:t>
      </w:r>
      <w:r>
        <w:t>’</w:t>
      </w:r>
      <w:r w:rsidRPr="00AB1CA8">
        <w:t xml:space="preserve">employeur de verser un salaire égal aux </w:t>
      </w:r>
      <w:r>
        <w:t xml:space="preserve">hommes et aux femmes </w:t>
      </w:r>
      <w:r w:rsidRPr="00AB1CA8">
        <w:t xml:space="preserve">pour un travail égal </w:t>
      </w:r>
      <w:r>
        <w:t xml:space="preserve">ou </w:t>
      </w:r>
      <w:r w:rsidRPr="00AB1CA8">
        <w:t xml:space="preserve">de valeur égale. Toute disposition contraire </w:t>
      </w:r>
      <w:r>
        <w:t xml:space="preserve">à </w:t>
      </w:r>
      <w:r w:rsidRPr="00AB1CA8">
        <w:t xml:space="preserve">la </w:t>
      </w:r>
      <w:r>
        <w:t xml:space="preserve">loi sur le travail, dans </w:t>
      </w:r>
      <w:r w:rsidRPr="00AB1CA8">
        <w:t xml:space="preserve">un contrat de travail, une convention collective, un règlement </w:t>
      </w:r>
      <w:r>
        <w:t xml:space="preserve">intérieur </w:t>
      </w:r>
      <w:r w:rsidRPr="00AB1CA8">
        <w:t xml:space="preserve">ou </w:t>
      </w:r>
      <w:r>
        <w:t xml:space="preserve">tout </w:t>
      </w:r>
      <w:r w:rsidRPr="00AB1CA8">
        <w:t>autre acte juridique</w:t>
      </w:r>
      <w:r>
        <w:t xml:space="preserve">, </w:t>
      </w:r>
      <w:r w:rsidRPr="00AB1CA8">
        <w:t xml:space="preserve">est </w:t>
      </w:r>
      <w:r>
        <w:t xml:space="preserve">réputée </w:t>
      </w:r>
      <w:r w:rsidRPr="00AB1CA8">
        <w:t>nulle et non avenue.</w:t>
      </w:r>
    </w:p>
    <w:p w14:paraId="54207CD5" w14:textId="601834C4" w:rsidR="000C1192" w:rsidRPr="008439A7" w:rsidRDefault="000C1192" w:rsidP="000C1192">
      <w:pPr>
        <w:pStyle w:val="SingleTxtG"/>
      </w:pPr>
      <w:r w:rsidRPr="00BE1577">
        <w:t>97.</w:t>
      </w:r>
      <w:r w:rsidRPr="00BE1577">
        <w:tab/>
      </w:r>
      <w:r w:rsidRPr="00AB1CA8">
        <w:t xml:space="preserve">Pour </w:t>
      </w:r>
      <w:r>
        <w:t xml:space="preserve">mettre fin aux </w:t>
      </w:r>
      <w:r w:rsidRPr="00AB1CA8">
        <w:t>disparités existantes, l</w:t>
      </w:r>
      <w:r>
        <w:t xml:space="preserve">’entreprenariat féminin </w:t>
      </w:r>
      <w:r w:rsidRPr="00AB1CA8">
        <w:t xml:space="preserve">est encouragé </w:t>
      </w:r>
      <w:r>
        <w:t xml:space="preserve">au moyen de </w:t>
      </w:r>
      <w:r w:rsidRPr="00AB1CA8">
        <w:t xml:space="preserve">la stratégie </w:t>
      </w:r>
      <w:r>
        <w:t xml:space="preserve">pour le </w:t>
      </w:r>
      <w:r w:rsidRPr="00AB1CA8">
        <w:t>développement de l</w:t>
      </w:r>
      <w:r>
        <w:t>’</w:t>
      </w:r>
      <w:r w:rsidRPr="00AB1CA8">
        <w:t xml:space="preserve">entrepreneuriat féminin </w:t>
      </w:r>
      <w:r>
        <w:t>(</w:t>
      </w:r>
      <w:r w:rsidRPr="00AB1CA8">
        <w:t>2014-2020</w:t>
      </w:r>
      <w:r>
        <w:t>)</w:t>
      </w:r>
      <w:r w:rsidRPr="00AB1CA8">
        <w:t xml:space="preserve"> et </w:t>
      </w:r>
      <w:r>
        <w:t xml:space="preserve">du recours à des </w:t>
      </w:r>
      <w:r w:rsidRPr="00AB1CA8">
        <w:t>bourses d</w:t>
      </w:r>
      <w:r>
        <w:t>’</w:t>
      </w:r>
      <w:r w:rsidRPr="00AB1CA8">
        <w:t xml:space="preserve">études </w:t>
      </w:r>
      <w:r>
        <w:t xml:space="preserve">destinées aux </w:t>
      </w:r>
      <w:r w:rsidRPr="00AB1CA8">
        <w:t xml:space="preserve">femmes </w:t>
      </w:r>
      <w:r>
        <w:t xml:space="preserve">exerçant un emploi dans les filières </w:t>
      </w:r>
      <w:r w:rsidRPr="00F93092">
        <w:t>science, technologie, ingénierie et mathématiques (STIM)</w:t>
      </w:r>
      <w:r w:rsidRPr="00AB1CA8">
        <w:t xml:space="preserve">. </w:t>
      </w:r>
      <w:r w:rsidRPr="008439A7">
        <w:t xml:space="preserve">Les </w:t>
      </w:r>
      <w:r>
        <w:t>ressources</w:t>
      </w:r>
      <w:r w:rsidRPr="008439A7">
        <w:t xml:space="preserve"> du </w:t>
      </w:r>
      <w:r>
        <w:t>Fonds social européen (FSE)</w:t>
      </w:r>
      <w:r w:rsidRPr="008439A7">
        <w:t xml:space="preserve"> permett</w:t>
      </w:r>
      <w:r>
        <w:t>ro</w:t>
      </w:r>
      <w:r w:rsidRPr="008439A7">
        <w:t>nt de financer 17</w:t>
      </w:r>
      <w:r w:rsidR="00C61166">
        <w:t> </w:t>
      </w:r>
      <w:r w:rsidRPr="008439A7">
        <w:t>000</w:t>
      </w:r>
      <w:r w:rsidR="00C61166">
        <w:t> </w:t>
      </w:r>
      <w:r w:rsidRPr="008439A7">
        <w:t>bourses d</w:t>
      </w:r>
      <w:r>
        <w:t>’</w:t>
      </w:r>
      <w:r w:rsidRPr="008439A7">
        <w:t xml:space="preserve">ici </w:t>
      </w:r>
      <w:r>
        <w:t xml:space="preserve">à </w:t>
      </w:r>
      <w:r w:rsidRPr="008439A7">
        <w:t>2023.</w:t>
      </w:r>
    </w:p>
    <w:p w14:paraId="7D61E8AB" w14:textId="77777777" w:rsidR="000C1192" w:rsidRPr="00AB1CA8" w:rsidRDefault="000C1192" w:rsidP="000C1192">
      <w:pPr>
        <w:pStyle w:val="SingleTxtG"/>
      </w:pPr>
      <w:r w:rsidRPr="00C901BF">
        <w:t>98.</w:t>
      </w:r>
      <w:r w:rsidRPr="00C901BF">
        <w:tab/>
      </w:r>
      <w:r w:rsidRPr="00F66F60">
        <w:t xml:space="preserve">La loi sur la santé définit les compétences </w:t>
      </w:r>
      <w:r>
        <w:t xml:space="preserve">exercées </w:t>
      </w:r>
      <w:r w:rsidRPr="00F66F60">
        <w:t>en matière de santé des travailleurs de l</w:t>
      </w:r>
      <w:r>
        <w:t>’</w:t>
      </w:r>
      <w:r w:rsidRPr="00F66F60">
        <w:t>Institut croate pour la santé et la sécurité au travail (cet organisme a été remplacé à compt</w:t>
      </w:r>
      <w:r>
        <w:t>er</w:t>
      </w:r>
      <w:r w:rsidRPr="00F66F60">
        <w:t xml:space="preserve"> de 2019 par le</w:t>
      </w:r>
      <w:r>
        <w:t xml:space="preserve"> Centre national croate pour la santé publique, dont la compétence s’étend aux </w:t>
      </w:r>
      <w:r w:rsidRPr="00F66F60">
        <w:t xml:space="preserve">services de médecine du travail). </w:t>
      </w:r>
      <w:r w:rsidRPr="00AB1CA8">
        <w:t>L</w:t>
      </w:r>
      <w:r>
        <w:t>e Centre national croate pour la santé publique</w:t>
      </w:r>
      <w:r w:rsidRPr="00AB1CA8">
        <w:t xml:space="preserve"> est </w:t>
      </w:r>
      <w:r>
        <w:t xml:space="preserve">le principal organe chargé de superviser </w:t>
      </w:r>
      <w:r w:rsidRPr="00AB1CA8">
        <w:t xml:space="preserve">la santé des travailleurs </w:t>
      </w:r>
      <w:r>
        <w:t xml:space="preserve">dont l’emploi comporte des risques élevés et de sensibiliser les </w:t>
      </w:r>
      <w:r w:rsidRPr="00AB1CA8">
        <w:t xml:space="preserve">travailleurs et </w:t>
      </w:r>
      <w:r>
        <w:t xml:space="preserve">les </w:t>
      </w:r>
      <w:r w:rsidRPr="00AB1CA8">
        <w:t>employeurs aux dangers</w:t>
      </w:r>
      <w:r>
        <w:t>, risques</w:t>
      </w:r>
      <w:r w:rsidRPr="00AB1CA8">
        <w:t xml:space="preserve"> et contraintes de certains processus de travail. Depuis 2006, </w:t>
      </w:r>
      <w:r>
        <w:t xml:space="preserve">des </w:t>
      </w:r>
      <w:r w:rsidRPr="00AB1CA8">
        <w:t xml:space="preserve">spécialistes de la médecine du travail informent les travailleurs migrants </w:t>
      </w:r>
      <w:r>
        <w:t xml:space="preserve">concernant les risques liés au travail et les sensibilisent aux risques de </w:t>
      </w:r>
      <w:r w:rsidRPr="00AB1CA8">
        <w:t>maladie sexuellement transmissible, la nocivité des drogues et de l</w:t>
      </w:r>
      <w:r>
        <w:t>’</w:t>
      </w:r>
      <w:r w:rsidRPr="00AB1CA8">
        <w:t xml:space="preserve">alcool pour leur santé et leur capacité </w:t>
      </w:r>
      <w:r>
        <w:t xml:space="preserve">de </w:t>
      </w:r>
      <w:r w:rsidRPr="00AB1CA8">
        <w:t xml:space="preserve">travailler, et </w:t>
      </w:r>
      <w:r>
        <w:t xml:space="preserve">l’utilisation </w:t>
      </w:r>
      <w:r w:rsidRPr="00AB1CA8">
        <w:t>des équipements de protection individuelle.</w:t>
      </w:r>
    </w:p>
    <w:p w14:paraId="3027DA8A" w14:textId="77777777" w:rsidR="000C1192" w:rsidRPr="00AB1CA8" w:rsidRDefault="000C1192" w:rsidP="000C1192">
      <w:pPr>
        <w:pStyle w:val="SingleTxtG"/>
      </w:pPr>
      <w:r w:rsidRPr="00AB1CA8">
        <w:t>99.</w:t>
      </w:r>
      <w:r w:rsidRPr="00AB1CA8">
        <w:tab/>
      </w:r>
      <w:r>
        <w:t xml:space="preserve">Devant le constat d’une augmentation </w:t>
      </w:r>
      <w:r w:rsidRPr="00AB1CA8">
        <w:t xml:space="preserve">du nombre de </w:t>
      </w:r>
      <w:r>
        <w:t xml:space="preserve">cas signalés d’accidents du travail liés </w:t>
      </w:r>
      <w:r w:rsidRPr="00AB1CA8">
        <w:t>à une réaction aiguë</w:t>
      </w:r>
      <w:r>
        <w:t xml:space="preserve"> à un facteur de</w:t>
      </w:r>
      <w:r w:rsidRPr="00AB1CA8">
        <w:t xml:space="preserve"> stress, </w:t>
      </w:r>
      <w:r>
        <w:t>la Caisse croate d’assurance maladie</w:t>
      </w:r>
      <w:r w:rsidRPr="00AB1CA8">
        <w:t xml:space="preserve"> a</w:t>
      </w:r>
      <w:r>
        <w:t xml:space="preserve"> adopté </w:t>
      </w:r>
      <w:r w:rsidRPr="00AB1CA8">
        <w:t>de nouvelles procédures de prévention des risques psychosociaux en médecine du travail</w:t>
      </w:r>
      <w:r>
        <w:t>, concernant les</w:t>
      </w:r>
      <w:r w:rsidRPr="00AB1CA8">
        <w:t xml:space="preserve"> visites sur le lieu de travail et </w:t>
      </w:r>
      <w:r>
        <w:t>l’</w:t>
      </w:r>
      <w:r w:rsidRPr="00AB1CA8">
        <w:t>éducation des travailleurs en collaboration avec un psychologue.</w:t>
      </w:r>
    </w:p>
    <w:p w14:paraId="03F7A1B3" w14:textId="53E6F8A4" w:rsidR="000C1192" w:rsidRPr="007E3BA0" w:rsidRDefault="000C1192" w:rsidP="00C61166">
      <w:pPr>
        <w:pStyle w:val="H1G"/>
      </w:pPr>
      <w:r w:rsidRPr="00AB1CA8">
        <w:tab/>
      </w:r>
      <w:r w:rsidRPr="00AB1CA8">
        <w:tab/>
      </w:r>
      <w:r w:rsidR="00A858B3">
        <w:t>Article </w:t>
      </w:r>
      <w:r w:rsidRPr="007E3BA0">
        <w:t>8</w:t>
      </w:r>
    </w:p>
    <w:p w14:paraId="4E030108" w14:textId="77777777" w:rsidR="000C1192" w:rsidRPr="00483351" w:rsidRDefault="000C1192" w:rsidP="000C1192">
      <w:pPr>
        <w:pStyle w:val="SingleTxtG"/>
        <w:rPr>
          <w:rStyle w:val="Appelnotedebasdep"/>
          <w:color w:val="000000" w:themeColor="text1"/>
        </w:rPr>
      </w:pPr>
      <w:r w:rsidRPr="000B421D">
        <w:t>100.</w:t>
      </w:r>
      <w:r w:rsidRPr="000B421D">
        <w:tab/>
      </w:r>
      <w:r w:rsidRPr="00483351">
        <w:t xml:space="preserve">Les travailleurs ont le droit de </w:t>
      </w:r>
      <w:r w:rsidRPr="000B2546">
        <w:t>former avec d</w:t>
      </w:r>
      <w:r>
        <w:t>’</w:t>
      </w:r>
      <w:r w:rsidRPr="000B2546">
        <w:t>autres des syndicats et de s</w:t>
      </w:r>
      <w:r>
        <w:t>’</w:t>
      </w:r>
      <w:r w:rsidRPr="000B2546">
        <w:t xml:space="preserve">affilier au syndicat de </w:t>
      </w:r>
      <w:r>
        <w:t xml:space="preserve">leur </w:t>
      </w:r>
      <w:r w:rsidRPr="000B2546">
        <w:t xml:space="preserve">choix </w:t>
      </w:r>
      <w:r>
        <w:t xml:space="preserve">sous la seule réserve des règles fixées par le syndicat en question. </w:t>
      </w:r>
      <w:r w:rsidRPr="00483351">
        <w:t xml:space="preserve">Un syndicat peut être constitué par au moins dix personnes majeures capables de contracter. Une </w:t>
      </w:r>
      <w:r>
        <w:t xml:space="preserve">association d’échelon </w:t>
      </w:r>
      <w:r w:rsidRPr="00483351">
        <w:t xml:space="preserve">supérieur peut être </w:t>
      </w:r>
      <w:r>
        <w:t xml:space="preserve">constituée </w:t>
      </w:r>
      <w:r w:rsidRPr="00483351">
        <w:t xml:space="preserve">par au moins deux </w:t>
      </w:r>
      <w:r>
        <w:t xml:space="preserve">association </w:t>
      </w:r>
      <w:r w:rsidRPr="00483351">
        <w:t>syndicales</w:t>
      </w:r>
      <w:r w:rsidRPr="00535E17">
        <w:rPr>
          <w:rStyle w:val="Appelnotedebasdep"/>
        </w:rPr>
        <w:footnoteReference w:id="32"/>
      </w:r>
      <w:r w:rsidRPr="00483351">
        <w:t>.</w:t>
      </w:r>
    </w:p>
    <w:p w14:paraId="644B61CD" w14:textId="77777777" w:rsidR="000C1192" w:rsidRPr="00462ABF" w:rsidRDefault="000C1192" w:rsidP="000C1192">
      <w:pPr>
        <w:pStyle w:val="SingleTxtG"/>
      </w:pPr>
      <w:r w:rsidRPr="00462ABF">
        <w:t>101.</w:t>
      </w:r>
      <w:r w:rsidRPr="00462ABF">
        <w:tab/>
        <w:t xml:space="preserve">Les employeurs et leurs associations ne doivent pas exercer </w:t>
      </w:r>
      <w:r>
        <w:t xml:space="preserve">de </w:t>
      </w:r>
      <w:r w:rsidRPr="00462ABF">
        <w:t xml:space="preserve">contrôle sur la formation et le fonctionnement des syndicats ou de leurs associations </w:t>
      </w:r>
      <w:r>
        <w:t xml:space="preserve">d’échelon </w:t>
      </w:r>
      <w:r w:rsidRPr="00462ABF">
        <w:t xml:space="preserve">supérieur, </w:t>
      </w:r>
      <w:r>
        <w:t xml:space="preserve">et ne doivent pas non plus </w:t>
      </w:r>
      <w:r w:rsidRPr="00462ABF">
        <w:t xml:space="preserve">financer </w:t>
      </w:r>
      <w:r>
        <w:t xml:space="preserve">ni </w:t>
      </w:r>
      <w:r w:rsidRPr="00462ABF">
        <w:t xml:space="preserve">soutenir </w:t>
      </w:r>
      <w:r>
        <w:t xml:space="preserve">de quelque autre façon que ce soit des </w:t>
      </w:r>
      <w:r w:rsidRPr="00462ABF">
        <w:t xml:space="preserve">syndicats ou </w:t>
      </w:r>
      <w:r>
        <w:t xml:space="preserve">des </w:t>
      </w:r>
      <w:r w:rsidRPr="00462ABF">
        <w:t xml:space="preserve">associations syndicales </w:t>
      </w:r>
      <w:r>
        <w:t xml:space="preserve">d’échelon </w:t>
      </w:r>
      <w:r w:rsidRPr="00462ABF">
        <w:t xml:space="preserve">supérieur pour </w:t>
      </w:r>
      <w:r>
        <w:t xml:space="preserve">exercer </w:t>
      </w:r>
      <w:r w:rsidRPr="00462ABF">
        <w:t>un tel contrôle.</w:t>
      </w:r>
    </w:p>
    <w:p w14:paraId="3AF3E3C5" w14:textId="77777777" w:rsidR="000C1192" w:rsidRPr="009908DC" w:rsidRDefault="000C1192" w:rsidP="003C2F4D">
      <w:pPr>
        <w:pStyle w:val="SingleTxtG"/>
        <w:keepLines/>
      </w:pPr>
      <w:r w:rsidRPr="00656F35">
        <w:lastRenderedPageBreak/>
        <w:t>102.</w:t>
      </w:r>
      <w:r w:rsidRPr="00656F35">
        <w:tab/>
        <w:t>Les associations d</w:t>
      </w:r>
      <w:r>
        <w:t>’</w:t>
      </w:r>
      <w:r w:rsidRPr="00656F35">
        <w:t>échelon supérieur peuvent créer leurs propres fédérations ou d</w:t>
      </w:r>
      <w:r>
        <w:t>’</w:t>
      </w:r>
      <w:r w:rsidRPr="00656F35">
        <w:t>autres formes d</w:t>
      </w:r>
      <w:r>
        <w:t>’</w:t>
      </w:r>
      <w:r w:rsidRPr="00656F35">
        <w:t xml:space="preserve">associations </w:t>
      </w:r>
      <w:r>
        <w:t xml:space="preserve">pour la défense de </w:t>
      </w:r>
      <w:r w:rsidRPr="00656F35">
        <w:t xml:space="preserve">leurs intérêts à un échelon supérieur. </w:t>
      </w:r>
      <w:r w:rsidRPr="009908DC">
        <w:t>Les</w:t>
      </w:r>
      <w:r w:rsidRPr="00656F35">
        <w:t xml:space="preserve"> </w:t>
      </w:r>
      <w:r w:rsidRPr="009908DC">
        <w:t xml:space="preserve">associations </w:t>
      </w:r>
      <w:r>
        <w:t xml:space="preserve">syndicales </w:t>
      </w:r>
      <w:r w:rsidRPr="009908DC">
        <w:t xml:space="preserve">et les associations </w:t>
      </w:r>
      <w:r w:rsidRPr="000E6B9F">
        <w:t>d</w:t>
      </w:r>
      <w:r>
        <w:t>’</w:t>
      </w:r>
      <w:r w:rsidRPr="000E6B9F">
        <w:t xml:space="preserve">échelon </w:t>
      </w:r>
      <w:r w:rsidRPr="009908DC">
        <w:t>supérieur ont le droit d</w:t>
      </w:r>
      <w:r>
        <w:t>’</w:t>
      </w:r>
      <w:r w:rsidRPr="009908DC">
        <w:t>adhérer librement à des fédérations et de coopérer avec des organisations internationales créées dans le but de promouvoir leurs droits et intérêts communs.</w:t>
      </w:r>
    </w:p>
    <w:p w14:paraId="3975BE6E" w14:textId="77777777" w:rsidR="000C1192" w:rsidRPr="00A91B4E" w:rsidRDefault="000C1192" w:rsidP="000C1192">
      <w:pPr>
        <w:pStyle w:val="SingleTxtG"/>
      </w:pPr>
      <w:r w:rsidRPr="00A91B4E">
        <w:t>103.</w:t>
      </w:r>
      <w:r w:rsidRPr="00A91B4E">
        <w:tab/>
        <w:t xml:space="preserve">La </w:t>
      </w:r>
      <w:r>
        <w:t xml:space="preserve">loi </w:t>
      </w:r>
      <w:r w:rsidRPr="00A91B4E">
        <w:t xml:space="preserve">interdit </w:t>
      </w:r>
      <w:r>
        <w:t xml:space="preserve">les inégalités </w:t>
      </w:r>
      <w:r w:rsidRPr="00A91B4E">
        <w:t xml:space="preserve">de traitement </w:t>
      </w:r>
      <w:r>
        <w:t xml:space="preserve">fondées sur </w:t>
      </w:r>
      <w:r w:rsidRPr="00A91B4E">
        <w:t>l</w:t>
      </w:r>
      <w:r>
        <w:t>’</w:t>
      </w:r>
      <w:r w:rsidRPr="00A91B4E">
        <w:t xml:space="preserve">appartenance </w:t>
      </w:r>
      <w:r>
        <w:t xml:space="preserve">à un syndicat </w:t>
      </w:r>
      <w:r w:rsidRPr="00A91B4E">
        <w:t>ou l</w:t>
      </w:r>
      <w:r>
        <w:t>’</w:t>
      </w:r>
      <w:r w:rsidRPr="00A91B4E">
        <w:t>activité syndicale</w:t>
      </w:r>
      <w:r>
        <w:t>.</w:t>
      </w:r>
    </w:p>
    <w:p w14:paraId="75174ED6" w14:textId="73FDC3E9" w:rsidR="000C1192" w:rsidRPr="000A2033" w:rsidRDefault="000C1192" w:rsidP="000C1192">
      <w:pPr>
        <w:pStyle w:val="SingleTxtG"/>
      </w:pPr>
      <w:r w:rsidRPr="00CF00D2">
        <w:t>104.</w:t>
      </w:r>
      <w:r w:rsidRPr="00CF00D2">
        <w:tab/>
        <w:t xml:space="preserve">Seuls les syndicats sont autorisés à négocier collectivement au nom des travailleurs. </w:t>
      </w:r>
      <w:r w:rsidRPr="000A2033">
        <w:t xml:space="preserve">Pour avoir le droit de négocier collectivement au nom des travailleurs, les syndicats doivent être représentatifs et </w:t>
      </w:r>
      <w:r>
        <w:t>remplir les conditions prévues par la loi</w:t>
      </w:r>
      <w:r w:rsidRPr="000A2033">
        <w:t>. L</w:t>
      </w:r>
      <w:r>
        <w:t>es conditions</w:t>
      </w:r>
      <w:r w:rsidRPr="000A2033">
        <w:t xml:space="preserve"> </w:t>
      </w:r>
      <w:r>
        <w:t xml:space="preserve">applicables en matière de </w:t>
      </w:r>
      <w:r w:rsidRPr="000A2033">
        <w:t xml:space="preserve">représentativité des syndicats pour les négociations collectives </w:t>
      </w:r>
      <w:r>
        <w:t xml:space="preserve">sont prévues à </w:t>
      </w:r>
      <w:r w:rsidRPr="000A2033">
        <w:t>l</w:t>
      </w:r>
      <w:r>
        <w:t>’</w:t>
      </w:r>
      <w:r w:rsidR="00A858B3">
        <w:t>article </w:t>
      </w:r>
      <w:r w:rsidRPr="000A2033">
        <w:t xml:space="preserve">7 de </w:t>
      </w:r>
      <w:r>
        <w:t>la l</w:t>
      </w:r>
      <w:r w:rsidRPr="003D5185">
        <w:t>oi sur la représentativité des associations d</w:t>
      </w:r>
      <w:r>
        <w:t>’</w:t>
      </w:r>
      <w:r w:rsidRPr="003D5185">
        <w:t>employeurs et des syndicats</w:t>
      </w:r>
      <w:r>
        <w:t>.</w:t>
      </w:r>
    </w:p>
    <w:p w14:paraId="1A384F85" w14:textId="77777777" w:rsidR="000C1192" w:rsidRPr="000A2033" w:rsidRDefault="000C1192" w:rsidP="000C1192">
      <w:pPr>
        <w:pStyle w:val="SingleTxtG"/>
      </w:pPr>
      <w:r w:rsidRPr="000A2033">
        <w:t>105.</w:t>
      </w:r>
      <w:r w:rsidRPr="000A2033">
        <w:tab/>
        <w:t>Les parties à une convention collective peuvent être, du côté de l</w:t>
      </w:r>
      <w:r>
        <w:t>’</w:t>
      </w:r>
      <w:r w:rsidRPr="000A2033">
        <w:t>employeur, un ou plusieurs employeurs ou leurs associations et, du côté du syndicat, un ou plusieurs syndicats représentatifs.</w:t>
      </w:r>
    </w:p>
    <w:p w14:paraId="7D4F6AD1" w14:textId="77777777" w:rsidR="000C1192" w:rsidRPr="000A2033" w:rsidRDefault="000C1192" w:rsidP="000C1192">
      <w:pPr>
        <w:pStyle w:val="SingleTxtG"/>
      </w:pPr>
      <w:r w:rsidRPr="000D6FB6">
        <w:t>106.</w:t>
      </w:r>
      <w:r w:rsidRPr="000D6FB6">
        <w:tab/>
      </w:r>
      <w:r w:rsidRPr="000A2033">
        <w:t xml:space="preserve">La représentativité des employeurs </w:t>
      </w:r>
      <w:r>
        <w:t>ne fait pas l’objet de dispositions particulières</w:t>
      </w:r>
      <w:r w:rsidRPr="000A2033">
        <w:t xml:space="preserve">, et ils peuvent être partie à une convention collective qui lie </w:t>
      </w:r>
      <w:r>
        <w:t xml:space="preserve">seulement </w:t>
      </w:r>
      <w:r w:rsidRPr="000A2033">
        <w:t>les employeurs signataires et les membres de l</w:t>
      </w:r>
      <w:r>
        <w:t>’</w:t>
      </w:r>
      <w:r w:rsidRPr="000A2033">
        <w:t>association d</w:t>
      </w:r>
      <w:r>
        <w:t>’</w:t>
      </w:r>
      <w:r w:rsidRPr="000A2033">
        <w:t>employeurs qui a signé la convention collective. Les membres de l</w:t>
      </w:r>
      <w:r>
        <w:t>’</w:t>
      </w:r>
      <w:r w:rsidRPr="000A2033">
        <w:t>association d</w:t>
      </w:r>
      <w:r>
        <w:t>’</w:t>
      </w:r>
      <w:r w:rsidRPr="000A2033">
        <w:t xml:space="preserve">employeurs sont </w:t>
      </w:r>
      <w:r>
        <w:t xml:space="preserve">aussi </w:t>
      </w:r>
      <w:r w:rsidRPr="000A2033">
        <w:t>liés par la convention collective s</w:t>
      </w:r>
      <w:r>
        <w:t>’</w:t>
      </w:r>
      <w:r w:rsidRPr="000A2033">
        <w:t xml:space="preserve">ils </w:t>
      </w:r>
      <w:r>
        <w:t>ont</w:t>
      </w:r>
      <w:r w:rsidRPr="000A2033">
        <w:t xml:space="preserve"> </w:t>
      </w:r>
      <w:r>
        <w:t>adhéré à l’</w:t>
      </w:r>
      <w:r w:rsidRPr="000A2033">
        <w:t xml:space="preserve">association après </w:t>
      </w:r>
      <w:r>
        <w:t>la date à laquelle la convention a été conclue</w:t>
      </w:r>
      <w:r w:rsidRPr="000A2033">
        <w:t>. La convention collective lie le syndicat qui l</w:t>
      </w:r>
      <w:r>
        <w:t>’</w:t>
      </w:r>
      <w:r w:rsidRPr="000A2033">
        <w:t>a conclue et le syndicat qui est membre de l</w:t>
      </w:r>
      <w:r>
        <w:t>’</w:t>
      </w:r>
      <w:r w:rsidRPr="000A2033">
        <w:t>association syndicale qui l</w:t>
      </w:r>
      <w:r>
        <w:t>’</w:t>
      </w:r>
      <w:r w:rsidRPr="000A2033">
        <w:t xml:space="preserve">a conclue. Les travailleurs ne sont soumis à une convention collective conclue par le syndicat dont ils sont membres que si elle lie </w:t>
      </w:r>
      <w:r>
        <w:t xml:space="preserve">aussi </w:t>
      </w:r>
      <w:r w:rsidRPr="000A2033">
        <w:t>l</w:t>
      </w:r>
      <w:r>
        <w:t>’</w:t>
      </w:r>
      <w:r w:rsidRPr="000A2033">
        <w:t>employeur qui les emploie. Lorsque l</w:t>
      </w:r>
      <w:r>
        <w:t>’</w:t>
      </w:r>
      <w:r w:rsidRPr="000A2033">
        <w:t>employeur est lié par une convention collective, il est tenu de l</w:t>
      </w:r>
      <w:r>
        <w:t>’</w:t>
      </w:r>
      <w:r w:rsidRPr="000A2033">
        <w:t>appliquer à tous les travailleurs.</w:t>
      </w:r>
    </w:p>
    <w:p w14:paraId="6AC1DB65" w14:textId="77777777" w:rsidR="000C1192" w:rsidRPr="000A2033" w:rsidRDefault="000C1192" w:rsidP="000C1192">
      <w:pPr>
        <w:pStyle w:val="SingleTxtG"/>
      </w:pPr>
      <w:r w:rsidRPr="000A2033">
        <w:t>107.</w:t>
      </w:r>
      <w:r w:rsidRPr="000A2033">
        <w:tab/>
        <w:t xml:space="preserve">Si un droit est </w:t>
      </w:r>
      <w:r>
        <w:t xml:space="preserve">régi </w:t>
      </w:r>
      <w:r w:rsidRPr="000A2033">
        <w:t>différemment par un contrat de travail</w:t>
      </w:r>
      <w:r>
        <w:t>,</w:t>
      </w:r>
      <w:r w:rsidRPr="000A2033">
        <w:t xml:space="preserve"> un règlement</w:t>
      </w:r>
      <w:r>
        <w:t xml:space="preserve"> interne</w:t>
      </w:r>
      <w:r w:rsidRPr="000A2033">
        <w:t xml:space="preserve">, </w:t>
      </w:r>
      <w:r>
        <w:t xml:space="preserve">un </w:t>
      </w:r>
      <w:r w:rsidRPr="000A2033">
        <w:t>accord conclu entre le comité d</w:t>
      </w:r>
      <w:r>
        <w:t>’</w:t>
      </w:r>
      <w:r w:rsidRPr="000A2033">
        <w:t>entreprise et l</w:t>
      </w:r>
      <w:r>
        <w:t>’</w:t>
      </w:r>
      <w:r w:rsidRPr="000A2033">
        <w:t xml:space="preserve">employeur, une convention collective ou </w:t>
      </w:r>
      <w:r>
        <w:t xml:space="preserve">une </w:t>
      </w:r>
      <w:r w:rsidRPr="000A2033">
        <w:t xml:space="preserve">loi, le droit le plus favorable au travailleur </w:t>
      </w:r>
      <w:r>
        <w:t>s’applique</w:t>
      </w:r>
      <w:r w:rsidRPr="000A2033">
        <w:t>.</w:t>
      </w:r>
    </w:p>
    <w:p w14:paraId="2A0A9B1E" w14:textId="77777777" w:rsidR="000C1192" w:rsidRPr="000A2033" w:rsidRDefault="000C1192" w:rsidP="000C1192">
      <w:pPr>
        <w:pStyle w:val="SingleTxtG"/>
      </w:pPr>
      <w:r w:rsidRPr="00F84C4D">
        <w:t>108.</w:t>
      </w:r>
      <w:r w:rsidRPr="00F84C4D">
        <w:tab/>
        <w:t xml:space="preserve">Le droit de grève est garanti par la Constitution de la </w:t>
      </w:r>
      <w:r>
        <w:t>République de Croatie</w:t>
      </w:r>
      <w:r w:rsidRPr="00F84C4D">
        <w:t xml:space="preserve">, qui </w:t>
      </w:r>
      <w:r>
        <w:t xml:space="preserve">autorise à en limiter l’exercice par une loi spécifique </w:t>
      </w:r>
      <w:r w:rsidRPr="00F84C4D">
        <w:t xml:space="preserve">dans </w:t>
      </w:r>
      <w:r>
        <w:t xml:space="preserve">le cas des </w:t>
      </w:r>
      <w:r w:rsidRPr="00F84C4D">
        <w:t xml:space="preserve">forces armées, </w:t>
      </w:r>
      <w:r>
        <w:t xml:space="preserve">de </w:t>
      </w:r>
      <w:r w:rsidRPr="00F84C4D">
        <w:t xml:space="preserve">la police, </w:t>
      </w:r>
      <w:r>
        <w:t xml:space="preserve">de la fonction </w:t>
      </w:r>
      <w:r w:rsidRPr="00F84C4D">
        <w:t xml:space="preserve">publique et </w:t>
      </w:r>
      <w:r>
        <w:t xml:space="preserve">des </w:t>
      </w:r>
      <w:r w:rsidRPr="00F84C4D">
        <w:t xml:space="preserve">services publics. </w:t>
      </w:r>
      <w:r>
        <w:t>D’après la loi sur le travail</w:t>
      </w:r>
      <w:r w:rsidRPr="000A2033">
        <w:t xml:space="preserve">, les syndicats ont le droit de </w:t>
      </w:r>
      <w:r>
        <w:t xml:space="preserve">lancer un ordre de </w:t>
      </w:r>
      <w:r w:rsidRPr="000A2033">
        <w:t xml:space="preserve">grève </w:t>
      </w:r>
      <w:r>
        <w:t xml:space="preserve">et de faire grève </w:t>
      </w:r>
      <w:r w:rsidRPr="000A2033">
        <w:t xml:space="preserve">pour protéger et promouvoir les intérêts économiques et sociaux de leurs membres ou </w:t>
      </w:r>
      <w:r>
        <w:t xml:space="preserve">au motif </w:t>
      </w:r>
      <w:r w:rsidRPr="000A2033">
        <w:t>du non-</w:t>
      </w:r>
      <w:r>
        <w:t>versement des salaires</w:t>
      </w:r>
      <w:r w:rsidRPr="000A2033">
        <w:t>. En cas de conflit lié à la conclusion, à la modification ou au renouvellement d</w:t>
      </w:r>
      <w:r>
        <w:t>’</w:t>
      </w:r>
      <w:r w:rsidRPr="000A2033">
        <w:t xml:space="preserve">une convention </w:t>
      </w:r>
      <w:r>
        <w:t>collective</w:t>
      </w:r>
      <w:r w:rsidRPr="000A2033">
        <w:t xml:space="preserve">, le droit de </w:t>
      </w:r>
      <w:r>
        <w:t xml:space="preserve">lancer un ordre de </w:t>
      </w:r>
      <w:r w:rsidRPr="000A2033">
        <w:t xml:space="preserve">grève </w:t>
      </w:r>
      <w:r>
        <w:t xml:space="preserve">et de faire grève </w:t>
      </w:r>
      <w:r w:rsidRPr="000A2033">
        <w:t xml:space="preserve">est reconnu aux syndicats </w:t>
      </w:r>
      <w:r>
        <w:t xml:space="preserve">qui ont été </w:t>
      </w:r>
      <w:r w:rsidRPr="000A2033">
        <w:t xml:space="preserve">désignés comme représentants </w:t>
      </w:r>
      <w:r>
        <w:t xml:space="preserve">pour </w:t>
      </w:r>
      <w:r w:rsidRPr="000A2033">
        <w:t>la négociation collective et la conclusion d</w:t>
      </w:r>
      <w:r>
        <w:t>’</w:t>
      </w:r>
      <w:r w:rsidRPr="000A2033">
        <w:t xml:space="preserve">une convention collective et ont négocié la conclusion </w:t>
      </w:r>
      <w:r>
        <w:t xml:space="preserve">de cette </w:t>
      </w:r>
      <w:r w:rsidRPr="000A2033">
        <w:t xml:space="preserve">convention. Une grève de solidarité peut </w:t>
      </w:r>
      <w:r>
        <w:t xml:space="preserve">débuter </w:t>
      </w:r>
      <w:r w:rsidRPr="000A2033">
        <w:t>même si la procédure de médiation n</w:t>
      </w:r>
      <w:r>
        <w:t>’</w:t>
      </w:r>
      <w:r w:rsidRPr="000A2033">
        <w:t xml:space="preserve">a pas </w:t>
      </w:r>
      <w:r>
        <w:t>eu lieu</w:t>
      </w:r>
      <w:r w:rsidRPr="000A2033">
        <w:t xml:space="preserve">, mais pas </w:t>
      </w:r>
      <w:r>
        <w:t xml:space="preserve">moins de </w:t>
      </w:r>
      <w:r w:rsidRPr="000A2033">
        <w:t xml:space="preserve">deux jours après la date </w:t>
      </w:r>
      <w:r>
        <w:t xml:space="preserve">du commencement de la </w:t>
      </w:r>
      <w:r w:rsidRPr="000A2033">
        <w:t xml:space="preserve">grève </w:t>
      </w:r>
      <w:r>
        <w:t>qu’elle a pour but de soutenir</w:t>
      </w:r>
      <w:r w:rsidRPr="000A2033">
        <w:t>.</w:t>
      </w:r>
    </w:p>
    <w:p w14:paraId="73ED972D" w14:textId="77777777" w:rsidR="000C1192" w:rsidRPr="00234715" w:rsidRDefault="000C1192" w:rsidP="000C1192">
      <w:pPr>
        <w:pStyle w:val="SingleTxtG"/>
      </w:pPr>
      <w:r w:rsidRPr="00AF1059">
        <w:t>109.</w:t>
      </w:r>
      <w:r w:rsidRPr="00AF1059">
        <w:tab/>
        <w:t>Conformément à la loi sur le service dans les forces armées de la République de Croatie, le personnel militaire d</w:t>
      </w:r>
      <w:r>
        <w:t>’</w:t>
      </w:r>
      <w:r w:rsidRPr="00AF1059">
        <w:t>active n</w:t>
      </w:r>
      <w:r>
        <w:t>’</w:t>
      </w:r>
      <w:r w:rsidRPr="00AF1059">
        <w:t xml:space="preserve">a pas le droit de grève. </w:t>
      </w:r>
      <w:r w:rsidRPr="00234715">
        <w:t xml:space="preserve">En vertu de la </w:t>
      </w:r>
      <w:r>
        <w:t>loi sur la police</w:t>
      </w:r>
      <w:r w:rsidRPr="00234715">
        <w:t>, les fonctionnaires de police n</w:t>
      </w:r>
      <w:r>
        <w:t>’</w:t>
      </w:r>
      <w:r w:rsidRPr="00234715">
        <w:t xml:space="preserve">ont pas le droit de grève dans </w:t>
      </w:r>
      <w:r>
        <w:t xml:space="preserve">certains cas exceptionnels prévus </w:t>
      </w:r>
      <w:r w:rsidRPr="00234715">
        <w:t xml:space="preserve">par la loi. </w:t>
      </w:r>
      <w:r>
        <w:t xml:space="preserve">Par ailleurs, la loi sur la santé n’accorde pas le droit de grève au personnel de </w:t>
      </w:r>
      <w:r w:rsidRPr="00234715">
        <w:t>l</w:t>
      </w:r>
      <w:r>
        <w:t>’</w:t>
      </w:r>
      <w:r w:rsidRPr="00234715">
        <w:t>Institut croate de médecine d</w:t>
      </w:r>
      <w:r>
        <w:t>’</w:t>
      </w:r>
      <w:r w:rsidRPr="00234715">
        <w:t>urgence</w:t>
      </w:r>
      <w:r>
        <w:t xml:space="preserve"> et des </w:t>
      </w:r>
      <w:r w:rsidRPr="00234715">
        <w:t>instituts de médecine d</w:t>
      </w:r>
      <w:r>
        <w:t>’</w:t>
      </w:r>
      <w:r w:rsidRPr="00234715">
        <w:t>urgence des</w:t>
      </w:r>
      <w:r>
        <w:t xml:space="preserve"> collectivités régionales autonomes</w:t>
      </w:r>
      <w:r w:rsidRPr="00234715">
        <w:t xml:space="preserve"> </w:t>
      </w:r>
      <w:r>
        <w:t>(</w:t>
      </w:r>
      <w:r w:rsidRPr="00234715">
        <w:t>c</w:t>
      </w:r>
      <w:r>
        <w:t>’</w:t>
      </w:r>
      <w:r w:rsidRPr="00234715">
        <w:t xml:space="preserve">est-à-dire </w:t>
      </w:r>
      <w:r>
        <w:t xml:space="preserve">de </w:t>
      </w:r>
      <w:r w:rsidRPr="00234715">
        <w:t xml:space="preserve">la </w:t>
      </w:r>
      <w:r>
        <w:t>V</w:t>
      </w:r>
      <w:r w:rsidRPr="00234715">
        <w:t>ille de Zagreb</w:t>
      </w:r>
      <w:r>
        <w:t>)</w:t>
      </w:r>
      <w:r w:rsidRPr="00234715">
        <w:t xml:space="preserve"> </w:t>
      </w:r>
      <w:r>
        <w:t xml:space="preserve">ni des </w:t>
      </w:r>
      <w:r w:rsidRPr="00234715">
        <w:t>services de médecine d</w:t>
      </w:r>
      <w:r>
        <w:t>’</w:t>
      </w:r>
      <w:r w:rsidRPr="00234715">
        <w:t xml:space="preserve">urgence sous contrat </w:t>
      </w:r>
      <w:r>
        <w:t xml:space="preserve">d’un </w:t>
      </w:r>
      <w:r w:rsidRPr="00234715">
        <w:t>établissement de santé.</w:t>
      </w:r>
    </w:p>
    <w:p w14:paraId="7CCD8BE9" w14:textId="77777777" w:rsidR="000C1192" w:rsidRPr="00360730" w:rsidRDefault="000C1192" w:rsidP="000C1192">
      <w:pPr>
        <w:pStyle w:val="SingleTxtG"/>
      </w:pPr>
      <w:r w:rsidRPr="00360730">
        <w:t>110.</w:t>
      </w:r>
      <w:r w:rsidRPr="00360730">
        <w:tab/>
        <w:t>Sur proposition de l</w:t>
      </w:r>
      <w:r>
        <w:t>’</w:t>
      </w:r>
      <w:r w:rsidRPr="00360730">
        <w:t>employeur, le syndicat et l</w:t>
      </w:r>
      <w:r>
        <w:t>’</w:t>
      </w:r>
      <w:r w:rsidRPr="00360730">
        <w:t xml:space="preserve">employeur </w:t>
      </w:r>
      <w:r>
        <w:t xml:space="preserve">élaborent </w:t>
      </w:r>
      <w:r w:rsidRPr="00360730">
        <w:t xml:space="preserve">et adoptent un accord sur les règles applicables au maintien des activités </w:t>
      </w:r>
      <w:r>
        <w:t xml:space="preserve">de production </w:t>
      </w:r>
      <w:r w:rsidRPr="00360730">
        <w:t>essentielles qui ne doivent pas être interrompues pendant une grève ou un lock-out.</w:t>
      </w:r>
      <w:r>
        <w:t xml:space="preserve"> </w:t>
      </w:r>
    </w:p>
    <w:p w14:paraId="747D5F81" w14:textId="7E83EAA6" w:rsidR="000C1192" w:rsidRPr="007E4D28" w:rsidRDefault="000C1192" w:rsidP="00C61166">
      <w:pPr>
        <w:pStyle w:val="H1G"/>
      </w:pPr>
      <w:r w:rsidRPr="00360730">
        <w:lastRenderedPageBreak/>
        <w:tab/>
      </w:r>
      <w:r w:rsidRPr="00360730">
        <w:tab/>
      </w:r>
      <w:r w:rsidR="00A858B3">
        <w:t>Article </w:t>
      </w:r>
      <w:r w:rsidRPr="007E4D28">
        <w:t>9</w:t>
      </w:r>
    </w:p>
    <w:p w14:paraId="08C5CD6E" w14:textId="67B678B1" w:rsidR="000C1192" w:rsidRPr="001669EC" w:rsidRDefault="000C1192" w:rsidP="000C1192">
      <w:pPr>
        <w:pStyle w:val="SingleTxtG"/>
      </w:pPr>
      <w:r w:rsidRPr="001669EC">
        <w:t>111.</w:t>
      </w:r>
      <w:r w:rsidRPr="001669EC">
        <w:tab/>
        <w:t>Tous les aspects de la sécurité sociale visés à l</w:t>
      </w:r>
      <w:r>
        <w:t>’</w:t>
      </w:r>
      <w:r w:rsidR="00A858B3">
        <w:t>article </w:t>
      </w:r>
      <w:r w:rsidRPr="001669EC">
        <w:t>9 du Pacte sont couverts par des lois sur la sécurité sociale et relèvent de catégories des régimes contributifs, exception faite des allocations familiales et des prestations de chômage.</w:t>
      </w:r>
    </w:p>
    <w:p w14:paraId="2766A84A" w14:textId="77777777" w:rsidR="000C1192" w:rsidRPr="00F014F2" w:rsidRDefault="000C1192" w:rsidP="000C1192">
      <w:pPr>
        <w:pStyle w:val="SingleTxtG"/>
      </w:pPr>
      <w:r w:rsidRPr="00B24B4F">
        <w:t>112.</w:t>
      </w:r>
      <w:r w:rsidRPr="00B24B4F">
        <w:tab/>
      </w:r>
      <w:r w:rsidRPr="001669EC">
        <w:t xml:space="preserve">La </w:t>
      </w:r>
      <w:r>
        <w:t xml:space="preserve">Constitution de la République de Croatie </w:t>
      </w:r>
      <w:r w:rsidRPr="001669EC">
        <w:t>garantit le droit des employés, ainsi que des membres de leur famille, à la sécurité sociale et à l</w:t>
      </w:r>
      <w:r>
        <w:t>’</w:t>
      </w:r>
      <w:r w:rsidRPr="001669EC">
        <w:t xml:space="preserve">assurance sociale, ainsi que le droit aux soins de santé. </w:t>
      </w:r>
      <w:r w:rsidRPr="00F014F2">
        <w:t>L</w:t>
      </w:r>
      <w:r>
        <w:t>’</w:t>
      </w:r>
      <w:r w:rsidRPr="00F014F2">
        <w:t xml:space="preserve">État accorde une attention particulière à la protection des personnes handicapées et à leur </w:t>
      </w:r>
      <w:r>
        <w:t xml:space="preserve">inclusion </w:t>
      </w:r>
      <w:r w:rsidRPr="00F014F2">
        <w:t>dans la vie sociale, ainsi qu</w:t>
      </w:r>
      <w:r>
        <w:t>’</w:t>
      </w:r>
      <w:r w:rsidRPr="00F014F2">
        <w:t xml:space="preserve">à la protection des anciens combattants croates et des membres de leur famille, des anciens combattants croates handicapés de </w:t>
      </w:r>
      <w:r>
        <w:t>la Guerre patriotique</w:t>
      </w:r>
      <w:r w:rsidRPr="00F014F2">
        <w:t xml:space="preserve">, </w:t>
      </w:r>
      <w:r>
        <w:t xml:space="preserve">et </w:t>
      </w:r>
      <w:r w:rsidRPr="00F014F2">
        <w:t xml:space="preserve">des veuves, des parents et des enfants </w:t>
      </w:r>
      <w:r>
        <w:t xml:space="preserve">de militaires </w:t>
      </w:r>
      <w:r w:rsidRPr="00F014F2">
        <w:t xml:space="preserve">croates </w:t>
      </w:r>
      <w:r>
        <w:t>morts au combat</w:t>
      </w:r>
      <w:r w:rsidRPr="00F014F2">
        <w:t>.</w:t>
      </w:r>
    </w:p>
    <w:p w14:paraId="2852E29F" w14:textId="268B28D4" w:rsidR="000C1192" w:rsidRPr="00F014F2" w:rsidRDefault="000C1192" w:rsidP="000C1192">
      <w:pPr>
        <w:pStyle w:val="SingleTxtG"/>
      </w:pPr>
      <w:bookmarkStart w:id="3" w:name="_Hlk109201590"/>
      <w:r w:rsidRPr="0000396B">
        <w:t>113.</w:t>
      </w:r>
      <w:r w:rsidRPr="0000396B">
        <w:tab/>
      </w:r>
      <w:r w:rsidRPr="00C82C75">
        <w:t xml:space="preserve">La </w:t>
      </w:r>
      <w:r>
        <w:t>République de Croatie</w:t>
      </w:r>
      <w:r w:rsidRPr="00C82C75">
        <w:t xml:space="preserve"> est partie à la convention (n</w:t>
      </w:r>
      <w:r w:rsidRPr="00C82C75">
        <w:rPr>
          <w:vertAlign w:val="superscript"/>
        </w:rPr>
        <w:t>o</w:t>
      </w:r>
      <w:r w:rsidR="00C61166">
        <w:t> </w:t>
      </w:r>
      <w:r w:rsidRPr="00C82C75">
        <w:t>102) de l</w:t>
      </w:r>
      <w:r>
        <w:t>’</w:t>
      </w:r>
      <w:r w:rsidRPr="00C82C75">
        <w:t xml:space="preserve">Organisation internationale du travail (OIT) concernant la sécurité sociale (norme minimum). </w:t>
      </w:r>
      <w:r>
        <w:t xml:space="preserve">Son </w:t>
      </w:r>
      <w:r w:rsidRPr="00F014F2">
        <w:t xml:space="preserve">dernier rapport </w:t>
      </w:r>
      <w:r>
        <w:t xml:space="preserve">en date </w:t>
      </w:r>
      <w:r w:rsidRPr="00F014F2">
        <w:t xml:space="preserve">(2016) </w:t>
      </w:r>
      <w:r>
        <w:t xml:space="preserve">comporte </w:t>
      </w:r>
      <w:r w:rsidRPr="00F014F2">
        <w:t xml:space="preserve">des chapitres sur les soins de santé, le droit à </w:t>
      </w:r>
      <w:r>
        <w:t xml:space="preserve">un </w:t>
      </w:r>
      <w:r w:rsidRPr="00F014F2">
        <w:t xml:space="preserve">congé maladie, les droits </w:t>
      </w:r>
      <w:r>
        <w:t xml:space="preserve">en période de </w:t>
      </w:r>
      <w:r w:rsidRPr="00F014F2">
        <w:t xml:space="preserve">chômage, le </w:t>
      </w:r>
      <w:r>
        <w:t xml:space="preserve">régime </w:t>
      </w:r>
      <w:r w:rsidRPr="00F014F2">
        <w:t>de retraite, les droits liés à la grossesse et à l</w:t>
      </w:r>
      <w:r>
        <w:t>’</w:t>
      </w:r>
      <w:r w:rsidRPr="00F014F2">
        <w:t>accouchement,</w:t>
      </w:r>
      <w:r>
        <w:t xml:space="preserve"> et</w:t>
      </w:r>
      <w:r w:rsidRPr="00F014F2">
        <w:t xml:space="preserve"> le droit à une pension de </w:t>
      </w:r>
      <w:r>
        <w:t>réversion</w:t>
      </w:r>
      <w:r w:rsidRPr="00F014F2">
        <w:t xml:space="preserve"> (voir </w:t>
      </w:r>
      <w:r>
        <w:t>l’a</w:t>
      </w:r>
      <w:r w:rsidRPr="00F014F2">
        <w:t>nnexe</w:t>
      </w:r>
      <w:r w:rsidR="00C61166">
        <w:t> </w:t>
      </w:r>
      <w:r w:rsidRPr="00F014F2">
        <w:t>5 du rapport).</w:t>
      </w:r>
    </w:p>
    <w:bookmarkEnd w:id="3"/>
    <w:p w14:paraId="0ECCA909" w14:textId="4BD16A28" w:rsidR="000C1192" w:rsidRPr="00DD1DF2" w:rsidRDefault="000C1192" w:rsidP="000C1192">
      <w:pPr>
        <w:pStyle w:val="SingleTxtG"/>
      </w:pPr>
      <w:r w:rsidRPr="00746E50">
        <w:t>114.</w:t>
      </w:r>
      <w:r w:rsidRPr="00746E50">
        <w:tab/>
      </w:r>
      <w:r w:rsidRPr="0000396B">
        <w:rPr>
          <w:caps/>
        </w:rPr>
        <w:t>à</w:t>
      </w:r>
      <w:r>
        <w:t xml:space="preserve"> compter</w:t>
      </w:r>
      <w:r w:rsidRPr="00DD1DF2">
        <w:t xml:space="preserve"> du 1</w:t>
      </w:r>
      <w:r w:rsidRPr="0000396B">
        <w:rPr>
          <w:vertAlign w:val="superscript"/>
        </w:rPr>
        <w:t>er</w:t>
      </w:r>
      <w:r w:rsidR="00C61166">
        <w:t> </w:t>
      </w:r>
      <w:r w:rsidRPr="00DD1DF2">
        <w:t>juillet 2019, une nouvelle méthode d</w:t>
      </w:r>
      <w:r>
        <w:t>’</w:t>
      </w:r>
      <w:r w:rsidRPr="00DD1DF2">
        <w:t>a</w:t>
      </w:r>
      <w:r>
        <w:t xml:space="preserve">justement </w:t>
      </w:r>
      <w:r w:rsidRPr="00DD1DF2">
        <w:t xml:space="preserve">des </w:t>
      </w:r>
      <w:r>
        <w:t xml:space="preserve">pensions </w:t>
      </w:r>
      <w:r w:rsidRPr="00DD1DF2">
        <w:t xml:space="preserve">a été </w:t>
      </w:r>
      <w:r>
        <w:t>adoptée</w:t>
      </w:r>
      <w:r w:rsidRPr="00DD1DF2">
        <w:t>, selon laquelle le taux d</w:t>
      </w:r>
      <w:r>
        <w:t>’</w:t>
      </w:r>
      <w:r w:rsidRPr="00DD1DF2">
        <w:t>a</w:t>
      </w:r>
      <w:r>
        <w:t xml:space="preserve">justement </w:t>
      </w:r>
      <w:r w:rsidRPr="00DD1DF2">
        <w:t xml:space="preserve">de la valeur </w:t>
      </w:r>
      <w:r>
        <w:t xml:space="preserve">courante des pensions </w:t>
      </w:r>
      <w:r w:rsidRPr="00DD1DF2">
        <w:t>applicable du 1</w:t>
      </w:r>
      <w:r w:rsidRPr="00514053">
        <w:rPr>
          <w:vertAlign w:val="superscript"/>
        </w:rPr>
        <w:t>er</w:t>
      </w:r>
      <w:r w:rsidR="00C61166">
        <w:t> </w:t>
      </w:r>
      <w:r w:rsidRPr="00DD1DF2">
        <w:t>janvier et du 1</w:t>
      </w:r>
      <w:r w:rsidRPr="00514053">
        <w:rPr>
          <w:vertAlign w:val="superscript"/>
        </w:rPr>
        <w:t>er</w:t>
      </w:r>
      <w:r w:rsidR="00C61166">
        <w:t> </w:t>
      </w:r>
      <w:r w:rsidRPr="00DD1DF2">
        <w:t>juillet de chaque année civile est déterminé en additionnant le taux de variation de l</w:t>
      </w:r>
      <w:r>
        <w:t>’</w:t>
      </w:r>
      <w:r w:rsidRPr="00DD1DF2">
        <w:t xml:space="preserve">indice moyen des prix à la consommation du semestre précédent par rapport au semestre </w:t>
      </w:r>
      <w:r>
        <w:t xml:space="preserve">antérieur </w:t>
      </w:r>
      <w:r w:rsidRPr="00DD1DF2">
        <w:t>et le taux de variation du salaire brut moyen de l</w:t>
      </w:r>
      <w:r>
        <w:t>’</w:t>
      </w:r>
      <w:r w:rsidRPr="00DD1DF2">
        <w:t xml:space="preserve">ensemble des salariés de la </w:t>
      </w:r>
      <w:r>
        <w:t xml:space="preserve">République de Croatie au cours </w:t>
      </w:r>
      <w:r w:rsidRPr="00DD1DF2">
        <w:t xml:space="preserve">semestre précédent par rapport au semestre </w:t>
      </w:r>
      <w:r>
        <w:t xml:space="preserve">antérieur selon un ratio de </w:t>
      </w:r>
      <w:r w:rsidRPr="00DD1DF2">
        <w:t xml:space="preserve">70:30, soit 30:70 </w:t>
      </w:r>
      <w:r>
        <w:t xml:space="preserve">d’après </w:t>
      </w:r>
      <w:r w:rsidRPr="00DD1DF2">
        <w:t xml:space="preserve">le modèle variable. </w:t>
      </w:r>
      <w:r>
        <w:t>Ainsi</w:t>
      </w:r>
      <w:r w:rsidRPr="00DD1DF2">
        <w:t>, la formule</w:t>
      </w:r>
      <w:r>
        <w:t xml:space="preserve"> dite</w:t>
      </w:r>
      <w:r w:rsidRPr="00DD1DF2">
        <w:t xml:space="preserve"> </w:t>
      </w:r>
      <w:r>
        <w:t>« </w:t>
      </w:r>
      <w:r w:rsidRPr="00DD1DF2">
        <w:t>suisse</w:t>
      </w:r>
      <w:r>
        <w:t> »</w:t>
      </w:r>
      <w:r w:rsidRPr="00DD1DF2">
        <w:t xml:space="preserve"> ne sera </w:t>
      </w:r>
      <w:r>
        <w:t xml:space="preserve">plus </w:t>
      </w:r>
      <w:r w:rsidRPr="00DD1DF2">
        <w:t>appliquée</w:t>
      </w:r>
      <w:r>
        <w:t xml:space="preserve">. </w:t>
      </w:r>
    </w:p>
    <w:p w14:paraId="5C7D6561" w14:textId="77A8C98C" w:rsidR="000C1192" w:rsidRPr="00C15C35" w:rsidRDefault="000C1192" w:rsidP="000C1192">
      <w:pPr>
        <w:pStyle w:val="SingleTxtG"/>
        <w:rPr>
          <w:rStyle w:val="Appelnotedebasdep"/>
          <w:color w:val="000000" w:themeColor="text1"/>
        </w:rPr>
      </w:pPr>
      <w:r w:rsidRPr="000B421D">
        <w:t>115.</w:t>
      </w:r>
      <w:r w:rsidRPr="000B421D">
        <w:tab/>
      </w:r>
      <w:r w:rsidRPr="00C15C35">
        <w:t>L</w:t>
      </w:r>
      <w:r>
        <w:t xml:space="preserve">e revenu minimum </w:t>
      </w:r>
      <w:r w:rsidRPr="00C15C35">
        <w:t>garanti</w:t>
      </w:r>
      <w:r>
        <w:t xml:space="preserve"> </w:t>
      </w:r>
      <w:r w:rsidRPr="00C15C35">
        <w:t xml:space="preserve">est le droit à une somme </w:t>
      </w:r>
      <w:r>
        <w:t xml:space="preserve">couvrant </w:t>
      </w:r>
      <w:r w:rsidRPr="00C15C35">
        <w:t xml:space="preserve">les besoins </w:t>
      </w:r>
      <w:r>
        <w:t xml:space="preserve">fondamentaux </w:t>
      </w:r>
      <w:r w:rsidRPr="00C15C35">
        <w:t>d</w:t>
      </w:r>
      <w:r>
        <w:t>’</w:t>
      </w:r>
      <w:r w:rsidRPr="00C15C35">
        <w:t>une personne seule ou d</w:t>
      </w:r>
      <w:r>
        <w:t>’</w:t>
      </w:r>
      <w:r w:rsidRPr="00C15C35">
        <w:t xml:space="preserve">un ménage </w:t>
      </w:r>
      <w:r>
        <w:t>dont les ressources ne suffisent pas à répondre à leurs besoins fondamentaux</w:t>
      </w:r>
      <w:r w:rsidRPr="00C15C35">
        <w:t>, l</w:t>
      </w:r>
      <w:r>
        <w:t>’</w:t>
      </w:r>
      <w:r w:rsidRPr="00C15C35">
        <w:t xml:space="preserve">exercice </w:t>
      </w:r>
      <w:r>
        <w:t xml:space="preserve">de ce droit étant subordonné à un seuil de patrimoine et de revenus de la personne seule ou du ménage. Le montant de </w:t>
      </w:r>
      <w:r w:rsidRPr="00C15C35">
        <w:t xml:space="preserve">base est </w:t>
      </w:r>
      <w:r>
        <w:t xml:space="preserve">fixé par le Gouvernement de la République de Croatie </w:t>
      </w:r>
      <w:r w:rsidRPr="00C15C35">
        <w:t>(800</w:t>
      </w:r>
      <w:r w:rsidR="00C61166">
        <w:t> </w:t>
      </w:r>
      <w:r>
        <w:t>kunas</w:t>
      </w:r>
      <w:r w:rsidRPr="00C15C35">
        <w:t xml:space="preserve">) et </w:t>
      </w:r>
      <w:r>
        <w:t xml:space="preserve">est inchangé </w:t>
      </w:r>
      <w:r w:rsidRPr="00C15C35">
        <w:t>depuis 2014</w:t>
      </w:r>
      <w:r w:rsidRPr="00535E17">
        <w:rPr>
          <w:rStyle w:val="Appelnotedebasdep"/>
        </w:rPr>
        <w:footnoteReference w:id="33"/>
      </w:r>
      <w:r w:rsidRPr="00C15C35">
        <w:t>.</w:t>
      </w:r>
    </w:p>
    <w:p w14:paraId="51A73366" w14:textId="11C11F96" w:rsidR="000C1192" w:rsidRPr="007E4D28" w:rsidRDefault="000C1192" w:rsidP="000C1192">
      <w:pPr>
        <w:pStyle w:val="SingleTxtG"/>
      </w:pPr>
      <w:r w:rsidRPr="006D1646">
        <w:t>116.</w:t>
      </w:r>
      <w:r w:rsidRPr="006D1646">
        <w:tab/>
        <w:t xml:space="preserve">Le montant du </w:t>
      </w:r>
      <w:r>
        <w:t xml:space="preserve">revenu minimum </w:t>
      </w:r>
      <w:r w:rsidRPr="00C15C35">
        <w:t>garanti</w:t>
      </w:r>
      <w:r w:rsidRPr="006D1646">
        <w:t xml:space="preserve"> est limité pour les ménages au montant du salaire minimum brut</w:t>
      </w:r>
      <w:r>
        <w:t xml:space="preserve"> (soit 3</w:t>
      </w:r>
      <w:r w:rsidR="00C61166">
        <w:t> </w:t>
      </w:r>
      <w:r>
        <w:t>750</w:t>
      </w:r>
      <w:r w:rsidR="00C61166">
        <w:t> </w:t>
      </w:r>
      <w:r>
        <w:t>kunas en 2019)</w:t>
      </w:r>
      <w:r w:rsidRPr="006D1646">
        <w:t xml:space="preserve">. </w:t>
      </w:r>
    </w:p>
    <w:p w14:paraId="166B9EE2" w14:textId="539C34BE" w:rsidR="000C1192" w:rsidRPr="00AF1059" w:rsidRDefault="000C1192" w:rsidP="000C1192">
      <w:pPr>
        <w:pStyle w:val="SingleTxtG"/>
        <w:rPr>
          <w:rStyle w:val="Appelnotedebasdep"/>
          <w:color w:val="000000" w:themeColor="text1"/>
        </w:rPr>
      </w:pPr>
      <w:r w:rsidRPr="000B421D">
        <w:t>117.</w:t>
      </w:r>
      <w:r w:rsidRPr="000B421D">
        <w:tab/>
      </w:r>
      <w:r w:rsidRPr="00AF1059">
        <w:t xml:space="preserve">Le </w:t>
      </w:r>
      <w:r>
        <w:t xml:space="preserve">taux relatif médian des revenus </w:t>
      </w:r>
      <w:r w:rsidRPr="00AF1059">
        <w:t>des plus de 65</w:t>
      </w:r>
      <w:r w:rsidR="00C61166">
        <w:t> </w:t>
      </w:r>
      <w:r w:rsidRPr="00AF1059">
        <w:t xml:space="preserve">ans </w:t>
      </w:r>
      <w:r>
        <w:t xml:space="preserve">par rapport aux </w:t>
      </w:r>
      <w:r w:rsidRPr="00AF1059">
        <w:t>plus jeunes</w:t>
      </w:r>
      <w:r w:rsidRPr="00535E17">
        <w:rPr>
          <w:rStyle w:val="Appelnotedebasdep"/>
        </w:rPr>
        <w:footnoteReference w:id="34"/>
      </w:r>
      <w:r w:rsidRPr="00AF1059">
        <w:t xml:space="preserve"> est inférieur à la moyenne de l</w:t>
      </w:r>
      <w:r>
        <w:t>’</w:t>
      </w:r>
      <w:r w:rsidRPr="00AF1059">
        <w:t>UE-28 selon Eurostat (0,91 en 2018)</w:t>
      </w:r>
      <w:r w:rsidRPr="00535E17">
        <w:rPr>
          <w:rStyle w:val="Appelnotedebasdep"/>
        </w:rPr>
        <w:footnoteReference w:id="35"/>
      </w:r>
      <w:r w:rsidRPr="00AF1059">
        <w:t>.</w:t>
      </w:r>
    </w:p>
    <w:p w14:paraId="39BAFAE0" w14:textId="2B3A9562" w:rsidR="000C1192" w:rsidRPr="00924518" w:rsidRDefault="000C1192" w:rsidP="000C1192">
      <w:pPr>
        <w:pStyle w:val="SingleTxtG"/>
      </w:pPr>
      <w:r w:rsidRPr="0046047E">
        <w:t>118.</w:t>
      </w:r>
      <w:r w:rsidRPr="0046047E">
        <w:tab/>
      </w:r>
      <w:r w:rsidRPr="00366632">
        <w:t>Le risque global de pauvreté ou d</w:t>
      </w:r>
      <w:r>
        <w:t>’</w:t>
      </w:r>
      <w:r w:rsidRPr="00366632">
        <w:t>exclusion sociale reste plus élevé en 2019</w:t>
      </w:r>
      <w:r>
        <w:t xml:space="preserve"> </w:t>
      </w:r>
      <w:r w:rsidRPr="00366632">
        <w:t>pour les personnes de plus de 65</w:t>
      </w:r>
      <w:r w:rsidR="00C61166">
        <w:t> </w:t>
      </w:r>
      <w:r w:rsidRPr="00366632">
        <w:t>ans (33,6</w:t>
      </w:r>
      <w:r w:rsidR="00C61166">
        <w:t> </w:t>
      </w:r>
      <w:r w:rsidRPr="00366632">
        <w:t xml:space="preserve">%) que pour </w:t>
      </w:r>
      <w:r>
        <w:t xml:space="preserve">l’ensemble de la </w:t>
      </w:r>
      <w:r w:rsidRPr="00366632">
        <w:t>population (23,3</w:t>
      </w:r>
      <w:r w:rsidR="00C61166">
        <w:t> </w:t>
      </w:r>
      <w:r w:rsidRPr="00366632">
        <w:t xml:space="preserve">%). Le taux de privation matérielle </w:t>
      </w:r>
      <w:r>
        <w:t xml:space="preserve">aiguë </w:t>
      </w:r>
      <w:r w:rsidRPr="00366632">
        <w:t>des personnes de plus de 65</w:t>
      </w:r>
      <w:r w:rsidR="00C61166">
        <w:t> </w:t>
      </w:r>
      <w:r w:rsidRPr="00366632">
        <w:t xml:space="preserve">ans a </w:t>
      </w:r>
      <w:r>
        <w:t xml:space="preserve">diminué </w:t>
      </w:r>
      <w:r w:rsidRPr="00366632">
        <w:t>en 2019</w:t>
      </w:r>
      <w:r w:rsidRPr="00535E17">
        <w:rPr>
          <w:rStyle w:val="Appelnotedebasdep"/>
        </w:rPr>
        <w:footnoteReference w:id="36"/>
      </w:r>
      <w:r w:rsidRPr="00366632">
        <w:t xml:space="preserve">. </w:t>
      </w:r>
      <w:r>
        <w:t xml:space="preserve">Des </w:t>
      </w:r>
      <w:r w:rsidRPr="00924518">
        <w:t xml:space="preserve">données </w:t>
      </w:r>
      <w:r>
        <w:t xml:space="preserve">complémentaires figurent dans les réponses relatives à </w:t>
      </w:r>
      <w:r w:rsidRPr="00924518">
        <w:t>l</w:t>
      </w:r>
      <w:r>
        <w:t>’</w:t>
      </w:r>
      <w:r w:rsidR="00A858B3">
        <w:t>article </w:t>
      </w:r>
      <w:r w:rsidRPr="00924518">
        <w:t>11</w:t>
      </w:r>
      <w:r w:rsidR="00C61166">
        <w:t> </w:t>
      </w:r>
      <w:r w:rsidRPr="00924518">
        <w:t>a</w:t>
      </w:r>
      <w:r>
        <w:t>).</w:t>
      </w:r>
    </w:p>
    <w:p w14:paraId="553734BF" w14:textId="77777777" w:rsidR="000C1192" w:rsidRPr="00F65506" w:rsidRDefault="000C1192" w:rsidP="000C1192">
      <w:pPr>
        <w:pStyle w:val="SingleTxtG"/>
      </w:pPr>
      <w:r w:rsidRPr="00E615FD">
        <w:lastRenderedPageBreak/>
        <w:t>119.</w:t>
      </w:r>
      <w:r w:rsidRPr="00E615FD">
        <w:tab/>
      </w:r>
      <w:r w:rsidRPr="00F65506">
        <w:t xml:space="preserve">Le </w:t>
      </w:r>
      <w:r>
        <w:t xml:space="preserve">régime de l’allocation pour enfant </w:t>
      </w:r>
      <w:r w:rsidRPr="00F65506">
        <w:t xml:space="preserve">est universel et </w:t>
      </w:r>
      <w:r>
        <w:t xml:space="preserve">bénéficie à </w:t>
      </w:r>
      <w:r w:rsidRPr="00F65506">
        <w:t xml:space="preserve">tous les citoyens croates résidant en </w:t>
      </w:r>
      <w:r>
        <w:t xml:space="preserve">République de Croatie </w:t>
      </w:r>
      <w:r w:rsidRPr="00F65506">
        <w:t xml:space="preserve">ainsi </w:t>
      </w:r>
      <w:r>
        <w:t xml:space="preserve">qu’aux </w:t>
      </w:r>
      <w:r w:rsidRPr="00F65506">
        <w:t xml:space="preserve">étrangers résidant légalement </w:t>
      </w:r>
      <w:r>
        <w:t>dans le pays</w:t>
      </w:r>
      <w:r w:rsidRPr="00F65506">
        <w:t xml:space="preserve">, </w:t>
      </w:r>
      <w:r>
        <w:t xml:space="preserve">les </w:t>
      </w:r>
      <w:r w:rsidRPr="00F65506">
        <w:t xml:space="preserve">conditions </w:t>
      </w:r>
      <w:r>
        <w:t xml:space="preserve">étant les mêmes quels que soient </w:t>
      </w:r>
      <w:r w:rsidRPr="00F65506">
        <w:t xml:space="preserve">la durée de résidence, </w:t>
      </w:r>
      <w:r>
        <w:t xml:space="preserve">le niveau de </w:t>
      </w:r>
      <w:r w:rsidRPr="00F65506">
        <w:t xml:space="preserve">revenu et le fait de vivre </w:t>
      </w:r>
      <w:r>
        <w:t xml:space="preserve">ou non en </w:t>
      </w:r>
      <w:r w:rsidRPr="00F65506">
        <w:t xml:space="preserve">ménage avec </w:t>
      </w:r>
      <w:r>
        <w:t>l’</w:t>
      </w:r>
      <w:r w:rsidRPr="00F65506">
        <w:t xml:space="preserve">enfant. Les étrangers ont droit </w:t>
      </w:r>
      <w:r>
        <w:t xml:space="preserve">à l’allocation pour enfant </w:t>
      </w:r>
      <w:r w:rsidRPr="00F65506">
        <w:t>s</w:t>
      </w:r>
      <w:r>
        <w:t>’</w:t>
      </w:r>
      <w:r w:rsidRPr="00F65506">
        <w:t xml:space="preserve">ils </w:t>
      </w:r>
      <w:r>
        <w:t xml:space="preserve">répondent à </w:t>
      </w:r>
      <w:r w:rsidRPr="00F65506">
        <w:t xml:space="preserve">la condition supplémentaire de </w:t>
      </w:r>
      <w:r>
        <w:t xml:space="preserve">détenir </w:t>
      </w:r>
      <w:r w:rsidRPr="00F65506">
        <w:t>un permis de séjour permanent</w:t>
      </w:r>
      <w:r w:rsidRPr="00535E17">
        <w:rPr>
          <w:rStyle w:val="Appelnotedebasdep"/>
        </w:rPr>
        <w:footnoteReference w:id="37"/>
      </w:r>
      <w:r>
        <w:t>.</w:t>
      </w:r>
      <w:r w:rsidRPr="00F65506">
        <w:t xml:space="preserve"> Les demandeurs d</w:t>
      </w:r>
      <w:r>
        <w:t>’</w:t>
      </w:r>
      <w:r w:rsidRPr="00F65506">
        <w:t>asile, ainsi que les étrangers</w:t>
      </w:r>
      <w:r>
        <w:t xml:space="preserve"> sans permis de séjour</w:t>
      </w:r>
      <w:r w:rsidRPr="00F65506">
        <w:t xml:space="preserve">, acquièrent </w:t>
      </w:r>
      <w:r>
        <w:t xml:space="preserve">ce </w:t>
      </w:r>
      <w:r w:rsidRPr="00F65506">
        <w:t xml:space="preserve">droit </w:t>
      </w:r>
      <w:r>
        <w:t xml:space="preserve">sur la base de </w:t>
      </w:r>
      <w:r w:rsidRPr="00F65506">
        <w:t>la protection subsidiaire</w:t>
      </w:r>
      <w:r>
        <w:t>.</w:t>
      </w:r>
    </w:p>
    <w:p w14:paraId="41EF6744" w14:textId="063AA8DC" w:rsidR="000C1192" w:rsidRPr="00ED52AE" w:rsidRDefault="000C1192" w:rsidP="000C1192">
      <w:pPr>
        <w:pStyle w:val="SingleTxtG"/>
      </w:pPr>
      <w:r w:rsidRPr="00BD2376">
        <w:t>120.</w:t>
      </w:r>
      <w:r w:rsidRPr="00BD2376">
        <w:tab/>
        <w:t>Il existe deux catégories de pensions d</w:t>
      </w:r>
      <w:r>
        <w:t>’</w:t>
      </w:r>
      <w:r w:rsidRPr="00BD2376">
        <w:t>invalidité au titre du premier pilier</w:t>
      </w:r>
      <w:r w:rsidR="003C2F4D">
        <w:t> </w:t>
      </w:r>
      <w:r w:rsidRPr="00BD2376">
        <w:t xml:space="preserve">: pour les risques qui découlent du travail et les risques qui </w:t>
      </w:r>
      <w:r>
        <w:t xml:space="preserve">n’en </w:t>
      </w:r>
      <w:r w:rsidRPr="00BD2376">
        <w:t xml:space="preserve">découlent pas. </w:t>
      </w:r>
      <w:r w:rsidRPr="00505183">
        <w:t>Les pensions d</w:t>
      </w:r>
      <w:r>
        <w:t>’</w:t>
      </w:r>
      <w:r w:rsidRPr="00505183">
        <w:t xml:space="preserve">invalidité </w:t>
      </w:r>
      <w:r>
        <w:t xml:space="preserve">incluent </w:t>
      </w:r>
      <w:r w:rsidRPr="00505183">
        <w:t xml:space="preserve">des prestations à long terme </w:t>
      </w:r>
      <w:r>
        <w:t xml:space="preserve">pour les </w:t>
      </w:r>
      <w:r w:rsidRPr="00505183">
        <w:t xml:space="preserve">personnes </w:t>
      </w:r>
      <w:r>
        <w:t xml:space="preserve">exposées </w:t>
      </w:r>
      <w:r w:rsidRPr="00505183">
        <w:t xml:space="preserve">à </w:t>
      </w:r>
      <w:r>
        <w:t>une incapacité permanente</w:t>
      </w:r>
      <w:r w:rsidRPr="00505183">
        <w:t xml:space="preserve"> (partielle ou totale). Le droit à la pension d</w:t>
      </w:r>
      <w:r>
        <w:t>’</w:t>
      </w:r>
      <w:r w:rsidRPr="00505183">
        <w:t xml:space="preserve">invalidité est réalisé </w:t>
      </w:r>
      <w:r>
        <w:t xml:space="preserve">aux </w:t>
      </w:r>
      <w:r w:rsidRPr="00505183">
        <w:t>conditions suivantes</w:t>
      </w:r>
      <w:r w:rsidR="00936B25">
        <w:t> </w:t>
      </w:r>
      <w:r w:rsidRPr="00505183">
        <w:t>: existence d</w:t>
      </w:r>
      <w:r>
        <w:t>’</w:t>
      </w:r>
      <w:r w:rsidRPr="00505183">
        <w:t xml:space="preserve">une </w:t>
      </w:r>
      <w:r>
        <w:t xml:space="preserve">incapacité </w:t>
      </w:r>
      <w:r w:rsidRPr="00505183">
        <w:t xml:space="preserve">partielle ou totale </w:t>
      </w:r>
      <w:r>
        <w:t>et nombre requis d’</w:t>
      </w:r>
      <w:r w:rsidRPr="00505183">
        <w:t xml:space="preserve">années </w:t>
      </w:r>
      <w:r>
        <w:t xml:space="preserve">de cotisation </w:t>
      </w:r>
      <w:r w:rsidRPr="00505183">
        <w:t>(ce</w:t>
      </w:r>
      <w:r>
        <w:t>tte condition n’est pas imposée si l’incapacité résulte d’</w:t>
      </w:r>
      <w:r w:rsidRPr="00505183">
        <w:t xml:space="preserve">un accident du travail ou </w:t>
      </w:r>
      <w:r>
        <w:t>d’</w:t>
      </w:r>
      <w:r w:rsidRPr="00505183">
        <w:t>une maladie professionnelle). Un travailleur handicapé qui a été formé à d</w:t>
      </w:r>
      <w:r>
        <w:t>’</w:t>
      </w:r>
      <w:r w:rsidRPr="00505183">
        <w:t xml:space="preserve">autres emplois </w:t>
      </w:r>
      <w:r>
        <w:t xml:space="preserve">dans le cadre de la </w:t>
      </w:r>
      <w:r w:rsidRPr="00505183">
        <w:t xml:space="preserve">réadaptation professionnelle, et qui est resté longtemps </w:t>
      </w:r>
      <w:r>
        <w:t xml:space="preserve">au chômage </w:t>
      </w:r>
      <w:r w:rsidRPr="00505183">
        <w:t xml:space="preserve">après avoir </w:t>
      </w:r>
      <w:r>
        <w:t xml:space="preserve">suivi la </w:t>
      </w:r>
      <w:r w:rsidRPr="00505183">
        <w:t>réadaptation, a droit à une pension d</w:t>
      </w:r>
      <w:r>
        <w:t>’</w:t>
      </w:r>
      <w:r w:rsidRPr="00505183">
        <w:t xml:space="preserve">invalidité temporaire. </w:t>
      </w:r>
      <w:r w:rsidRPr="00D01D3F">
        <w:t>L</w:t>
      </w:r>
      <w:r>
        <w:t>’</w:t>
      </w:r>
      <w:r w:rsidRPr="00D01D3F">
        <w:t>allocation personnelle d</w:t>
      </w:r>
      <w:r>
        <w:t>’</w:t>
      </w:r>
      <w:r w:rsidRPr="00D01D3F">
        <w:t>invalidité est reconnue à toute personne atteinte d</w:t>
      </w:r>
      <w:r>
        <w:t>’</w:t>
      </w:r>
      <w:r w:rsidRPr="00D01D3F">
        <w:t>une invalidité grave ou d</w:t>
      </w:r>
      <w:r>
        <w:t>’</w:t>
      </w:r>
      <w:r w:rsidRPr="00D01D3F">
        <w:t>un</w:t>
      </w:r>
      <w:r>
        <w:t>e</w:t>
      </w:r>
      <w:r w:rsidRPr="00D01D3F">
        <w:t xml:space="preserve"> autre </w:t>
      </w:r>
      <w:r>
        <w:t>altération</w:t>
      </w:r>
      <w:r w:rsidRPr="00D01D3F">
        <w:t xml:space="preserve"> grave et permanent</w:t>
      </w:r>
      <w:r>
        <w:t>e</w:t>
      </w:r>
      <w:r w:rsidRPr="00D01D3F">
        <w:t xml:space="preserve"> de son état de santé pour répondre à ses besoins </w:t>
      </w:r>
      <w:r>
        <w:t>essentiels d’</w:t>
      </w:r>
      <w:r w:rsidRPr="00D01D3F">
        <w:t xml:space="preserve">inclusion dans la vie </w:t>
      </w:r>
      <w:r>
        <w:t xml:space="preserve">normale </w:t>
      </w:r>
      <w:r w:rsidRPr="00D01D3F">
        <w:t xml:space="preserve">de la </w:t>
      </w:r>
      <w:r>
        <w:t>collectivité</w:t>
      </w:r>
      <w:r w:rsidRPr="00D01D3F">
        <w:t xml:space="preserve">. </w:t>
      </w:r>
      <w:r w:rsidRPr="00ED52AE">
        <w:t>L</w:t>
      </w:r>
      <w:r>
        <w:t>’</w:t>
      </w:r>
      <w:r w:rsidRPr="00ED52AE">
        <w:t>allocation personnelle d</w:t>
      </w:r>
      <w:r>
        <w:t>’</w:t>
      </w:r>
      <w:r w:rsidRPr="00ED52AE">
        <w:t>invalidité est de 1</w:t>
      </w:r>
      <w:r w:rsidR="003C2F4D">
        <w:t> </w:t>
      </w:r>
      <w:r w:rsidRPr="00ED52AE">
        <w:t>500</w:t>
      </w:r>
      <w:r w:rsidR="003C2F4D">
        <w:t> </w:t>
      </w:r>
      <w:r>
        <w:t xml:space="preserve">kunas </w:t>
      </w:r>
      <w:r w:rsidRPr="00ED52AE">
        <w:t>par mois</w:t>
      </w:r>
      <w:r>
        <w:t xml:space="preserve"> si la </w:t>
      </w:r>
      <w:r w:rsidRPr="00ED52AE">
        <w:t xml:space="preserve">personne </w:t>
      </w:r>
      <w:r>
        <w:t xml:space="preserve">ne dispose pas de </w:t>
      </w:r>
      <w:r w:rsidRPr="00ED52AE">
        <w:t>revenu</w:t>
      </w:r>
      <w:r>
        <w:t>s</w:t>
      </w:r>
      <w:r w:rsidRPr="00ED52AE">
        <w:t xml:space="preserve"> propre</w:t>
      </w:r>
      <w:r>
        <w:t>s</w:t>
      </w:r>
      <w:r w:rsidRPr="00ED52AE">
        <w:t xml:space="preserve">, et si </w:t>
      </w:r>
      <w:r>
        <w:t>c’est le cas</w:t>
      </w:r>
      <w:r w:rsidRPr="00ED52AE">
        <w:t>, quel</w:t>
      </w:r>
      <w:r>
        <w:t>le que soit la base des revenus,</w:t>
      </w:r>
      <w:r w:rsidRPr="00ED52AE">
        <w:t xml:space="preserve"> l</w:t>
      </w:r>
      <w:r>
        <w:t>’</w:t>
      </w:r>
      <w:r w:rsidRPr="00ED52AE">
        <w:t xml:space="preserve">allocation est </w:t>
      </w:r>
      <w:r>
        <w:t xml:space="preserve">déterminée en calculant </w:t>
      </w:r>
      <w:r w:rsidRPr="00ED52AE">
        <w:t xml:space="preserve">la différence entre </w:t>
      </w:r>
      <w:r>
        <w:t xml:space="preserve">le montant de </w:t>
      </w:r>
      <w:r w:rsidRPr="00ED52AE">
        <w:t>1</w:t>
      </w:r>
      <w:r w:rsidR="003C2F4D">
        <w:t> </w:t>
      </w:r>
      <w:r w:rsidRPr="00ED52AE">
        <w:t>500</w:t>
      </w:r>
      <w:r w:rsidR="003C2F4D">
        <w:t> </w:t>
      </w:r>
      <w:r>
        <w:t xml:space="preserve">kunas </w:t>
      </w:r>
      <w:r w:rsidRPr="00ED52AE">
        <w:t xml:space="preserve">et </w:t>
      </w:r>
      <w:r>
        <w:t xml:space="preserve">les revenus pour les </w:t>
      </w:r>
      <w:r w:rsidRPr="00ED52AE">
        <w:t xml:space="preserve">trois </w:t>
      </w:r>
      <w:r>
        <w:t xml:space="preserve">derniers </w:t>
      </w:r>
      <w:r w:rsidRPr="00ED52AE">
        <w:t xml:space="preserve">mois </w:t>
      </w:r>
      <w:r>
        <w:t xml:space="preserve">avant </w:t>
      </w:r>
      <w:r w:rsidRPr="00ED52AE">
        <w:t xml:space="preserve">le dépôt de </w:t>
      </w:r>
      <w:r>
        <w:t xml:space="preserve">la </w:t>
      </w:r>
      <w:r w:rsidRPr="00ED52AE">
        <w:t>demande d</w:t>
      </w:r>
      <w:r>
        <w:t>’</w:t>
      </w:r>
      <w:r w:rsidRPr="00ED52AE">
        <w:t>allocation.</w:t>
      </w:r>
    </w:p>
    <w:p w14:paraId="18597A6A" w14:textId="7509C15E" w:rsidR="000C1192" w:rsidRPr="001F1192" w:rsidRDefault="000C1192" w:rsidP="000C1192">
      <w:pPr>
        <w:pStyle w:val="SingleTxtG"/>
      </w:pPr>
      <w:r w:rsidRPr="005D0EE0">
        <w:t>121.</w:t>
      </w:r>
      <w:r w:rsidRPr="005D0EE0">
        <w:tab/>
      </w:r>
      <w:r w:rsidRPr="001F1192">
        <w:t>L</w:t>
      </w:r>
      <w:r>
        <w:t>’</w:t>
      </w:r>
      <w:r w:rsidRPr="001F1192">
        <w:t>allocation d</w:t>
      </w:r>
      <w:r>
        <w:t>’</w:t>
      </w:r>
      <w:r w:rsidRPr="001F1192">
        <w:t xml:space="preserve">assistance et de soins est accordée à </w:t>
      </w:r>
      <w:r>
        <w:t xml:space="preserve">toute </w:t>
      </w:r>
      <w:r w:rsidRPr="001F1192">
        <w:t xml:space="preserve">personne </w:t>
      </w:r>
      <w:r>
        <w:t>incapable de subvenir</w:t>
      </w:r>
      <w:r w:rsidRPr="001F1192">
        <w:t xml:space="preserve"> seule </w:t>
      </w:r>
      <w:r>
        <w:t xml:space="preserve">à ses </w:t>
      </w:r>
      <w:r w:rsidRPr="001F1192">
        <w:t xml:space="preserve">besoins </w:t>
      </w:r>
      <w:r>
        <w:t>essentiels</w:t>
      </w:r>
      <w:r w:rsidRPr="001F1192">
        <w:t xml:space="preserve"> et </w:t>
      </w:r>
      <w:r>
        <w:t xml:space="preserve">à qui </w:t>
      </w:r>
      <w:r w:rsidRPr="001F1192">
        <w:t>l</w:t>
      </w:r>
      <w:r>
        <w:t>’</w:t>
      </w:r>
      <w:r w:rsidRPr="001F1192">
        <w:t xml:space="preserve">assistance et </w:t>
      </w:r>
      <w:r>
        <w:t xml:space="preserve">les </w:t>
      </w:r>
      <w:r w:rsidRPr="001F1192">
        <w:t>soins d</w:t>
      </w:r>
      <w:r>
        <w:t>’</w:t>
      </w:r>
      <w:r w:rsidRPr="001F1192">
        <w:t>une autre personne</w:t>
      </w:r>
      <w:r>
        <w:t xml:space="preserve"> sont donc nécessaires</w:t>
      </w:r>
      <w:r w:rsidRPr="00535E17">
        <w:rPr>
          <w:rStyle w:val="Appelnotedebasdep"/>
        </w:rPr>
        <w:footnoteReference w:id="38"/>
      </w:r>
      <w:r w:rsidRPr="001F1192">
        <w:t xml:space="preserve">. </w:t>
      </w:r>
      <w:r>
        <w:t xml:space="preserve">En fonction </w:t>
      </w:r>
      <w:r w:rsidRPr="001F1192">
        <w:t>de l</w:t>
      </w:r>
      <w:r>
        <w:t>’</w:t>
      </w:r>
      <w:r w:rsidRPr="001F1192">
        <w:t>assistance requise</w:t>
      </w:r>
      <w:r>
        <w:t xml:space="preserve">, le </w:t>
      </w:r>
      <w:r w:rsidRPr="001F1192">
        <w:t xml:space="preserve">droit est reconnu </w:t>
      </w:r>
      <w:r>
        <w:t>pour le montant complet</w:t>
      </w:r>
      <w:r w:rsidRPr="001F1192">
        <w:t xml:space="preserve"> (600</w:t>
      </w:r>
      <w:r w:rsidR="003C2F4D">
        <w:t> </w:t>
      </w:r>
      <w:r>
        <w:t>kunas</w:t>
      </w:r>
      <w:r w:rsidRPr="001F1192">
        <w:t>) ou un montant réduit.</w:t>
      </w:r>
    </w:p>
    <w:p w14:paraId="3BB9FEC3" w14:textId="77777777" w:rsidR="000C1192" w:rsidRPr="005D0EE0" w:rsidRDefault="000C1192" w:rsidP="000C1192">
      <w:pPr>
        <w:pStyle w:val="SingleTxtG"/>
      </w:pPr>
      <w:r w:rsidRPr="00C7693B">
        <w:t>122.</w:t>
      </w:r>
      <w:r w:rsidRPr="00C7693B">
        <w:tab/>
      </w:r>
      <w:r w:rsidRPr="005D0EE0">
        <w:t>L</w:t>
      </w:r>
      <w:r>
        <w:t xml:space="preserve">a loi sur la protection sociale prévoit </w:t>
      </w:r>
      <w:r w:rsidRPr="005D0EE0">
        <w:t xml:space="preserve">que le réseau de services sociaux </w:t>
      </w:r>
      <w:r>
        <w:t xml:space="preserve">fixe </w:t>
      </w:r>
      <w:r w:rsidRPr="005D0EE0">
        <w:t>le nombre et le type de</w:t>
      </w:r>
      <w:r>
        <w:t>s</w:t>
      </w:r>
      <w:r w:rsidRPr="005D0EE0">
        <w:t xml:space="preserve"> services sociaux </w:t>
      </w:r>
      <w:r>
        <w:t xml:space="preserve">nécessaires pour lesquels des fonds sont budgétisés par </w:t>
      </w:r>
      <w:r w:rsidRPr="005D0EE0">
        <w:t>l</w:t>
      </w:r>
      <w:r>
        <w:t>’</w:t>
      </w:r>
      <w:r w:rsidRPr="005D0EE0">
        <w:t xml:space="preserve">État et que les services sociaux peuvent </w:t>
      </w:r>
      <w:r>
        <w:t xml:space="preserve">être assurés par des prestataires du </w:t>
      </w:r>
      <w:r w:rsidRPr="005D0EE0">
        <w:t>réseau</w:t>
      </w:r>
      <w:r>
        <w:t xml:space="preserve"> ou extérieurs à celui-ci</w:t>
      </w:r>
      <w:r w:rsidRPr="005D0EE0">
        <w:t>.</w:t>
      </w:r>
    </w:p>
    <w:p w14:paraId="696F58E7" w14:textId="77777777" w:rsidR="000C1192" w:rsidRPr="00C7693B" w:rsidRDefault="000C1192" w:rsidP="000C1192">
      <w:pPr>
        <w:pStyle w:val="SingleTxtG"/>
      </w:pPr>
      <w:r w:rsidRPr="00DD2FFC">
        <w:t>123.</w:t>
      </w:r>
      <w:r w:rsidRPr="00DD2FFC">
        <w:tab/>
      </w:r>
      <w:r>
        <w:t>Dans le réseau, l</w:t>
      </w:r>
      <w:r w:rsidRPr="00C7693B">
        <w:t xml:space="preserve">es services sociaux sont </w:t>
      </w:r>
      <w:r>
        <w:t xml:space="preserve">assurés </w:t>
      </w:r>
      <w:r w:rsidRPr="00C7693B">
        <w:t xml:space="preserve">par des prestataires </w:t>
      </w:r>
      <w:r>
        <w:t>créés</w:t>
      </w:r>
      <w:r w:rsidRPr="00C7693B">
        <w:t xml:space="preserve"> par la </w:t>
      </w:r>
      <w:r>
        <w:t xml:space="preserve">République de Croatie </w:t>
      </w:r>
      <w:r w:rsidRPr="00C7693B">
        <w:t xml:space="preserve">ou </w:t>
      </w:r>
      <w:r>
        <w:t xml:space="preserve">d’autres entités </w:t>
      </w:r>
      <w:r w:rsidRPr="00C7693B">
        <w:t xml:space="preserve">(associations, communautés religieuses, entreprises, </w:t>
      </w:r>
      <w:r>
        <w:t xml:space="preserve">corps de métier assurant </w:t>
      </w:r>
      <w:r w:rsidRPr="00C7693B">
        <w:t>des services sociaux</w:t>
      </w:r>
      <w:r>
        <w:t>,</w:t>
      </w:r>
      <w:r w:rsidRPr="00C7693B">
        <w:t xml:space="preserve"> et personnes physiques </w:t>
      </w:r>
      <w:r>
        <w:t>dont c’est l’</w:t>
      </w:r>
      <w:r w:rsidRPr="00C7693B">
        <w:t>activité professionnelle) avec lesquel</w:t>
      </w:r>
      <w:r>
        <w:t>le</w:t>
      </w:r>
      <w:r w:rsidRPr="00C7693B">
        <w:t>s le ministère compétent a conclu un contrat de fourniture de services sociaux. Les services sociaux hors réseau sont fournis par des prestataires tiers qui peuvent facturer leurs services aux utilisateurs.</w:t>
      </w:r>
    </w:p>
    <w:p w14:paraId="6FB27C7E" w14:textId="49A50328" w:rsidR="000C1192" w:rsidRPr="00FD7954" w:rsidRDefault="000C1192" w:rsidP="000C1192">
      <w:pPr>
        <w:pStyle w:val="SingleTxtG"/>
        <w:rPr>
          <w:rStyle w:val="Appelnotedebasdep"/>
          <w:color w:val="000000" w:themeColor="text1"/>
        </w:rPr>
      </w:pPr>
      <w:r w:rsidRPr="00DC7E62">
        <w:t>124.</w:t>
      </w:r>
      <w:r w:rsidRPr="00DC7E62">
        <w:tab/>
      </w:r>
      <w:r w:rsidRPr="00FD7954">
        <w:t>Jusqu</w:t>
      </w:r>
      <w:r>
        <w:t xml:space="preserve">’à </w:t>
      </w:r>
      <w:r w:rsidRPr="00FD7954">
        <w:t xml:space="preserve">2010, </w:t>
      </w:r>
      <w:r>
        <w:t xml:space="preserve">une différence de traitement existait entre les </w:t>
      </w:r>
      <w:r w:rsidRPr="00FD7954">
        <w:t xml:space="preserve">hommes et les femmes </w:t>
      </w:r>
      <w:r>
        <w:t xml:space="preserve">quant à </w:t>
      </w:r>
      <w:r w:rsidRPr="00FD7954">
        <w:t>l</w:t>
      </w:r>
      <w:r>
        <w:t>’</w:t>
      </w:r>
      <w:r w:rsidRPr="00FD7954">
        <w:t xml:space="preserve">âge </w:t>
      </w:r>
      <w:r>
        <w:t xml:space="preserve">obligatoire </w:t>
      </w:r>
      <w:r w:rsidRPr="00FD7954">
        <w:t xml:space="preserve">et </w:t>
      </w:r>
      <w:r>
        <w:t xml:space="preserve">aux </w:t>
      </w:r>
      <w:r w:rsidRPr="00FD7954">
        <w:t xml:space="preserve">conditions </w:t>
      </w:r>
      <w:r>
        <w:t xml:space="preserve">à remplir </w:t>
      </w:r>
      <w:r w:rsidRPr="00FD7954">
        <w:t xml:space="preserve">pour acquérir le droit à une pension de vieillesse </w:t>
      </w:r>
      <w:r>
        <w:t xml:space="preserve">ou </w:t>
      </w:r>
      <w:r w:rsidRPr="00FD7954">
        <w:t xml:space="preserve">de vieillesse anticipée, mais les conditions sont </w:t>
      </w:r>
      <w:r>
        <w:t xml:space="preserve">identiques </w:t>
      </w:r>
      <w:r w:rsidRPr="00FD7954">
        <w:t xml:space="preserve">pour les deux sexes depuis 2011. Une période </w:t>
      </w:r>
      <w:r>
        <w:t xml:space="preserve">de transition </w:t>
      </w:r>
      <w:r w:rsidRPr="00FD7954">
        <w:t xml:space="preserve">a été </w:t>
      </w:r>
      <w:r>
        <w:t xml:space="preserve">adoptée </w:t>
      </w:r>
      <w:r w:rsidRPr="00FD7954">
        <w:t>pour les femmes afin d</w:t>
      </w:r>
      <w:r>
        <w:t>’</w:t>
      </w:r>
      <w:r w:rsidRPr="00FD7954">
        <w:t xml:space="preserve">égaliser </w:t>
      </w:r>
      <w:r>
        <w:t>l’</w:t>
      </w:r>
      <w:r w:rsidRPr="00FD7954">
        <w:t xml:space="preserve">âge </w:t>
      </w:r>
      <w:r>
        <w:t xml:space="preserve">minimum de </w:t>
      </w:r>
      <w:r w:rsidRPr="00FD7954">
        <w:t>l</w:t>
      </w:r>
      <w:r>
        <w:t>’</w:t>
      </w:r>
      <w:r w:rsidRPr="00FD7954">
        <w:t xml:space="preserve">exercice du droit à la pension de vieillesse et à la pension de vieillesse anticipée, et </w:t>
      </w:r>
      <w:r>
        <w:t>l’âge doit augmenter progressivement de trois mois par an à compter du 1</w:t>
      </w:r>
      <w:r w:rsidRPr="00B7280B">
        <w:rPr>
          <w:vertAlign w:val="superscript"/>
        </w:rPr>
        <w:t>er</w:t>
      </w:r>
      <w:r w:rsidR="003C2F4D">
        <w:t> </w:t>
      </w:r>
      <w:r w:rsidRPr="00FD7954">
        <w:t xml:space="preserve">janvier 2019 afin </w:t>
      </w:r>
      <w:r>
        <w:t>d’aligner</w:t>
      </w:r>
      <w:r w:rsidRPr="00FD7954">
        <w:t xml:space="preserve"> l</w:t>
      </w:r>
      <w:r>
        <w:t>’</w:t>
      </w:r>
      <w:r w:rsidRPr="00FD7954">
        <w:t xml:space="preserve">âge </w:t>
      </w:r>
      <w:r>
        <w:t>applicable aux</w:t>
      </w:r>
      <w:r w:rsidRPr="00FD7954">
        <w:t xml:space="preserve"> femmes </w:t>
      </w:r>
      <w:r>
        <w:t xml:space="preserve">sur </w:t>
      </w:r>
      <w:r w:rsidRPr="00FD7954">
        <w:t>l</w:t>
      </w:r>
      <w:r>
        <w:t>’</w:t>
      </w:r>
      <w:r w:rsidRPr="00FD7954">
        <w:t xml:space="preserve">âge </w:t>
      </w:r>
      <w:r>
        <w:t xml:space="preserve">obligatoire </w:t>
      </w:r>
      <w:r w:rsidRPr="00FD7954">
        <w:t xml:space="preserve">pour </w:t>
      </w:r>
      <w:r>
        <w:t xml:space="preserve">avoir </w:t>
      </w:r>
      <w:r w:rsidRPr="00FD7954">
        <w:t xml:space="preserve">droit à la pension de vieillesse et à la pension de vieillesse anticipée </w:t>
      </w:r>
      <w:r>
        <w:t xml:space="preserve">d’ici à </w:t>
      </w:r>
      <w:r w:rsidRPr="00FD7954">
        <w:t xml:space="preserve">2030. En 2019, </w:t>
      </w:r>
      <w:r>
        <w:t xml:space="preserve">il existait une disparité </w:t>
      </w:r>
      <w:r w:rsidRPr="00FD7954">
        <w:t>de 27,8</w:t>
      </w:r>
      <w:r w:rsidR="003C2F4D">
        <w:t> </w:t>
      </w:r>
      <w:r w:rsidRPr="00FD7954">
        <w:t>%</w:t>
      </w:r>
      <w:r>
        <w:t xml:space="preserve"> dans </w:t>
      </w:r>
      <w:r w:rsidRPr="00FD7954">
        <w:t xml:space="preserve">les pensions des hommes et des femmes, </w:t>
      </w:r>
      <w:r>
        <w:t xml:space="preserve">inférieure à la disparité de </w:t>
      </w:r>
      <w:r w:rsidRPr="00FD7954">
        <w:t>29,5</w:t>
      </w:r>
      <w:r w:rsidR="003C2F4D">
        <w:t> </w:t>
      </w:r>
      <w:r w:rsidRPr="00FD7954">
        <w:t xml:space="preserve">% </w:t>
      </w:r>
      <w:r>
        <w:t xml:space="preserve">qui existe en moyenne dans </w:t>
      </w:r>
      <w:r w:rsidRPr="00FD7954">
        <w:t>l</w:t>
      </w:r>
      <w:r>
        <w:t>’</w:t>
      </w:r>
      <w:r w:rsidRPr="00FD7954">
        <w:t>UE-27</w:t>
      </w:r>
      <w:r w:rsidRPr="00535E17">
        <w:rPr>
          <w:rStyle w:val="Appelnotedebasdep"/>
        </w:rPr>
        <w:footnoteReference w:id="39"/>
      </w:r>
      <w:r>
        <w:t>.</w:t>
      </w:r>
    </w:p>
    <w:p w14:paraId="2D5EE12A" w14:textId="77777777" w:rsidR="000C1192" w:rsidRPr="00570C70" w:rsidRDefault="000C1192" w:rsidP="000C1192">
      <w:pPr>
        <w:pStyle w:val="SingleTxtG"/>
      </w:pPr>
      <w:r w:rsidRPr="006B08AA">
        <w:t>125.</w:t>
      </w:r>
      <w:r w:rsidRPr="006B08AA">
        <w:tab/>
      </w:r>
      <w:r w:rsidRPr="00570C70">
        <w:t>Les personnes travaillant dans l</w:t>
      </w:r>
      <w:r>
        <w:t>’</w:t>
      </w:r>
      <w:r w:rsidRPr="00570C70">
        <w:t xml:space="preserve">économie non déclarée (ainsi que toutes les autres personnes </w:t>
      </w:r>
      <w:r>
        <w:t>couvertes par l’assurance santé</w:t>
      </w:r>
      <w:r w:rsidRPr="00570C70">
        <w:t xml:space="preserve">) exercent </w:t>
      </w:r>
      <w:r>
        <w:t xml:space="preserve">les </w:t>
      </w:r>
      <w:r w:rsidRPr="00570C70">
        <w:t xml:space="preserve">droits </w:t>
      </w:r>
      <w:r>
        <w:t xml:space="preserve">qu’elles tiennent du régime </w:t>
      </w:r>
      <w:r>
        <w:lastRenderedPageBreak/>
        <w:t>d’</w:t>
      </w:r>
      <w:r w:rsidRPr="00570C70">
        <w:t xml:space="preserve">assurance maladie obligatoire </w:t>
      </w:r>
      <w:r>
        <w:t xml:space="preserve">sur la base de </w:t>
      </w:r>
      <w:r w:rsidRPr="00570C70">
        <w:t>l</w:t>
      </w:r>
      <w:r>
        <w:t>’</w:t>
      </w:r>
      <w:r w:rsidRPr="00570C70">
        <w:t xml:space="preserve">assurance maladie </w:t>
      </w:r>
      <w:r>
        <w:t xml:space="preserve">qu’elles ont obligatoirement souscrite pour acquérir </w:t>
      </w:r>
      <w:r w:rsidRPr="00570C70">
        <w:t xml:space="preserve">le statut </w:t>
      </w:r>
      <w:r>
        <w:t xml:space="preserve">d’assuré dans le cadre du régime </w:t>
      </w:r>
      <w:r w:rsidRPr="00570C70">
        <w:t xml:space="preserve">obligatoire. Dans le </w:t>
      </w:r>
      <w:r>
        <w:t xml:space="preserve">cadre du régime </w:t>
      </w:r>
      <w:r w:rsidRPr="00570C70">
        <w:t xml:space="preserve">des prestations de maternité et des prestations parentales, </w:t>
      </w:r>
      <w:r>
        <w:t xml:space="preserve">si les </w:t>
      </w:r>
      <w:r w:rsidRPr="00570C70">
        <w:t xml:space="preserve">conditions </w:t>
      </w:r>
      <w:r>
        <w:t xml:space="preserve">applicables à </w:t>
      </w:r>
      <w:r w:rsidRPr="00570C70">
        <w:t>certaines catégories de bénéficiaires</w:t>
      </w:r>
      <w:r>
        <w:t xml:space="preserve"> sont remplies</w:t>
      </w:r>
      <w:r w:rsidRPr="00570C70">
        <w:t xml:space="preserve">, </w:t>
      </w:r>
      <w:r>
        <w:t xml:space="preserve">elles </w:t>
      </w:r>
      <w:r w:rsidRPr="00570C70">
        <w:t xml:space="preserve">peuvent </w:t>
      </w:r>
      <w:r>
        <w:t xml:space="preserve">aussi </w:t>
      </w:r>
      <w:r w:rsidRPr="00570C70">
        <w:t xml:space="preserve">exercer le droit </w:t>
      </w:r>
      <w:r>
        <w:t xml:space="preserve">au congé de </w:t>
      </w:r>
      <w:r w:rsidRPr="00570C70">
        <w:t xml:space="preserve">maternité et </w:t>
      </w:r>
      <w:r>
        <w:t xml:space="preserve">au congé parental en tant que parent </w:t>
      </w:r>
      <w:r w:rsidRPr="00570C70">
        <w:t>au chômage</w:t>
      </w:r>
      <w:r>
        <w:t>,</w:t>
      </w:r>
      <w:r w:rsidRPr="00570C70">
        <w:t xml:space="preserve"> et à </w:t>
      </w:r>
      <w:r>
        <w:t xml:space="preserve">l’aide pour </w:t>
      </w:r>
      <w:r w:rsidRPr="00570C70">
        <w:t xml:space="preserve">maternité </w:t>
      </w:r>
      <w:r>
        <w:t xml:space="preserve">ou situation parentale </w:t>
      </w:r>
      <w:r w:rsidRPr="00570C70">
        <w:t xml:space="preserve">en tant que parent </w:t>
      </w:r>
      <w:r>
        <w:t xml:space="preserve">exclu du </w:t>
      </w:r>
      <w:r w:rsidRPr="00570C70">
        <w:t>travail. Si les personnes concernées n</w:t>
      </w:r>
      <w:r>
        <w:t>’</w:t>
      </w:r>
      <w:r w:rsidRPr="00570C70">
        <w:t>ont pas le statut d</w:t>
      </w:r>
      <w:r>
        <w:t>’</w:t>
      </w:r>
      <w:r w:rsidRPr="00570C70">
        <w:t xml:space="preserve">assuré dans </w:t>
      </w:r>
      <w:r>
        <w:t>le régime d’</w:t>
      </w:r>
      <w:r w:rsidRPr="00570C70">
        <w:t xml:space="preserve">assurance maladie obligatoire, elles </w:t>
      </w:r>
      <w:r>
        <w:t xml:space="preserve">n’ont aucune possibilité de faire valoir les </w:t>
      </w:r>
      <w:r w:rsidRPr="00570C70">
        <w:t xml:space="preserve">droits </w:t>
      </w:r>
      <w:r>
        <w:t xml:space="preserve">découlant de ce régime. </w:t>
      </w:r>
    </w:p>
    <w:p w14:paraId="2BF0D79C" w14:textId="7742D0B5" w:rsidR="000C1192" w:rsidRPr="00860BF9" w:rsidRDefault="000C1192" w:rsidP="000C1192">
      <w:pPr>
        <w:pStyle w:val="SingleTxtG"/>
        <w:rPr>
          <w:rStyle w:val="Appelnotedebasdep"/>
          <w:color w:val="000000" w:themeColor="text1"/>
        </w:rPr>
      </w:pPr>
      <w:r w:rsidRPr="007224C3">
        <w:t>126.</w:t>
      </w:r>
      <w:r w:rsidRPr="007224C3">
        <w:tab/>
      </w:r>
      <w:r w:rsidRPr="00860BF9">
        <w:t>L</w:t>
      </w:r>
      <w:r>
        <w:t>’</w:t>
      </w:r>
      <w:r w:rsidR="00A858B3">
        <w:t>article </w:t>
      </w:r>
      <w:r w:rsidRPr="00860BF9">
        <w:t xml:space="preserve">22 de la loi sur la protection sociale </w:t>
      </w:r>
      <w:r>
        <w:t xml:space="preserve">fixe </w:t>
      </w:r>
      <w:r w:rsidRPr="00860BF9">
        <w:t>les c</w:t>
      </w:r>
      <w:r>
        <w:t>atégories de bénéficiaires de la protection sociale</w:t>
      </w:r>
      <w:r w:rsidRPr="00535E17">
        <w:rPr>
          <w:rStyle w:val="Appelnotedebasdep"/>
        </w:rPr>
        <w:footnoteReference w:id="40"/>
      </w:r>
      <w:r w:rsidRPr="00860BF9">
        <w:t>.</w:t>
      </w:r>
    </w:p>
    <w:p w14:paraId="518C3CDC" w14:textId="11B23ACB" w:rsidR="000C1192" w:rsidRPr="007E4D28" w:rsidRDefault="000C1192" w:rsidP="003C2F4D">
      <w:pPr>
        <w:pStyle w:val="H1G"/>
      </w:pPr>
      <w:r w:rsidRPr="00860BF9">
        <w:tab/>
      </w:r>
      <w:r w:rsidRPr="00860BF9">
        <w:tab/>
      </w:r>
      <w:r w:rsidR="00A858B3">
        <w:t>Article </w:t>
      </w:r>
      <w:r w:rsidRPr="007E4D28">
        <w:t>10</w:t>
      </w:r>
    </w:p>
    <w:p w14:paraId="0C079ED0" w14:textId="77777777" w:rsidR="000C1192" w:rsidRPr="00846501" w:rsidRDefault="000C1192" w:rsidP="000C1192">
      <w:pPr>
        <w:pStyle w:val="SingleTxtG"/>
      </w:pPr>
      <w:r w:rsidRPr="00846501">
        <w:t>127.</w:t>
      </w:r>
      <w:r w:rsidRPr="00846501">
        <w:tab/>
        <w:t>L</w:t>
      </w:r>
      <w:r>
        <w:t>’</w:t>
      </w:r>
      <w:r w:rsidRPr="00846501">
        <w:t>une des conditions du mariage est le libre consentement des futurs époux.</w:t>
      </w:r>
    </w:p>
    <w:p w14:paraId="1B6451B4" w14:textId="5B13CE45" w:rsidR="000C1192" w:rsidRPr="00846501" w:rsidRDefault="000C1192" w:rsidP="000C1192">
      <w:pPr>
        <w:pStyle w:val="SingleTxtG"/>
      </w:pPr>
      <w:r w:rsidRPr="00846501">
        <w:t>128.</w:t>
      </w:r>
      <w:r w:rsidRPr="00846501">
        <w:tab/>
        <w:t>L</w:t>
      </w:r>
      <w:r>
        <w:t xml:space="preserve">a loi sur la famille </w:t>
      </w:r>
      <w:r w:rsidRPr="00846501">
        <w:t xml:space="preserve">prescrit les conditions </w:t>
      </w:r>
      <w:r>
        <w:t xml:space="preserve">suivantes de </w:t>
      </w:r>
      <w:r w:rsidRPr="00846501">
        <w:t>validité du mariage</w:t>
      </w:r>
      <w:r w:rsidR="003C2F4D">
        <w:t> </w:t>
      </w:r>
      <w:r w:rsidRPr="00846501">
        <w:t xml:space="preserve">: une personne ne peut </w:t>
      </w:r>
      <w:r>
        <w:t xml:space="preserve">se marier </w:t>
      </w:r>
      <w:r w:rsidRPr="00846501">
        <w:t>si elle a moins de 18</w:t>
      </w:r>
      <w:r w:rsidR="003C2F4D">
        <w:t> </w:t>
      </w:r>
      <w:r w:rsidRPr="00846501">
        <w:t>ans, si elle n</w:t>
      </w:r>
      <w:r>
        <w:t>’</w:t>
      </w:r>
      <w:r w:rsidRPr="00846501">
        <w:t xml:space="preserve">a pas la capacité juridique ou </w:t>
      </w:r>
      <w:r>
        <w:t>la capacité de contracter</w:t>
      </w:r>
      <w:r w:rsidRPr="00846501">
        <w:t xml:space="preserve">, </w:t>
      </w:r>
      <w:r>
        <w:t xml:space="preserve">si elle est </w:t>
      </w:r>
      <w:r w:rsidRPr="00846501">
        <w:t>déjà mariée ou en partenariat de vie</w:t>
      </w:r>
      <w:r>
        <w:t xml:space="preserve"> et en cas de </w:t>
      </w:r>
      <w:r w:rsidRPr="00846501">
        <w:t xml:space="preserve">consanguinité </w:t>
      </w:r>
      <w:r>
        <w:t xml:space="preserve">descendante </w:t>
      </w:r>
      <w:r w:rsidRPr="00846501">
        <w:t>ou</w:t>
      </w:r>
      <w:r>
        <w:t xml:space="preserve"> </w:t>
      </w:r>
      <w:r w:rsidRPr="00846501">
        <w:t xml:space="preserve">latérale. </w:t>
      </w:r>
      <w:r>
        <w:t>Si les conditions préalables prévues par la loi n’étaient pas réunies au moment du</w:t>
      </w:r>
      <w:r w:rsidR="00936B25">
        <w:t xml:space="preserve"> </w:t>
      </w:r>
      <w:r>
        <w:t>mariage, celui-ci est annulé.</w:t>
      </w:r>
    </w:p>
    <w:p w14:paraId="729F2C72" w14:textId="77777777" w:rsidR="000C1192" w:rsidRPr="00846501" w:rsidRDefault="000C1192" w:rsidP="000C1192">
      <w:pPr>
        <w:pStyle w:val="SingleTxtG"/>
      </w:pPr>
      <w:r w:rsidRPr="00846501">
        <w:t>129.</w:t>
      </w:r>
      <w:r w:rsidRPr="00846501">
        <w:tab/>
      </w:r>
      <w:r>
        <w:t>C</w:t>
      </w:r>
      <w:r w:rsidRPr="00846501">
        <w:t>onformément à la loi sur la famille,</w:t>
      </w:r>
      <w:r>
        <w:t xml:space="preserve"> tout </w:t>
      </w:r>
      <w:r w:rsidRPr="00846501">
        <w:t xml:space="preserve">enfant </w:t>
      </w:r>
      <w:r>
        <w:t>orphelin</w:t>
      </w:r>
      <w:r w:rsidRPr="00846501">
        <w:t xml:space="preserve"> ou privé de soins parentaux</w:t>
      </w:r>
      <w:r>
        <w:t xml:space="preserve"> se voit désigner un </w:t>
      </w:r>
      <w:r w:rsidRPr="00846501">
        <w:t xml:space="preserve">tuteur </w:t>
      </w:r>
      <w:r>
        <w:t xml:space="preserve">qui agit comme son </w:t>
      </w:r>
      <w:r w:rsidRPr="00846501">
        <w:t xml:space="preserve">représentant légal. </w:t>
      </w:r>
      <w:r>
        <w:t>Parallèlement</w:t>
      </w:r>
      <w:r w:rsidRPr="00846501">
        <w:t>, l</w:t>
      </w:r>
      <w:r>
        <w:t>’</w:t>
      </w:r>
      <w:r w:rsidRPr="00846501">
        <w:t xml:space="preserve">enfant est </w:t>
      </w:r>
      <w:r>
        <w:t xml:space="preserve">confié à la responsabilité d’une </w:t>
      </w:r>
      <w:r w:rsidRPr="00846501">
        <w:t xml:space="preserve">personne </w:t>
      </w:r>
      <w:r>
        <w:t xml:space="preserve">chargée de l’élever et de s’en occuper : </w:t>
      </w:r>
      <w:r w:rsidRPr="00846501">
        <w:t>en pr</w:t>
      </w:r>
      <w:r>
        <w:t xml:space="preserve">iorité </w:t>
      </w:r>
      <w:r w:rsidRPr="00846501">
        <w:t>un parent et</w:t>
      </w:r>
      <w:r>
        <w:t>,</w:t>
      </w:r>
      <w:r w:rsidRPr="00846501">
        <w:t xml:space="preserve"> </w:t>
      </w:r>
      <w:r>
        <w:t xml:space="preserve">en l’absence </w:t>
      </w:r>
      <w:r w:rsidRPr="00846501">
        <w:t>de parent, une autre personne physique ou morale.</w:t>
      </w:r>
    </w:p>
    <w:p w14:paraId="5F790B3F" w14:textId="77777777" w:rsidR="000C1192" w:rsidRPr="00846501" w:rsidRDefault="000C1192" w:rsidP="000C1192">
      <w:pPr>
        <w:pStyle w:val="SingleTxtG"/>
      </w:pPr>
      <w:r w:rsidRPr="00846501">
        <w:t>130.</w:t>
      </w:r>
      <w:r w:rsidRPr="00846501">
        <w:tab/>
      </w:r>
      <w:r>
        <w:t xml:space="preserve">Au </w:t>
      </w:r>
      <w:r w:rsidRPr="00846501">
        <w:t>décès du parent, l</w:t>
      </w:r>
      <w:r>
        <w:t>’</w:t>
      </w:r>
      <w:r w:rsidRPr="00846501">
        <w:t xml:space="preserve">enfant a droit à une pension de </w:t>
      </w:r>
      <w:r>
        <w:t xml:space="preserve">réversion </w:t>
      </w:r>
      <w:r w:rsidRPr="00846501">
        <w:t>si les conditions prescrites par la loi sont remplies par le parent (</w:t>
      </w:r>
      <w:r>
        <w:t xml:space="preserve">avoir été </w:t>
      </w:r>
      <w:r w:rsidRPr="00846501">
        <w:t xml:space="preserve">assuré ou </w:t>
      </w:r>
      <w:r>
        <w:t xml:space="preserve">été le </w:t>
      </w:r>
      <w:r w:rsidRPr="00846501">
        <w:t>bénéficiaire d</w:t>
      </w:r>
      <w:r>
        <w:t>’une</w:t>
      </w:r>
      <w:r w:rsidRPr="00846501">
        <w:t xml:space="preserve"> pension) et l</w:t>
      </w:r>
      <w:r>
        <w:t>’</w:t>
      </w:r>
      <w:r w:rsidRPr="00846501">
        <w:t>enfant (âge, scolar</w:t>
      </w:r>
      <w:r>
        <w:t>isation</w:t>
      </w:r>
      <w:r w:rsidRPr="00846501">
        <w:t xml:space="preserve"> régulière, </w:t>
      </w:r>
      <w:r>
        <w:t xml:space="preserve">incapacité </w:t>
      </w:r>
      <w:r w:rsidRPr="00846501">
        <w:t xml:space="preserve">totale, statut de personne handicapée avec capacité </w:t>
      </w:r>
      <w:r>
        <w:t>de travail partielle</w:t>
      </w:r>
      <w:r w:rsidRPr="00846501">
        <w:t>, chômage et autre</w:t>
      </w:r>
      <w:r>
        <w:t>s critères</w:t>
      </w:r>
      <w:r w:rsidRPr="00846501">
        <w:t>).</w:t>
      </w:r>
    </w:p>
    <w:p w14:paraId="41B15737" w14:textId="38E39245" w:rsidR="000C1192" w:rsidRPr="007224C3" w:rsidRDefault="000C1192" w:rsidP="007224C3">
      <w:pPr>
        <w:pStyle w:val="SingleTxtG"/>
        <w:rPr>
          <w:rStyle w:val="Appelnotedebasdep"/>
          <w:sz w:val="20"/>
          <w:vertAlign w:val="baseline"/>
        </w:rPr>
      </w:pPr>
      <w:r w:rsidRPr="007224C3">
        <w:rPr>
          <w:rStyle w:val="Appelnotedebasdep"/>
          <w:sz w:val="20"/>
          <w:vertAlign w:val="baseline"/>
        </w:rPr>
        <w:t>131.</w:t>
      </w:r>
      <w:r w:rsidRPr="007224C3">
        <w:rPr>
          <w:rStyle w:val="Appelnotedebasdep"/>
          <w:sz w:val="20"/>
          <w:vertAlign w:val="baseline"/>
        </w:rPr>
        <w:tab/>
        <w:t>Les services sociaux qui permettent aux personnes âgées de c</w:t>
      </w:r>
      <w:r w:rsidRPr="007224C3">
        <w:t xml:space="preserve">ontinuer de vivre dans le milieu </w:t>
      </w:r>
      <w:r w:rsidRPr="007224C3">
        <w:rPr>
          <w:rStyle w:val="Appelnotedebasdep"/>
          <w:sz w:val="20"/>
          <w:vertAlign w:val="baseline"/>
        </w:rPr>
        <w:t xml:space="preserve">familial le plus longtemps possible </w:t>
      </w:r>
      <w:r w:rsidRPr="007224C3">
        <w:t xml:space="preserve">selon un </w:t>
      </w:r>
      <w:r w:rsidRPr="007224C3">
        <w:rPr>
          <w:rStyle w:val="Appelnotedebasdep"/>
          <w:sz w:val="20"/>
          <w:vertAlign w:val="baseline"/>
        </w:rPr>
        <w:t>rythme de vie habituel,</w:t>
      </w:r>
      <w:r w:rsidRPr="007224C3">
        <w:t xml:space="preserve"> conformément à la loi sur la protection sociale, </w:t>
      </w:r>
      <w:r w:rsidRPr="007224C3">
        <w:rPr>
          <w:rStyle w:val="Appelnotedebasdep"/>
          <w:sz w:val="20"/>
          <w:vertAlign w:val="baseline"/>
        </w:rPr>
        <w:t>sont l’aide à domicile</w:t>
      </w:r>
      <w:r w:rsidRPr="007224C3">
        <w:rPr>
          <w:rStyle w:val="Appelnotedebasdep"/>
        </w:rPr>
        <w:footnoteReference w:id="41"/>
      </w:r>
      <w:r w:rsidRPr="007224C3">
        <w:rPr>
          <w:rStyle w:val="Appelnotedebasdep"/>
          <w:sz w:val="20"/>
          <w:vertAlign w:val="baseline"/>
        </w:rPr>
        <w:t xml:space="preserve"> et l</w:t>
      </w:r>
      <w:r w:rsidRPr="007224C3">
        <w:t>a pris en charge en structure de jour</w:t>
      </w:r>
      <w:r w:rsidRPr="007224C3">
        <w:rPr>
          <w:rStyle w:val="Appelnotedebasdep"/>
        </w:rPr>
        <w:footnoteReference w:id="42"/>
      </w:r>
      <w:r w:rsidRPr="007224C3">
        <w:rPr>
          <w:rStyle w:val="Appelnotedebasdep"/>
          <w:sz w:val="20"/>
          <w:vertAlign w:val="baseline"/>
        </w:rPr>
        <w:t>.</w:t>
      </w:r>
    </w:p>
    <w:p w14:paraId="4B6B9EF7" w14:textId="77777777" w:rsidR="000C1192" w:rsidRPr="00B66849" w:rsidRDefault="000C1192" w:rsidP="000C1192">
      <w:pPr>
        <w:pStyle w:val="SingleTxtG"/>
        <w:rPr>
          <w:rStyle w:val="Appelnotedebasdep"/>
          <w:color w:val="000000" w:themeColor="text1"/>
        </w:rPr>
      </w:pPr>
      <w:r w:rsidRPr="007224C3">
        <w:lastRenderedPageBreak/>
        <w:t>132.</w:t>
      </w:r>
      <w:r w:rsidRPr="007224C3">
        <w:tab/>
      </w:r>
      <w:r>
        <w:t>La loi sur la protection sociale</w:t>
      </w:r>
      <w:r w:rsidRPr="00535E17">
        <w:rPr>
          <w:rStyle w:val="Appelnotedebasdep"/>
        </w:rPr>
        <w:footnoteReference w:id="43"/>
      </w:r>
      <w:r>
        <w:t xml:space="preserve"> et la loi sur les prestations de maternité et les prestations parentales</w:t>
      </w:r>
      <w:r w:rsidRPr="00535E17">
        <w:rPr>
          <w:rStyle w:val="Appelnotedebasdep"/>
        </w:rPr>
        <w:footnoteReference w:id="44"/>
      </w:r>
      <w:r>
        <w:t xml:space="preserve"> reconnaissent un grand nombre de droits aux</w:t>
      </w:r>
      <w:r w:rsidRPr="00B66849">
        <w:t xml:space="preserve"> personnes handicapées et </w:t>
      </w:r>
      <w:r>
        <w:t xml:space="preserve">aux </w:t>
      </w:r>
      <w:r w:rsidRPr="00B66849">
        <w:t>parents</w:t>
      </w:r>
      <w:r>
        <w:t xml:space="preserve"> de ces personnes</w:t>
      </w:r>
      <w:r w:rsidRPr="00B66849">
        <w:t>.</w:t>
      </w:r>
    </w:p>
    <w:p w14:paraId="7ABE363B" w14:textId="106A9A6C" w:rsidR="000C1192" w:rsidRPr="00117B82" w:rsidRDefault="000C1192" w:rsidP="003C2F4D">
      <w:pPr>
        <w:pStyle w:val="Bullet1G"/>
      </w:pPr>
      <w:r w:rsidRPr="00117B82">
        <w:t xml:space="preserve">Pour </w:t>
      </w:r>
      <w:r w:rsidR="003C2F4D">
        <w:t>garantir</w:t>
      </w:r>
      <w:r>
        <w:t xml:space="preserve"> la fourniture de services de qualité répondant aux</w:t>
      </w:r>
      <w:r w:rsidRPr="00117B82">
        <w:t xml:space="preserve"> besoins des personnes </w:t>
      </w:r>
      <w:r>
        <w:t>atteintes des formes de handicap les plus graves</w:t>
      </w:r>
      <w:r w:rsidRPr="00117B82">
        <w:t>, le ministère compétent</w:t>
      </w:r>
      <w:r>
        <w:t xml:space="preserve"> propose des services d’aide à la personne depuis 2006</w:t>
      </w:r>
      <w:r w:rsidRPr="00117B82">
        <w:t>, en coopération avec les associations de personnes handicapées.</w:t>
      </w:r>
    </w:p>
    <w:p w14:paraId="6E3360BA" w14:textId="5254E0F5" w:rsidR="000C1192" w:rsidRPr="00051ABC" w:rsidRDefault="000C1192" w:rsidP="003C2F4D">
      <w:pPr>
        <w:pStyle w:val="Bullet1G"/>
      </w:pPr>
      <w:r w:rsidRPr="00051ABC">
        <w:t>Trois appels d</w:t>
      </w:r>
      <w:r>
        <w:t>’</w:t>
      </w:r>
      <w:r w:rsidRPr="00051ABC">
        <w:t xml:space="preserve">offres financés par le </w:t>
      </w:r>
      <w:r>
        <w:t xml:space="preserve">FSE pour </w:t>
      </w:r>
      <w:r w:rsidRPr="00051ABC">
        <w:t>la période 2015-2019 ont été publiés</w:t>
      </w:r>
      <w:r>
        <w:t>,</w:t>
      </w:r>
      <w:r w:rsidRPr="00051ABC">
        <w:t xml:space="preserve"> et </w:t>
      </w:r>
      <w:r>
        <w:t xml:space="preserve">des contrats ont été passés pour des </w:t>
      </w:r>
      <w:r w:rsidRPr="00051ABC">
        <w:t>projets d</w:t>
      </w:r>
      <w:r>
        <w:t>’</w:t>
      </w:r>
      <w:r w:rsidRPr="00051ABC">
        <w:t>une valeur de 331,1</w:t>
      </w:r>
      <w:r w:rsidR="00F32287">
        <w:t> </w:t>
      </w:r>
      <w:r w:rsidRPr="00051ABC">
        <w:t>millions de kunas (le nombre d</w:t>
      </w:r>
      <w:r>
        <w:t>’</w:t>
      </w:r>
      <w:r w:rsidRPr="00051ABC">
        <w:t xml:space="preserve">utilisateurs </w:t>
      </w:r>
      <w:r>
        <w:t xml:space="preserve">des </w:t>
      </w:r>
      <w:r w:rsidRPr="00051ABC">
        <w:t>service</w:t>
      </w:r>
      <w:r>
        <w:t xml:space="preserve">s d’aide à la personne financés par le FSE </w:t>
      </w:r>
      <w:r w:rsidRPr="00051ABC">
        <w:t>est passé de 500 à 1</w:t>
      </w:r>
      <w:r w:rsidR="00F32287">
        <w:t> </w:t>
      </w:r>
      <w:r w:rsidRPr="00051ABC">
        <w:t xml:space="preserve">242). </w:t>
      </w:r>
      <w:r>
        <w:t xml:space="preserve">Un des projets ainsi financés couvre des </w:t>
      </w:r>
      <w:r w:rsidRPr="00051ABC">
        <w:t xml:space="preserve">services </w:t>
      </w:r>
      <w:r>
        <w:t xml:space="preserve">d’interprétation et de traduction en </w:t>
      </w:r>
      <w:r w:rsidRPr="00051ABC">
        <w:t>langue des signes croate pour les personnes sourdes et sourd</w:t>
      </w:r>
      <w:r>
        <w:t xml:space="preserve">es et </w:t>
      </w:r>
      <w:r w:rsidRPr="00051ABC">
        <w:t>aveugles</w:t>
      </w:r>
      <w:r>
        <w:t>, ainsi que</w:t>
      </w:r>
      <w:r w:rsidRPr="00051ABC">
        <w:t xml:space="preserve"> </w:t>
      </w:r>
      <w:r>
        <w:t xml:space="preserve">d’accompagnateurs </w:t>
      </w:r>
      <w:r w:rsidRPr="00051ABC">
        <w:t>voyants pour les personnes aveugles</w:t>
      </w:r>
      <w:r>
        <w:t> ;</w:t>
      </w:r>
      <w:r w:rsidRPr="00051ABC">
        <w:t xml:space="preserve"> le nombre d</w:t>
      </w:r>
      <w:r>
        <w:t xml:space="preserve">es </w:t>
      </w:r>
      <w:r w:rsidRPr="00051ABC">
        <w:t xml:space="preserve">interprètes employés </w:t>
      </w:r>
      <w:r>
        <w:t xml:space="preserve">est passé </w:t>
      </w:r>
      <w:r w:rsidRPr="00051ABC">
        <w:t xml:space="preserve">de 16 à 21 et </w:t>
      </w:r>
      <w:r>
        <w:t xml:space="preserve">celui des accompagnateurs </w:t>
      </w:r>
      <w:r w:rsidRPr="00051ABC">
        <w:t>voyants de 15 à 35.</w:t>
      </w:r>
    </w:p>
    <w:p w14:paraId="4412C3F8" w14:textId="48723F08" w:rsidR="000C1192" w:rsidRPr="00051ABC" w:rsidRDefault="000C1192" w:rsidP="000C1192">
      <w:pPr>
        <w:pStyle w:val="SingleTxtG"/>
      </w:pPr>
      <w:r w:rsidRPr="00DF5642">
        <w:t>133.</w:t>
      </w:r>
      <w:r w:rsidRPr="00DF5642">
        <w:tab/>
        <w:t>La République de Croatie a élaboré son rapport initial sur l</w:t>
      </w:r>
      <w:r>
        <w:t>’application</w:t>
      </w:r>
      <w:r w:rsidRPr="00DF5642">
        <w:t xml:space="preserve"> de la Convention relative aux </w:t>
      </w:r>
      <w:r>
        <w:t xml:space="preserve">droits des </w:t>
      </w:r>
      <w:r w:rsidRPr="00DF5642">
        <w:t>personnes handicapées (</w:t>
      </w:r>
      <w:hyperlink r:id="rId17" w:history="1">
        <w:r w:rsidR="00EE6A74" w:rsidRPr="00C16D9E">
          <w:rPr>
            <w:rStyle w:val="Lienhypertexte"/>
            <w:color w:val="auto"/>
          </w:rPr>
          <w:t>CRPD/C/HRV/1</w:t>
        </w:r>
      </w:hyperlink>
      <w:r w:rsidRPr="00DF5642">
        <w:t>)</w:t>
      </w:r>
      <w:r w:rsidRPr="00535E17">
        <w:rPr>
          <w:rStyle w:val="Appelnotedebasdep"/>
        </w:rPr>
        <w:footnoteReference w:id="45"/>
      </w:r>
      <w:r w:rsidRPr="00DF5642">
        <w:t xml:space="preserve"> en 2011. </w:t>
      </w:r>
      <w:r>
        <w:t xml:space="preserve">À la suite des </w:t>
      </w:r>
      <w:r w:rsidRPr="00051ABC">
        <w:t xml:space="preserve">questions </w:t>
      </w:r>
      <w:r>
        <w:t xml:space="preserve">complémentaires </w:t>
      </w:r>
      <w:r w:rsidRPr="00051ABC">
        <w:t xml:space="preserve">du Comité des droits des personnes handicapées, des </w:t>
      </w:r>
      <w:r>
        <w:t xml:space="preserve">modifications </w:t>
      </w:r>
      <w:r w:rsidRPr="00051ABC">
        <w:t>ont été rédigé</w:t>
      </w:r>
      <w:r>
        <w:t>e</w:t>
      </w:r>
      <w:r w:rsidRPr="00051ABC">
        <w:t>s en 2014 (</w:t>
      </w:r>
      <w:hyperlink r:id="rId18" w:history="1">
        <w:r w:rsidR="00EE6A74" w:rsidRPr="00C16D9E">
          <w:rPr>
            <w:rStyle w:val="Lienhypertexte"/>
            <w:color w:val="auto"/>
          </w:rPr>
          <w:t>CRPD/C/HRV/Q.1/Add.1</w:t>
        </w:r>
      </w:hyperlink>
      <w:r w:rsidRPr="00051ABC">
        <w:t>)</w:t>
      </w:r>
      <w:r w:rsidRPr="00535E17">
        <w:rPr>
          <w:rStyle w:val="Appelnotedebasdep"/>
        </w:rPr>
        <w:footnoteReference w:id="46"/>
      </w:r>
      <w:r w:rsidRPr="00051ABC">
        <w:t xml:space="preserve">. </w:t>
      </w:r>
      <w:r>
        <w:t xml:space="preserve">La </w:t>
      </w:r>
      <w:r w:rsidRPr="00051ABC">
        <w:t xml:space="preserve">délégation croate, coordonnée par </w:t>
      </w:r>
      <w:r>
        <w:t>l</w:t>
      </w:r>
      <w:r w:rsidRPr="00051ABC">
        <w:t xml:space="preserve">e </w:t>
      </w:r>
      <w:r>
        <w:t>M</w:t>
      </w:r>
      <w:r w:rsidRPr="00051ABC">
        <w:t xml:space="preserve">inistère de la </w:t>
      </w:r>
      <w:r>
        <w:t>p</w:t>
      </w:r>
      <w:r w:rsidRPr="00051ABC">
        <w:t xml:space="preserve">olitique sociale et de la </w:t>
      </w:r>
      <w:r>
        <w:t>j</w:t>
      </w:r>
      <w:r w:rsidRPr="00051ABC">
        <w:t>eunesse de l</w:t>
      </w:r>
      <w:r>
        <w:t>’</w:t>
      </w:r>
      <w:r w:rsidRPr="00051ABC">
        <w:t>époque</w:t>
      </w:r>
      <w:r>
        <w:t>,</w:t>
      </w:r>
      <w:r w:rsidRPr="00051ABC">
        <w:t xml:space="preserve"> a présenté </w:t>
      </w:r>
      <w:r>
        <w:t xml:space="preserve">ce </w:t>
      </w:r>
      <w:r w:rsidRPr="00051ABC">
        <w:t>rapport</w:t>
      </w:r>
      <w:r>
        <w:t xml:space="preserve"> au Comité les </w:t>
      </w:r>
      <w:r w:rsidRPr="00051ABC">
        <w:t>30 et 31</w:t>
      </w:r>
      <w:r w:rsidR="00F32287">
        <w:t> </w:t>
      </w:r>
      <w:r w:rsidRPr="00051ABC">
        <w:t>mars 2015.</w:t>
      </w:r>
    </w:p>
    <w:p w14:paraId="1EF4D970" w14:textId="77777777" w:rsidR="000C1192" w:rsidRPr="00051ABC" w:rsidRDefault="000C1192" w:rsidP="000C1192">
      <w:pPr>
        <w:pStyle w:val="SingleTxtG"/>
      </w:pPr>
      <w:r w:rsidRPr="001C6483">
        <w:t>134.</w:t>
      </w:r>
      <w:r w:rsidRPr="001C6483">
        <w:tab/>
      </w:r>
      <w:r w:rsidRPr="00413B1F">
        <w:t xml:space="preserve">Les prestations de maternité et les prestations parentales relèvent du </w:t>
      </w:r>
      <w:r>
        <w:t xml:space="preserve">système </w:t>
      </w:r>
      <w:r w:rsidRPr="00413B1F">
        <w:t>de la politique familiale et de la sécurité sociale</w:t>
      </w:r>
      <w:r>
        <w:t xml:space="preserve">, qui protège </w:t>
      </w:r>
      <w:r w:rsidRPr="00051ABC">
        <w:t xml:space="preserve">directement la maternité, facilite la conciliation des </w:t>
      </w:r>
      <w:r>
        <w:t xml:space="preserve">devoirs familiaux </w:t>
      </w:r>
      <w:r w:rsidRPr="00051ABC">
        <w:t xml:space="preserve">et professionnels et </w:t>
      </w:r>
      <w:r>
        <w:t xml:space="preserve">incite </w:t>
      </w:r>
      <w:r w:rsidRPr="00051ABC">
        <w:t xml:space="preserve">les pères à </w:t>
      </w:r>
      <w:r>
        <w:t xml:space="preserve">s’occuper des enfants et à </w:t>
      </w:r>
      <w:r w:rsidRPr="00051ABC">
        <w:t xml:space="preserve">participer activement </w:t>
      </w:r>
      <w:r>
        <w:t xml:space="preserve">à leur éducation </w:t>
      </w:r>
      <w:r w:rsidRPr="00051ABC">
        <w:t xml:space="preserve">dès le plus jeune âge. Tous les salariés, </w:t>
      </w:r>
      <w:r>
        <w:t>travailleurs indépendants</w:t>
      </w:r>
      <w:r w:rsidRPr="00051ABC">
        <w:t xml:space="preserve">, </w:t>
      </w:r>
      <w:r>
        <w:t>c</w:t>
      </w:r>
      <w:r w:rsidRPr="00051ABC">
        <w:t xml:space="preserve">hômeurs et parents </w:t>
      </w:r>
      <w:r>
        <w:t xml:space="preserve">qui ne sont pas sur le marché de l’emploi </w:t>
      </w:r>
      <w:r w:rsidRPr="00051ABC">
        <w:t>ont droit à certain</w:t>
      </w:r>
      <w:r>
        <w:t>s</w:t>
      </w:r>
      <w:r w:rsidRPr="00051ABC">
        <w:t xml:space="preserve"> type</w:t>
      </w:r>
      <w:r>
        <w:t>s</w:t>
      </w:r>
      <w:r w:rsidRPr="00051ABC">
        <w:t xml:space="preserve"> </w:t>
      </w:r>
      <w:r>
        <w:t xml:space="preserve">de prestations </w:t>
      </w:r>
      <w:r w:rsidRPr="00051ABC">
        <w:t xml:space="preserve">de maternité et </w:t>
      </w:r>
      <w:r>
        <w:t xml:space="preserve">de prestations </w:t>
      </w:r>
      <w:r w:rsidRPr="00051ABC">
        <w:t>parentales (congé</w:t>
      </w:r>
      <w:r>
        <w:t>s</w:t>
      </w:r>
      <w:r w:rsidRPr="00051ABC">
        <w:t xml:space="preserve"> et </w:t>
      </w:r>
      <w:r>
        <w:t>allocations</w:t>
      </w:r>
      <w:r w:rsidRPr="00051ABC">
        <w:t>).</w:t>
      </w:r>
    </w:p>
    <w:p w14:paraId="32465715" w14:textId="4310E3BA" w:rsidR="000C1192" w:rsidRPr="007E4D28" w:rsidRDefault="000C1192" w:rsidP="00F32287">
      <w:pPr>
        <w:pStyle w:val="SingleTxtG"/>
        <w:keepNext/>
      </w:pPr>
      <w:r w:rsidRPr="007E4D28">
        <w:lastRenderedPageBreak/>
        <w:t>135.</w:t>
      </w:r>
      <w:r w:rsidRPr="007E4D28">
        <w:tab/>
      </w:r>
      <w:r>
        <w:t>Les personnes suivantes font partie des bénéficiaires</w:t>
      </w:r>
      <w:r w:rsidR="00F32287">
        <w:t> </w:t>
      </w:r>
      <w:r w:rsidRPr="007E4D28">
        <w:t>:</w:t>
      </w:r>
    </w:p>
    <w:p w14:paraId="4F879FB6" w14:textId="048C1246" w:rsidR="000C1192" w:rsidRPr="00051ABC" w:rsidRDefault="000C1192" w:rsidP="00F32287">
      <w:pPr>
        <w:pStyle w:val="Bullet1G"/>
      </w:pPr>
      <w:r>
        <w:t xml:space="preserve">Les </w:t>
      </w:r>
      <w:r w:rsidRPr="00051ABC">
        <w:t>parent</w:t>
      </w:r>
      <w:r>
        <w:t>s</w:t>
      </w:r>
      <w:r w:rsidRPr="00051ABC">
        <w:t xml:space="preserve"> au chômage (et le</w:t>
      </w:r>
      <w:r>
        <w:t>s</w:t>
      </w:r>
      <w:r w:rsidRPr="00051ABC">
        <w:t xml:space="preserve"> parent</w:t>
      </w:r>
      <w:r>
        <w:t>s</w:t>
      </w:r>
      <w:r w:rsidRPr="00051ABC">
        <w:t xml:space="preserve"> </w:t>
      </w:r>
      <w:r>
        <w:t xml:space="preserve">disposant d’une autre source de revenu (agriculteurs)) ont </w:t>
      </w:r>
      <w:r w:rsidRPr="00051ABC">
        <w:t xml:space="preserve">droit </w:t>
      </w:r>
      <w:r>
        <w:t xml:space="preserve">au congé </w:t>
      </w:r>
      <w:r w:rsidRPr="00051ABC">
        <w:t xml:space="preserve">de maternité </w:t>
      </w:r>
      <w:r>
        <w:t xml:space="preserve">ou au congé parental et aux prestations financières correspondantes </w:t>
      </w:r>
      <w:r w:rsidRPr="00051ABC">
        <w:t xml:space="preserve">pendant </w:t>
      </w:r>
      <w:r>
        <w:t>la période où le droit peut être exercé</w:t>
      </w:r>
      <w:r w:rsidR="00F32287">
        <w:t> ;</w:t>
      </w:r>
      <w:r>
        <w:t xml:space="preserve"> </w:t>
      </w:r>
    </w:p>
    <w:p w14:paraId="2106F637" w14:textId="44259858" w:rsidR="000C1192" w:rsidRPr="00034175" w:rsidRDefault="000C1192" w:rsidP="00F32287">
      <w:pPr>
        <w:pStyle w:val="Bullet1G"/>
      </w:pPr>
      <w:r>
        <w:t xml:space="preserve">Les parents qui ne sont pas sur le marché de l’emploi </w:t>
      </w:r>
      <w:r w:rsidRPr="00034175">
        <w:t>(</w:t>
      </w:r>
      <w:r>
        <w:t xml:space="preserve">par </w:t>
      </w:r>
      <w:r w:rsidRPr="00034175">
        <w:t xml:space="preserve">exemple </w:t>
      </w:r>
      <w:r>
        <w:t xml:space="preserve">les </w:t>
      </w:r>
      <w:r w:rsidRPr="00034175">
        <w:t>étudiant</w:t>
      </w:r>
      <w:r>
        <w:t>s</w:t>
      </w:r>
      <w:r w:rsidRPr="00034175">
        <w:t xml:space="preserve"> à temps </w:t>
      </w:r>
      <w:r>
        <w:t>complet et les</w:t>
      </w:r>
      <w:r w:rsidRPr="00034175">
        <w:t xml:space="preserve"> personne</w:t>
      </w:r>
      <w:r>
        <w:t>s</w:t>
      </w:r>
      <w:r w:rsidRPr="00034175">
        <w:t xml:space="preserve"> </w:t>
      </w:r>
      <w:r>
        <w:t>atteintes d’incapacité</w:t>
      </w:r>
      <w:r w:rsidRPr="00034175">
        <w:t xml:space="preserve">) </w:t>
      </w:r>
      <w:r w:rsidRPr="000377A3">
        <w:t xml:space="preserve">ont droit </w:t>
      </w:r>
      <w:r>
        <w:t xml:space="preserve">aux prestations </w:t>
      </w:r>
      <w:r w:rsidRPr="000377A3">
        <w:t xml:space="preserve">de maternité </w:t>
      </w:r>
      <w:r>
        <w:t xml:space="preserve">et aux prestations </w:t>
      </w:r>
      <w:r w:rsidRPr="000377A3">
        <w:t>parental</w:t>
      </w:r>
      <w:r>
        <w:t xml:space="preserve">es pour soins au nouveau-né et à une aide financière </w:t>
      </w:r>
      <w:r w:rsidRPr="00051ABC">
        <w:t xml:space="preserve">pendant </w:t>
      </w:r>
      <w:r>
        <w:t xml:space="preserve">la période où le droit peut être exercé. </w:t>
      </w:r>
    </w:p>
    <w:p w14:paraId="23206171" w14:textId="7C06D01E" w:rsidR="000C1192" w:rsidRPr="00034175" w:rsidRDefault="000C1192" w:rsidP="000C1192">
      <w:pPr>
        <w:pStyle w:val="SingleTxtG"/>
      </w:pPr>
      <w:r w:rsidRPr="00D52CA8">
        <w:t>136.</w:t>
      </w:r>
      <w:r w:rsidRPr="00D52CA8">
        <w:tab/>
        <w:t>Le congé de maternité correspond à la période allant de la naissance de l</w:t>
      </w:r>
      <w:r>
        <w:t>’</w:t>
      </w:r>
      <w:r w:rsidRPr="00D52CA8">
        <w:t>enfant au sixième mois de la vie, et le congé parental à la période allant du sixième mois au premier anniversaire de l</w:t>
      </w:r>
      <w:r>
        <w:t>’</w:t>
      </w:r>
      <w:r w:rsidRPr="00D52CA8">
        <w:t>enfant</w:t>
      </w:r>
      <w:r w:rsidRPr="00535E17">
        <w:rPr>
          <w:rStyle w:val="Appelnotedebasdep"/>
        </w:rPr>
        <w:footnoteReference w:id="47"/>
      </w:r>
      <w:r w:rsidRPr="00D52CA8">
        <w:t xml:space="preserve">. </w:t>
      </w:r>
      <w:r w:rsidRPr="00034175">
        <w:t xml:space="preserve">Pendant </w:t>
      </w:r>
      <w:r>
        <w:t xml:space="preserve">la durée </w:t>
      </w:r>
      <w:r w:rsidRPr="00034175">
        <w:t xml:space="preserve">du congé de maternité, la bénéficiaire a droit à une </w:t>
      </w:r>
      <w:r>
        <w:t xml:space="preserve">allocation salariale correspondant </w:t>
      </w:r>
      <w:r w:rsidRPr="00034175">
        <w:t>à 100</w:t>
      </w:r>
      <w:r w:rsidR="00F32287">
        <w:t> </w:t>
      </w:r>
      <w:r w:rsidRPr="00034175">
        <w:t xml:space="preserve">% </w:t>
      </w:r>
      <w:r>
        <w:t xml:space="preserve">de son </w:t>
      </w:r>
      <w:r w:rsidRPr="00034175">
        <w:t xml:space="preserve">salaire des six mois </w:t>
      </w:r>
      <w:r>
        <w:t xml:space="preserve">ayant précédé </w:t>
      </w:r>
      <w:r w:rsidRPr="00034175">
        <w:t xml:space="preserve">le début de </w:t>
      </w:r>
      <w:r>
        <w:t xml:space="preserve">période où le </w:t>
      </w:r>
      <w:r w:rsidRPr="00034175">
        <w:t>droit</w:t>
      </w:r>
      <w:r>
        <w:t xml:space="preserve"> est exercé</w:t>
      </w:r>
      <w:r w:rsidRPr="00034175">
        <w:t>.</w:t>
      </w:r>
    </w:p>
    <w:p w14:paraId="2C46EE24" w14:textId="77777777" w:rsidR="000C1192" w:rsidRPr="00D64A60" w:rsidRDefault="000C1192" w:rsidP="000C1192">
      <w:pPr>
        <w:pStyle w:val="SingleTxtG"/>
      </w:pPr>
      <w:r w:rsidRPr="00681666">
        <w:t>137.</w:t>
      </w:r>
      <w:r w:rsidRPr="00681666">
        <w:tab/>
      </w:r>
      <w:r>
        <w:t xml:space="preserve">Les femmes </w:t>
      </w:r>
      <w:r w:rsidRPr="00D64A60">
        <w:t>enceinte</w:t>
      </w:r>
      <w:r>
        <w:t>s</w:t>
      </w:r>
      <w:r w:rsidRPr="00D64A60">
        <w:t xml:space="preserve"> </w:t>
      </w:r>
      <w:r>
        <w:t xml:space="preserve">ont </w:t>
      </w:r>
      <w:r w:rsidRPr="00D64A60">
        <w:t xml:space="preserve">droit à un jour de congé par mois pour </w:t>
      </w:r>
      <w:r>
        <w:t xml:space="preserve">faire </w:t>
      </w:r>
      <w:r w:rsidRPr="00D64A60">
        <w:t>des examens prénataux.</w:t>
      </w:r>
    </w:p>
    <w:p w14:paraId="382A967F" w14:textId="453D2E3B" w:rsidR="000C1192" w:rsidRPr="00AF3F6A" w:rsidRDefault="000C1192" w:rsidP="000C1192">
      <w:pPr>
        <w:pStyle w:val="SingleTxtG"/>
      </w:pPr>
      <w:r w:rsidRPr="0029462B">
        <w:t>138.</w:t>
      </w:r>
      <w:r w:rsidRPr="0029462B">
        <w:tab/>
      </w:r>
      <w:r w:rsidRPr="00AF3F6A">
        <w:t>L</w:t>
      </w:r>
      <w:r>
        <w:t>es femmes e</w:t>
      </w:r>
      <w:r w:rsidRPr="00AF3F6A">
        <w:t>nceinte</w:t>
      </w:r>
      <w:r>
        <w:t>s</w:t>
      </w:r>
      <w:r w:rsidRPr="00AF3F6A">
        <w:t xml:space="preserve"> </w:t>
      </w:r>
      <w:r>
        <w:t xml:space="preserve">et les mères ont </w:t>
      </w:r>
      <w:r w:rsidRPr="00AF3F6A">
        <w:t xml:space="preserve">droit à un congé de maternité obligatoire </w:t>
      </w:r>
      <w:r>
        <w:t xml:space="preserve">débutant </w:t>
      </w:r>
      <w:r w:rsidR="00F32287">
        <w:t>vingt</w:t>
      </w:r>
      <w:r w:rsidR="00F32287">
        <w:noBreakHyphen/>
        <w:t>huit</w:t>
      </w:r>
      <w:r w:rsidRPr="00AF3F6A">
        <w:t xml:space="preserve"> jours avant l</w:t>
      </w:r>
      <w:r>
        <w:t>’</w:t>
      </w:r>
      <w:r w:rsidRPr="00AF3F6A">
        <w:t xml:space="preserve">accouchement et </w:t>
      </w:r>
      <w:r>
        <w:t xml:space="preserve">prenant fin </w:t>
      </w:r>
      <w:r w:rsidR="00F32287">
        <w:t>soixante</w:t>
      </w:r>
      <w:r w:rsidR="00F32287">
        <w:noBreakHyphen/>
        <w:t>dix</w:t>
      </w:r>
      <w:r w:rsidRPr="00AF3F6A">
        <w:t xml:space="preserve"> jours après la naissance</w:t>
      </w:r>
      <w:r>
        <w:t xml:space="preserve"> ainsi qu’</w:t>
      </w:r>
      <w:r w:rsidRPr="00AF3F6A">
        <w:t>à un congé parental supplémentaire jusqu</w:t>
      </w:r>
      <w:r>
        <w:t>’</w:t>
      </w:r>
      <w:r w:rsidRPr="00AF3F6A">
        <w:t>à ce que l</w:t>
      </w:r>
      <w:r>
        <w:t>’</w:t>
      </w:r>
      <w:r w:rsidRPr="00AF3F6A">
        <w:t>enfant ait atteint l</w:t>
      </w:r>
      <w:r>
        <w:t>’</w:t>
      </w:r>
      <w:r w:rsidRPr="00AF3F6A">
        <w:t>âge de 6</w:t>
      </w:r>
      <w:r w:rsidR="00F32287">
        <w:t> </w:t>
      </w:r>
      <w:r w:rsidRPr="00AF3F6A">
        <w:t xml:space="preserve">mois, </w:t>
      </w:r>
      <w:r>
        <w:t xml:space="preserve">que la mère </w:t>
      </w:r>
      <w:r w:rsidRPr="00AF3F6A">
        <w:t xml:space="preserve">peut transférer au père </w:t>
      </w:r>
      <w:r>
        <w:t>en présentant une demande par écrit</w:t>
      </w:r>
      <w:r w:rsidRPr="00AF3F6A">
        <w:t>.</w:t>
      </w:r>
    </w:p>
    <w:p w14:paraId="54DC618C" w14:textId="24C586B6" w:rsidR="000C1192" w:rsidRPr="0029462B" w:rsidRDefault="000C1192" w:rsidP="000C1192">
      <w:pPr>
        <w:pStyle w:val="SingleTxtG"/>
      </w:pPr>
      <w:r w:rsidRPr="0043153B">
        <w:t>139.</w:t>
      </w:r>
      <w:r w:rsidRPr="0043153B">
        <w:tab/>
        <w:t>Les parents salariés, lorsque l</w:t>
      </w:r>
      <w:r>
        <w:t>’</w:t>
      </w:r>
      <w:r w:rsidRPr="0043153B">
        <w:t>enfant a atteint l</w:t>
      </w:r>
      <w:r>
        <w:t>’</w:t>
      </w:r>
      <w:r w:rsidRPr="0043153B">
        <w:t>âge de 6</w:t>
      </w:r>
      <w:r w:rsidR="00F32287">
        <w:t> </w:t>
      </w:r>
      <w:r w:rsidRPr="0043153B">
        <w:t xml:space="preserve">mois, ont droit à un congé parental. </w:t>
      </w:r>
      <w:r>
        <w:t xml:space="preserve">Ce droit est ouvert aux deux </w:t>
      </w:r>
      <w:r w:rsidRPr="0029462B">
        <w:t xml:space="preserve">parents salariés </w:t>
      </w:r>
      <w:r>
        <w:t xml:space="preserve">qui l’utilisent généralement </w:t>
      </w:r>
      <w:r w:rsidRPr="0029462B">
        <w:t>à parts égales</w:t>
      </w:r>
      <w:r>
        <w:t xml:space="preserve">, à raison de </w:t>
      </w:r>
      <w:r w:rsidR="00F32287">
        <w:t>huit</w:t>
      </w:r>
      <w:r w:rsidRPr="0029462B">
        <w:t xml:space="preserve"> mois pour le premier et le deuxième enfant</w:t>
      </w:r>
      <w:r>
        <w:t xml:space="preserve">, et de </w:t>
      </w:r>
      <w:r w:rsidR="00F32287">
        <w:t>trente</w:t>
      </w:r>
      <w:r w:rsidRPr="0029462B">
        <w:t xml:space="preserve"> mois </w:t>
      </w:r>
      <w:r>
        <w:t xml:space="preserve">dans le cas de </w:t>
      </w:r>
      <w:r w:rsidRPr="0029462B">
        <w:t>jumeaux</w:t>
      </w:r>
      <w:r>
        <w:t xml:space="preserve"> et pour le </w:t>
      </w:r>
      <w:r w:rsidRPr="0029462B">
        <w:t xml:space="preserve">troisième </w:t>
      </w:r>
      <w:r>
        <w:t xml:space="preserve">enfant </w:t>
      </w:r>
      <w:r w:rsidRPr="0029462B">
        <w:t xml:space="preserve">et chaque enfant suivant. </w:t>
      </w:r>
      <w:r>
        <w:t>U</w:t>
      </w:r>
      <w:r w:rsidRPr="0029462B">
        <w:t xml:space="preserve">tilisé par un seul parent, le congé parental </w:t>
      </w:r>
      <w:r>
        <w:t xml:space="preserve">dure </w:t>
      </w:r>
      <w:r w:rsidR="00F32287">
        <w:t>six</w:t>
      </w:r>
      <w:r w:rsidRPr="0029462B">
        <w:t xml:space="preserve"> mois pour le premier et le deuxième enfant, </w:t>
      </w:r>
      <w:r>
        <w:t xml:space="preserve">et </w:t>
      </w:r>
      <w:r w:rsidR="00F32287">
        <w:t>trente</w:t>
      </w:r>
      <w:r w:rsidRPr="0029462B">
        <w:t xml:space="preserve"> mois </w:t>
      </w:r>
      <w:r>
        <w:t xml:space="preserve">dans le cas de </w:t>
      </w:r>
      <w:r w:rsidRPr="0029462B">
        <w:t>jumeaux</w:t>
      </w:r>
      <w:r>
        <w:t xml:space="preserve"> et pour </w:t>
      </w:r>
      <w:r w:rsidRPr="0029462B">
        <w:t xml:space="preserve">le troisième </w:t>
      </w:r>
      <w:r>
        <w:t xml:space="preserve">enfant </w:t>
      </w:r>
      <w:r w:rsidRPr="0029462B">
        <w:t xml:space="preserve">et chaque enfant suivant. Pendant le congé parental, le droit à une </w:t>
      </w:r>
      <w:r>
        <w:t xml:space="preserve">allocation </w:t>
      </w:r>
      <w:r w:rsidRPr="0029462B">
        <w:t xml:space="preserve">salariale </w:t>
      </w:r>
      <w:r>
        <w:t xml:space="preserve">correspondant à </w:t>
      </w:r>
      <w:r w:rsidRPr="0029462B">
        <w:t>100</w:t>
      </w:r>
      <w:r w:rsidR="00400703">
        <w:t> </w:t>
      </w:r>
      <w:r w:rsidRPr="0029462B">
        <w:t xml:space="preserve">% de la base </w:t>
      </w:r>
      <w:r>
        <w:t xml:space="preserve">de l’allocation </w:t>
      </w:r>
      <w:r w:rsidRPr="0029462B">
        <w:t xml:space="preserve">salariale </w:t>
      </w:r>
      <w:r>
        <w:t>s’applique. Ce montant a été plafonné à</w:t>
      </w:r>
      <w:r w:rsidRPr="0029462B">
        <w:t xml:space="preserve"> 80</w:t>
      </w:r>
      <w:r w:rsidR="00400703">
        <w:t> </w:t>
      </w:r>
      <w:r w:rsidRPr="0029462B">
        <w:t xml:space="preserve">% de la base </w:t>
      </w:r>
      <w:r>
        <w:t xml:space="preserve">de calcul </w:t>
      </w:r>
      <w:r w:rsidRPr="0029462B">
        <w:t>(2</w:t>
      </w:r>
      <w:r w:rsidR="00400703">
        <w:t> </w:t>
      </w:r>
      <w:r w:rsidRPr="0029462B">
        <w:t>328,20</w:t>
      </w:r>
      <w:r w:rsidR="00400703">
        <w:t> </w:t>
      </w:r>
      <w:r w:rsidRPr="0029462B">
        <w:t>kunas) jusqu</w:t>
      </w:r>
      <w:r>
        <w:t>’</w:t>
      </w:r>
      <w:r w:rsidRPr="0029462B">
        <w:t>au 30</w:t>
      </w:r>
      <w:r w:rsidR="00400703">
        <w:t> </w:t>
      </w:r>
      <w:r w:rsidRPr="0029462B">
        <w:t xml:space="preserve">juin 2017. </w:t>
      </w:r>
      <w:r>
        <w:t>Après cette date</w:t>
      </w:r>
      <w:r w:rsidRPr="0029462B">
        <w:t xml:space="preserve">, </w:t>
      </w:r>
      <w:r>
        <w:t xml:space="preserve">le plafond a été porté </w:t>
      </w:r>
      <w:r w:rsidRPr="0029462B">
        <w:t>à 120</w:t>
      </w:r>
      <w:r w:rsidR="00400703">
        <w:t> </w:t>
      </w:r>
      <w:r w:rsidRPr="0029462B">
        <w:t xml:space="preserve">% de la base </w:t>
      </w:r>
      <w:r>
        <w:t xml:space="preserve">de calcul </w:t>
      </w:r>
      <w:r w:rsidRPr="0029462B">
        <w:t>(3</w:t>
      </w:r>
      <w:r w:rsidR="00400703">
        <w:t> </w:t>
      </w:r>
      <w:r w:rsidRPr="0029462B">
        <w:t>991,20</w:t>
      </w:r>
      <w:r w:rsidR="00400703">
        <w:t> </w:t>
      </w:r>
      <w:r w:rsidRPr="0029462B">
        <w:t xml:space="preserve">kunas), </w:t>
      </w:r>
      <w:r>
        <w:t xml:space="preserve">puis </w:t>
      </w:r>
      <w:r w:rsidRPr="0029462B">
        <w:t>à 170</w:t>
      </w:r>
      <w:r w:rsidR="00400703">
        <w:t> </w:t>
      </w:r>
      <w:r w:rsidRPr="0029462B">
        <w:t xml:space="preserve">% </w:t>
      </w:r>
      <w:r>
        <w:t xml:space="preserve">de la base de calcul </w:t>
      </w:r>
      <w:r w:rsidRPr="0029462B">
        <w:t>(5</w:t>
      </w:r>
      <w:r w:rsidR="00400703">
        <w:t> </w:t>
      </w:r>
      <w:r w:rsidRPr="0029462B">
        <w:t>654,20</w:t>
      </w:r>
      <w:r w:rsidR="00400703">
        <w:t> </w:t>
      </w:r>
      <w:r w:rsidRPr="0029462B">
        <w:t>kunas)</w:t>
      </w:r>
      <w:r>
        <w:t xml:space="preserve"> en 2020</w:t>
      </w:r>
      <w:r w:rsidRPr="0029462B">
        <w:t>.</w:t>
      </w:r>
    </w:p>
    <w:p w14:paraId="259728C7" w14:textId="36199893" w:rsidR="000C1192" w:rsidRPr="00283A17" w:rsidRDefault="000C1192" w:rsidP="000C1192">
      <w:pPr>
        <w:pStyle w:val="SingleTxtG"/>
      </w:pPr>
      <w:r w:rsidRPr="00283A17">
        <w:t>140.</w:t>
      </w:r>
      <w:r w:rsidRPr="00283A17">
        <w:tab/>
        <w:t>L</w:t>
      </w:r>
      <w:r>
        <w:t>’</w:t>
      </w:r>
      <w:r w:rsidR="00A858B3">
        <w:t>article </w:t>
      </w:r>
      <w:r w:rsidRPr="00283A17">
        <w:t>32</w:t>
      </w:r>
      <w:r w:rsidR="00400703">
        <w:t> </w:t>
      </w:r>
      <w:r w:rsidRPr="00283A17">
        <w:t>a</w:t>
      </w:r>
      <w:r>
        <w:t>)</w:t>
      </w:r>
      <w:r w:rsidRPr="00283A17">
        <w:t xml:space="preserve"> de la </w:t>
      </w:r>
      <w:r>
        <w:t>loi sur l’assurance retraite</w:t>
      </w:r>
      <w:r w:rsidRPr="00283A17">
        <w:t xml:space="preserve"> (2019) </w:t>
      </w:r>
      <w:r>
        <w:t xml:space="preserve">a </w:t>
      </w:r>
      <w:r w:rsidRPr="00283A17">
        <w:t xml:space="preserve">introduit une nouvelle catégorie </w:t>
      </w:r>
      <w:r>
        <w:t>des « </w:t>
      </w:r>
      <w:r w:rsidRPr="00283A17">
        <w:t>années d</w:t>
      </w:r>
      <w:r>
        <w:t>’</w:t>
      </w:r>
      <w:r w:rsidRPr="00283A17">
        <w:t>expérience supplémentaires</w:t>
      </w:r>
      <w:r>
        <w:t> »</w:t>
      </w:r>
      <w:r w:rsidRPr="00283A17">
        <w:t xml:space="preserve">. </w:t>
      </w:r>
      <w:r>
        <w:t>Au moment de déterminer le nombre d’</w:t>
      </w:r>
      <w:r w:rsidRPr="00283A17">
        <w:t>années d</w:t>
      </w:r>
      <w:r>
        <w:t>’</w:t>
      </w:r>
      <w:r w:rsidRPr="00283A17">
        <w:t xml:space="preserve">activité, une période de </w:t>
      </w:r>
      <w:r w:rsidR="00400703">
        <w:t>six</w:t>
      </w:r>
      <w:r w:rsidRPr="00283A17">
        <w:t xml:space="preserve"> mois est ajoutée pour chaque enfant né ou adopté au total des années d</w:t>
      </w:r>
      <w:r>
        <w:t>’</w:t>
      </w:r>
      <w:r w:rsidRPr="00283A17">
        <w:t xml:space="preserve">activité </w:t>
      </w:r>
      <w:r>
        <w:t xml:space="preserve">du </w:t>
      </w:r>
      <w:r w:rsidRPr="00283A17">
        <w:t xml:space="preserve">parent </w:t>
      </w:r>
      <w:r w:rsidR="00400703">
        <w:t>−</w:t>
      </w:r>
      <w:r w:rsidRPr="00283A17">
        <w:t xml:space="preserve"> </w:t>
      </w:r>
      <w:r>
        <w:t xml:space="preserve">la </w:t>
      </w:r>
      <w:r w:rsidRPr="00283A17">
        <w:t xml:space="preserve">mère ou </w:t>
      </w:r>
      <w:r>
        <w:t xml:space="preserve">la </w:t>
      </w:r>
      <w:r w:rsidRPr="00283A17">
        <w:t xml:space="preserve">mère adoptive </w:t>
      </w:r>
      <w:r>
        <w:t xml:space="preserve">titulaire d’une pension conformément à la loi sur l’assurance pension ou à un régime spécial de l’assurance retraite obligatoire au titre de </w:t>
      </w:r>
      <w:r w:rsidRPr="00283A17">
        <w:t xml:space="preserve">la solidarité </w:t>
      </w:r>
      <w:r>
        <w:t>inter</w:t>
      </w:r>
      <w:r w:rsidRPr="00283A17">
        <w:t xml:space="preserve">générationnelle. Ce droit peut </w:t>
      </w:r>
      <w:r>
        <w:t xml:space="preserve">aussi </w:t>
      </w:r>
      <w:r w:rsidRPr="00283A17">
        <w:t xml:space="preserve">être acquis par le père </w:t>
      </w:r>
      <w:r>
        <w:t xml:space="preserve">ou le </w:t>
      </w:r>
      <w:r w:rsidRPr="00283A17">
        <w:t xml:space="preserve">père adoptif </w:t>
      </w:r>
      <w:r>
        <w:t xml:space="preserve">au lieu </w:t>
      </w:r>
      <w:r w:rsidRPr="00283A17">
        <w:t>de la mère, mais seulement s</w:t>
      </w:r>
      <w:r>
        <w:t>’</w:t>
      </w:r>
      <w:r w:rsidRPr="00283A17">
        <w:t xml:space="preserve">il a utilisé la </w:t>
      </w:r>
      <w:r>
        <w:t xml:space="preserve">majeure </w:t>
      </w:r>
      <w:r w:rsidRPr="00283A17">
        <w:t xml:space="preserve">partie du congé de maternité supplémentaire pour </w:t>
      </w:r>
      <w:r>
        <w:t xml:space="preserve">s’occuper de </w:t>
      </w:r>
      <w:r w:rsidRPr="00283A17">
        <w:t>l</w:t>
      </w:r>
      <w:r>
        <w:t>’</w:t>
      </w:r>
      <w:r w:rsidRPr="00283A17">
        <w:t>enfant.</w:t>
      </w:r>
    </w:p>
    <w:p w14:paraId="330429DE" w14:textId="77777777" w:rsidR="000C1192" w:rsidRPr="00283A17" w:rsidRDefault="000C1192" w:rsidP="000C1192">
      <w:pPr>
        <w:pStyle w:val="SingleTxtG"/>
      </w:pPr>
      <w:r w:rsidRPr="00283A17">
        <w:t>141.</w:t>
      </w:r>
      <w:r w:rsidRPr="00283A17">
        <w:tab/>
        <w:t>L</w:t>
      </w:r>
      <w:r>
        <w:t xml:space="preserve">es mères travaillant à temps plein ont droit à deux heures quotidiennes de pause pour l’allaitement. </w:t>
      </w:r>
    </w:p>
    <w:p w14:paraId="41C6FFBE" w14:textId="62708E3C" w:rsidR="000C1192" w:rsidRPr="00283A17" w:rsidRDefault="000C1192" w:rsidP="000C1192">
      <w:pPr>
        <w:pStyle w:val="SingleTxtG"/>
      </w:pPr>
      <w:r w:rsidRPr="00283A17">
        <w:t>142.</w:t>
      </w:r>
      <w:r w:rsidRPr="00283A17">
        <w:tab/>
        <w:t>L</w:t>
      </w:r>
      <w:r>
        <w:t xml:space="preserve">a naissance d’un enfant donne aussi droit aux </w:t>
      </w:r>
      <w:r w:rsidRPr="00283A17">
        <w:t xml:space="preserve">parents </w:t>
      </w:r>
      <w:r>
        <w:t xml:space="preserve">à une allocation forfaitaire </w:t>
      </w:r>
      <w:r w:rsidRPr="00283A17">
        <w:t>d</w:t>
      </w:r>
      <w:r>
        <w:t>’</w:t>
      </w:r>
      <w:r w:rsidRPr="00283A17">
        <w:t>un montant de 2</w:t>
      </w:r>
      <w:r w:rsidR="00400703">
        <w:t> </w:t>
      </w:r>
      <w:r w:rsidRPr="00283A17">
        <w:t>328,20</w:t>
      </w:r>
      <w:r w:rsidR="00400703">
        <w:t> </w:t>
      </w:r>
      <w:r w:rsidRPr="00283A17">
        <w:t xml:space="preserve">kunas, versée par </w:t>
      </w:r>
      <w:r>
        <w:t>la Caisse croate d’assurance maladie</w:t>
      </w:r>
      <w:r w:rsidRPr="00283A17">
        <w:t>.</w:t>
      </w:r>
    </w:p>
    <w:p w14:paraId="0A4DEA8D" w14:textId="14042934" w:rsidR="000C1192" w:rsidRPr="00283A17" w:rsidRDefault="000C1192" w:rsidP="000C1192">
      <w:pPr>
        <w:pStyle w:val="SingleTxtG"/>
      </w:pPr>
      <w:r w:rsidRPr="00283A17">
        <w:t>143.</w:t>
      </w:r>
      <w:r w:rsidRPr="00283A17">
        <w:tab/>
        <w:t xml:space="preserve">La </w:t>
      </w:r>
      <w:r>
        <w:t xml:space="preserve">loi sur le travail proscrit </w:t>
      </w:r>
      <w:r w:rsidRPr="00283A17">
        <w:t>le travail des moins de 15</w:t>
      </w:r>
      <w:r w:rsidR="00400703">
        <w:t> </w:t>
      </w:r>
      <w:r w:rsidRPr="00283A17">
        <w:t>ans et des mineurs qui n</w:t>
      </w:r>
      <w:r>
        <w:t>’</w:t>
      </w:r>
      <w:r w:rsidRPr="00283A17">
        <w:t xml:space="preserve">ont pas </w:t>
      </w:r>
      <w:r>
        <w:t xml:space="preserve">achevé le cycle </w:t>
      </w:r>
      <w:r w:rsidRPr="00283A17">
        <w:t xml:space="preserve">primaire obligatoire. Le </w:t>
      </w:r>
      <w:r>
        <w:t xml:space="preserve">Code pénal érige en infraction </w:t>
      </w:r>
      <w:r w:rsidRPr="00283A17">
        <w:t xml:space="preserve">la traite des êtres humains, </w:t>
      </w:r>
      <w:r>
        <w:t xml:space="preserve">y compris en interdisant le </w:t>
      </w:r>
      <w:r w:rsidRPr="00283A17">
        <w:t>travail forcé ou l</w:t>
      </w:r>
      <w:r>
        <w:t>’</w:t>
      </w:r>
      <w:r w:rsidRPr="00283A17">
        <w:t>exploitation des enfants</w:t>
      </w:r>
      <w:r>
        <w:t>, qui sont passibles d’une peine d’emprisonnement d’une durée</w:t>
      </w:r>
      <w:r w:rsidRPr="00283A17">
        <w:t xml:space="preserve"> </w:t>
      </w:r>
      <w:r w:rsidR="007B15F4">
        <w:t>d’un</w:t>
      </w:r>
      <w:r w:rsidR="00400703">
        <w:t xml:space="preserve"> </w:t>
      </w:r>
      <w:r w:rsidRPr="00283A17">
        <w:t xml:space="preserve">à </w:t>
      </w:r>
      <w:r w:rsidR="00400703">
        <w:t>dix</w:t>
      </w:r>
      <w:r w:rsidRPr="00283A17">
        <w:t xml:space="preserve"> ans.</w:t>
      </w:r>
    </w:p>
    <w:p w14:paraId="6A2BE47C" w14:textId="419CDA46" w:rsidR="000C1192" w:rsidRPr="00283A17" w:rsidRDefault="000C1192" w:rsidP="000C1192">
      <w:pPr>
        <w:pStyle w:val="SingleTxtG"/>
        <w:rPr>
          <w:i/>
        </w:rPr>
      </w:pPr>
      <w:r w:rsidRPr="00283A17">
        <w:lastRenderedPageBreak/>
        <w:t>144.</w:t>
      </w:r>
      <w:r w:rsidRPr="00283A17">
        <w:tab/>
        <w:t>La Stratégie nationale pour les droits de l</w:t>
      </w:r>
      <w:r>
        <w:t>’</w:t>
      </w:r>
      <w:r w:rsidRPr="00283A17">
        <w:t xml:space="preserve">enfant </w:t>
      </w:r>
      <w:r>
        <w:t>en République de Croatie (</w:t>
      </w:r>
      <w:r w:rsidRPr="00283A17">
        <w:t>2014</w:t>
      </w:r>
      <w:r w:rsidR="00676F11">
        <w:noBreakHyphen/>
      </w:r>
      <w:r w:rsidRPr="00283A17">
        <w:t>2020</w:t>
      </w:r>
      <w:r>
        <w:t>)</w:t>
      </w:r>
      <w:r w:rsidRPr="00283A17">
        <w:t xml:space="preserve"> protège les droits de l</w:t>
      </w:r>
      <w:r>
        <w:t>’</w:t>
      </w:r>
      <w:r w:rsidRPr="00283A17">
        <w:t>enfant (</w:t>
      </w:r>
      <w:r>
        <w:t>pour plus de renseignements, voir le rapport au Comité des droits de l’enfant (</w:t>
      </w:r>
      <w:hyperlink r:id="rId19" w:history="1">
        <w:r w:rsidR="00EE6A74" w:rsidRPr="00C16D9E">
          <w:rPr>
            <w:rStyle w:val="Lienhypertexte"/>
            <w:color w:val="auto"/>
          </w:rPr>
          <w:t>CRC/HRV/5-6</w:t>
        </w:r>
      </w:hyperlink>
      <w:r w:rsidRPr="00535E17">
        <w:rPr>
          <w:rStyle w:val="Appelnotedebasdep"/>
        </w:rPr>
        <w:footnoteReference w:id="48"/>
      </w:r>
      <w:r>
        <w:t>)</w:t>
      </w:r>
      <w:r w:rsidRPr="00283A17">
        <w:t>.</w:t>
      </w:r>
    </w:p>
    <w:p w14:paraId="30E94AE8" w14:textId="77777777" w:rsidR="000C1192" w:rsidRPr="00224468" w:rsidRDefault="000C1192" w:rsidP="000C1192">
      <w:pPr>
        <w:pStyle w:val="SingleTxtG"/>
      </w:pPr>
      <w:r w:rsidRPr="00224468">
        <w:t>145.</w:t>
      </w:r>
      <w:r w:rsidRPr="00224468">
        <w:tab/>
      </w:r>
      <w:r>
        <w:t>L</w:t>
      </w:r>
      <w:r w:rsidRPr="00224468">
        <w:t xml:space="preserve">a </w:t>
      </w:r>
      <w:r>
        <w:t>loi sur le travail dispose qu’</w:t>
      </w:r>
      <w:r w:rsidRPr="00224468">
        <w:t xml:space="preserve">un mineur ne peut être employé à </w:t>
      </w:r>
      <w:r>
        <w:t xml:space="preserve">un travail pouvant mettre en péril </w:t>
      </w:r>
      <w:r w:rsidRPr="00224468">
        <w:t xml:space="preserve">sa sécurité, sa santé, sa moralité ou </w:t>
      </w:r>
      <w:r>
        <w:t>son épanouissement</w:t>
      </w:r>
      <w:r w:rsidRPr="00224468">
        <w:t>.</w:t>
      </w:r>
    </w:p>
    <w:p w14:paraId="00EB624E" w14:textId="250C8C53" w:rsidR="000C1192" w:rsidRPr="00224468" w:rsidRDefault="000C1192" w:rsidP="000C1192">
      <w:pPr>
        <w:pStyle w:val="SingleTxtG"/>
      </w:pPr>
      <w:r w:rsidRPr="00224468">
        <w:t>146.</w:t>
      </w:r>
      <w:r w:rsidRPr="00224468">
        <w:tab/>
      </w:r>
      <w:r>
        <w:t>La loi de protection contre la violence domestique</w:t>
      </w:r>
      <w:r w:rsidRPr="00224468">
        <w:t xml:space="preserve"> définit </w:t>
      </w:r>
      <w:r>
        <w:t xml:space="preserve">cette </w:t>
      </w:r>
      <w:r w:rsidRPr="00224468">
        <w:t xml:space="preserve">violence comme </w:t>
      </w:r>
      <w:r>
        <w:t xml:space="preserve">le fait, en négligeant les </w:t>
      </w:r>
      <w:r w:rsidRPr="00224468">
        <w:t>besoins d</w:t>
      </w:r>
      <w:r>
        <w:t>’</w:t>
      </w:r>
      <w:r w:rsidRPr="00224468">
        <w:t>une personne âgée</w:t>
      </w:r>
      <w:r>
        <w:t xml:space="preserve">, de provoquer sa </w:t>
      </w:r>
      <w:r w:rsidRPr="00224468">
        <w:t xml:space="preserve">détresse ou </w:t>
      </w:r>
      <w:r>
        <w:t xml:space="preserve">de </w:t>
      </w:r>
      <w:r w:rsidRPr="00224468">
        <w:t>porte</w:t>
      </w:r>
      <w:r>
        <w:t>r</w:t>
      </w:r>
      <w:r w:rsidRPr="00224468">
        <w:t xml:space="preserve"> atteinte à sa dignité</w:t>
      </w:r>
      <w:r>
        <w:t xml:space="preserve">, et de </w:t>
      </w:r>
      <w:r w:rsidRPr="00224468">
        <w:t>lui inflige</w:t>
      </w:r>
      <w:r>
        <w:t>r</w:t>
      </w:r>
      <w:r w:rsidRPr="00224468">
        <w:t xml:space="preserve"> ainsi une souffrance physique ou psychique</w:t>
      </w:r>
      <w:r>
        <w:t xml:space="preserve">, et sanctionne ce délit d’une peine destinée à </w:t>
      </w:r>
      <w:r w:rsidRPr="00224468">
        <w:t xml:space="preserve">protéger les membres de la famille et </w:t>
      </w:r>
      <w:r>
        <w:t xml:space="preserve">empêcher </w:t>
      </w:r>
      <w:r w:rsidRPr="00224468">
        <w:t xml:space="preserve">la récidive. </w:t>
      </w:r>
      <w:r>
        <w:t>L’</w:t>
      </w:r>
      <w:r w:rsidR="00A858B3">
        <w:t>article </w:t>
      </w:r>
      <w:r w:rsidRPr="00224468">
        <w:t>179</w:t>
      </w:r>
      <w:r w:rsidR="00676F11">
        <w:t> </w:t>
      </w:r>
      <w:r w:rsidRPr="00224468">
        <w:t>a</w:t>
      </w:r>
      <w:r>
        <w:t xml:space="preserve">) du </w:t>
      </w:r>
      <w:r w:rsidRPr="00224468">
        <w:t>C</w:t>
      </w:r>
      <w:r>
        <w:t xml:space="preserve">ode pénal réprime la </w:t>
      </w:r>
      <w:r w:rsidRPr="00224468">
        <w:t>violence domestique</w:t>
      </w:r>
      <w:r>
        <w:t xml:space="preserve">, infraction passible d’une peine d’emprisonnement </w:t>
      </w:r>
      <w:r w:rsidR="007B15F4">
        <w:t>d’un</w:t>
      </w:r>
      <w:r w:rsidRPr="00224468">
        <w:t xml:space="preserve"> à </w:t>
      </w:r>
      <w:r w:rsidR="00676F11">
        <w:t>trois</w:t>
      </w:r>
      <w:r w:rsidRPr="00224468">
        <w:t xml:space="preserve"> ans </w:t>
      </w:r>
      <w:r>
        <w:t xml:space="preserve">en cas de manquement grave aux </w:t>
      </w:r>
      <w:r w:rsidRPr="00224468">
        <w:t xml:space="preserve">règles </w:t>
      </w:r>
      <w:r>
        <w:t xml:space="preserve">de </w:t>
      </w:r>
      <w:r w:rsidRPr="00224468">
        <w:t xml:space="preserve">la protection contre la violence domestique </w:t>
      </w:r>
      <w:r>
        <w:t>de la part d’une personne qui fait ainsi craindre pour sa sécurité ou celle d’un proche à un membre de sa famille</w:t>
      </w:r>
      <w:r w:rsidRPr="00224468">
        <w:t xml:space="preserve">, ou place </w:t>
      </w:r>
      <w:r>
        <w:t xml:space="preserve">celui-ci </w:t>
      </w:r>
      <w:r w:rsidRPr="00224468">
        <w:t xml:space="preserve">dans une situation dégradante ou un état de souffrance </w:t>
      </w:r>
      <w:r>
        <w:t xml:space="preserve">prolongé. Cette disposition a été efficace pour prévenir les infractions graves de cette nature. </w:t>
      </w:r>
    </w:p>
    <w:p w14:paraId="6126EA67" w14:textId="7263CB1A" w:rsidR="000C1192" w:rsidRPr="00E37EBA" w:rsidRDefault="000C1192" w:rsidP="000C1192">
      <w:pPr>
        <w:pStyle w:val="SingleTxtG"/>
      </w:pPr>
      <w:r w:rsidRPr="006D7D7C">
        <w:t>147.</w:t>
      </w:r>
      <w:r w:rsidRPr="006D7D7C">
        <w:tab/>
      </w:r>
      <w:r w:rsidRPr="00994EEB">
        <w:rPr>
          <w:caps/>
        </w:rPr>
        <w:t>à</w:t>
      </w:r>
      <w:r>
        <w:t xml:space="preserve"> </w:t>
      </w:r>
      <w:r w:rsidRPr="00994EEB">
        <w:t xml:space="preserve">différents chapitres </w:t>
      </w:r>
      <w:r>
        <w:t xml:space="preserve">du </w:t>
      </w:r>
      <w:r w:rsidRPr="00994EEB">
        <w:t>Code pénal</w:t>
      </w:r>
      <w:r>
        <w:t xml:space="preserve">, </w:t>
      </w:r>
      <w:r w:rsidRPr="00994EEB">
        <w:t xml:space="preserve">des infractions pénales </w:t>
      </w:r>
      <w:r>
        <w:t xml:space="preserve">sont définies afin de </w:t>
      </w:r>
      <w:r w:rsidRPr="00994EEB">
        <w:t xml:space="preserve">protéger les membres de la famille </w:t>
      </w:r>
      <w:r w:rsidR="00E9221E">
        <w:t>−</w:t>
      </w:r>
      <w:r w:rsidRPr="00994EEB">
        <w:t xml:space="preserve"> </w:t>
      </w:r>
      <w:r>
        <w:t xml:space="preserve">infractions réprimant des atteintes au </w:t>
      </w:r>
      <w:r w:rsidRPr="00C83EA0">
        <w:t xml:space="preserve">mariage, </w:t>
      </w:r>
      <w:r>
        <w:t xml:space="preserve">à </w:t>
      </w:r>
      <w:r w:rsidRPr="00C83EA0">
        <w:t xml:space="preserve">la famille et </w:t>
      </w:r>
      <w:r>
        <w:t xml:space="preserve">aux </w:t>
      </w:r>
      <w:r w:rsidRPr="00C83EA0">
        <w:t xml:space="preserve">enfants. Le </w:t>
      </w:r>
      <w:r w:rsidRPr="00994EEB">
        <w:t xml:space="preserve">Code pénal </w:t>
      </w:r>
      <w:r>
        <w:t xml:space="preserve">comporte une définition des </w:t>
      </w:r>
      <w:r w:rsidRPr="00C83EA0">
        <w:t>membres de la famille</w:t>
      </w:r>
      <w:r w:rsidRPr="00535E17">
        <w:rPr>
          <w:rStyle w:val="Appelnotedebasdep"/>
        </w:rPr>
        <w:footnoteReference w:id="49"/>
      </w:r>
      <w:r w:rsidRPr="00C83EA0">
        <w:t xml:space="preserve">. </w:t>
      </w:r>
      <w:r>
        <w:t xml:space="preserve">Il </w:t>
      </w:r>
      <w:r w:rsidRPr="00C83EA0">
        <w:t xml:space="preserve">définit plusieurs infractions pénales </w:t>
      </w:r>
      <w:r>
        <w:t>dont il prévoit une forme aggravée si l’infraction est commise contre un proche</w:t>
      </w:r>
      <w:r w:rsidRPr="00C83EA0">
        <w:t>.</w:t>
      </w:r>
    </w:p>
    <w:p w14:paraId="2CFB67BB" w14:textId="77777777" w:rsidR="000C1192" w:rsidRPr="00C83EA0" w:rsidRDefault="000C1192" w:rsidP="000C1192">
      <w:pPr>
        <w:pStyle w:val="SingleTxtG"/>
      </w:pPr>
      <w:r w:rsidRPr="00A96180">
        <w:t>148.</w:t>
      </w:r>
      <w:r w:rsidRPr="00A96180">
        <w:tab/>
      </w:r>
      <w:r w:rsidRPr="00C83EA0">
        <w:t>L</w:t>
      </w:r>
      <w:r>
        <w:t xml:space="preserve">a loi sur la famille </w:t>
      </w:r>
      <w:r w:rsidRPr="00C83EA0">
        <w:t xml:space="preserve">définit la solidarité comme un principe fondamental de la vie familiale. La violence domestique constitue une </w:t>
      </w:r>
      <w:r>
        <w:t xml:space="preserve">atteinte </w:t>
      </w:r>
      <w:r w:rsidRPr="00C83EA0">
        <w:t xml:space="preserve">particulièrement grave </w:t>
      </w:r>
      <w:r>
        <w:t xml:space="preserve">à </w:t>
      </w:r>
      <w:r w:rsidRPr="00C83EA0">
        <w:t>ce principe.</w:t>
      </w:r>
    </w:p>
    <w:p w14:paraId="43C74EF8" w14:textId="77777777" w:rsidR="000C1192" w:rsidRPr="00C83EA0" w:rsidRDefault="000C1192" w:rsidP="000C1192">
      <w:pPr>
        <w:pStyle w:val="SingleTxtG"/>
      </w:pPr>
      <w:r w:rsidRPr="006D0AD4">
        <w:t>149.</w:t>
      </w:r>
      <w:r w:rsidRPr="006D0AD4">
        <w:tab/>
      </w:r>
      <w:r w:rsidRPr="00C83EA0">
        <w:t>L</w:t>
      </w:r>
      <w:r>
        <w:t>a nouvelle</w:t>
      </w:r>
      <w:r w:rsidRPr="00C83EA0">
        <w:t xml:space="preserve"> </w:t>
      </w:r>
      <w:r>
        <w:t>loi de protection contre la violence domestique</w:t>
      </w:r>
      <w:r w:rsidRPr="00C83EA0">
        <w:t xml:space="preserve"> (2018) définit les droits des victimes de </w:t>
      </w:r>
      <w:r>
        <w:t xml:space="preserve">cette </w:t>
      </w:r>
      <w:r w:rsidRPr="00C83EA0">
        <w:t>violence</w:t>
      </w:r>
      <w:r>
        <w:t xml:space="preserve"> et la portée individuelle de </w:t>
      </w:r>
      <w:r w:rsidRPr="00C83EA0">
        <w:t>la loi</w:t>
      </w:r>
      <w:r>
        <w:t xml:space="preserve">, énonce </w:t>
      </w:r>
      <w:r w:rsidRPr="00C83EA0">
        <w:t xml:space="preserve">les formes </w:t>
      </w:r>
      <w:r>
        <w:t xml:space="preserve">que peut revêtir la </w:t>
      </w:r>
      <w:r w:rsidRPr="00C83EA0">
        <w:t>violence domestique</w:t>
      </w:r>
      <w:r>
        <w:t xml:space="preserve"> et</w:t>
      </w:r>
      <w:r w:rsidRPr="00C83EA0">
        <w:t xml:space="preserve"> les </w:t>
      </w:r>
      <w:r>
        <w:t xml:space="preserve">mesures de protection susceptibles d’être imposées, et oblige à recueillir des </w:t>
      </w:r>
      <w:r w:rsidRPr="00C83EA0">
        <w:t>données sur l</w:t>
      </w:r>
      <w:r>
        <w:t>’</w:t>
      </w:r>
      <w:r w:rsidRPr="00C83EA0">
        <w:t xml:space="preserve">application de la loi. Les autorités compétentes </w:t>
      </w:r>
      <w:r>
        <w:t xml:space="preserve">doivent traiter les </w:t>
      </w:r>
      <w:r w:rsidRPr="00C83EA0">
        <w:t>victime</w:t>
      </w:r>
      <w:r>
        <w:t>s</w:t>
      </w:r>
      <w:r w:rsidRPr="00C83EA0">
        <w:t xml:space="preserve"> de la violence domestique avec </w:t>
      </w:r>
      <w:r>
        <w:t xml:space="preserve">des précautions particulières </w:t>
      </w:r>
      <w:r w:rsidRPr="00C83EA0">
        <w:t xml:space="preserve">et </w:t>
      </w:r>
      <w:r>
        <w:t xml:space="preserve">prendre les mesures qui s’imposent afin que les droits des victimes soient respectés, tout particulièrement s’il s’agit d’un enfant, d’une </w:t>
      </w:r>
      <w:r w:rsidRPr="00C83EA0">
        <w:t xml:space="preserve">personne handicapée ou </w:t>
      </w:r>
      <w:r>
        <w:t xml:space="preserve">d’une </w:t>
      </w:r>
      <w:r w:rsidRPr="00C83EA0">
        <w:t xml:space="preserve">personne âgée. </w:t>
      </w:r>
      <w:r>
        <w:t xml:space="preserve">Les </w:t>
      </w:r>
      <w:r w:rsidRPr="00C83EA0">
        <w:t xml:space="preserve">autorités compétentes </w:t>
      </w:r>
      <w:r>
        <w:t xml:space="preserve">sont tenues d’agir avec des précautions particulières à l’égard des enfants </w:t>
      </w:r>
      <w:r w:rsidRPr="00C83EA0">
        <w:t>victime</w:t>
      </w:r>
      <w:r>
        <w:t xml:space="preserve">s, compte tenu de leur </w:t>
      </w:r>
      <w:r w:rsidRPr="00C83EA0">
        <w:t xml:space="preserve">âge, de </w:t>
      </w:r>
      <w:r>
        <w:t xml:space="preserve">leur </w:t>
      </w:r>
      <w:r w:rsidRPr="00C83EA0">
        <w:t xml:space="preserve">personnalité et de </w:t>
      </w:r>
      <w:r>
        <w:t xml:space="preserve">leur </w:t>
      </w:r>
      <w:r w:rsidRPr="00C83EA0">
        <w:t xml:space="preserve">situation personnelle et familiale, </w:t>
      </w:r>
      <w:r>
        <w:t xml:space="preserve">de façon à </w:t>
      </w:r>
      <w:r w:rsidRPr="00C83EA0">
        <w:t xml:space="preserve">éviter </w:t>
      </w:r>
      <w:r>
        <w:t xml:space="preserve">toute </w:t>
      </w:r>
      <w:r w:rsidRPr="00C83EA0">
        <w:t xml:space="preserve">conséquence néfaste pour </w:t>
      </w:r>
      <w:r>
        <w:t xml:space="preserve">leur </w:t>
      </w:r>
      <w:r w:rsidRPr="00C83EA0">
        <w:t xml:space="preserve">éducation et </w:t>
      </w:r>
      <w:r>
        <w:t>leur épanouissement</w:t>
      </w:r>
      <w:r w:rsidRPr="00C83EA0">
        <w:t>.</w:t>
      </w:r>
    </w:p>
    <w:p w14:paraId="502D585C" w14:textId="7DCB2A50" w:rsidR="000C1192" w:rsidRPr="006C5A31" w:rsidRDefault="000C1192" w:rsidP="000C1192">
      <w:pPr>
        <w:pStyle w:val="SingleTxtG"/>
      </w:pPr>
      <w:r w:rsidRPr="006C5A31">
        <w:t>150.</w:t>
      </w:r>
      <w:r w:rsidRPr="006C5A31">
        <w:tab/>
        <w:t>L</w:t>
      </w:r>
      <w:r>
        <w:t>’</w:t>
      </w:r>
      <w:r w:rsidR="00A858B3">
        <w:t>article </w:t>
      </w:r>
      <w:r w:rsidRPr="006C5A31">
        <w:t xml:space="preserve">4 de </w:t>
      </w:r>
      <w:r>
        <w:t>la loi de protection contre la violence domestique</w:t>
      </w:r>
      <w:r w:rsidRPr="006C5A31">
        <w:t xml:space="preserve"> </w:t>
      </w:r>
      <w:r>
        <w:t xml:space="preserve">dispose </w:t>
      </w:r>
      <w:r w:rsidRPr="006C5A31">
        <w:t xml:space="preserve">que </w:t>
      </w:r>
      <w:r>
        <w:t xml:space="preserve">toutes les instances compétentes pour lutter contre celle-ci </w:t>
      </w:r>
      <w:r w:rsidRPr="006C5A31">
        <w:t>sont tenu</w:t>
      </w:r>
      <w:r>
        <w:t>e</w:t>
      </w:r>
      <w:r w:rsidRPr="006C5A31">
        <w:t xml:space="preserve">s </w:t>
      </w:r>
      <w:r>
        <w:t>d’agir en urgence</w:t>
      </w:r>
      <w:r w:rsidRPr="006C5A31">
        <w:t xml:space="preserve">. </w:t>
      </w:r>
      <w:r>
        <w:t xml:space="preserve">Ces instances </w:t>
      </w:r>
      <w:r w:rsidRPr="006C5A31">
        <w:t>ont le devoir d</w:t>
      </w:r>
      <w:r>
        <w:t>’</w:t>
      </w:r>
      <w:r w:rsidRPr="006C5A31">
        <w:t xml:space="preserve">informer sans délai le </w:t>
      </w:r>
      <w:r>
        <w:t>centre de protection sociale concerné</w:t>
      </w:r>
      <w:r w:rsidRPr="006C5A31">
        <w:t xml:space="preserve"> des faits et circonstances qui ont contribué </w:t>
      </w:r>
      <w:r>
        <w:t xml:space="preserve">à l’acte de </w:t>
      </w:r>
      <w:r w:rsidRPr="006C5A31">
        <w:t>violence domestique</w:t>
      </w:r>
      <w:r>
        <w:t xml:space="preserve"> ou conduit à sa commission</w:t>
      </w:r>
      <w:r w:rsidRPr="006C5A31">
        <w:t xml:space="preserve">, </w:t>
      </w:r>
      <w:r>
        <w:t xml:space="preserve">afin que le centre prenne les </w:t>
      </w:r>
      <w:r w:rsidRPr="006C5A31">
        <w:t xml:space="preserve">mesures </w:t>
      </w:r>
      <w:r>
        <w:t>appropriées dans son domaine de compétence</w:t>
      </w:r>
      <w:r w:rsidRPr="006C5A31">
        <w:t>.</w:t>
      </w:r>
    </w:p>
    <w:p w14:paraId="76A39A35" w14:textId="77777777" w:rsidR="000C1192" w:rsidRPr="006C5A31" w:rsidRDefault="000C1192" w:rsidP="000C1192">
      <w:pPr>
        <w:pStyle w:val="SingleTxtG"/>
      </w:pPr>
      <w:r w:rsidRPr="006C5A31">
        <w:t>151.</w:t>
      </w:r>
      <w:r w:rsidRPr="006C5A31">
        <w:tab/>
      </w:r>
      <w:r>
        <w:t>La nouvelle loi de protection contre la violence domestique</w:t>
      </w:r>
      <w:r w:rsidRPr="006C5A31">
        <w:t xml:space="preserve"> définit la </w:t>
      </w:r>
      <w:r>
        <w:t xml:space="preserve">notion de </w:t>
      </w:r>
      <w:r w:rsidRPr="006C5A31">
        <w:t>victime de la violence domestique</w:t>
      </w:r>
      <w:r>
        <w:t xml:space="preserve">, et en énumérant expressément les droits de la victime, renforce sa position dans la procédure, lui </w:t>
      </w:r>
      <w:r w:rsidRPr="006C5A31">
        <w:t xml:space="preserve">permet </w:t>
      </w:r>
      <w:r>
        <w:t xml:space="preserve">d’être associée </w:t>
      </w:r>
      <w:r w:rsidRPr="006C5A31">
        <w:t xml:space="preserve">activement aux </w:t>
      </w:r>
      <w:r>
        <w:t xml:space="preserve">mesures de procédure </w:t>
      </w:r>
      <w:r w:rsidRPr="006C5A31">
        <w:t xml:space="preserve">prises par les autorités compétentes </w:t>
      </w:r>
      <w:r>
        <w:t xml:space="preserve">pour la protéger et </w:t>
      </w:r>
      <w:r w:rsidRPr="006C5A31">
        <w:t xml:space="preserve">sanctionner </w:t>
      </w:r>
      <w:r>
        <w:t>l’</w:t>
      </w:r>
      <w:r w:rsidRPr="006C5A31">
        <w:t xml:space="preserve">auteur, et </w:t>
      </w:r>
      <w:r>
        <w:t xml:space="preserve">lui évite de subir un nouveau </w:t>
      </w:r>
      <w:r w:rsidRPr="006C5A31">
        <w:t xml:space="preserve">traumatisme </w:t>
      </w:r>
      <w:r>
        <w:t>ou</w:t>
      </w:r>
      <w:r w:rsidRPr="006C5A31">
        <w:t xml:space="preserve"> </w:t>
      </w:r>
      <w:r>
        <w:t xml:space="preserve">une </w:t>
      </w:r>
      <w:r w:rsidRPr="006C5A31">
        <w:t xml:space="preserve">victimisation secondaire </w:t>
      </w:r>
      <w:r>
        <w:t xml:space="preserve">pendant </w:t>
      </w:r>
      <w:r w:rsidRPr="006C5A31">
        <w:t xml:space="preserve">la procédure. La partie lésée </w:t>
      </w:r>
      <w:r>
        <w:t>peut ainsi prendre une part active à la procédure</w:t>
      </w:r>
      <w:r w:rsidRPr="006C5A31">
        <w:t>.</w:t>
      </w:r>
    </w:p>
    <w:p w14:paraId="7D5FECD2" w14:textId="77777777" w:rsidR="000C1192" w:rsidRPr="006C5A31" w:rsidRDefault="000C1192" w:rsidP="000C1192">
      <w:pPr>
        <w:pStyle w:val="SingleTxtG"/>
      </w:pPr>
      <w:r w:rsidRPr="006C5A31">
        <w:t>152.</w:t>
      </w:r>
      <w:r w:rsidRPr="006C5A31">
        <w:tab/>
        <w:t xml:space="preserve">Le nouveau Protocole </w:t>
      </w:r>
      <w:r>
        <w:t xml:space="preserve">d’intervention en cas </w:t>
      </w:r>
      <w:r w:rsidRPr="006C5A31">
        <w:t xml:space="preserve">de violence domestique (2019) garantit une approche intégrée </w:t>
      </w:r>
      <w:r>
        <w:t>reposant sur</w:t>
      </w:r>
      <w:r w:rsidRPr="006C5A31">
        <w:t xml:space="preserve"> une action interministérielle de toutes les </w:t>
      </w:r>
      <w:r>
        <w:t xml:space="preserve">parties s’occupant de protéger les </w:t>
      </w:r>
      <w:r w:rsidRPr="006C5A31">
        <w:t>victimes de violence.</w:t>
      </w:r>
    </w:p>
    <w:p w14:paraId="640D2102" w14:textId="789B5845" w:rsidR="000C1192" w:rsidRPr="009A4E17" w:rsidRDefault="000C1192" w:rsidP="000C1192">
      <w:pPr>
        <w:pStyle w:val="SingleTxtG"/>
        <w:rPr>
          <w:rStyle w:val="Appelnotedebasdep"/>
          <w:color w:val="000000" w:themeColor="text1"/>
        </w:rPr>
      </w:pPr>
      <w:r w:rsidRPr="006C5A31">
        <w:lastRenderedPageBreak/>
        <w:t>153.</w:t>
      </w:r>
      <w:r w:rsidRPr="006C5A31">
        <w:tab/>
        <w:t>Les demandeurs d</w:t>
      </w:r>
      <w:r>
        <w:t>’</w:t>
      </w:r>
      <w:r w:rsidRPr="006C5A31">
        <w:t xml:space="preserve">asile, conformément à </w:t>
      </w:r>
      <w:r>
        <w:t>la l</w:t>
      </w:r>
      <w:r w:rsidRPr="00656223">
        <w:t>oi sur la protection internationale et subsidiaire</w:t>
      </w:r>
      <w:r>
        <w:t>,</w:t>
      </w:r>
      <w:r w:rsidRPr="00656223">
        <w:t xml:space="preserve"> </w:t>
      </w:r>
      <w:r w:rsidRPr="006C5A31">
        <w:t xml:space="preserve">ont droit au séjour, à la liberté de circulation </w:t>
      </w:r>
      <w:r>
        <w:t>en République de Croatie</w:t>
      </w:r>
      <w:r w:rsidRPr="006C5A31">
        <w:t xml:space="preserve">, </w:t>
      </w:r>
      <w:r>
        <w:t xml:space="preserve">à des </w:t>
      </w:r>
      <w:r w:rsidRPr="006C5A31">
        <w:t>conditions matérielles d</w:t>
      </w:r>
      <w:r>
        <w:t>’</w:t>
      </w:r>
      <w:r w:rsidRPr="006C5A31">
        <w:t>accueil appropriées, aux soins de santé, à l</w:t>
      </w:r>
      <w:r>
        <w:t>’</w:t>
      </w:r>
      <w:r w:rsidRPr="006C5A31">
        <w:t>enseignement primaire et secondaire, à l</w:t>
      </w:r>
      <w:r>
        <w:t>’</w:t>
      </w:r>
      <w:r w:rsidRPr="006C5A31">
        <w:t>information, aux conseils juridiques et à l</w:t>
      </w:r>
      <w:r>
        <w:t>’aide</w:t>
      </w:r>
      <w:r w:rsidRPr="006C5A31">
        <w:t xml:space="preserve"> </w:t>
      </w:r>
      <w:r>
        <w:t xml:space="preserve">juridictionnelle </w:t>
      </w:r>
      <w:r w:rsidRPr="006C5A31">
        <w:t xml:space="preserve">gratuite, à la liberté de religion, </w:t>
      </w:r>
      <w:r>
        <w:t xml:space="preserve">au </w:t>
      </w:r>
      <w:r w:rsidRPr="006C5A31">
        <w:t xml:space="preserve">travail et </w:t>
      </w:r>
      <w:r>
        <w:t>à des papiers</w:t>
      </w:r>
      <w:r w:rsidRPr="006C5A31">
        <w:t>. Les demandeurs d</w:t>
      </w:r>
      <w:r>
        <w:t>’</w:t>
      </w:r>
      <w:r w:rsidRPr="006C5A31">
        <w:t xml:space="preserve">asile et les étrangers sous protection subsidiaire ont droit au séjour en </w:t>
      </w:r>
      <w:r>
        <w:t>République de Croatie</w:t>
      </w:r>
      <w:r w:rsidRPr="006C5A31">
        <w:t>, au regroupement familial, au logement, au travail, aux soins de santé, à l</w:t>
      </w:r>
      <w:r>
        <w:t>’</w:t>
      </w:r>
      <w:r w:rsidRPr="006C5A31">
        <w:t>éducation, à la liberté de religion, à l</w:t>
      </w:r>
      <w:r>
        <w:t>’aide</w:t>
      </w:r>
      <w:r w:rsidRPr="006C5A31">
        <w:t xml:space="preserve"> </w:t>
      </w:r>
      <w:r>
        <w:t xml:space="preserve">juridictionnelle </w:t>
      </w:r>
      <w:r w:rsidRPr="006C5A31">
        <w:t>gratuite, à la protection sociale, à l</w:t>
      </w:r>
      <w:r>
        <w:t>’</w:t>
      </w:r>
      <w:r w:rsidRPr="006C5A31">
        <w:t>aide à l</w:t>
      </w:r>
      <w:r>
        <w:t>’</w:t>
      </w:r>
      <w:r w:rsidRPr="006C5A31">
        <w:t xml:space="preserve">intégration sociale, à la propriété </w:t>
      </w:r>
      <w:r>
        <w:t>(</w:t>
      </w:r>
      <w:r w:rsidRPr="006C5A31">
        <w:t>conformément à la Convention relative au statut des réfugiés de 1951</w:t>
      </w:r>
      <w:r>
        <w:t>)</w:t>
      </w:r>
      <w:r w:rsidRPr="006C5A31">
        <w:t xml:space="preserve"> et à l</w:t>
      </w:r>
      <w:r>
        <w:t>’</w:t>
      </w:r>
      <w:r w:rsidRPr="006C5A31">
        <w:t xml:space="preserve">acquisition de la citoyenneté croate. Ils ont droit également pendant deux ans à un hébergement </w:t>
      </w:r>
      <w:r>
        <w:t xml:space="preserve">dont </w:t>
      </w:r>
      <w:r w:rsidRPr="006C5A31">
        <w:t>l</w:t>
      </w:r>
      <w:r>
        <w:t>’</w:t>
      </w:r>
      <w:r w:rsidRPr="006C5A31">
        <w:t>État</w:t>
      </w:r>
      <w:r>
        <w:t xml:space="preserve"> prend le coût à sa charge</w:t>
      </w:r>
      <w:r w:rsidRPr="006C5A31">
        <w:t xml:space="preserve">. Pour </w:t>
      </w:r>
      <w:r>
        <w:t xml:space="preserve">de plus amples renseignements </w:t>
      </w:r>
      <w:r w:rsidRPr="006C5A31">
        <w:t>sur les droits des demandeurs d</w:t>
      </w:r>
      <w:r>
        <w:t>’</w:t>
      </w:r>
      <w:r w:rsidRPr="006C5A31">
        <w:t xml:space="preserve">asile, voir </w:t>
      </w:r>
      <w:r>
        <w:t xml:space="preserve">les </w:t>
      </w:r>
      <w:r w:rsidR="00A858B3">
        <w:t>paragraphes </w:t>
      </w:r>
      <w:r w:rsidRPr="006C5A31">
        <w:t>118</w:t>
      </w:r>
      <w:r>
        <w:t xml:space="preserve"> à </w:t>
      </w:r>
      <w:r w:rsidRPr="006C5A31">
        <w:t xml:space="preserve">128 </w:t>
      </w:r>
      <w:r>
        <w:t xml:space="preserve">du </w:t>
      </w:r>
      <w:r w:rsidRPr="008C6EF8">
        <w:t>ra</w:t>
      </w:r>
      <w:r>
        <w:t xml:space="preserve">pport de la République de Croatie au titre du troisième cycle de l’EPU </w:t>
      </w:r>
      <w:r w:rsidRPr="006C5A31">
        <w:t>(</w:t>
      </w:r>
      <w:hyperlink r:id="rId20" w:history="1">
        <w:r w:rsidR="00EE6A74" w:rsidRPr="00C16D9E">
          <w:rPr>
            <w:rStyle w:val="Lienhypertexte"/>
            <w:color w:val="auto"/>
          </w:rPr>
          <w:t>A/HRC/WG.6/36/HRV/1</w:t>
        </w:r>
      </w:hyperlink>
      <w:r w:rsidRPr="006C5A31">
        <w:t>)</w:t>
      </w:r>
      <w:r w:rsidRPr="00535E17">
        <w:rPr>
          <w:rStyle w:val="Appelnotedebasdep"/>
        </w:rPr>
        <w:footnoteReference w:id="50"/>
      </w:r>
      <w:r w:rsidRPr="009A4E17">
        <w:t xml:space="preserve">. </w:t>
      </w:r>
    </w:p>
    <w:p w14:paraId="66B83925" w14:textId="14DBDDCC" w:rsidR="000C1192" w:rsidRPr="00993347" w:rsidRDefault="000C1192" w:rsidP="000C1192">
      <w:pPr>
        <w:pStyle w:val="SingleTxtG"/>
      </w:pPr>
      <w:r w:rsidRPr="00993347">
        <w:t>154.</w:t>
      </w:r>
      <w:r w:rsidRPr="00993347">
        <w:tab/>
        <w:t xml:space="preserve">On trouvera </w:t>
      </w:r>
      <w:r>
        <w:t>à l’a</w:t>
      </w:r>
      <w:r w:rsidRPr="00993347">
        <w:t>nnexe</w:t>
      </w:r>
      <w:r w:rsidR="00E9221E">
        <w:t> </w:t>
      </w:r>
      <w:r w:rsidRPr="00993347">
        <w:t xml:space="preserve">9 </w:t>
      </w:r>
      <w:r>
        <w:t xml:space="preserve">du présent rapport des </w:t>
      </w:r>
      <w:r w:rsidRPr="00993347">
        <w:t xml:space="preserve">statistiques </w:t>
      </w:r>
      <w:r>
        <w:t>concernant l’application de la loi de protection contre la violence domestique</w:t>
      </w:r>
      <w:r w:rsidRPr="00993347">
        <w:t xml:space="preserve"> </w:t>
      </w:r>
      <w:r>
        <w:t>et les infractions pénales commises.</w:t>
      </w:r>
    </w:p>
    <w:p w14:paraId="44751E1A" w14:textId="19E5C335" w:rsidR="000C1192" w:rsidRPr="00B267E9" w:rsidRDefault="000C1192" w:rsidP="000C1192">
      <w:pPr>
        <w:pStyle w:val="SingleTxtG"/>
      </w:pPr>
      <w:r w:rsidRPr="007206BB">
        <w:t>155.</w:t>
      </w:r>
      <w:r w:rsidRPr="007206BB">
        <w:tab/>
      </w:r>
      <w:r>
        <w:t xml:space="preserve">La </w:t>
      </w:r>
      <w:r w:rsidRPr="00B267E9">
        <w:t>Stratégie nationale pour la protection contre la violence domestique (2011</w:t>
      </w:r>
      <w:r w:rsidR="00E9221E">
        <w:noBreakHyphen/>
      </w:r>
      <w:r w:rsidRPr="00B267E9">
        <w:t>2016</w:t>
      </w:r>
      <w:r>
        <w:t>,</w:t>
      </w:r>
      <w:r w:rsidRPr="00B267E9">
        <w:t xml:space="preserve"> 2017</w:t>
      </w:r>
      <w:r w:rsidR="00E9221E">
        <w:noBreakHyphen/>
      </w:r>
      <w:r w:rsidRPr="00B267E9">
        <w:t>2022)</w:t>
      </w:r>
      <w:r>
        <w:t xml:space="preserve"> </w:t>
      </w:r>
      <w:r w:rsidRPr="00B267E9">
        <w:t xml:space="preserve">définit </w:t>
      </w:r>
      <w:r>
        <w:t>sept</w:t>
      </w:r>
      <w:r w:rsidRPr="00B267E9">
        <w:t xml:space="preserve"> domaines d</w:t>
      </w:r>
      <w:r>
        <w:t>’</w:t>
      </w:r>
      <w:r w:rsidRPr="00B267E9">
        <w:t>action, dont la prévention, le cadre législatif</w:t>
      </w:r>
      <w:r>
        <w:t xml:space="preserve">, </w:t>
      </w:r>
      <w:r w:rsidRPr="00B267E9">
        <w:t xml:space="preserve">la coopération internationale, la formation des professionnels, les soins </w:t>
      </w:r>
      <w:r>
        <w:t xml:space="preserve">et l’aide </w:t>
      </w:r>
      <w:r w:rsidRPr="00B267E9">
        <w:t>aux victimes, le traitement psychosocial des auteurs et la sensibilisation du public.</w:t>
      </w:r>
    </w:p>
    <w:p w14:paraId="5C10A73B" w14:textId="77777777" w:rsidR="000C1192" w:rsidRPr="00B267E9" w:rsidRDefault="000C1192" w:rsidP="000C1192">
      <w:pPr>
        <w:pStyle w:val="SingleTxtG"/>
      </w:pPr>
      <w:r w:rsidRPr="00B267E9">
        <w:t>156.</w:t>
      </w:r>
      <w:r w:rsidRPr="00B267E9">
        <w:tab/>
        <w:t xml:space="preserve">Toutes les données sur les services de conseil </w:t>
      </w:r>
      <w:r>
        <w:t xml:space="preserve">et les centres d’accueil </w:t>
      </w:r>
      <w:r w:rsidRPr="00B267E9">
        <w:t xml:space="preserve">pour les victimes de violence </w:t>
      </w:r>
      <w:r>
        <w:t xml:space="preserve">peuvent être consultées </w:t>
      </w:r>
      <w:r w:rsidRPr="00B267E9">
        <w:t xml:space="preserve">sur le site </w:t>
      </w:r>
      <w:r>
        <w:t>W</w:t>
      </w:r>
      <w:r w:rsidRPr="00B267E9">
        <w:t xml:space="preserve">eb du </w:t>
      </w:r>
      <w:r>
        <w:t>M</w:t>
      </w:r>
      <w:r w:rsidRPr="00B267E9">
        <w:t>inistère de l</w:t>
      </w:r>
      <w:r>
        <w:t>’</w:t>
      </w:r>
      <w:r w:rsidRPr="00B267E9">
        <w:t>intérieur</w:t>
      </w:r>
      <w:r>
        <w:t xml:space="preserve">, où on trouvera un </w:t>
      </w:r>
      <w:r w:rsidRPr="00B267E9">
        <w:t>carnet d</w:t>
      </w:r>
      <w:r>
        <w:t>’</w:t>
      </w:r>
      <w:r w:rsidRPr="00B267E9">
        <w:t xml:space="preserve">adresses des institutions, organisations et autres institutions </w:t>
      </w:r>
      <w:r>
        <w:t xml:space="preserve">chargées de porter assistance </w:t>
      </w:r>
      <w:r w:rsidRPr="00B267E9">
        <w:t>aux victimes de violence domestique</w:t>
      </w:r>
      <w:r>
        <w:t xml:space="preserve"> et de les protéger</w:t>
      </w:r>
      <w:r w:rsidRPr="00B267E9">
        <w:t>.</w:t>
      </w:r>
    </w:p>
    <w:p w14:paraId="05EC6FD5" w14:textId="2231A320" w:rsidR="000C1192" w:rsidRPr="00B267E9" w:rsidRDefault="000C1192" w:rsidP="000C1192">
      <w:pPr>
        <w:pStyle w:val="SingleTxtG"/>
      </w:pPr>
      <w:r w:rsidRPr="00B267E9">
        <w:t>157.</w:t>
      </w:r>
      <w:r w:rsidRPr="00B267E9">
        <w:tab/>
        <w:t>Pour répondre aux besoins d</w:t>
      </w:r>
      <w:r>
        <w:t>’</w:t>
      </w:r>
      <w:r w:rsidRPr="00B267E9">
        <w:t xml:space="preserve">hébergement et de soutien psychosocial des victimes de violence domestique </w:t>
      </w:r>
      <w:r>
        <w:t>au moment où elles sont en situation de vulnérabilité</w:t>
      </w:r>
      <w:r w:rsidRPr="00B267E9">
        <w:t>, 19</w:t>
      </w:r>
      <w:r w:rsidR="003C1DE9">
        <w:t> </w:t>
      </w:r>
      <w:r w:rsidRPr="00B267E9">
        <w:t>refuges ont été mis en place (</w:t>
      </w:r>
      <w:r>
        <w:t xml:space="preserve">dont </w:t>
      </w:r>
      <w:r w:rsidRPr="00B267E9">
        <w:t>17</w:t>
      </w:r>
      <w:r w:rsidR="003C1DE9">
        <w:t> </w:t>
      </w:r>
      <w:r w:rsidRPr="00B267E9">
        <w:t xml:space="preserve">financés par le </w:t>
      </w:r>
      <w:r>
        <w:t>M</w:t>
      </w:r>
      <w:r w:rsidRPr="00B267E9">
        <w:t xml:space="preserve">inistère chargé de la protection sociale </w:t>
      </w:r>
      <w:r>
        <w:t xml:space="preserve">pour un montant annuel </w:t>
      </w:r>
      <w:r w:rsidRPr="00B267E9">
        <w:t>de 6</w:t>
      </w:r>
      <w:r>
        <w:t>,</w:t>
      </w:r>
      <w:r w:rsidRPr="00B267E9">
        <w:t>5</w:t>
      </w:r>
      <w:r w:rsidR="003C1DE9">
        <w:t> </w:t>
      </w:r>
      <w:r>
        <w:t xml:space="preserve">millions de </w:t>
      </w:r>
      <w:r w:rsidRPr="00B267E9">
        <w:t xml:space="preserve">kunas). Ils </w:t>
      </w:r>
      <w:r>
        <w:t xml:space="preserve">sont accessibles </w:t>
      </w:r>
      <w:r w:rsidRPr="00B267E9">
        <w:t>24</w:t>
      </w:r>
      <w:r w:rsidR="003C1DE9">
        <w:t> </w:t>
      </w:r>
      <w:r w:rsidRPr="00B267E9">
        <w:t>heures sur 24 et 7</w:t>
      </w:r>
      <w:r w:rsidR="003C1DE9">
        <w:t> </w:t>
      </w:r>
      <w:r w:rsidRPr="00B267E9">
        <w:t>jours sur 7</w:t>
      </w:r>
      <w:r>
        <w:t xml:space="preserve"> en cas de nécessité pour les </w:t>
      </w:r>
      <w:r w:rsidRPr="00B267E9">
        <w:t xml:space="preserve">bénéficiaires et leurs enfants, à la demande de la police, du </w:t>
      </w:r>
      <w:r>
        <w:t xml:space="preserve">Centre de protection sociale </w:t>
      </w:r>
      <w:r w:rsidRPr="00B267E9">
        <w:t xml:space="preserve">et des victimes </w:t>
      </w:r>
      <w:r>
        <w:t xml:space="preserve">elles-mêmes face à une </w:t>
      </w:r>
      <w:r w:rsidRPr="00B267E9">
        <w:t xml:space="preserve">situation de crise. Six comtés </w:t>
      </w:r>
      <w:r>
        <w:t xml:space="preserve">sont dépourvus </w:t>
      </w:r>
      <w:r w:rsidRPr="00B267E9">
        <w:t>de refuge</w:t>
      </w:r>
      <w:r>
        <w:t>s</w:t>
      </w:r>
      <w:r w:rsidRPr="00B267E9">
        <w:t xml:space="preserve">, mais tous les comtés disposent de solutions temporaires pour </w:t>
      </w:r>
      <w:r>
        <w:t>assurer un refuge</w:t>
      </w:r>
      <w:r w:rsidRPr="00B267E9">
        <w:t xml:space="preserve">. Le ministère compétent a donc </w:t>
      </w:r>
      <w:r>
        <w:t xml:space="preserve">fait appel à un programme limité du FSE, « Offrir une structure </w:t>
      </w:r>
      <w:r w:rsidRPr="00B267E9">
        <w:t xml:space="preserve">de soutien aux femmes victimes de violence et aux victimes de </w:t>
      </w:r>
      <w:r>
        <w:t xml:space="preserve">la </w:t>
      </w:r>
      <w:r w:rsidRPr="00B267E9">
        <w:t>violence domestique</w:t>
      </w:r>
      <w:r>
        <w:t xml:space="preserve"> » </w:t>
      </w:r>
      <w:r w:rsidRPr="00B267E9">
        <w:t>pour aider ces comtés (</w:t>
      </w:r>
      <w:r>
        <w:t>pour l’</w:t>
      </w:r>
      <w:r w:rsidRPr="00B267E9">
        <w:t xml:space="preserve">aménagement paysager, </w:t>
      </w:r>
      <w:r>
        <w:t>l’</w:t>
      </w:r>
      <w:r w:rsidRPr="00B267E9">
        <w:t>achat d</w:t>
      </w:r>
      <w:r>
        <w:t>’</w:t>
      </w:r>
      <w:r w:rsidRPr="00B267E9">
        <w:t>équipement</w:t>
      </w:r>
      <w:r>
        <w:t>s et les</w:t>
      </w:r>
      <w:r w:rsidRPr="00B267E9">
        <w:t xml:space="preserve"> dépenses </w:t>
      </w:r>
      <w:r>
        <w:t>des refuges</w:t>
      </w:r>
      <w:r w:rsidRPr="00B267E9">
        <w:t xml:space="preserve">) </w:t>
      </w:r>
      <w:r>
        <w:t xml:space="preserve">à hauteur </w:t>
      </w:r>
      <w:r w:rsidRPr="00B267E9">
        <w:t>de 70</w:t>
      </w:r>
      <w:r w:rsidR="003C1DE9">
        <w:t> </w:t>
      </w:r>
      <w:r w:rsidRPr="00B267E9">
        <w:t>millions de kunas.</w:t>
      </w:r>
    </w:p>
    <w:p w14:paraId="5A8AF959" w14:textId="67CA3B61" w:rsidR="000C1192" w:rsidRPr="00B267E9" w:rsidRDefault="000C1192" w:rsidP="000C1192">
      <w:pPr>
        <w:pStyle w:val="SingleTxtG"/>
      </w:pPr>
      <w:r w:rsidRPr="00B267E9">
        <w:t>158.</w:t>
      </w:r>
      <w:r w:rsidRPr="00B267E9">
        <w:tab/>
      </w:r>
      <w:r w:rsidRPr="00295B02">
        <w:rPr>
          <w:caps/>
        </w:rPr>
        <w:t>à</w:t>
      </w:r>
      <w:r>
        <w:t xml:space="preserve"> l’occasion de </w:t>
      </w:r>
      <w:r w:rsidRPr="00B267E9">
        <w:t>la Journée internationale pour l</w:t>
      </w:r>
      <w:r>
        <w:t>’</w:t>
      </w:r>
      <w:r w:rsidRPr="00B267E9">
        <w:t>élimination de la violence à l</w:t>
      </w:r>
      <w:r>
        <w:t>’</w:t>
      </w:r>
      <w:r w:rsidRPr="00B267E9">
        <w:t>égard des femmes, le 25</w:t>
      </w:r>
      <w:r w:rsidR="003C1DE9">
        <w:t> </w:t>
      </w:r>
      <w:r w:rsidRPr="00B267E9">
        <w:t xml:space="preserve">novembre 2019, </w:t>
      </w:r>
      <w:r>
        <w:t>un</w:t>
      </w:r>
      <w:r w:rsidRPr="00B267E9">
        <w:t xml:space="preserve"> projet </w:t>
      </w:r>
      <w:r>
        <w:t xml:space="preserve">intitulé « Faire cesser </w:t>
      </w:r>
      <w:r w:rsidRPr="00B267E9">
        <w:t>la violence à l</w:t>
      </w:r>
      <w:r>
        <w:t>’</w:t>
      </w:r>
      <w:r w:rsidRPr="00B267E9">
        <w:t xml:space="preserve">égard des femmes et la violence domestique </w:t>
      </w:r>
      <w:r w:rsidR="003C1DE9">
        <w:t>−</w:t>
      </w:r>
      <w:r w:rsidRPr="00B267E9">
        <w:t xml:space="preserve"> Rien ne justifie la violence</w:t>
      </w:r>
      <w:r>
        <w:t> »</w:t>
      </w:r>
      <w:r w:rsidRPr="00B267E9">
        <w:t xml:space="preserve"> a été présenté, dans le but d</w:t>
      </w:r>
      <w:r>
        <w:t>e continuer d’</w:t>
      </w:r>
      <w:r w:rsidRPr="00B267E9">
        <w:t>améliorer le système de prévention et de protection.</w:t>
      </w:r>
    </w:p>
    <w:p w14:paraId="208CA34D" w14:textId="038036FD" w:rsidR="000C1192" w:rsidRPr="00B267E9" w:rsidRDefault="000C1192" w:rsidP="000C1192">
      <w:pPr>
        <w:pStyle w:val="SingleTxtG"/>
      </w:pPr>
      <w:r w:rsidRPr="00B267E9">
        <w:t>159.</w:t>
      </w:r>
      <w:r w:rsidRPr="00B267E9">
        <w:tab/>
      </w:r>
      <w:r>
        <w:t>L’</w:t>
      </w:r>
      <w:r w:rsidRPr="008103B1">
        <w:rPr>
          <w:caps/>
        </w:rPr>
        <w:t>é</w:t>
      </w:r>
      <w:r>
        <w:t>cole</w:t>
      </w:r>
      <w:r w:rsidRPr="00B267E9">
        <w:t xml:space="preserve"> de police du </w:t>
      </w:r>
      <w:r>
        <w:t xml:space="preserve">Ministère de l’intérieur </w:t>
      </w:r>
      <w:r w:rsidRPr="00B267E9">
        <w:t xml:space="preserve">forme les </w:t>
      </w:r>
      <w:r>
        <w:t xml:space="preserve">policiers à </w:t>
      </w:r>
      <w:r w:rsidRPr="00B267E9">
        <w:t xml:space="preserve">tous </w:t>
      </w:r>
      <w:r>
        <w:t xml:space="preserve">les </w:t>
      </w:r>
      <w:r w:rsidRPr="00B267E9">
        <w:t xml:space="preserve">niveaux </w:t>
      </w:r>
      <w:r>
        <w:t xml:space="preserve">d’éducation </w:t>
      </w:r>
      <w:r w:rsidRPr="00B267E9">
        <w:t>à traiter les cas de violence domestique</w:t>
      </w:r>
      <w:r>
        <w:t xml:space="preserve"> et</w:t>
      </w:r>
      <w:r w:rsidRPr="00B267E9">
        <w:t xml:space="preserve"> de violence à l</w:t>
      </w:r>
      <w:r>
        <w:t>’</w:t>
      </w:r>
      <w:r w:rsidRPr="00B267E9">
        <w:t xml:space="preserve">égard des femmes et des enfants. En 2019, trois programmes de formation </w:t>
      </w:r>
      <w:r>
        <w:t xml:space="preserve">continue </w:t>
      </w:r>
      <w:r w:rsidRPr="00B267E9">
        <w:t>(12</w:t>
      </w:r>
      <w:r w:rsidR="003C1DE9">
        <w:t> </w:t>
      </w:r>
      <w:r w:rsidRPr="00B267E9">
        <w:t xml:space="preserve">séminaires) ont été </w:t>
      </w:r>
      <w:r>
        <w:t xml:space="preserve">réalisés au profit de </w:t>
      </w:r>
      <w:r w:rsidRPr="00B267E9">
        <w:t>289</w:t>
      </w:r>
      <w:r w:rsidR="003C1DE9">
        <w:t> </w:t>
      </w:r>
      <w:r w:rsidRPr="00B267E9">
        <w:t xml:space="preserve">policiers. Le sujet est </w:t>
      </w:r>
      <w:r>
        <w:t>aussi</w:t>
      </w:r>
      <w:r w:rsidRPr="00B267E9">
        <w:t xml:space="preserve"> abordé dans le cadre de deux programmes d</w:t>
      </w:r>
      <w:r>
        <w:t>’</w:t>
      </w:r>
      <w:r w:rsidRPr="00B267E9">
        <w:t>études (4</w:t>
      </w:r>
      <w:r w:rsidR="003C1DE9">
        <w:t> </w:t>
      </w:r>
      <w:r w:rsidRPr="00B267E9">
        <w:t>cours) à l</w:t>
      </w:r>
      <w:r>
        <w:t>’</w:t>
      </w:r>
      <w:r w:rsidRPr="0079036A">
        <w:rPr>
          <w:caps/>
        </w:rPr>
        <w:t>é</w:t>
      </w:r>
      <w:r w:rsidRPr="00B267E9">
        <w:t xml:space="preserve">cole </w:t>
      </w:r>
      <w:r>
        <w:t xml:space="preserve">supérieure </w:t>
      </w:r>
      <w:r w:rsidRPr="00B267E9">
        <w:t xml:space="preserve">de police et de </w:t>
      </w:r>
      <w:r>
        <w:t>cinq</w:t>
      </w:r>
      <w:r w:rsidRPr="00B267E9">
        <w:t xml:space="preserve"> matières à l</w:t>
      </w:r>
      <w:r>
        <w:t>’</w:t>
      </w:r>
      <w:r w:rsidRPr="0079036A">
        <w:rPr>
          <w:caps/>
        </w:rPr>
        <w:t>é</w:t>
      </w:r>
      <w:r w:rsidRPr="00B267E9">
        <w:t>cole de police Josip</w:t>
      </w:r>
      <w:r w:rsidR="003C1DE9">
        <w:t> </w:t>
      </w:r>
      <w:r w:rsidRPr="00B267E9">
        <w:t>Jović.</w:t>
      </w:r>
    </w:p>
    <w:p w14:paraId="4E617DE4" w14:textId="432A5A5B" w:rsidR="000C1192" w:rsidRPr="00B267E9" w:rsidRDefault="000C1192" w:rsidP="000C1192">
      <w:pPr>
        <w:pStyle w:val="SingleTxtG"/>
      </w:pPr>
      <w:r w:rsidRPr="00B267E9">
        <w:t>160.</w:t>
      </w:r>
      <w:r w:rsidRPr="00B267E9">
        <w:tab/>
        <w:t>Le C</w:t>
      </w:r>
      <w:r>
        <w:t xml:space="preserve">ode pénal érige expressément en infraction la traite des </w:t>
      </w:r>
      <w:r w:rsidRPr="00B267E9">
        <w:t>êtres humains (</w:t>
      </w:r>
      <w:r w:rsidR="00A858B3">
        <w:t>art</w:t>
      </w:r>
      <w:r w:rsidR="003C1DE9">
        <w:t>.</w:t>
      </w:r>
      <w:r w:rsidR="00A858B3">
        <w:t> </w:t>
      </w:r>
      <w:r w:rsidRPr="00B267E9">
        <w:t xml:space="preserve">106), </w:t>
      </w:r>
      <w:r>
        <w:t xml:space="preserve">le </w:t>
      </w:r>
      <w:r w:rsidRPr="00B267E9">
        <w:t xml:space="preserve">trafic </w:t>
      </w:r>
      <w:r>
        <w:t xml:space="preserve">d’organes et </w:t>
      </w:r>
      <w:r w:rsidRPr="00B267E9">
        <w:t>d</w:t>
      </w:r>
      <w:r>
        <w:t>’</w:t>
      </w:r>
      <w:r w:rsidRPr="00B267E9">
        <w:t>embryons humains (</w:t>
      </w:r>
      <w:r w:rsidR="00A858B3">
        <w:t>art</w:t>
      </w:r>
      <w:r w:rsidR="003C1DE9">
        <w:t>.</w:t>
      </w:r>
      <w:r w:rsidR="00A858B3">
        <w:t> </w:t>
      </w:r>
      <w:r w:rsidRPr="00B267E9">
        <w:t xml:space="preserve">107) et </w:t>
      </w:r>
      <w:r>
        <w:t>l’</w:t>
      </w:r>
      <w:r w:rsidRPr="00B267E9">
        <w:t>esclavage (</w:t>
      </w:r>
      <w:r w:rsidR="00A858B3">
        <w:t>art</w:t>
      </w:r>
      <w:r w:rsidR="003C1DE9">
        <w:t>.</w:t>
      </w:r>
      <w:r w:rsidR="00A858B3">
        <w:t> </w:t>
      </w:r>
      <w:r w:rsidRPr="00B267E9">
        <w:t xml:space="preserve">105). Le </w:t>
      </w:r>
      <w:r>
        <w:t xml:space="preserve">Ministère de l’intérieur </w:t>
      </w:r>
      <w:r w:rsidRPr="00B267E9">
        <w:t>est l</w:t>
      </w:r>
      <w:r>
        <w:t>’</w:t>
      </w:r>
      <w:r w:rsidRPr="00B267E9">
        <w:t>organe compétent pour l</w:t>
      </w:r>
      <w:r>
        <w:t>’</w:t>
      </w:r>
      <w:r w:rsidRPr="00B267E9">
        <w:t xml:space="preserve">identification des victimes de la traite, tandis que le </w:t>
      </w:r>
      <w:r>
        <w:t>B</w:t>
      </w:r>
      <w:r w:rsidRPr="00B267E9">
        <w:t xml:space="preserve">ureau du procureur </w:t>
      </w:r>
      <w:r>
        <w:t>de l’État</w:t>
      </w:r>
      <w:r w:rsidRPr="00B267E9">
        <w:t xml:space="preserve">, organe judiciaire indépendant, prend des mesures et des </w:t>
      </w:r>
      <w:r>
        <w:t>dispositions</w:t>
      </w:r>
      <w:r w:rsidRPr="00B267E9">
        <w:t xml:space="preserve"> pour poursuivre les auteurs </w:t>
      </w:r>
      <w:r>
        <w:t xml:space="preserve">d’infractions liées à la traite </w:t>
      </w:r>
      <w:r w:rsidRPr="00B267E9">
        <w:t>et protéger les droits des victimes.</w:t>
      </w:r>
    </w:p>
    <w:p w14:paraId="0D276128" w14:textId="77777777" w:rsidR="000C1192" w:rsidRDefault="000C1192" w:rsidP="000C1192">
      <w:pPr>
        <w:pStyle w:val="SingleTxtG"/>
      </w:pPr>
      <w:r w:rsidRPr="00B267E9">
        <w:lastRenderedPageBreak/>
        <w:t>161.</w:t>
      </w:r>
      <w:r w:rsidRPr="00B267E9">
        <w:tab/>
        <w:t xml:space="preserve">Conformément </w:t>
      </w:r>
      <w:r>
        <w:t xml:space="preserve">à la Stratégie nationale </w:t>
      </w:r>
      <w:r w:rsidRPr="00B267E9">
        <w:t>d</w:t>
      </w:r>
      <w:r>
        <w:t>’</w:t>
      </w:r>
      <w:r w:rsidRPr="00B267E9">
        <w:t xml:space="preserve">inclusion des Roms </w:t>
      </w:r>
      <w:r>
        <w:t>(</w:t>
      </w:r>
      <w:r w:rsidRPr="00B267E9">
        <w:t>2013-2020</w:t>
      </w:r>
      <w:r>
        <w:t>)</w:t>
      </w:r>
      <w:r w:rsidRPr="00B267E9">
        <w:t xml:space="preserve"> et </w:t>
      </w:r>
      <w:r>
        <w:t>à son p</w:t>
      </w:r>
      <w:r w:rsidRPr="00B267E9">
        <w:t>lan d</w:t>
      </w:r>
      <w:r>
        <w:t>’</w:t>
      </w:r>
      <w:r w:rsidRPr="00B267E9">
        <w:t xml:space="preserve">action, la Direction de la police </w:t>
      </w:r>
      <w:r>
        <w:t>assure de façon permanente l’application du p</w:t>
      </w:r>
      <w:r w:rsidRPr="00B267E9">
        <w:t xml:space="preserve">rojet national de prévention </w:t>
      </w:r>
      <w:r>
        <w:t>« </w:t>
      </w:r>
      <w:r w:rsidRPr="00B267E9">
        <w:t>J</w:t>
      </w:r>
      <w:r>
        <w:t>’</w:t>
      </w:r>
      <w:r w:rsidRPr="00B267E9">
        <w:t>ai le choix</w:t>
      </w:r>
      <w:r>
        <w:t> »</w:t>
      </w:r>
      <w:r w:rsidRPr="00535E17">
        <w:rPr>
          <w:rStyle w:val="Appelnotedebasdep"/>
        </w:rPr>
        <w:footnoteReference w:id="51"/>
      </w:r>
      <w:r w:rsidRPr="00B267E9">
        <w:t xml:space="preserve"> depuis l</w:t>
      </w:r>
      <w:r>
        <w:t>’</w:t>
      </w:r>
      <w:r w:rsidRPr="00B267E9">
        <w:t>année scolaire 2012/13.</w:t>
      </w:r>
    </w:p>
    <w:p w14:paraId="3AC70064" w14:textId="77777777" w:rsidR="000C1192" w:rsidRDefault="000C1192" w:rsidP="000C1192">
      <w:pPr>
        <w:pStyle w:val="SingleTxtG"/>
      </w:pPr>
      <w:r w:rsidRPr="00B267E9">
        <w:t>162.</w:t>
      </w:r>
      <w:r w:rsidRPr="00B267E9">
        <w:tab/>
        <w:t xml:space="preserve">Le </w:t>
      </w:r>
      <w:r w:rsidRPr="00E335E6">
        <w:t>Bureau des droits de l</w:t>
      </w:r>
      <w:r>
        <w:t>’</w:t>
      </w:r>
      <w:r w:rsidRPr="00E335E6">
        <w:t xml:space="preserve">homme et des droits des minorités nationales </w:t>
      </w:r>
      <w:r w:rsidRPr="00B267E9">
        <w:t xml:space="preserve">coordonne </w:t>
      </w:r>
      <w:r>
        <w:t xml:space="preserve">l’action de la Commission nationale de la </w:t>
      </w:r>
      <w:r w:rsidRPr="00B267E9">
        <w:t xml:space="preserve">lutte contre la traite des êtres humains, </w:t>
      </w:r>
      <w:r>
        <w:t>à laquelle sont représentés les organes et les organismes chargés de la lutte contre ce phénomène</w:t>
      </w:r>
      <w:r w:rsidRPr="00B267E9">
        <w:t>.</w:t>
      </w:r>
    </w:p>
    <w:p w14:paraId="7F66D364" w14:textId="77777777" w:rsidR="000C1192" w:rsidRPr="007206BB" w:rsidRDefault="000C1192" w:rsidP="000C1192">
      <w:pPr>
        <w:pStyle w:val="SingleTxtG"/>
      </w:pPr>
      <w:r w:rsidRPr="007206BB">
        <w:t>163.</w:t>
      </w:r>
      <w:r w:rsidRPr="007206BB">
        <w:tab/>
        <w:t>Le système de protection sociale fait partie intégrante du mécanisme national de lutte contre la traite des êtres humains</w:t>
      </w:r>
      <w:r>
        <w:t xml:space="preserve">, et à ce titre, il est opérant aux échelons national et régional et à celui des comtés. Il compte </w:t>
      </w:r>
      <w:r w:rsidRPr="007206BB">
        <w:t xml:space="preserve">deux refuges pour les victimes de la traite, </w:t>
      </w:r>
      <w:r>
        <w:t xml:space="preserve">l’un </w:t>
      </w:r>
      <w:r w:rsidRPr="007206BB">
        <w:t>pour l</w:t>
      </w:r>
      <w:r>
        <w:t>’</w:t>
      </w:r>
      <w:r w:rsidRPr="007206BB">
        <w:t>hébergement des adultes et l</w:t>
      </w:r>
      <w:r>
        <w:t>’</w:t>
      </w:r>
      <w:r w:rsidRPr="007206BB">
        <w:t xml:space="preserve">autre pour </w:t>
      </w:r>
      <w:r>
        <w:t xml:space="preserve">celui </w:t>
      </w:r>
      <w:r w:rsidRPr="007206BB">
        <w:t xml:space="preserve">des mineurs. Les refuges sont gérés par des ONG de lutte contre la traite des êtres humains. </w:t>
      </w:r>
      <w:r>
        <w:t xml:space="preserve">Les dépenses de fonctionnement sont couvertes </w:t>
      </w:r>
      <w:r w:rsidRPr="007206BB">
        <w:t>par le système de protection sociale.</w:t>
      </w:r>
    </w:p>
    <w:p w14:paraId="26C8A614" w14:textId="7E2C05E0" w:rsidR="000C1192" w:rsidRPr="00CA27D8" w:rsidRDefault="000C1192" w:rsidP="003C1DE9">
      <w:pPr>
        <w:pStyle w:val="H1G"/>
      </w:pPr>
      <w:r w:rsidRPr="00CA27D8">
        <w:tab/>
      </w:r>
      <w:r w:rsidRPr="00CA27D8">
        <w:tab/>
      </w:r>
      <w:r w:rsidR="00A858B3">
        <w:t>Article </w:t>
      </w:r>
      <w:r w:rsidRPr="00CA27D8">
        <w:t>11</w:t>
      </w:r>
      <w:r w:rsidR="003C1DE9">
        <w:t> </w:t>
      </w:r>
      <w:r w:rsidRPr="00CA27D8">
        <w:t>a)</w:t>
      </w:r>
    </w:p>
    <w:p w14:paraId="7A9825C1" w14:textId="4A658363" w:rsidR="000C1192" w:rsidRPr="00A00569" w:rsidRDefault="000C1192" w:rsidP="000C1192">
      <w:pPr>
        <w:pStyle w:val="SingleTxtG"/>
      </w:pPr>
      <w:r w:rsidRPr="00A00569">
        <w:t>164.</w:t>
      </w:r>
      <w:r w:rsidRPr="00A00569">
        <w:tab/>
      </w:r>
      <w:r>
        <w:t>Se reporter aux annexes</w:t>
      </w:r>
      <w:r w:rsidR="003C1DE9">
        <w:t> </w:t>
      </w:r>
      <w:r w:rsidRPr="00A00569">
        <w:t xml:space="preserve">3 </w:t>
      </w:r>
      <w:r>
        <w:t>(i</w:t>
      </w:r>
      <w:r w:rsidRPr="00A00569">
        <w:t>ndicateurs économiques</w:t>
      </w:r>
      <w:r>
        <w:t>)</w:t>
      </w:r>
      <w:r w:rsidRPr="00A00569">
        <w:t xml:space="preserve">, 3a </w:t>
      </w:r>
      <w:r>
        <w:t>(i</w:t>
      </w:r>
      <w:r w:rsidRPr="00A00569">
        <w:t>ndicateurs de pauvreté</w:t>
      </w:r>
      <w:r>
        <w:t>)</w:t>
      </w:r>
      <w:r w:rsidRPr="00A00569">
        <w:t>, 4</w:t>
      </w:r>
      <w:r w:rsidR="003C1DE9">
        <w:t> </w:t>
      </w:r>
      <w:r>
        <w:t>(e</w:t>
      </w:r>
      <w:r w:rsidRPr="00A00569">
        <w:t>nquête sur les revenus</w:t>
      </w:r>
      <w:r>
        <w:t>)</w:t>
      </w:r>
      <w:r w:rsidRPr="00A00569">
        <w:t xml:space="preserve">, 4a </w:t>
      </w:r>
      <w:r>
        <w:t>(correctif à l’</w:t>
      </w:r>
      <w:r w:rsidRPr="00A00569">
        <w:t>enquête sur les revenus</w:t>
      </w:r>
      <w:r>
        <w:t>)</w:t>
      </w:r>
      <w:r w:rsidRPr="00A00569">
        <w:t xml:space="preserve"> et 4b </w:t>
      </w:r>
      <w:r>
        <w:t>(g</w:t>
      </w:r>
      <w:r w:rsidRPr="00A00569">
        <w:t>raphiques de l</w:t>
      </w:r>
      <w:r>
        <w:t>’</w:t>
      </w:r>
      <w:r w:rsidRPr="00A00569">
        <w:t>enquête sur les revenus</w:t>
      </w:r>
      <w:r>
        <w:t>) du présent rapport</w:t>
      </w:r>
      <w:r w:rsidRPr="00A00569">
        <w:t>.</w:t>
      </w:r>
    </w:p>
    <w:p w14:paraId="39ED4ACF" w14:textId="026F8DA1" w:rsidR="000C1192" w:rsidRPr="00C77E68" w:rsidRDefault="000C1192" w:rsidP="000C1192">
      <w:pPr>
        <w:pStyle w:val="SingleTxtG"/>
      </w:pPr>
      <w:r w:rsidRPr="00120634">
        <w:t>165.</w:t>
      </w:r>
      <w:r w:rsidRPr="00120634">
        <w:tab/>
      </w:r>
      <w:r w:rsidRPr="00B70AA8">
        <w:t>La Stratégie de lutte contre la pauvreté et l</w:t>
      </w:r>
      <w:r>
        <w:t>’</w:t>
      </w:r>
      <w:r w:rsidRPr="00B70AA8">
        <w:t>exclusion sociale (2014-2020) dresse un panorama de la pauvreté et de l</w:t>
      </w:r>
      <w:r>
        <w:t>’</w:t>
      </w:r>
      <w:r w:rsidRPr="00B70AA8">
        <w:t xml:space="preserve">exclusion sociale et de leurs causes et </w:t>
      </w:r>
      <w:r>
        <w:t>établit des projections à l’échelle de la société</w:t>
      </w:r>
      <w:r w:rsidRPr="00B70AA8">
        <w:t xml:space="preserve"> comme base d</w:t>
      </w:r>
      <w:r>
        <w:t>’</w:t>
      </w:r>
      <w:r w:rsidRPr="00B70AA8">
        <w:t xml:space="preserve">action. </w:t>
      </w:r>
      <w:r w:rsidRPr="00C77E68">
        <w:t>Quatre catégories de la population sont mises en avant</w:t>
      </w:r>
      <w:r w:rsidR="003C1DE9">
        <w:t> </w:t>
      </w:r>
      <w:r w:rsidRPr="00C77E68">
        <w:t xml:space="preserve">: les enfants et les jeunes, les personnes âgées et les retraités, les chômeurs et les personnes handicapées. Le programme triennal de mise en œuvre de la </w:t>
      </w:r>
      <w:r>
        <w:t>S</w:t>
      </w:r>
      <w:r w:rsidRPr="00C77E68">
        <w:t xml:space="preserve">tratégie de réduction de la pauvreté </w:t>
      </w:r>
      <w:r>
        <w:t>(</w:t>
      </w:r>
      <w:r w:rsidRPr="00C77E68">
        <w:t>2014-2016</w:t>
      </w:r>
      <w:r>
        <w:t>)</w:t>
      </w:r>
      <w:r w:rsidRPr="00C77E68">
        <w:t xml:space="preserve"> a été </w:t>
      </w:r>
      <w:r>
        <w:t>mené à bien</w:t>
      </w:r>
      <w:r w:rsidRPr="00C77E68">
        <w:t xml:space="preserve"> et des rapports </w:t>
      </w:r>
      <w:r>
        <w:t>ont été établis chaque année sur son application.</w:t>
      </w:r>
    </w:p>
    <w:p w14:paraId="5F5BBE0A" w14:textId="0C98FEE2" w:rsidR="000C1192" w:rsidRPr="00C45032" w:rsidRDefault="000C1192" w:rsidP="003C1DE9">
      <w:pPr>
        <w:pStyle w:val="SingleTxtG"/>
        <w:keepNext/>
      </w:pPr>
      <w:r w:rsidRPr="00C45032">
        <w:t>166.</w:t>
      </w:r>
      <w:r w:rsidRPr="00C45032">
        <w:tab/>
        <w:t xml:space="preserve">La </w:t>
      </w:r>
      <w:r>
        <w:t>République de Croatie</w:t>
      </w:r>
      <w:r w:rsidRPr="00C45032">
        <w:t xml:space="preserve"> cherche à réaliser trois grandes priorités</w:t>
      </w:r>
      <w:r w:rsidR="003C1DE9">
        <w:t> </w:t>
      </w:r>
      <w:r w:rsidRPr="00C45032">
        <w:t>:</w:t>
      </w:r>
    </w:p>
    <w:p w14:paraId="5D96737A" w14:textId="17269EFA" w:rsidR="000C1192" w:rsidRPr="00120634" w:rsidRDefault="000C1192" w:rsidP="003C1DE9">
      <w:pPr>
        <w:pStyle w:val="Bullet1G"/>
      </w:pPr>
      <w:r w:rsidRPr="00120634">
        <w:t>La lutte contre la pauvreté et l</w:t>
      </w:r>
      <w:r>
        <w:t>’</w:t>
      </w:r>
      <w:r w:rsidRPr="00120634">
        <w:t>exclusion sociale et la réduction des inégalités dans la société</w:t>
      </w:r>
      <w:r>
        <w:t> ;</w:t>
      </w:r>
    </w:p>
    <w:p w14:paraId="6FD8F419" w14:textId="00D8E189" w:rsidR="000C1192" w:rsidRPr="00120634" w:rsidRDefault="000C1192" w:rsidP="003C1DE9">
      <w:pPr>
        <w:pStyle w:val="Bullet1G"/>
      </w:pPr>
      <w:r w:rsidRPr="00120634">
        <w:t xml:space="preserve">Prévenir </w:t>
      </w:r>
      <w:r>
        <w:t xml:space="preserve">l’apparition </w:t>
      </w:r>
      <w:r w:rsidRPr="00120634">
        <w:t>de nouvelles catégories de pauvre</w:t>
      </w:r>
      <w:r>
        <w:t>té</w:t>
      </w:r>
      <w:r w:rsidRPr="00120634">
        <w:t xml:space="preserve"> et réduire le nombre de personnes pauvres et exclues </w:t>
      </w:r>
      <w:r>
        <w:t xml:space="preserve">de la société ; et </w:t>
      </w:r>
    </w:p>
    <w:p w14:paraId="711948AF" w14:textId="0B9582F8" w:rsidR="000C1192" w:rsidRPr="00120634" w:rsidRDefault="000C1192" w:rsidP="003C1DE9">
      <w:pPr>
        <w:pStyle w:val="Bullet1G"/>
      </w:pPr>
      <w:r w:rsidRPr="00120634">
        <w:t>Mettre en place un système coordonné</w:t>
      </w:r>
      <w:r>
        <w:t xml:space="preserve"> d’aide aux </w:t>
      </w:r>
      <w:r w:rsidRPr="00120634">
        <w:t xml:space="preserve">groupes </w:t>
      </w:r>
      <w:r>
        <w:t xml:space="preserve">sociaux exposés à la </w:t>
      </w:r>
      <w:r w:rsidRPr="00120634">
        <w:t xml:space="preserve">pauvreté et </w:t>
      </w:r>
      <w:r>
        <w:t>à l’</w:t>
      </w:r>
      <w:r w:rsidRPr="00120634">
        <w:t>exclusion</w:t>
      </w:r>
      <w:r>
        <w:t>.</w:t>
      </w:r>
    </w:p>
    <w:p w14:paraId="72064719" w14:textId="65948C79" w:rsidR="000C1192" w:rsidRPr="008C0DA0" w:rsidRDefault="000C1192" w:rsidP="003C1DE9">
      <w:pPr>
        <w:pStyle w:val="H1G"/>
      </w:pPr>
      <w:r w:rsidRPr="00120634">
        <w:tab/>
      </w:r>
      <w:r w:rsidRPr="00120634">
        <w:tab/>
      </w:r>
      <w:r w:rsidR="00A858B3">
        <w:t>Article </w:t>
      </w:r>
      <w:r w:rsidRPr="008C0DA0">
        <w:t>11</w:t>
      </w:r>
      <w:r w:rsidR="003C1DE9">
        <w:t> </w:t>
      </w:r>
      <w:r w:rsidRPr="008C0DA0">
        <w:t>b)</w:t>
      </w:r>
    </w:p>
    <w:p w14:paraId="75E28F14" w14:textId="77777777" w:rsidR="000C1192" w:rsidRPr="00493573" w:rsidRDefault="000C1192" w:rsidP="000C1192">
      <w:pPr>
        <w:pStyle w:val="SingleTxtG"/>
      </w:pPr>
      <w:r w:rsidRPr="00493573">
        <w:t>167.</w:t>
      </w:r>
      <w:r w:rsidRPr="00493573">
        <w:tab/>
        <w:t xml:space="preserve">Les objectifs à long terme de la politique croate </w:t>
      </w:r>
      <w:r>
        <w:t xml:space="preserve">concernant l’agriculture et </w:t>
      </w:r>
      <w:r w:rsidRPr="00493573">
        <w:t>la pêche sont conformes aux objectifs de la politique agricole commune et de la politique commune de la pêche de l</w:t>
      </w:r>
      <w:r>
        <w:t>’</w:t>
      </w:r>
      <w:r w:rsidRPr="00493573">
        <w:t xml:space="preserve">UE, qui soulignent la nécessité </w:t>
      </w:r>
      <w:r>
        <w:t xml:space="preserve">d’améliorer systématiquement </w:t>
      </w:r>
      <w:r w:rsidRPr="00493573">
        <w:t>la compétitivité, la sécurité alimentaire, le niveau et la qualité de vie dans les zones rurales, la gestion durable des ressources et la protection de l</w:t>
      </w:r>
      <w:r>
        <w:t>’</w:t>
      </w:r>
      <w:r w:rsidRPr="00493573">
        <w:t>environnement.</w:t>
      </w:r>
    </w:p>
    <w:p w14:paraId="0F97DBFE" w14:textId="78A95807" w:rsidR="000C1192" w:rsidRPr="00493573" w:rsidRDefault="000C1192" w:rsidP="000C1192">
      <w:pPr>
        <w:pStyle w:val="SingleTxtG"/>
      </w:pPr>
      <w:r w:rsidRPr="00493573">
        <w:t>168.</w:t>
      </w:r>
      <w:r w:rsidRPr="00493573">
        <w:tab/>
        <w:t xml:space="preserve">La </w:t>
      </w:r>
      <w:r>
        <w:t xml:space="preserve">République de Croatie </w:t>
      </w:r>
      <w:r w:rsidRPr="00493573">
        <w:t>est partie au Protocole de Kyoto et à l</w:t>
      </w:r>
      <w:r>
        <w:t>’</w:t>
      </w:r>
      <w:r w:rsidRPr="00493573">
        <w:t xml:space="preserve">Accord de Paris sur </w:t>
      </w:r>
      <w:r>
        <w:t xml:space="preserve">les changements climatiques </w:t>
      </w:r>
      <w:r w:rsidRPr="00493573">
        <w:t xml:space="preserve">et </w:t>
      </w:r>
      <w:r>
        <w:t xml:space="preserve">adhère à </w:t>
      </w:r>
      <w:r w:rsidRPr="00493573">
        <w:t>l</w:t>
      </w:r>
      <w:r>
        <w:t>’</w:t>
      </w:r>
      <w:r w:rsidRPr="00493573">
        <w:t>Initiative</w:t>
      </w:r>
      <w:r>
        <w:t xml:space="preserve"> « </w:t>
      </w:r>
      <w:r w:rsidRPr="0033608A">
        <w:t>Le 4 pour 1000</w:t>
      </w:r>
      <w:r w:rsidR="003C1DE9">
        <w:t> </w:t>
      </w:r>
      <w:r w:rsidRPr="0033608A">
        <w:t>: la séquestration du carbone dans les sols pour la sécurité alimentaire et le climat</w:t>
      </w:r>
      <w:r>
        <w:t> »</w:t>
      </w:r>
      <w:r w:rsidRPr="00493573">
        <w:t xml:space="preserve">, </w:t>
      </w:r>
      <w:r>
        <w:t>ce qui témoigne d’</w:t>
      </w:r>
      <w:r w:rsidRPr="00493573">
        <w:t xml:space="preserve">une </w:t>
      </w:r>
      <w:r>
        <w:t xml:space="preserve">conception intégrée de </w:t>
      </w:r>
      <w:r w:rsidRPr="00493573">
        <w:t>la protection de l</w:t>
      </w:r>
      <w:r>
        <w:t>’</w:t>
      </w:r>
      <w:r w:rsidRPr="00493573">
        <w:t>environnement</w:t>
      </w:r>
      <w:r>
        <w:t xml:space="preserve"> et des changements climatiques et de la détermination du pays à protéger le </w:t>
      </w:r>
      <w:r w:rsidRPr="00493573">
        <w:t xml:space="preserve">droit </w:t>
      </w:r>
      <w:r>
        <w:t xml:space="preserve">de ses </w:t>
      </w:r>
      <w:r w:rsidRPr="00493573">
        <w:t>citoyens à une alimentation sûre et saine</w:t>
      </w:r>
      <w:r>
        <w:t>,</w:t>
      </w:r>
      <w:r w:rsidRPr="00493573">
        <w:t xml:space="preserve"> </w:t>
      </w:r>
      <w:r>
        <w:t xml:space="preserve">ainsi que </w:t>
      </w:r>
      <w:r w:rsidRPr="00493573">
        <w:t>l</w:t>
      </w:r>
      <w:r>
        <w:t>’</w:t>
      </w:r>
      <w:r w:rsidRPr="00493573">
        <w:t>environnement.</w:t>
      </w:r>
    </w:p>
    <w:p w14:paraId="4FDF5E23" w14:textId="7152D59D" w:rsidR="000C1192" w:rsidRPr="00493573" w:rsidRDefault="000C1192" w:rsidP="000C1192">
      <w:pPr>
        <w:pStyle w:val="SingleTxtG"/>
      </w:pPr>
      <w:r w:rsidRPr="00493573">
        <w:lastRenderedPageBreak/>
        <w:t>169.</w:t>
      </w:r>
      <w:r w:rsidRPr="00493573">
        <w:tab/>
        <w:t xml:space="preserve">Le </w:t>
      </w:r>
      <w:r>
        <w:t>M</w:t>
      </w:r>
      <w:r w:rsidRPr="00493573">
        <w:t>inistère de l</w:t>
      </w:r>
      <w:r>
        <w:t>’a</w:t>
      </w:r>
      <w:r w:rsidRPr="00493573">
        <w:t xml:space="preserve">griculture accorde des aides publiques aux agriculteurs </w:t>
      </w:r>
      <w:r>
        <w:t xml:space="preserve">dans le cadre de </w:t>
      </w:r>
      <w:r w:rsidRPr="00493573">
        <w:t>deux programmes de l</w:t>
      </w:r>
      <w:r>
        <w:t>’</w:t>
      </w:r>
      <w:r w:rsidRPr="00493573">
        <w:t>UE</w:t>
      </w:r>
      <w:r w:rsidR="003C1DE9">
        <w:t> </w:t>
      </w:r>
      <w:r w:rsidRPr="00493573">
        <w:t xml:space="preserve">: </w:t>
      </w:r>
      <w:r>
        <w:t xml:space="preserve">l’aide </w:t>
      </w:r>
      <w:r w:rsidRPr="00493573">
        <w:t>directe au revenu et le programme de développement rural.</w:t>
      </w:r>
    </w:p>
    <w:p w14:paraId="472B4DC4" w14:textId="77777777" w:rsidR="000C1192" w:rsidRPr="00493573" w:rsidRDefault="000C1192" w:rsidP="000C1192">
      <w:pPr>
        <w:pStyle w:val="SingleTxtG"/>
      </w:pPr>
      <w:r w:rsidRPr="00493573">
        <w:t>170.</w:t>
      </w:r>
      <w:r w:rsidRPr="00493573">
        <w:tab/>
      </w:r>
      <w:r>
        <w:t>Les politiques d’investissement</w:t>
      </w:r>
      <w:r w:rsidRPr="00493573">
        <w:t xml:space="preserve"> </w:t>
      </w:r>
      <w:r>
        <w:t xml:space="preserve">dans les </w:t>
      </w:r>
      <w:r w:rsidRPr="00493573">
        <w:t>infrastructure</w:t>
      </w:r>
      <w:r>
        <w:t>s</w:t>
      </w:r>
      <w:r w:rsidRPr="00493573">
        <w:t xml:space="preserve">, </w:t>
      </w:r>
      <w:r>
        <w:t xml:space="preserve">de </w:t>
      </w:r>
      <w:r w:rsidRPr="00493573">
        <w:t xml:space="preserve">remembrement et </w:t>
      </w:r>
      <w:r>
        <w:t xml:space="preserve">de </w:t>
      </w:r>
      <w:r w:rsidRPr="00493573">
        <w:t>mise en valeur des terres agricoles</w:t>
      </w:r>
      <w:r>
        <w:t xml:space="preserve"> influent sur</w:t>
      </w:r>
      <w:r w:rsidRPr="00493573">
        <w:t xml:space="preserve"> la compétitivité du secteur de la transformation agricole </w:t>
      </w:r>
      <w:r>
        <w:t xml:space="preserve">et donc sur le progrès des </w:t>
      </w:r>
      <w:r w:rsidRPr="00493573">
        <w:t xml:space="preserve">conditions de vie dans les zones rurales </w:t>
      </w:r>
      <w:r>
        <w:t xml:space="preserve">où </w:t>
      </w:r>
      <w:r w:rsidRPr="00493573">
        <w:t>l</w:t>
      </w:r>
      <w:r>
        <w:t>’</w:t>
      </w:r>
      <w:r w:rsidRPr="00493573">
        <w:t>agriculture</w:t>
      </w:r>
      <w:r>
        <w:t xml:space="preserve"> prédomine</w:t>
      </w:r>
      <w:r w:rsidRPr="00493573">
        <w:t xml:space="preserve">. Le </w:t>
      </w:r>
      <w:r>
        <w:t>P</w:t>
      </w:r>
      <w:r w:rsidRPr="00493573">
        <w:t xml:space="preserve">rogramme de développement rural </w:t>
      </w:r>
      <w:r>
        <w:t>(</w:t>
      </w:r>
      <w:r w:rsidRPr="00493573">
        <w:t>2014-2020</w:t>
      </w:r>
      <w:r>
        <w:t xml:space="preserve">), principal instrument de promotion de la </w:t>
      </w:r>
      <w:r w:rsidRPr="00493573">
        <w:t xml:space="preserve">sécurité </w:t>
      </w:r>
      <w:r>
        <w:t xml:space="preserve">alimentaire </w:t>
      </w:r>
      <w:r w:rsidRPr="00493573">
        <w:t xml:space="preserve">et de </w:t>
      </w:r>
      <w:r>
        <w:t>la disponibilité des denrées alimentaires</w:t>
      </w:r>
      <w:r w:rsidRPr="00493573">
        <w:t xml:space="preserve">, </w:t>
      </w:r>
      <w:r>
        <w:t xml:space="preserve">répond aux </w:t>
      </w:r>
      <w:r w:rsidRPr="00493573">
        <w:t xml:space="preserve">principes de gestion durable des ressources naturelles et </w:t>
      </w:r>
      <w:r>
        <w:t>d’aménagement territorial équilibré des zones rurales</w:t>
      </w:r>
      <w:r w:rsidRPr="00493573">
        <w:t>.</w:t>
      </w:r>
    </w:p>
    <w:p w14:paraId="63532501" w14:textId="0C43E80C" w:rsidR="000C1192" w:rsidRPr="00DC0158" w:rsidRDefault="000C1192" w:rsidP="000C1192">
      <w:pPr>
        <w:pStyle w:val="SingleTxtG"/>
      </w:pPr>
      <w:r w:rsidRPr="00D107F1">
        <w:t>171.</w:t>
      </w:r>
      <w:r w:rsidRPr="00D107F1">
        <w:tab/>
      </w:r>
      <w:r w:rsidRPr="00676C86">
        <w:t xml:space="preserve">Depuis 2014, </w:t>
      </w:r>
      <w:r>
        <w:t xml:space="preserve">le </w:t>
      </w:r>
      <w:r w:rsidRPr="00676C86">
        <w:t>Fonds européen d</w:t>
      </w:r>
      <w:r>
        <w:t>’</w:t>
      </w:r>
      <w:r w:rsidRPr="00676C86">
        <w:t>aide aux plus démunis (FEAD)</w:t>
      </w:r>
      <w:r>
        <w:t xml:space="preserve"> a fourni à la République de Croatie des ressources d’un montant </w:t>
      </w:r>
      <w:r w:rsidRPr="00676C86">
        <w:t>de 36,6</w:t>
      </w:r>
      <w:r w:rsidR="003C1DE9">
        <w:t> </w:t>
      </w:r>
      <w:r w:rsidRPr="00676C86">
        <w:t>millions d</w:t>
      </w:r>
      <w:r>
        <w:t>’</w:t>
      </w:r>
      <w:r w:rsidRPr="00676C86">
        <w:t>euros. Dans le cadre du FEAD, deux types d</w:t>
      </w:r>
      <w:r>
        <w:t>’</w:t>
      </w:r>
      <w:r w:rsidRPr="00676C86">
        <w:t>appels d</w:t>
      </w:r>
      <w:r>
        <w:t>’</w:t>
      </w:r>
      <w:r w:rsidRPr="00676C86">
        <w:t xml:space="preserve">offres </w:t>
      </w:r>
      <w:r>
        <w:t>sont organisés aux fins d’</w:t>
      </w:r>
      <w:r w:rsidRPr="00676C86">
        <w:t>atténuer les pires formes de pauvreté</w:t>
      </w:r>
      <w:r w:rsidRPr="00535E17">
        <w:rPr>
          <w:rStyle w:val="Appelnotedebasdep"/>
        </w:rPr>
        <w:footnoteReference w:id="52"/>
      </w:r>
      <w:r w:rsidRPr="00676C86">
        <w:t xml:space="preserve"> et les pires formes de pauvreté des enfants</w:t>
      </w:r>
      <w:r w:rsidRPr="00535E17">
        <w:rPr>
          <w:rStyle w:val="Appelnotedebasdep"/>
        </w:rPr>
        <w:footnoteReference w:id="53"/>
      </w:r>
      <w:r>
        <w:t>.</w:t>
      </w:r>
      <w:r w:rsidRPr="00676C86">
        <w:t xml:space="preserve"> </w:t>
      </w:r>
      <w:r>
        <w:t>Fin</w:t>
      </w:r>
      <w:r w:rsidRPr="00676C86">
        <w:t xml:space="preserve"> 2019, </w:t>
      </w:r>
      <w:r>
        <w:t xml:space="preserve">des contrats </w:t>
      </w:r>
      <w:r w:rsidRPr="00676C86">
        <w:t>d</w:t>
      </w:r>
      <w:r>
        <w:t>’</w:t>
      </w:r>
      <w:r w:rsidRPr="00676C86">
        <w:t>une valeur de 205,4</w:t>
      </w:r>
      <w:r w:rsidR="00604960">
        <w:t> </w:t>
      </w:r>
      <w:r w:rsidRPr="00676C86">
        <w:t xml:space="preserve">millions de </w:t>
      </w:r>
      <w:proofErr w:type="spellStart"/>
      <w:r w:rsidRPr="00676C86">
        <w:t>kunas</w:t>
      </w:r>
      <w:proofErr w:type="spellEnd"/>
      <w:r w:rsidRPr="00676C86">
        <w:t xml:space="preserve"> </w:t>
      </w:r>
      <w:r>
        <w:t>avaient été attribués dans le cadre du FEAD pour la fourniture d’aide alimentaire</w:t>
      </w:r>
      <w:r w:rsidRPr="00676C86">
        <w:t>. En 2019, 98</w:t>
      </w:r>
      <w:r w:rsidR="003C1DE9">
        <w:t> </w:t>
      </w:r>
      <w:r w:rsidRPr="00676C86">
        <w:t>153</w:t>
      </w:r>
      <w:r w:rsidR="003C1DE9">
        <w:t> </w:t>
      </w:r>
      <w:r w:rsidRPr="00676C86">
        <w:t>personnes ont reçu une aide alimentaire (dont 47</w:t>
      </w:r>
      <w:r w:rsidR="003C1DE9">
        <w:t> </w:t>
      </w:r>
      <w:r w:rsidRPr="00676C86">
        <w:t>140</w:t>
      </w:r>
      <w:r w:rsidR="003C1DE9">
        <w:t> </w:t>
      </w:r>
      <w:r w:rsidRPr="00676C86">
        <w:t>hommes), parmi lesquelles 21</w:t>
      </w:r>
      <w:r w:rsidR="003C1DE9">
        <w:t> </w:t>
      </w:r>
      <w:r w:rsidRPr="00676C86">
        <w:t>287</w:t>
      </w:r>
      <w:r w:rsidR="003C1DE9">
        <w:t> </w:t>
      </w:r>
      <w:r w:rsidRPr="00676C86">
        <w:t>personnes de plus de 65</w:t>
      </w:r>
      <w:r w:rsidR="003C1DE9">
        <w:t> </w:t>
      </w:r>
      <w:r w:rsidRPr="00676C86">
        <w:t>ans, 5</w:t>
      </w:r>
      <w:r w:rsidR="003C1DE9">
        <w:t> </w:t>
      </w:r>
      <w:r w:rsidRPr="00676C86">
        <w:t>881</w:t>
      </w:r>
      <w:r w:rsidR="003C1DE9">
        <w:t> </w:t>
      </w:r>
      <w:r w:rsidRPr="00676C86">
        <w:t>migrants, personnes d</w:t>
      </w:r>
      <w:r>
        <w:t>’</w:t>
      </w:r>
      <w:r w:rsidRPr="00676C86">
        <w:t>origine étrangère ou membres de minorités, 3</w:t>
      </w:r>
      <w:r w:rsidR="003C1DE9">
        <w:t> </w:t>
      </w:r>
      <w:r w:rsidRPr="00676C86">
        <w:t>438</w:t>
      </w:r>
      <w:r w:rsidR="003C1DE9">
        <w:t> </w:t>
      </w:r>
      <w:r w:rsidRPr="00676C86">
        <w:t>personnes handicapées et 118</w:t>
      </w:r>
      <w:r w:rsidR="003C1DE9">
        <w:t> </w:t>
      </w:r>
      <w:r w:rsidRPr="00676C86">
        <w:t>sans-abri. En 2019, 30</w:t>
      </w:r>
      <w:r w:rsidR="003C1DE9">
        <w:t> </w:t>
      </w:r>
      <w:r w:rsidRPr="00676C86">
        <w:t>488</w:t>
      </w:r>
      <w:r w:rsidR="003C1DE9">
        <w:t> </w:t>
      </w:r>
      <w:r w:rsidRPr="00676C86">
        <w:t>enfants (dont 15</w:t>
      </w:r>
      <w:r w:rsidR="003C1DE9">
        <w:t> </w:t>
      </w:r>
      <w:r w:rsidRPr="00676C86">
        <w:t>325</w:t>
      </w:r>
      <w:r w:rsidR="003C1DE9">
        <w:t> </w:t>
      </w:r>
      <w:r w:rsidRPr="00676C86">
        <w:t>garçons)</w:t>
      </w:r>
      <w:r>
        <w:t xml:space="preserve"> </w:t>
      </w:r>
      <w:r w:rsidRPr="00676C86">
        <w:t xml:space="preserve">ont reçu une aide sous </w:t>
      </w:r>
      <w:r>
        <w:t xml:space="preserve">la </w:t>
      </w:r>
      <w:r w:rsidRPr="00676C86">
        <w:t xml:space="preserve">forme de repas scolaires gratuits, </w:t>
      </w:r>
      <w:r>
        <w:t xml:space="preserve">parmi lesquels </w:t>
      </w:r>
      <w:r w:rsidRPr="00676C86">
        <w:t>14</w:t>
      </w:r>
      <w:r w:rsidR="003C1DE9">
        <w:t> </w:t>
      </w:r>
      <w:r w:rsidRPr="00676C86">
        <w:t>989</w:t>
      </w:r>
      <w:r w:rsidR="003C1DE9">
        <w:t> </w:t>
      </w:r>
      <w:r w:rsidRPr="00676C86">
        <w:t xml:space="preserve">migrants, </w:t>
      </w:r>
      <w:r>
        <w:t xml:space="preserve">enfants </w:t>
      </w:r>
      <w:r w:rsidRPr="00676C86">
        <w:t>d</w:t>
      </w:r>
      <w:r>
        <w:t>’</w:t>
      </w:r>
      <w:r w:rsidRPr="00676C86">
        <w:t>origine étrangère ou membres de minorités et 324</w:t>
      </w:r>
      <w:r w:rsidR="003C1DE9">
        <w:t> </w:t>
      </w:r>
      <w:r w:rsidRPr="00676C86">
        <w:t>enfants handicapés.</w:t>
      </w:r>
    </w:p>
    <w:p w14:paraId="07BF782D" w14:textId="77777777" w:rsidR="000C1192" w:rsidRPr="00DC0158" w:rsidRDefault="000C1192" w:rsidP="000C1192">
      <w:pPr>
        <w:pStyle w:val="SingleTxtG"/>
      </w:pPr>
      <w:r w:rsidRPr="00DC0158">
        <w:t>172.</w:t>
      </w:r>
      <w:r w:rsidRPr="00DC0158">
        <w:tab/>
        <w:t xml:space="preserve">Les </w:t>
      </w:r>
      <w:r>
        <w:t xml:space="preserve">produits </w:t>
      </w:r>
      <w:r w:rsidRPr="00DC0158">
        <w:t>alimentaires distribuées aux plus démunis doivent être conform</w:t>
      </w:r>
      <w:r>
        <w:t>es</w:t>
      </w:r>
      <w:r w:rsidRPr="00DC0158">
        <w:t xml:space="preserve"> aux normes </w:t>
      </w:r>
      <w:r>
        <w:t xml:space="preserve">de santé et de qualité prévues dans la réglementation nationale sur les produits agricoles et alimentaires </w:t>
      </w:r>
      <w:r w:rsidRPr="00DC0158">
        <w:t xml:space="preserve">et </w:t>
      </w:r>
      <w:r>
        <w:t xml:space="preserve">être </w:t>
      </w:r>
      <w:r w:rsidRPr="00DC0158">
        <w:t>produits, transformés ou partiellement transformés</w:t>
      </w:r>
      <w:r>
        <w:t xml:space="preserve"> selon des méthodes</w:t>
      </w:r>
      <w:r w:rsidRPr="00DC0158">
        <w:t xml:space="preserve"> durable</w:t>
      </w:r>
      <w:r>
        <w:t>s</w:t>
      </w:r>
      <w:r w:rsidRPr="00DC0158">
        <w:t>,</w:t>
      </w:r>
      <w:r>
        <w:t xml:space="preserve"> ou être</w:t>
      </w:r>
      <w:r w:rsidRPr="00DC0158">
        <w:t xml:space="preserve"> non transformés, </w:t>
      </w:r>
      <w:r>
        <w:t xml:space="preserve">et être </w:t>
      </w:r>
      <w:r w:rsidRPr="00DC0158">
        <w:t>sains et sûrs.</w:t>
      </w:r>
    </w:p>
    <w:p w14:paraId="5771FD89" w14:textId="77777777" w:rsidR="000C1192" w:rsidRPr="007F4B58" w:rsidRDefault="000C1192" w:rsidP="000C1192">
      <w:pPr>
        <w:pStyle w:val="SingleTxtG"/>
      </w:pPr>
      <w:r w:rsidRPr="00600882">
        <w:t>173.</w:t>
      </w:r>
      <w:r w:rsidRPr="00600882">
        <w:tab/>
      </w:r>
      <w:r w:rsidRPr="00D5171D">
        <w:t>Le Ministère de l</w:t>
      </w:r>
      <w:r>
        <w:t>’</w:t>
      </w:r>
      <w:r w:rsidRPr="00D5171D">
        <w:t xml:space="preserve">agriculture applique des mesures pour le bien-être des citoyens et le développement des zones rurales et supervise la production et la commercialisation de </w:t>
      </w:r>
      <w:r>
        <w:t xml:space="preserve">produits alimentaires </w:t>
      </w:r>
      <w:r w:rsidRPr="00D5171D">
        <w:t xml:space="preserve">sains. </w:t>
      </w:r>
      <w:r>
        <w:t xml:space="preserve">Il tient compte du principe d’une </w:t>
      </w:r>
      <w:r w:rsidRPr="007F4B58">
        <w:t xml:space="preserve">utilisation appropriée des ressources naturelles et permet </w:t>
      </w:r>
      <w:r>
        <w:t xml:space="preserve">l’application </w:t>
      </w:r>
      <w:r w:rsidRPr="007F4B58">
        <w:t>du principe d</w:t>
      </w:r>
      <w:r>
        <w:t>e l’</w:t>
      </w:r>
      <w:r w:rsidRPr="007F4B58">
        <w:t xml:space="preserve">économie circulaire dans les exploitations agricoles, ce qui </w:t>
      </w:r>
      <w:r>
        <w:t xml:space="preserve">promeut </w:t>
      </w:r>
      <w:r w:rsidRPr="007F4B58">
        <w:t>l</w:t>
      </w:r>
      <w:r>
        <w:t>’</w:t>
      </w:r>
      <w:r w:rsidRPr="007F4B58">
        <w:t>autosuffisance des producteurs</w:t>
      </w:r>
      <w:r>
        <w:t xml:space="preserve"> et </w:t>
      </w:r>
      <w:r w:rsidRPr="007F4B58">
        <w:t xml:space="preserve">une </w:t>
      </w:r>
      <w:r>
        <w:t xml:space="preserve">conception </w:t>
      </w:r>
      <w:r w:rsidRPr="007F4B58">
        <w:t xml:space="preserve">intégrée de la sécurité </w:t>
      </w:r>
      <w:r>
        <w:t xml:space="preserve">sanitaire des produits </w:t>
      </w:r>
      <w:r w:rsidRPr="007F4B58">
        <w:t>alimentaire</w:t>
      </w:r>
      <w:r>
        <w:t>s</w:t>
      </w:r>
      <w:r w:rsidRPr="00535E17">
        <w:rPr>
          <w:rStyle w:val="Appelnotedebasdep"/>
        </w:rPr>
        <w:footnoteReference w:id="54"/>
      </w:r>
      <w:r w:rsidRPr="007F4B58">
        <w:t>. L</w:t>
      </w:r>
      <w:r>
        <w:t>’</w:t>
      </w:r>
      <w:r w:rsidRPr="007F4B58">
        <w:t xml:space="preserve">objectif est </w:t>
      </w:r>
      <w:r>
        <w:t xml:space="preserve">de parvenir à </w:t>
      </w:r>
      <w:r w:rsidRPr="007F4B58">
        <w:t xml:space="preserve">un niveau élevé de </w:t>
      </w:r>
      <w:r w:rsidRPr="00E62742">
        <w:t>sécurité sanitaire des denrées alimentaires et de l</w:t>
      </w:r>
      <w:r>
        <w:t>’</w:t>
      </w:r>
      <w:r w:rsidRPr="00E62742">
        <w:t xml:space="preserve">alimentation animale </w:t>
      </w:r>
      <w:r w:rsidRPr="007F4B58">
        <w:t>en protégeant la santé humaine et animale et les intérêts des consommateurs.</w:t>
      </w:r>
    </w:p>
    <w:p w14:paraId="4B184A89" w14:textId="77777777" w:rsidR="000C1192" w:rsidRPr="006714C0" w:rsidRDefault="000C1192" w:rsidP="000C1192">
      <w:pPr>
        <w:pStyle w:val="SingleTxtG"/>
        <w:rPr>
          <w:rStyle w:val="Appelnotedebasdep"/>
          <w:color w:val="000000" w:themeColor="text1"/>
        </w:rPr>
      </w:pPr>
      <w:r w:rsidRPr="00EC2EDB">
        <w:t>174.</w:t>
      </w:r>
      <w:r w:rsidRPr="00EC2EDB">
        <w:tab/>
      </w:r>
      <w:r w:rsidRPr="006714C0">
        <w:t>Avec l</w:t>
      </w:r>
      <w:r>
        <w:t>’</w:t>
      </w:r>
      <w:r w:rsidRPr="006714C0">
        <w:t xml:space="preserve">adhésion de la </w:t>
      </w:r>
      <w:r>
        <w:t xml:space="preserve">République de Croatie </w:t>
      </w:r>
      <w:r w:rsidRPr="006714C0">
        <w:t>à l</w:t>
      </w:r>
      <w:r>
        <w:t>’</w:t>
      </w:r>
      <w:r w:rsidRPr="006714C0">
        <w:t>UE, un ensemble de r</w:t>
      </w:r>
      <w:r>
        <w:t>è</w:t>
      </w:r>
      <w:r w:rsidRPr="006714C0">
        <w:t>glement</w:t>
      </w:r>
      <w:r>
        <w:t xml:space="preserve">s </w:t>
      </w:r>
      <w:r w:rsidRPr="006714C0">
        <w:t xml:space="preserve">appelé </w:t>
      </w:r>
      <w:r>
        <w:t>« p</w:t>
      </w:r>
      <w:r w:rsidRPr="006714C0">
        <w:t xml:space="preserve">aquet </w:t>
      </w:r>
      <w:r>
        <w:t>h</w:t>
      </w:r>
      <w:r w:rsidRPr="006714C0">
        <w:t>ygiène</w:t>
      </w:r>
      <w:r>
        <w:t> »</w:t>
      </w:r>
      <w:r w:rsidRPr="006714C0">
        <w:t xml:space="preserve"> est devenu directement applicable </w:t>
      </w:r>
      <w:r>
        <w:t xml:space="preserve">sur son territoire </w:t>
      </w:r>
      <w:r w:rsidRPr="006714C0">
        <w:t xml:space="preserve">et une </w:t>
      </w:r>
      <w:r>
        <w:t xml:space="preserve">conception </w:t>
      </w:r>
      <w:r w:rsidRPr="006714C0">
        <w:t xml:space="preserve">intégrée de la sécurité </w:t>
      </w:r>
      <w:r>
        <w:t xml:space="preserve">sanitaire des produits </w:t>
      </w:r>
      <w:r w:rsidRPr="006714C0">
        <w:t>alimentaire</w:t>
      </w:r>
      <w:r>
        <w:t>s</w:t>
      </w:r>
      <w:r w:rsidRPr="006714C0">
        <w:t xml:space="preserve"> est </w:t>
      </w:r>
      <w:r>
        <w:t xml:space="preserve">en cours d’élaboration </w:t>
      </w:r>
      <w:r w:rsidRPr="006714C0">
        <w:t>à tou</w:t>
      </w:r>
      <w:r>
        <w:t xml:space="preserve">tes les étapes </w:t>
      </w:r>
      <w:r w:rsidRPr="006714C0">
        <w:t xml:space="preserve">de la production, </w:t>
      </w:r>
      <w:r>
        <w:t xml:space="preserve">du </w:t>
      </w:r>
      <w:r w:rsidRPr="006714C0">
        <w:t xml:space="preserve">champ </w:t>
      </w:r>
      <w:r>
        <w:t xml:space="preserve">de culture à la table du </w:t>
      </w:r>
      <w:r w:rsidRPr="006714C0">
        <w:t xml:space="preserve">consommateur final, </w:t>
      </w:r>
      <w:r>
        <w:t xml:space="preserve">avec le concours des acteurs et des autorités </w:t>
      </w:r>
      <w:r w:rsidRPr="006714C0">
        <w:t>du secteur alimentaire</w:t>
      </w:r>
      <w:r>
        <w:t xml:space="preserve">, selon les </w:t>
      </w:r>
      <w:r w:rsidRPr="006714C0">
        <w:t>rôles et responsabilités</w:t>
      </w:r>
      <w:r>
        <w:t xml:space="preserve"> de chacun</w:t>
      </w:r>
      <w:r w:rsidRPr="00535E17">
        <w:rPr>
          <w:rStyle w:val="Appelnotedebasdep"/>
        </w:rPr>
        <w:footnoteReference w:id="55"/>
      </w:r>
      <w:r>
        <w:t>.</w:t>
      </w:r>
    </w:p>
    <w:p w14:paraId="7DF03478" w14:textId="77777777" w:rsidR="000C1192" w:rsidRPr="00CA27D8" w:rsidRDefault="000C1192" w:rsidP="000C1192">
      <w:pPr>
        <w:pStyle w:val="SingleTxtG"/>
      </w:pPr>
      <w:r w:rsidRPr="002B3941">
        <w:t>175.</w:t>
      </w:r>
      <w:r w:rsidRPr="002B3941">
        <w:tab/>
      </w:r>
      <w:r w:rsidRPr="00CA27D8">
        <w:t>Les autorités compétentes sont chargées d</w:t>
      </w:r>
      <w:r>
        <w:t>’</w:t>
      </w:r>
      <w:r w:rsidRPr="00CA27D8">
        <w:t xml:space="preserve">adopter la politique de sécurité </w:t>
      </w:r>
      <w:r>
        <w:t>sanitaire des produits alimentaires</w:t>
      </w:r>
      <w:r w:rsidRPr="00CA27D8">
        <w:t xml:space="preserve">, </w:t>
      </w:r>
      <w:r>
        <w:t xml:space="preserve">et d’effectuer des inspections </w:t>
      </w:r>
      <w:r w:rsidRPr="00CA27D8">
        <w:t>officielle</w:t>
      </w:r>
      <w:r>
        <w:t>s</w:t>
      </w:r>
      <w:r w:rsidRPr="00535E17">
        <w:rPr>
          <w:rStyle w:val="Appelnotedebasdep"/>
        </w:rPr>
        <w:footnoteReference w:id="56"/>
      </w:r>
      <w:r w:rsidRPr="00CA27D8">
        <w:t xml:space="preserve"> et des contrôles de conformité.</w:t>
      </w:r>
    </w:p>
    <w:p w14:paraId="0319E379" w14:textId="77777777" w:rsidR="000C1192" w:rsidRPr="00D81171" w:rsidRDefault="000C1192" w:rsidP="000C1192">
      <w:pPr>
        <w:pStyle w:val="SingleTxtG"/>
        <w:rPr>
          <w:u w:val="single"/>
        </w:rPr>
      </w:pPr>
      <w:r w:rsidRPr="00D81171">
        <w:lastRenderedPageBreak/>
        <w:t>176.</w:t>
      </w:r>
      <w:r w:rsidRPr="00D81171">
        <w:tab/>
        <w:t>L</w:t>
      </w:r>
      <w:r>
        <w:t xml:space="preserve">e système de </w:t>
      </w:r>
      <w:r w:rsidRPr="00D9337C">
        <w:t xml:space="preserve">sécurité sanitaire </w:t>
      </w:r>
      <w:r>
        <w:t xml:space="preserve">et de qualité </w:t>
      </w:r>
      <w:r w:rsidRPr="00D9337C">
        <w:t>des denrées alimentaires et de l</w:t>
      </w:r>
      <w:r>
        <w:t>’</w:t>
      </w:r>
      <w:r w:rsidRPr="00D9337C">
        <w:t xml:space="preserve">alimentation animale </w:t>
      </w:r>
      <w:r>
        <w:t>relève du Ministère de l’agriculture</w:t>
      </w:r>
      <w:r w:rsidRPr="00535E17">
        <w:rPr>
          <w:rStyle w:val="Appelnotedebasdep"/>
        </w:rPr>
        <w:footnoteReference w:id="57"/>
      </w:r>
      <w:r>
        <w:t xml:space="preserve"> et du Ministère de la santé</w:t>
      </w:r>
      <w:r w:rsidRPr="00D81171">
        <w:t xml:space="preserve">, </w:t>
      </w:r>
      <w:r>
        <w:t xml:space="preserve">et des </w:t>
      </w:r>
      <w:r w:rsidRPr="00D81171">
        <w:t xml:space="preserve">organismes </w:t>
      </w:r>
      <w:r>
        <w:t xml:space="preserve">chargés </w:t>
      </w:r>
      <w:r w:rsidRPr="00D81171">
        <w:t xml:space="preserve">des contrôles officiels </w:t>
      </w:r>
      <w:r w:rsidRPr="00D9337C">
        <w:t>des denrées alimentaires et de l</w:t>
      </w:r>
      <w:r>
        <w:t>’</w:t>
      </w:r>
      <w:r w:rsidRPr="00D9337C">
        <w:t>alimentation animale</w:t>
      </w:r>
      <w:r w:rsidRPr="00D81171">
        <w:t xml:space="preserve"> (</w:t>
      </w:r>
      <w:r>
        <w:t>Inspection d’État de la République de Croatie</w:t>
      </w:r>
      <w:r w:rsidRPr="00D81171">
        <w:t xml:space="preserve"> et </w:t>
      </w:r>
      <w:r>
        <w:t>A</w:t>
      </w:r>
      <w:r w:rsidRPr="00D81171">
        <w:t>dministration des douanes) et d</w:t>
      </w:r>
      <w:r>
        <w:t>’</w:t>
      </w:r>
      <w:r w:rsidRPr="00D81171">
        <w:t>autres institutions (organismes de contrôle</w:t>
      </w:r>
      <w:r>
        <w:t xml:space="preserve"> : </w:t>
      </w:r>
      <w:r w:rsidRPr="00D81171">
        <w:t>laboratoires officiels</w:t>
      </w:r>
      <w:r>
        <w:t xml:space="preserve">, laboratoires de </w:t>
      </w:r>
      <w:r w:rsidRPr="00D81171">
        <w:t xml:space="preserve">référence, </w:t>
      </w:r>
      <w:r w:rsidRPr="000B7ABF">
        <w:t>Agence croate pour l</w:t>
      </w:r>
      <w:r>
        <w:t>’</w:t>
      </w:r>
      <w:r w:rsidRPr="000B7ABF">
        <w:t>agriculture et l</w:t>
      </w:r>
      <w:r>
        <w:t>’</w:t>
      </w:r>
      <w:r w:rsidRPr="000B7ABF">
        <w:t>alimentation</w:t>
      </w:r>
      <w:r w:rsidRPr="00D81171">
        <w:t>, etc.)</w:t>
      </w:r>
    </w:p>
    <w:p w14:paraId="13384073" w14:textId="715A58DB" w:rsidR="000C1192" w:rsidRPr="00D81171" w:rsidRDefault="000C1192" w:rsidP="000C1192">
      <w:pPr>
        <w:pStyle w:val="SingleTxtG"/>
      </w:pPr>
      <w:r w:rsidRPr="00D81171">
        <w:t>177.</w:t>
      </w:r>
      <w:r w:rsidRPr="00D81171">
        <w:tab/>
        <w:t xml:space="preserve">La protection de la santé et des intérêts des consommateurs est </w:t>
      </w:r>
      <w:r>
        <w:t xml:space="preserve">garantie notamment </w:t>
      </w:r>
      <w:r w:rsidRPr="00D81171">
        <w:t>par l</w:t>
      </w:r>
      <w:r>
        <w:t>’</w:t>
      </w:r>
      <w:r w:rsidRPr="00D81171">
        <w:t xml:space="preserve">adoption de </w:t>
      </w:r>
      <w:r>
        <w:t>la l</w:t>
      </w:r>
      <w:r w:rsidRPr="00ED011E">
        <w:t xml:space="preserve">oi </w:t>
      </w:r>
      <w:r w:rsidRPr="00D81171">
        <w:t>concernant l</w:t>
      </w:r>
      <w:r>
        <w:t>’</w:t>
      </w:r>
      <w:r w:rsidRPr="00D81171">
        <w:t xml:space="preserve">information des consommateurs sur les denrées alimentaires, </w:t>
      </w:r>
      <w:r>
        <w:t xml:space="preserve">qui a incorporé dans le droit interne le </w:t>
      </w:r>
      <w:r w:rsidRPr="00D81171">
        <w:t>règlement (UE) n</w:t>
      </w:r>
      <w:r w:rsidR="003C1DE9" w:rsidRPr="003C1DE9">
        <w:rPr>
          <w:vertAlign w:val="superscript"/>
        </w:rPr>
        <w:t>o</w:t>
      </w:r>
      <w:r w:rsidR="003C1DE9">
        <w:t> </w:t>
      </w:r>
      <w:r w:rsidRPr="00D81171">
        <w:t>1169/2011 concernant l</w:t>
      </w:r>
      <w:r>
        <w:t>’</w:t>
      </w:r>
      <w:r w:rsidRPr="00D81171">
        <w:t>information des consommateurs sur les denrées alimentaires.</w:t>
      </w:r>
    </w:p>
    <w:p w14:paraId="700D24B0" w14:textId="77777777" w:rsidR="000C1192" w:rsidRPr="00D81171" w:rsidRDefault="000C1192" w:rsidP="000C1192">
      <w:pPr>
        <w:pStyle w:val="SingleTxtG"/>
      </w:pPr>
      <w:r w:rsidRPr="004329A8">
        <w:t>178.</w:t>
      </w:r>
      <w:r w:rsidRPr="004329A8">
        <w:tab/>
      </w:r>
      <w:r w:rsidRPr="00B049EF">
        <w:t>Le Ministère de l</w:t>
      </w:r>
      <w:r>
        <w:t>’</w:t>
      </w:r>
      <w:r w:rsidRPr="00B049EF">
        <w:t>agriculture cherche à tirer parti des politiques menées en matière de qualité des produits agricoles et alimentaires pour accroître la compétitivité de l</w:t>
      </w:r>
      <w:r>
        <w:t>’</w:t>
      </w:r>
      <w:r w:rsidRPr="00B049EF">
        <w:t>agriculture et de l</w:t>
      </w:r>
      <w:r>
        <w:t>’</w:t>
      </w:r>
      <w:r w:rsidRPr="00B049EF">
        <w:t xml:space="preserve">industrie alimentaire et améliorer leur position de marché. </w:t>
      </w:r>
      <w:r>
        <w:t xml:space="preserve">Il mène régulièrement des </w:t>
      </w:r>
      <w:r w:rsidRPr="00D81171">
        <w:t xml:space="preserve">activités </w:t>
      </w:r>
      <w:r>
        <w:t>de</w:t>
      </w:r>
      <w:r w:rsidRPr="00D81171">
        <w:t xml:space="preserve"> promotion de</w:t>
      </w:r>
      <w:r>
        <w:t xml:space="preserve"> produits agricoles et alimentaires, ainsi que des activités qui aident les consommateurs à se familiariser avec </w:t>
      </w:r>
      <w:r w:rsidRPr="00D81171">
        <w:t xml:space="preserve">la signification des étiquettes des produits et à </w:t>
      </w:r>
      <w:r>
        <w:t xml:space="preserve">discerner </w:t>
      </w:r>
      <w:r w:rsidRPr="00D81171">
        <w:t xml:space="preserve">les produits </w:t>
      </w:r>
      <w:r>
        <w:t xml:space="preserve">qui se trouvent sur le marché, y compris </w:t>
      </w:r>
      <w:r w:rsidRPr="00D81171">
        <w:t xml:space="preserve">leur qualité </w:t>
      </w:r>
      <w:r>
        <w:t>relative.</w:t>
      </w:r>
    </w:p>
    <w:p w14:paraId="43456B86" w14:textId="695DC67B" w:rsidR="000C1192" w:rsidRPr="00D81171" w:rsidRDefault="000C1192" w:rsidP="000C1192">
      <w:pPr>
        <w:pStyle w:val="SingleTxtG"/>
      </w:pPr>
      <w:bookmarkStart w:id="4" w:name="_Hlk109202751"/>
      <w:r w:rsidRPr="001B6A9B">
        <w:t>179.</w:t>
      </w:r>
      <w:r w:rsidRPr="001B6A9B">
        <w:tab/>
      </w:r>
      <w:r>
        <w:t xml:space="preserve">La stratégie de </w:t>
      </w:r>
      <w:r w:rsidRPr="00D81171">
        <w:t xml:space="preserve">prévention et de réduction du gaspillage alimentaire </w:t>
      </w:r>
      <w:r>
        <w:t>en République de Croatie (</w:t>
      </w:r>
      <w:r w:rsidRPr="00D81171">
        <w:t>2019</w:t>
      </w:r>
      <w:r w:rsidR="003C1DE9">
        <w:noBreakHyphen/>
      </w:r>
      <w:r w:rsidRPr="00D81171">
        <w:t>2022</w:t>
      </w:r>
      <w:r>
        <w:t>) et le plan d’action correspondant contribuent à la réalisation de la cible</w:t>
      </w:r>
      <w:r w:rsidR="003C1DE9">
        <w:t> </w:t>
      </w:r>
      <w:r w:rsidRPr="00D81171">
        <w:t>3</w:t>
      </w:r>
      <w:r>
        <w:t xml:space="preserve"> de l’objectif</w:t>
      </w:r>
      <w:r w:rsidR="003C1DE9">
        <w:t> </w:t>
      </w:r>
      <w:r>
        <w:t xml:space="preserve">12 </w:t>
      </w:r>
      <w:r w:rsidRPr="00D81171">
        <w:t>(</w:t>
      </w:r>
      <w:r w:rsidRPr="000536CB">
        <w:t>réduire de moitié à l</w:t>
      </w:r>
      <w:r>
        <w:t>’</w:t>
      </w:r>
      <w:r w:rsidRPr="000536CB">
        <w:t>échelle mondiale le volume de déchets alimentaires par habitant, au niveau de la distribution comme de la consommation, et diminuer les pertes de produits alimentaires tout au long des chaînes de production et d</w:t>
      </w:r>
      <w:r>
        <w:t>’</w:t>
      </w:r>
      <w:r w:rsidRPr="000536CB">
        <w:t>approvisionnement</w:t>
      </w:r>
      <w:r w:rsidRPr="00D81171">
        <w:t xml:space="preserve">) et </w:t>
      </w:r>
      <w:r>
        <w:t xml:space="preserve">de </w:t>
      </w:r>
      <w:r w:rsidRPr="00D81171">
        <w:t>l</w:t>
      </w:r>
      <w:r>
        <w:t>’</w:t>
      </w:r>
      <w:r w:rsidRPr="00D81171">
        <w:t>objectif</w:t>
      </w:r>
      <w:r w:rsidR="003C1DE9">
        <w:t> </w:t>
      </w:r>
      <w:r w:rsidRPr="00D81171">
        <w:t>2 (</w:t>
      </w:r>
      <w:r>
        <w:t xml:space="preserve">éliminer </w:t>
      </w:r>
      <w:r w:rsidRPr="00D81171">
        <w:t>la faim)</w:t>
      </w:r>
      <w:r w:rsidRPr="0013192F">
        <w:t xml:space="preserve"> </w:t>
      </w:r>
      <w:r>
        <w:t xml:space="preserve">du Programme de développement durable à l’horizon </w:t>
      </w:r>
      <w:r w:rsidRPr="00D81171">
        <w:t xml:space="preserve">2030, </w:t>
      </w:r>
      <w:r>
        <w:t xml:space="preserve">la </w:t>
      </w:r>
      <w:r w:rsidRPr="00D81171">
        <w:t xml:space="preserve">mesure prioritaire </w:t>
      </w:r>
      <w:r>
        <w:t xml:space="preserve">de la stratégie étant d’améliorer </w:t>
      </w:r>
      <w:r w:rsidRPr="00D81171">
        <w:t xml:space="preserve">le système de dons alimentaires. La valeur </w:t>
      </w:r>
      <w:r>
        <w:t>à l’</w:t>
      </w:r>
      <w:r w:rsidRPr="00D81171">
        <w:t xml:space="preserve">achat des </w:t>
      </w:r>
      <w:r>
        <w:t xml:space="preserve">dons de produits </w:t>
      </w:r>
      <w:r w:rsidRPr="00D81171">
        <w:t xml:space="preserve">alimentaires </w:t>
      </w:r>
      <w:r>
        <w:t>a atteint 1</w:t>
      </w:r>
      <w:r w:rsidR="00630777">
        <w:t>2 991 467,50</w:t>
      </w:r>
      <w:r w:rsidR="003C1DE9">
        <w:t> </w:t>
      </w:r>
      <w:r>
        <w:t xml:space="preserve">millions de </w:t>
      </w:r>
      <w:proofErr w:type="spellStart"/>
      <w:r>
        <w:t>kunas</w:t>
      </w:r>
      <w:proofErr w:type="spellEnd"/>
      <w:r>
        <w:t xml:space="preserve"> en 2019 </w:t>
      </w:r>
      <w:r w:rsidRPr="00D81171">
        <w:t>(</w:t>
      </w:r>
      <w:r>
        <w:t xml:space="preserve">soit </w:t>
      </w:r>
      <w:r w:rsidRPr="00D81171">
        <w:t>30</w:t>
      </w:r>
      <w:r w:rsidR="003C1DE9">
        <w:t> </w:t>
      </w:r>
      <w:r w:rsidRPr="00D81171">
        <w:t>% de plus qu</w:t>
      </w:r>
      <w:r>
        <w:t>’</w:t>
      </w:r>
      <w:r w:rsidRPr="00D81171">
        <w:t>en 2018).</w:t>
      </w:r>
    </w:p>
    <w:bookmarkEnd w:id="4"/>
    <w:p w14:paraId="593AC99F" w14:textId="367E8E0B" w:rsidR="000C1192" w:rsidRPr="0023617A" w:rsidRDefault="000C1192" w:rsidP="000C1192">
      <w:pPr>
        <w:pStyle w:val="SingleTxtG"/>
      </w:pPr>
      <w:r w:rsidRPr="00EB4DF4">
        <w:t>180.</w:t>
      </w:r>
      <w:r w:rsidRPr="00EB4DF4">
        <w:tab/>
      </w:r>
      <w:r w:rsidRPr="00D81171">
        <w:t>Afin d</w:t>
      </w:r>
      <w:r>
        <w:t>’</w:t>
      </w:r>
      <w:r w:rsidRPr="00D81171">
        <w:t xml:space="preserve">améliorer les habitudes alimentaires des enfants dans les établissements scolaires, </w:t>
      </w:r>
      <w:r>
        <w:t xml:space="preserve">le programme </w:t>
      </w:r>
      <w:r w:rsidRPr="004E6A8B">
        <w:t>de l</w:t>
      </w:r>
      <w:r>
        <w:t>’</w:t>
      </w:r>
      <w:r w:rsidRPr="004E6A8B">
        <w:t xml:space="preserve">UE en faveur de la consommation de fruits, de légumes et de lait dans les écoles </w:t>
      </w:r>
      <w:r>
        <w:t xml:space="preserve">y est appliqué </w:t>
      </w:r>
      <w:r w:rsidRPr="00D81171">
        <w:t xml:space="preserve">depuis 2013. </w:t>
      </w:r>
      <w:r w:rsidRPr="0023617A">
        <w:t xml:space="preserve">Tous les élèves </w:t>
      </w:r>
      <w:r>
        <w:t>du</w:t>
      </w:r>
      <w:r w:rsidR="00936B25">
        <w:t xml:space="preserve"> </w:t>
      </w:r>
      <w:r w:rsidRPr="0023617A">
        <w:t xml:space="preserve">primaire en bénéficient. </w:t>
      </w:r>
    </w:p>
    <w:p w14:paraId="3F55BFB7" w14:textId="77777777" w:rsidR="000C1192" w:rsidRPr="005E5BBB" w:rsidRDefault="000C1192" w:rsidP="000C1192">
      <w:pPr>
        <w:pStyle w:val="SingleTxtG"/>
        <w:rPr>
          <w:rStyle w:val="Appelnotedebasdep"/>
          <w:color w:val="000000" w:themeColor="text1"/>
        </w:rPr>
      </w:pPr>
      <w:r w:rsidRPr="00153AFA">
        <w:t>181.</w:t>
      </w:r>
      <w:r w:rsidRPr="00153AFA">
        <w:tab/>
        <w:t>La République de Croatie a adopté les Directives volontaires à l’appui de la concrétisation progressive du droit à une alimentation adéquate dans le contexte de la sécurité alimentaire nationale</w:t>
      </w:r>
      <w:r w:rsidRPr="00535E17">
        <w:rPr>
          <w:rStyle w:val="Appelnotedebasdep"/>
        </w:rPr>
        <w:footnoteReference w:id="58"/>
      </w:r>
      <w:r w:rsidRPr="005E5BBB">
        <w:t>.</w:t>
      </w:r>
    </w:p>
    <w:p w14:paraId="57A898FC" w14:textId="44BA3504" w:rsidR="000C1192" w:rsidRPr="0023617A" w:rsidRDefault="000C1192" w:rsidP="003C1DE9">
      <w:pPr>
        <w:pStyle w:val="H1G"/>
      </w:pPr>
      <w:r w:rsidRPr="005E5BBB">
        <w:tab/>
      </w:r>
      <w:r w:rsidRPr="005E5BBB">
        <w:tab/>
      </w:r>
      <w:r w:rsidR="00A858B3">
        <w:t>Article </w:t>
      </w:r>
      <w:r w:rsidRPr="0023617A">
        <w:t>11</w:t>
      </w:r>
      <w:r w:rsidR="003C1DE9">
        <w:t> </w:t>
      </w:r>
      <w:r w:rsidRPr="0023617A">
        <w:t>c)</w:t>
      </w:r>
    </w:p>
    <w:p w14:paraId="7A01DCA7" w14:textId="3690C1EE" w:rsidR="000C1192" w:rsidRPr="00975038" w:rsidRDefault="000C1192" w:rsidP="000C1192">
      <w:pPr>
        <w:pStyle w:val="SingleTxtG"/>
      </w:pPr>
      <w:r w:rsidRPr="00975038">
        <w:t>182.</w:t>
      </w:r>
      <w:r w:rsidRPr="00975038">
        <w:tab/>
      </w:r>
      <w:r>
        <w:t xml:space="preserve">En ce qui concerne le droit à l’eau potable, on se reportera au </w:t>
      </w:r>
      <w:r w:rsidR="00A858B3">
        <w:t>paragraphe </w:t>
      </w:r>
      <w:r w:rsidRPr="00975038">
        <w:t xml:space="preserve">109 </w:t>
      </w:r>
      <w:r>
        <w:t xml:space="preserve">du </w:t>
      </w:r>
      <w:r w:rsidRPr="008C6EF8">
        <w:t>ra</w:t>
      </w:r>
      <w:r>
        <w:t>pport de la République de Croatie au titre du troisième cycle de l’EPU</w:t>
      </w:r>
      <w:r w:rsidRPr="00975038">
        <w:t xml:space="preserve"> (</w:t>
      </w:r>
      <w:hyperlink r:id="rId21" w:history="1">
        <w:r w:rsidR="00EE6A74" w:rsidRPr="00630777">
          <w:rPr>
            <w:rStyle w:val="Lienhypertexte"/>
            <w:color w:val="auto"/>
          </w:rPr>
          <w:t>A/HRC/WG.6/36/HRV/1</w:t>
        </w:r>
      </w:hyperlink>
      <w:r w:rsidRPr="00975038">
        <w:t>)</w:t>
      </w:r>
      <w:r w:rsidRPr="00535E17">
        <w:rPr>
          <w:rStyle w:val="Appelnotedebasdep"/>
        </w:rPr>
        <w:footnoteReference w:id="59"/>
      </w:r>
      <w:r w:rsidRPr="00975038">
        <w:t>.</w:t>
      </w:r>
    </w:p>
    <w:p w14:paraId="347ADC18" w14:textId="3AA37F3B" w:rsidR="000C1192" w:rsidRDefault="000C1192" w:rsidP="000C1192">
      <w:pPr>
        <w:pStyle w:val="SingleTxtG"/>
      </w:pPr>
      <w:r w:rsidRPr="00252EA6">
        <w:t>183.</w:t>
      </w:r>
      <w:r w:rsidRPr="00252EA6">
        <w:tab/>
      </w:r>
      <w:r w:rsidRPr="00AB27AB">
        <w:t>L</w:t>
      </w:r>
      <w:r>
        <w:t>’eau est définie comme un bien d’intérêt public dans la Constitution de la République de Croatie et fait l’objet d’une p</w:t>
      </w:r>
      <w:r w:rsidRPr="00AB27AB">
        <w:t xml:space="preserve">rotection spéciale. Les services </w:t>
      </w:r>
      <w:r>
        <w:t xml:space="preserve">publics d’approvisionnement en </w:t>
      </w:r>
      <w:r w:rsidRPr="00AB27AB">
        <w:t xml:space="preserve">eau </w:t>
      </w:r>
      <w:r>
        <w:t>et d’</w:t>
      </w:r>
      <w:r w:rsidRPr="00AB27AB">
        <w:t>assainissement sont des services d</w:t>
      </w:r>
      <w:r>
        <w:t>’</w:t>
      </w:r>
      <w:r w:rsidRPr="00AB27AB">
        <w:t>intérêt général. Ils sont assurés en tant que service public exclusivement par des prestataires</w:t>
      </w:r>
      <w:r>
        <w:t xml:space="preserve"> désignés au niveau des collectivités locales et régionales autonomes</w:t>
      </w:r>
      <w:r w:rsidRPr="00AB27AB">
        <w:t xml:space="preserve">. </w:t>
      </w:r>
      <w:r>
        <w:t xml:space="preserve">Ces </w:t>
      </w:r>
      <w:r w:rsidRPr="00AB27AB">
        <w:t>prestataires</w:t>
      </w:r>
      <w:r>
        <w:t xml:space="preserve"> sont tenus d’assurer le service de l’eau </w:t>
      </w:r>
      <w:r w:rsidRPr="00AB27AB">
        <w:t xml:space="preserve">dans des conditions non discriminatoires et socialement accessibles. </w:t>
      </w:r>
      <w:r>
        <w:t>Les services d’eau ont progressé ces dix dernières années</w:t>
      </w:r>
      <w:r w:rsidRPr="00AB27AB">
        <w:t>, 94</w:t>
      </w:r>
      <w:r w:rsidR="003C1DE9">
        <w:t> </w:t>
      </w:r>
      <w:r w:rsidRPr="00AB27AB">
        <w:t xml:space="preserve">% de la population </w:t>
      </w:r>
      <w:r>
        <w:t xml:space="preserve">étant en mesure aujourd’hui d’utiliser </w:t>
      </w:r>
      <w:r w:rsidRPr="00AB27AB">
        <w:t>l</w:t>
      </w:r>
      <w:r>
        <w:t>’</w:t>
      </w:r>
      <w:r w:rsidRPr="00AB27AB">
        <w:t>eau du système public d</w:t>
      </w:r>
      <w:r>
        <w:t>’</w:t>
      </w:r>
      <w:r w:rsidRPr="00AB27AB">
        <w:t>approvisionnement en eau (contre 80</w:t>
      </w:r>
      <w:r w:rsidR="003C1DE9">
        <w:t> </w:t>
      </w:r>
      <w:r w:rsidRPr="00AB27AB">
        <w:t xml:space="preserve">% seulement en 2010), </w:t>
      </w:r>
      <w:r>
        <w:t xml:space="preserve">et </w:t>
      </w:r>
      <w:r w:rsidRPr="00AB27AB">
        <w:t>57</w:t>
      </w:r>
      <w:r w:rsidR="003C1DE9">
        <w:t> </w:t>
      </w:r>
      <w:r w:rsidRPr="00AB27AB">
        <w:t xml:space="preserve">% de </w:t>
      </w:r>
      <w:r w:rsidRPr="00AB27AB">
        <w:lastRenderedPageBreak/>
        <w:t xml:space="preserve">la population </w:t>
      </w:r>
      <w:r>
        <w:t xml:space="preserve">bénéficiant désormais d’un raccordement </w:t>
      </w:r>
      <w:r w:rsidRPr="00AB27AB">
        <w:t>aux systèmes d</w:t>
      </w:r>
      <w:r>
        <w:t>’</w:t>
      </w:r>
      <w:r w:rsidRPr="00AB27AB">
        <w:t>assainissement publics (contre 43</w:t>
      </w:r>
      <w:r w:rsidR="003C1DE9">
        <w:t> </w:t>
      </w:r>
      <w:r w:rsidRPr="00AB27AB">
        <w:t>% seulement en 2010).</w:t>
      </w:r>
    </w:p>
    <w:p w14:paraId="685A4E12" w14:textId="296BFE19" w:rsidR="000C1192" w:rsidRDefault="000C1192" w:rsidP="000C1192">
      <w:pPr>
        <w:pStyle w:val="SingleTxtG"/>
      </w:pPr>
      <w:r w:rsidRPr="00472D01">
        <w:t>184.</w:t>
      </w:r>
      <w:r w:rsidRPr="00472D01">
        <w:tab/>
        <w:t xml:space="preserve">Dans le cadre </w:t>
      </w:r>
      <w:r>
        <w:t xml:space="preserve">de la politique </w:t>
      </w:r>
      <w:r w:rsidRPr="00472D01">
        <w:t>d</w:t>
      </w:r>
      <w:r>
        <w:t>’</w:t>
      </w:r>
      <w:r w:rsidRPr="00472D01">
        <w:t>investissement</w:t>
      </w:r>
      <w:r>
        <w:t xml:space="preserve"> à long terme</w:t>
      </w:r>
      <w:r w:rsidRPr="00472D01">
        <w:t xml:space="preserve">, </w:t>
      </w:r>
      <w:r>
        <w:t xml:space="preserve">le pays investit dans l’extension </w:t>
      </w:r>
      <w:r w:rsidRPr="00472D01">
        <w:t>de</w:t>
      </w:r>
      <w:r>
        <w:t>s</w:t>
      </w:r>
      <w:r w:rsidRPr="00472D01">
        <w:t xml:space="preserve"> projets publics d</w:t>
      </w:r>
      <w:r>
        <w:t>’</w:t>
      </w:r>
      <w:r w:rsidRPr="00472D01">
        <w:t>approvisionnement en eau et d</w:t>
      </w:r>
      <w:r>
        <w:t>’</w:t>
      </w:r>
      <w:r w:rsidRPr="00472D01">
        <w:t>assainissement, mais environ 1,5</w:t>
      </w:r>
      <w:r w:rsidR="003C1DE9">
        <w:t> </w:t>
      </w:r>
      <w:r w:rsidRPr="00472D01">
        <w:t xml:space="preserve">% de la population est toujours approvisionnée par </w:t>
      </w:r>
      <w:r>
        <w:t xml:space="preserve">des </w:t>
      </w:r>
      <w:r w:rsidRPr="00472D01">
        <w:t>réseaux d</w:t>
      </w:r>
      <w:r>
        <w:t>’</w:t>
      </w:r>
      <w:r w:rsidRPr="00472D01">
        <w:t xml:space="preserve">eau locaux qui ne sont pas gérés par des prestataires de service public et </w:t>
      </w:r>
      <w:r>
        <w:t xml:space="preserve">où le respect des </w:t>
      </w:r>
      <w:r w:rsidRPr="00472D01">
        <w:t>normes de sécurité de l</w:t>
      </w:r>
      <w:r>
        <w:t>’</w:t>
      </w:r>
      <w:r w:rsidRPr="00472D01">
        <w:t xml:space="preserve">eau pour la consommation humaine </w:t>
      </w:r>
      <w:r>
        <w:t xml:space="preserve">n’est pas </w:t>
      </w:r>
      <w:r w:rsidRPr="00472D01">
        <w:t>garanti.</w:t>
      </w:r>
    </w:p>
    <w:p w14:paraId="6B720212" w14:textId="77777777" w:rsidR="000C1192" w:rsidRDefault="000C1192" w:rsidP="000C1192">
      <w:pPr>
        <w:pStyle w:val="SingleTxtG"/>
      </w:pPr>
      <w:r w:rsidRPr="00472D01">
        <w:t>185.</w:t>
      </w:r>
      <w:r w:rsidRPr="00472D01">
        <w:tab/>
        <w:t>Le programme de contrôle de la qualité de l</w:t>
      </w:r>
      <w:r>
        <w:t>’</w:t>
      </w:r>
      <w:r w:rsidRPr="00472D01">
        <w:t xml:space="preserve">eau potable </w:t>
      </w:r>
      <w:r>
        <w:t xml:space="preserve">existe depuis </w:t>
      </w:r>
      <w:r w:rsidRPr="00472D01">
        <w:t xml:space="preserve">2009 et </w:t>
      </w:r>
      <w:r>
        <w:t>relève de l’Institut national croate de la santé publique</w:t>
      </w:r>
      <w:r w:rsidRPr="00472D01">
        <w:t>. L</w:t>
      </w:r>
      <w:r>
        <w:t>’</w:t>
      </w:r>
      <w:r w:rsidRPr="00472D01">
        <w:t xml:space="preserve">ordonnance relative aux </w:t>
      </w:r>
      <w:r>
        <w:t>critères</w:t>
      </w:r>
      <w:r w:rsidRPr="00472D01">
        <w:t xml:space="preserve"> de conformité, aux méthodes d</w:t>
      </w:r>
      <w:r>
        <w:t>’</w:t>
      </w:r>
      <w:r w:rsidRPr="00472D01">
        <w:t xml:space="preserve">analyse, </w:t>
      </w:r>
      <w:r>
        <w:t>aux mesures de contrôle</w:t>
      </w:r>
      <w:r w:rsidRPr="00472D01">
        <w:t xml:space="preserve"> </w:t>
      </w:r>
      <w:r>
        <w:t xml:space="preserve">et </w:t>
      </w:r>
      <w:r w:rsidRPr="00472D01">
        <w:t>aux plans de sécurité pour la consommation humaine</w:t>
      </w:r>
      <w:r>
        <w:t xml:space="preserve">, ainsi qu’à la </w:t>
      </w:r>
      <w:r w:rsidRPr="00472D01">
        <w:t xml:space="preserve">tenue du registre des personnes morales </w:t>
      </w:r>
      <w:r>
        <w:t xml:space="preserve">assurant des services publics d’approvisionnement en eau, définit les critères à observer pour le </w:t>
      </w:r>
      <w:r w:rsidRPr="00472D01">
        <w:t>contrôle de la conformité de l</w:t>
      </w:r>
      <w:r>
        <w:t>’</w:t>
      </w:r>
      <w:r w:rsidRPr="00472D01">
        <w:t>eau destinée à la consommation humaine conformément aux règles de l</w:t>
      </w:r>
      <w:r>
        <w:t>’</w:t>
      </w:r>
      <w:r w:rsidRPr="00472D01">
        <w:t xml:space="preserve">UE </w:t>
      </w:r>
      <w:r>
        <w:t xml:space="preserve">en la matière et aux </w:t>
      </w:r>
      <w:r w:rsidRPr="00797C62">
        <w:t xml:space="preserve">Directives de qualité </w:t>
      </w:r>
      <w:r>
        <w:t xml:space="preserve">de l’Organisation mondiale de la Santé (OMS) </w:t>
      </w:r>
      <w:r w:rsidRPr="00797C62">
        <w:t>pour l</w:t>
      </w:r>
      <w:r>
        <w:t>’</w:t>
      </w:r>
      <w:r w:rsidRPr="00797C62">
        <w:t>eau de boisson</w:t>
      </w:r>
      <w:r>
        <w:t>.</w:t>
      </w:r>
    </w:p>
    <w:p w14:paraId="0FC65E35" w14:textId="77777777" w:rsidR="000C1192" w:rsidRDefault="000C1192" w:rsidP="000C1192">
      <w:pPr>
        <w:pStyle w:val="SingleTxtG"/>
      </w:pPr>
      <w:r w:rsidRPr="00472D01">
        <w:t>186.</w:t>
      </w:r>
      <w:r w:rsidRPr="00472D01">
        <w:tab/>
      </w:r>
      <w:r>
        <w:t>L’</w:t>
      </w:r>
      <w:r w:rsidRPr="00472D01">
        <w:t xml:space="preserve">utilisation </w:t>
      </w:r>
      <w:r>
        <w:t>salubre</w:t>
      </w:r>
      <w:r w:rsidRPr="00472D01">
        <w:t xml:space="preserve"> de l</w:t>
      </w:r>
      <w:r>
        <w:t>’</w:t>
      </w:r>
      <w:r w:rsidRPr="00472D01">
        <w:t xml:space="preserve">eau </w:t>
      </w:r>
      <w:r>
        <w:t xml:space="preserve">destinée à la </w:t>
      </w:r>
      <w:r w:rsidRPr="00472D01">
        <w:t xml:space="preserve">consommation humaine, la protection des ressources en eau et les méthodes de réduction </w:t>
      </w:r>
      <w:r>
        <w:t xml:space="preserve">du gaspillage de l’eau sont enseignées au </w:t>
      </w:r>
      <w:r w:rsidRPr="00472D01">
        <w:t>jardin d</w:t>
      </w:r>
      <w:r>
        <w:t>’</w:t>
      </w:r>
      <w:r w:rsidRPr="00472D01">
        <w:t xml:space="preserve">enfants et </w:t>
      </w:r>
      <w:r>
        <w:t>à l’école</w:t>
      </w:r>
      <w:r w:rsidRPr="00472D01">
        <w:t xml:space="preserve"> dans le cadre de l</w:t>
      </w:r>
      <w:r>
        <w:t>’</w:t>
      </w:r>
      <w:r w:rsidRPr="00472D01">
        <w:t xml:space="preserve">éducation </w:t>
      </w:r>
      <w:r>
        <w:t>sur la santé</w:t>
      </w:r>
      <w:r w:rsidRPr="00472D01">
        <w:t>.</w:t>
      </w:r>
    </w:p>
    <w:p w14:paraId="4818DFDC" w14:textId="03DB3C00" w:rsidR="000C1192" w:rsidRPr="00A87AF5" w:rsidRDefault="000C1192" w:rsidP="000E2C32">
      <w:pPr>
        <w:pStyle w:val="H1G"/>
      </w:pPr>
      <w:r w:rsidRPr="00472D01">
        <w:tab/>
      </w:r>
      <w:r w:rsidRPr="00472D01">
        <w:tab/>
      </w:r>
      <w:r w:rsidR="00A858B3">
        <w:t>Article </w:t>
      </w:r>
      <w:r w:rsidRPr="00A87AF5">
        <w:t>11</w:t>
      </w:r>
      <w:r w:rsidR="000E2C32">
        <w:t> </w:t>
      </w:r>
      <w:r w:rsidRPr="00A87AF5">
        <w:t>d)</w:t>
      </w:r>
    </w:p>
    <w:p w14:paraId="7D50D522" w14:textId="0598F5C4" w:rsidR="000C1192" w:rsidRPr="00A87AF5" w:rsidRDefault="000C1192" w:rsidP="000C1192">
      <w:pPr>
        <w:pStyle w:val="SingleTxtG"/>
      </w:pPr>
      <w:r w:rsidRPr="008F52B4">
        <w:t>187.</w:t>
      </w:r>
      <w:r w:rsidRPr="008F52B4">
        <w:tab/>
      </w:r>
      <w:r>
        <w:t>C</w:t>
      </w:r>
      <w:r w:rsidRPr="008F52B4">
        <w:t xml:space="preserve">ertains des éléments </w:t>
      </w:r>
      <w:r>
        <w:t xml:space="preserve">relatifs </w:t>
      </w:r>
      <w:r w:rsidRPr="008F52B4">
        <w:t xml:space="preserve">au droit à un logement </w:t>
      </w:r>
      <w:r>
        <w:t>suffisant sont indiqués à la feuille</w:t>
      </w:r>
      <w:r w:rsidR="000E2C32">
        <w:t> </w:t>
      </w:r>
      <w:r w:rsidRPr="008F52B4">
        <w:t>14.1.7</w:t>
      </w:r>
      <w:r>
        <w:t xml:space="preserve"> de l’annexe</w:t>
      </w:r>
      <w:r w:rsidR="000E2C32">
        <w:t> </w:t>
      </w:r>
      <w:r>
        <w:t>3a du présent rapport (indicateurs de pauvreté)</w:t>
      </w:r>
      <w:r w:rsidRPr="008F52B4">
        <w:t xml:space="preserve">. </w:t>
      </w:r>
      <w:r>
        <w:t>Il n’est pas utilisé d’</w:t>
      </w:r>
      <w:r w:rsidRPr="008F52B4">
        <w:t xml:space="preserve">indicateurs </w:t>
      </w:r>
      <w:r>
        <w:t xml:space="preserve">sur le </w:t>
      </w:r>
      <w:r w:rsidRPr="008F52B4">
        <w:t xml:space="preserve">sans-abrisme et </w:t>
      </w:r>
      <w:r>
        <w:t xml:space="preserve">le </w:t>
      </w:r>
      <w:r w:rsidRPr="008F52B4">
        <w:t xml:space="preserve">logement </w:t>
      </w:r>
      <w:r>
        <w:t>insuffisant</w:t>
      </w:r>
      <w:r w:rsidRPr="008F52B4">
        <w:t xml:space="preserve">, mais certains </w:t>
      </w:r>
      <w:r>
        <w:t xml:space="preserve">aspects du problème sont abordés dans </w:t>
      </w:r>
      <w:r w:rsidRPr="008F52B4">
        <w:t>l</w:t>
      </w:r>
      <w:r>
        <w:t>’</w:t>
      </w:r>
      <w:r w:rsidRPr="008F52B4">
        <w:t>enquête sur les revenus d</w:t>
      </w:r>
      <w:r>
        <w:t>e l’Office croate de statistique (voir a</w:t>
      </w:r>
      <w:r w:rsidRPr="00A87AF5">
        <w:t>nnexe</w:t>
      </w:r>
      <w:r w:rsidR="000E2C32">
        <w:t> </w:t>
      </w:r>
      <w:r w:rsidRPr="00A87AF5">
        <w:t>4b</w:t>
      </w:r>
      <w:r>
        <w:t>)</w:t>
      </w:r>
      <w:r w:rsidRPr="00A87AF5">
        <w:t>.</w:t>
      </w:r>
    </w:p>
    <w:p w14:paraId="210D6DDE" w14:textId="77777777" w:rsidR="000C1192" w:rsidRPr="008F52B4" w:rsidRDefault="000C1192" w:rsidP="000C1192">
      <w:pPr>
        <w:pStyle w:val="SingleTxtG"/>
      </w:pPr>
      <w:r w:rsidRPr="008F52B4">
        <w:t>188.</w:t>
      </w:r>
      <w:r w:rsidRPr="008F52B4">
        <w:tab/>
        <w:t>L</w:t>
      </w:r>
      <w:r>
        <w:t>’État et les collectivités locales et régionales autonomes</w:t>
      </w:r>
      <w:r w:rsidRPr="008F52B4">
        <w:t xml:space="preserve"> cofinancent </w:t>
      </w:r>
      <w:r>
        <w:t xml:space="preserve">des </w:t>
      </w:r>
      <w:r w:rsidRPr="008F52B4">
        <w:t xml:space="preserve">programmes de construction de logements sociaux, </w:t>
      </w:r>
      <w:r>
        <w:t xml:space="preserve">et parallèlement, des </w:t>
      </w:r>
      <w:r w:rsidRPr="008F52B4">
        <w:t xml:space="preserve">programmes du </w:t>
      </w:r>
      <w:r>
        <w:t xml:space="preserve">Ministère de l’aménagement du territoire, de la construction et des biens de l’État prennent en charge </w:t>
      </w:r>
      <w:r w:rsidRPr="008F52B4">
        <w:t xml:space="preserve">une partie des intérêts </w:t>
      </w:r>
      <w:r>
        <w:t xml:space="preserve">de prêts immobiliers pour les </w:t>
      </w:r>
      <w:r w:rsidRPr="008F52B4">
        <w:t>jeune</w:t>
      </w:r>
      <w:r>
        <w:t>s</w:t>
      </w:r>
      <w:r w:rsidRPr="008F52B4">
        <w:t>.</w:t>
      </w:r>
    </w:p>
    <w:p w14:paraId="1B3CA283" w14:textId="51E1F2F8" w:rsidR="000C1192" w:rsidRPr="008F52B4" w:rsidRDefault="000C1192" w:rsidP="000C1192">
      <w:pPr>
        <w:pStyle w:val="SingleTxtG"/>
      </w:pPr>
      <w:bookmarkStart w:id="5" w:name="_Hlk109209673"/>
      <w:r w:rsidRPr="008F52B4">
        <w:t>189.</w:t>
      </w:r>
      <w:r w:rsidRPr="008F52B4">
        <w:tab/>
        <w:t xml:space="preserve">Le </w:t>
      </w:r>
      <w:r>
        <w:t>Ministère susmentionné</w:t>
      </w:r>
      <w:r w:rsidRPr="008F52B4">
        <w:t xml:space="preserve"> est </w:t>
      </w:r>
      <w:r>
        <w:t xml:space="preserve">chargé </w:t>
      </w:r>
      <w:r w:rsidRPr="008F52B4">
        <w:t>de l</w:t>
      </w:r>
      <w:r>
        <w:t>’</w:t>
      </w:r>
      <w:r w:rsidRPr="008F52B4">
        <w:t xml:space="preserve">aménagement du territoire, </w:t>
      </w:r>
      <w:r>
        <w:t>et apporte à ce titre des fonds d’assistance aux collectivités locales et régionales autonomes</w:t>
      </w:r>
      <w:r w:rsidRPr="008F52B4">
        <w:t xml:space="preserve"> </w:t>
      </w:r>
      <w:r>
        <w:t xml:space="preserve">pour l’aménagement des </w:t>
      </w:r>
      <w:r w:rsidRPr="008F52B4">
        <w:t xml:space="preserve">zones </w:t>
      </w:r>
      <w:r>
        <w:t xml:space="preserve">d’établissement </w:t>
      </w:r>
      <w:r w:rsidRPr="008F52B4">
        <w:t xml:space="preserve">Roms. Le </w:t>
      </w:r>
      <w:r>
        <w:t xml:space="preserve">Ministère </w:t>
      </w:r>
      <w:r w:rsidRPr="008F52B4">
        <w:t xml:space="preserve">a financé </w:t>
      </w:r>
      <w:r>
        <w:t xml:space="preserve">l’élaboration des documents du </w:t>
      </w:r>
      <w:r w:rsidRPr="008F52B4">
        <w:t xml:space="preserve">projet </w:t>
      </w:r>
      <w:r>
        <w:t xml:space="preserve">de </w:t>
      </w:r>
      <w:r w:rsidRPr="008F52B4">
        <w:t xml:space="preserve">légalisation des sites </w:t>
      </w:r>
      <w:r>
        <w:t xml:space="preserve">d’établissement des </w:t>
      </w:r>
      <w:r w:rsidRPr="008F52B4">
        <w:t xml:space="preserve">Roms </w:t>
      </w:r>
      <w:r>
        <w:t xml:space="preserve">pendant </w:t>
      </w:r>
      <w:r w:rsidRPr="008F52B4">
        <w:t>la période 2012-2016 pour 765</w:t>
      </w:r>
      <w:r w:rsidR="000E2C32">
        <w:t> </w:t>
      </w:r>
      <w:r w:rsidRPr="008F52B4">
        <w:t>bâtiments</w:t>
      </w:r>
      <w:r>
        <w:t xml:space="preserve">, à hauteur </w:t>
      </w:r>
      <w:r w:rsidR="009C0D2F" w:rsidRPr="009C0D2F">
        <w:t xml:space="preserve">de </w:t>
      </w:r>
      <w:r w:rsidR="009C0D2F" w:rsidRPr="009C0D2F">
        <w:t>1</w:t>
      </w:r>
      <w:r w:rsidR="009C0D2F">
        <w:t> </w:t>
      </w:r>
      <w:r w:rsidR="009C0D2F" w:rsidRPr="009C0D2F">
        <w:t>229</w:t>
      </w:r>
      <w:r w:rsidR="009C0D2F">
        <w:t> </w:t>
      </w:r>
      <w:r w:rsidR="009C0D2F" w:rsidRPr="009C0D2F">
        <w:t>596</w:t>
      </w:r>
      <w:r w:rsidR="009C0D2F">
        <w:t>,</w:t>
      </w:r>
      <w:r w:rsidR="009C0D2F" w:rsidRPr="009C0D2F">
        <w:t>25</w:t>
      </w:r>
      <w:r w:rsidR="009C0D2F">
        <w:t> </w:t>
      </w:r>
      <w:proofErr w:type="spellStart"/>
      <w:r>
        <w:t>kunas</w:t>
      </w:r>
      <w:proofErr w:type="spellEnd"/>
      <w:r w:rsidRPr="008F52B4">
        <w:t xml:space="preserve">. En 2018, </w:t>
      </w:r>
      <w:r>
        <w:t xml:space="preserve">il a financé à hauteur </w:t>
      </w:r>
      <w:r w:rsidR="009C0D2F" w:rsidRPr="009C0D2F">
        <w:t xml:space="preserve">de </w:t>
      </w:r>
      <w:r w:rsidR="009C0D2F" w:rsidRPr="009C0D2F">
        <w:t>1</w:t>
      </w:r>
      <w:r w:rsidR="009C0D2F" w:rsidRPr="009C0D2F">
        <w:t> </w:t>
      </w:r>
      <w:r w:rsidR="009C0D2F" w:rsidRPr="009C0D2F">
        <w:t>811</w:t>
      </w:r>
      <w:r w:rsidR="009C0D2F" w:rsidRPr="009C0D2F">
        <w:t> </w:t>
      </w:r>
      <w:r w:rsidR="009C0D2F" w:rsidRPr="009C0D2F">
        <w:t>882</w:t>
      </w:r>
      <w:r w:rsidR="009C0D2F" w:rsidRPr="009C0D2F">
        <w:t>,</w:t>
      </w:r>
      <w:r w:rsidR="009C0D2F" w:rsidRPr="009C0D2F">
        <w:t>46</w:t>
      </w:r>
      <w:r w:rsidR="009C0D2F" w:rsidRPr="009C0D2F">
        <w:t> </w:t>
      </w:r>
      <w:proofErr w:type="spellStart"/>
      <w:r w:rsidRPr="009C0D2F">
        <w:t>kunas</w:t>
      </w:r>
      <w:proofErr w:type="spellEnd"/>
      <w:r w:rsidRPr="009C0D2F">
        <w:t xml:space="preserve"> la planification spatiale et les frais de légalisation de bâtiments résidentiels roms illégaux ainsi</w:t>
      </w:r>
      <w:r w:rsidRPr="008F52B4">
        <w:t xml:space="preserve"> que </w:t>
      </w:r>
      <w:r>
        <w:t xml:space="preserve">des </w:t>
      </w:r>
      <w:r w:rsidRPr="008F52B4">
        <w:t>contributions pour l</w:t>
      </w:r>
      <w:r>
        <w:t>’</w:t>
      </w:r>
      <w:r w:rsidRPr="008F52B4">
        <w:t>eau.</w:t>
      </w:r>
    </w:p>
    <w:bookmarkEnd w:id="5"/>
    <w:p w14:paraId="00332C4C" w14:textId="77777777" w:rsidR="000C1192" w:rsidRPr="008F52B4" w:rsidRDefault="000C1192" w:rsidP="000C1192">
      <w:pPr>
        <w:pStyle w:val="SingleTxtG"/>
        <w:rPr>
          <w:rStyle w:val="Appelnotedebasdep"/>
          <w:color w:val="000000" w:themeColor="text1"/>
        </w:rPr>
      </w:pPr>
      <w:r w:rsidRPr="008F52B4">
        <w:t>190.</w:t>
      </w:r>
      <w:r w:rsidRPr="008F52B4">
        <w:tab/>
      </w:r>
      <w:r>
        <w:t xml:space="preserve">La loi sur la gestion des biens de l’État a précisé les </w:t>
      </w:r>
      <w:r w:rsidRPr="008F52B4">
        <w:t xml:space="preserve">conditions </w:t>
      </w:r>
      <w:r>
        <w:t xml:space="preserve">auxquelles l’État peut mettre en valeur des </w:t>
      </w:r>
      <w:r w:rsidRPr="008F52B4">
        <w:t xml:space="preserve">biens immobiliers appartenant à la </w:t>
      </w:r>
      <w:r>
        <w:t xml:space="preserve">République de Croatie et en faire don sans contrepartie aux collectivités locales et régionales autonomes si des motifs </w:t>
      </w:r>
      <w:r w:rsidRPr="008F52B4">
        <w:t xml:space="preserve">de promotion </w:t>
      </w:r>
      <w:r>
        <w:t xml:space="preserve">de la protection </w:t>
      </w:r>
      <w:r w:rsidRPr="008F52B4">
        <w:t>social</w:t>
      </w:r>
      <w:r>
        <w:t>e le justifient pour réaliser divers</w:t>
      </w:r>
      <w:r w:rsidRPr="008F52B4">
        <w:t xml:space="preserve"> programmes</w:t>
      </w:r>
      <w:r w:rsidRPr="00535E17">
        <w:rPr>
          <w:rStyle w:val="Appelnotedebasdep"/>
        </w:rPr>
        <w:footnoteReference w:id="60"/>
      </w:r>
      <w:r>
        <w:t>.</w:t>
      </w:r>
    </w:p>
    <w:p w14:paraId="463715A2" w14:textId="77777777" w:rsidR="000C1192" w:rsidRPr="00241E59" w:rsidRDefault="000C1192" w:rsidP="000C1192">
      <w:pPr>
        <w:pStyle w:val="SingleTxtG"/>
      </w:pPr>
      <w:r w:rsidRPr="00241811">
        <w:t>191.</w:t>
      </w:r>
      <w:r w:rsidRPr="00241811">
        <w:tab/>
        <w:t xml:space="preserve">Conformément à la loi sur la construction, les bâtiments doivent être conçus et construits de façon à être accessibles et utilisables par les personnes handicapées à mobilité réduite. </w:t>
      </w:r>
      <w:r w:rsidRPr="00241E59">
        <w:t xml:space="preserve">Lors de la construction et de la </w:t>
      </w:r>
      <w:r>
        <w:t xml:space="preserve">réfection </w:t>
      </w:r>
      <w:r w:rsidRPr="00241E59">
        <w:t xml:space="preserve">de bâtiments résidentiels et commerciaux, un appartement facilement adaptable doit être prévu pour dix appartements dans </w:t>
      </w:r>
      <w:r>
        <w:t xml:space="preserve">chaque </w:t>
      </w:r>
      <w:r w:rsidRPr="00241E59">
        <w:t>bâtiment.</w:t>
      </w:r>
    </w:p>
    <w:p w14:paraId="4A45C045" w14:textId="77777777" w:rsidR="000C1192" w:rsidRPr="00121CD6" w:rsidRDefault="000C1192" w:rsidP="000C1192">
      <w:pPr>
        <w:pStyle w:val="SingleTxtG"/>
      </w:pPr>
      <w:r w:rsidRPr="00060925">
        <w:t>192.</w:t>
      </w:r>
      <w:r w:rsidRPr="00060925">
        <w:tab/>
      </w:r>
      <w:r w:rsidRPr="00121CD6">
        <w:t>Les documents d</w:t>
      </w:r>
      <w:r>
        <w:t>’</w:t>
      </w:r>
      <w:r w:rsidRPr="00121CD6">
        <w:t xml:space="preserve">aménagement du territoire </w:t>
      </w:r>
      <w:r>
        <w:t xml:space="preserve">permettent de faire en sorte </w:t>
      </w:r>
      <w:r w:rsidRPr="00121CD6">
        <w:t xml:space="preserve">que </w:t>
      </w:r>
      <w:r>
        <w:t xml:space="preserve">des </w:t>
      </w:r>
      <w:r w:rsidRPr="00121CD6">
        <w:t xml:space="preserve">logements ne </w:t>
      </w:r>
      <w:r>
        <w:t xml:space="preserve">soient </w:t>
      </w:r>
      <w:r w:rsidRPr="00121CD6">
        <w:t xml:space="preserve">pas construits dans </w:t>
      </w:r>
      <w:r>
        <w:t xml:space="preserve">une </w:t>
      </w:r>
      <w:r w:rsidRPr="00121CD6">
        <w:t>zone polluée</w:t>
      </w:r>
      <w:r>
        <w:t xml:space="preserve"> ou à proximité</w:t>
      </w:r>
      <w:r w:rsidRPr="00121CD6">
        <w:t>.</w:t>
      </w:r>
    </w:p>
    <w:p w14:paraId="70EDE5D0" w14:textId="3BAAC5BA" w:rsidR="000C1192" w:rsidRPr="005808E3" w:rsidRDefault="000C1192" w:rsidP="000C1192">
      <w:pPr>
        <w:pStyle w:val="SingleTxtG"/>
      </w:pPr>
      <w:r w:rsidRPr="005808E3">
        <w:t>193.</w:t>
      </w:r>
      <w:r w:rsidRPr="005808E3">
        <w:tab/>
      </w:r>
      <w:r>
        <w:t xml:space="preserve">Il n’a pas été signalé de </w:t>
      </w:r>
      <w:r w:rsidRPr="005808E3">
        <w:t>cas d</w:t>
      </w:r>
      <w:r>
        <w:t>’</w:t>
      </w:r>
      <w:r w:rsidRPr="005808E3">
        <w:t xml:space="preserve">expulsion forcée </w:t>
      </w:r>
      <w:r>
        <w:t xml:space="preserve">touchant </w:t>
      </w:r>
      <w:r w:rsidRPr="005808E3">
        <w:t xml:space="preserve">un groupe ou une minorité </w:t>
      </w:r>
      <w:r>
        <w:t>en particulier.</w:t>
      </w:r>
    </w:p>
    <w:p w14:paraId="71965917" w14:textId="486420CE" w:rsidR="000C1192" w:rsidRPr="003D40C3" w:rsidRDefault="000C1192" w:rsidP="000C1192">
      <w:pPr>
        <w:pStyle w:val="SingleTxtG"/>
      </w:pPr>
      <w:r w:rsidRPr="00BC4E3F">
        <w:lastRenderedPageBreak/>
        <w:t>194.</w:t>
      </w:r>
      <w:r w:rsidRPr="00BC4E3F">
        <w:tab/>
      </w:r>
      <w:r w:rsidRPr="00D45479">
        <w:t>L</w:t>
      </w:r>
      <w:r>
        <w:t>’</w:t>
      </w:r>
      <w:r w:rsidRPr="00D45479">
        <w:t xml:space="preserve">exécution </w:t>
      </w:r>
      <w:r>
        <w:t xml:space="preserve">des décisions de justice en matière immobilière </w:t>
      </w:r>
      <w:r w:rsidRPr="00D45479">
        <w:t xml:space="preserve">ne peut </w:t>
      </w:r>
      <w:r>
        <w:t xml:space="preserve">avoir pour </w:t>
      </w:r>
      <w:r w:rsidRPr="00D45479">
        <w:t xml:space="preserve">but de régler une obligation dont le principal </w:t>
      </w:r>
      <w:r>
        <w:t xml:space="preserve">est inférieur à </w:t>
      </w:r>
      <w:r w:rsidRPr="00D45479">
        <w:t>40</w:t>
      </w:r>
      <w:r w:rsidR="000E2C32">
        <w:t> </w:t>
      </w:r>
      <w:r w:rsidRPr="00D45479">
        <w:t>000</w:t>
      </w:r>
      <w:r w:rsidR="000E2C32">
        <w:t> </w:t>
      </w:r>
      <w:r>
        <w:t>kunas</w:t>
      </w:r>
      <w:r w:rsidRPr="00535E17">
        <w:rPr>
          <w:rStyle w:val="Appelnotedebasdep"/>
        </w:rPr>
        <w:footnoteReference w:id="61"/>
      </w:r>
      <w:r w:rsidRPr="00D45479">
        <w:t xml:space="preserve">. Si le principal </w:t>
      </w:r>
      <w:r>
        <w:t>excède ce montant</w:t>
      </w:r>
      <w:r w:rsidRPr="00D45479">
        <w:t>, le tribunal peut rejeter la demande d</w:t>
      </w:r>
      <w:r>
        <w:t>’</w:t>
      </w:r>
      <w:r w:rsidRPr="00D45479">
        <w:t>exécution s</w:t>
      </w:r>
      <w:r>
        <w:t>’</w:t>
      </w:r>
      <w:r w:rsidRPr="00D45479">
        <w:t xml:space="preserve">il estime que la vente </w:t>
      </w:r>
      <w:r>
        <w:t xml:space="preserve">du bien renverserait </w:t>
      </w:r>
      <w:r w:rsidRPr="00D45479">
        <w:t>le juste équilibre entre les intérêts du débiteur et ceux du créancier (art.</w:t>
      </w:r>
      <w:r w:rsidR="000E2C32">
        <w:t> </w:t>
      </w:r>
      <w:r w:rsidRPr="00D45479">
        <w:t xml:space="preserve">80.b de </w:t>
      </w:r>
      <w:r>
        <w:t>la loi sur l’</w:t>
      </w:r>
      <w:r w:rsidRPr="00D45479">
        <w:t xml:space="preserve">exécution </w:t>
      </w:r>
      <w:r>
        <w:t>des décisions de justice</w:t>
      </w:r>
      <w:r w:rsidRPr="00D45479">
        <w:t xml:space="preserve">). Le débiteur qui </w:t>
      </w:r>
      <w:r>
        <w:t xml:space="preserve">doit </w:t>
      </w:r>
      <w:r w:rsidRPr="00D45479">
        <w:t xml:space="preserve">libérer et </w:t>
      </w:r>
      <w:r>
        <w:t xml:space="preserve">restituer </w:t>
      </w:r>
      <w:r w:rsidRPr="00D45479">
        <w:t xml:space="preserve">un bien immobilier vendu </w:t>
      </w:r>
      <w:r>
        <w:t xml:space="preserve">en application de </w:t>
      </w:r>
      <w:r w:rsidRPr="00D45479">
        <w:t>la procédure d</w:t>
      </w:r>
      <w:r>
        <w:t>’</w:t>
      </w:r>
      <w:r w:rsidRPr="00D45479">
        <w:t xml:space="preserve">exécution </w:t>
      </w:r>
      <w:r>
        <w:t xml:space="preserve">pour recouvrer une </w:t>
      </w:r>
      <w:r w:rsidRPr="00D45479">
        <w:t xml:space="preserve">créance monétaire a droit à </w:t>
      </w:r>
      <w:r>
        <w:t xml:space="preserve">l’indemnisation des </w:t>
      </w:r>
      <w:r w:rsidRPr="00D45479">
        <w:t xml:space="preserve">coûts de location </w:t>
      </w:r>
      <w:r>
        <w:t xml:space="preserve">par </w:t>
      </w:r>
      <w:r w:rsidRPr="00D45479">
        <w:t>l</w:t>
      </w:r>
      <w:r>
        <w:t>’</w:t>
      </w:r>
      <w:r w:rsidRPr="00D45479">
        <w:t xml:space="preserve">État si les conditions </w:t>
      </w:r>
      <w:r>
        <w:t xml:space="preserve">requises </w:t>
      </w:r>
      <w:r w:rsidRPr="00D45479">
        <w:t xml:space="preserve">sont remplies </w:t>
      </w:r>
      <w:r w:rsidRPr="003D40C3">
        <w:t>(</w:t>
      </w:r>
      <w:r>
        <w:t>a</w:t>
      </w:r>
      <w:r w:rsidRPr="003D40C3">
        <w:t>rt.</w:t>
      </w:r>
      <w:r w:rsidR="000E2C32">
        <w:t> </w:t>
      </w:r>
      <w:r w:rsidRPr="003D40C3">
        <w:t xml:space="preserve">131.a. </w:t>
      </w:r>
      <w:r w:rsidRPr="00D45479">
        <w:t xml:space="preserve">de </w:t>
      </w:r>
      <w:r>
        <w:t>la loi sur l’</w:t>
      </w:r>
      <w:r w:rsidRPr="00D45479">
        <w:t xml:space="preserve">exécution </w:t>
      </w:r>
      <w:r>
        <w:t>des décisions de justice</w:t>
      </w:r>
      <w:r w:rsidRPr="003D40C3">
        <w:t>)</w:t>
      </w:r>
      <w:r w:rsidR="004A3902">
        <w:t>.</w:t>
      </w:r>
    </w:p>
    <w:p w14:paraId="2FE4C35D" w14:textId="19F48DAA" w:rsidR="000C1192" w:rsidRPr="00BC4E3F" w:rsidRDefault="000C1192" w:rsidP="000C1192">
      <w:pPr>
        <w:pStyle w:val="SingleTxtG"/>
      </w:pPr>
      <w:r w:rsidRPr="008A6149">
        <w:t>195.</w:t>
      </w:r>
      <w:r w:rsidRPr="008A6149">
        <w:tab/>
      </w:r>
      <w:r w:rsidRPr="00BC4E3F">
        <w:t>Depuis 2014, la procédure d</w:t>
      </w:r>
      <w:r>
        <w:t>’</w:t>
      </w:r>
      <w:r w:rsidRPr="00BC4E3F">
        <w:t xml:space="preserve">enchères immobilières électroniques </w:t>
      </w:r>
      <w:r>
        <w:t xml:space="preserve">relève de </w:t>
      </w:r>
      <w:r w:rsidRPr="00BC4E3F">
        <w:t>l</w:t>
      </w:r>
      <w:r>
        <w:t>’</w:t>
      </w:r>
      <w:r w:rsidRPr="00BC4E3F">
        <w:t xml:space="preserve">Agence financière, ce qui a </w:t>
      </w:r>
      <w:r>
        <w:t xml:space="preserve">sensiblement </w:t>
      </w:r>
      <w:r w:rsidRPr="00BC4E3F">
        <w:t xml:space="preserve">accéléré la procédure </w:t>
      </w:r>
      <w:r>
        <w:t>(</w:t>
      </w:r>
      <w:r w:rsidRPr="00BC4E3F">
        <w:t xml:space="preserve">voir </w:t>
      </w:r>
      <w:r>
        <w:t>a</w:t>
      </w:r>
      <w:r w:rsidRPr="00BC4E3F">
        <w:t>nnexe</w:t>
      </w:r>
      <w:r w:rsidR="000E2C32">
        <w:t> </w:t>
      </w:r>
      <w:r w:rsidRPr="00BC4E3F">
        <w:t xml:space="preserve">2, </w:t>
      </w:r>
      <w:r>
        <w:t>feuille</w:t>
      </w:r>
      <w:r w:rsidR="000E2C32">
        <w:t> </w:t>
      </w:r>
      <w:r w:rsidRPr="00BC4E3F">
        <w:t>11.1.1</w:t>
      </w:r>
      <w:r>
        <w:t>).</w:t>
      </w:r>
    </w:p>
    <w:p w14:paraId="762791EF" w14:textId="19D73364" w:rsidR="000C1192" w:rsidRPr="00826243" w:rsidRDefault="000C1192" w:rsidP="000E2C32">
      <w:pPr>
        <w:pStyle w:val="H1G"/>
        <w:rPr>
          <w:lang w:val="fr-FR"/>
        </w:rPr>
      </w:pPr>
      <w:r w:rsidRPr="00BC4E3F">
        <w:tab/>
      </w:r>
      <w:r w:rsidRPr="00BC4E3F">
        <w:tab/>
      </w:r>
      <w:r w:rsidR="00A858B3">
        <w:rPr>
          <w:lang w:val="fr-FR"/>
        </w:rPr>
        <w:t>Article </w:t>
      </w:r>
      <w:r w:rsidRPr="00826243">
        <w:rPr>
          <w:lang w:val="fr-FR"/>
        </w:rPr>
        <w:t>12</w:t>
      </w:r>
    </w:p>
    <w:p w14:paraId="67168525" w14:textId="77777777" w:rsidR="000C1192" w:rsidRPr="006C224C" w:rsidRDefault="000C1192" w:rsidP="000C1192">
      <w:pPr>
        <w:pStyle w:val="SingleTxtG"/>
      </w:pPr>
      <w:r w:rsidRPr="00FA4E06">
        <w:t>196.</w:t>
      </w:r>
      <w:r w:rsidRPr="00FA4E06">
        <w:tab/>
      </w:r>
      <w:r w:rsidRPr="006C224C">
        <w:t xml:space="preserve">La Constitution de la </w:t>
      </w:r>
      <w:r>
        <w:t>République de Croatie</w:t>
      </w:r>
      <w:r w:rsidRPr="006C224C">
        <w:t xml:space="preserve"> garantit le droit à la santé à tous les citoyens. L</w:t>
      </w:r>
      <w:r>
        <w:t xml:space="preserve">es lois nationales sont </w:t>
      </w:r>
      <w:r w:rsidRPr="006C224C">
        <w:t>conforme</w:t>
      </w:r>
      <w:r>
        <w:t>s</w:t>
      </w:r>
      <w:r w:rsidRPr="006C224C">
        <w:t xml:space="preserve"> à la </w:t>
      </w:r>
      <w:r w:rsidRPr="00CF1AA1">
        <w:t xml:space="preserve">Convention pour la protection des </w:t>
      </w:r>
      <w:r>
        <w:t>d</w:t>
      </w:r>
      <w:r w:rsidRPr="00CF1AA1">
        <w:t>roits de l</w:t>
      </w:r>
      <w:r>
        <w:t>’h</w:t>
      </w:r>
      <w:r w:rsidRPr="00CF1AA1">
        <w:t>omme et de la dignité de l</w:t>
      </w:r>
      <w:r>
        <w:t>’</w:t>
      </w:r>
      <w:r w:rsidRPr="00CF1AA1">
        <w:t>être humain à l</w:t>
      </w:r>
      <w:r>
        <w:t>’</w:t>
      </w:r>
      <w:r w:rsidRPr="00CF1AA1">
        <w:t>égard des applications de la biologie et de la médecine</w:t>
      </w:r>
      <w:r w:rsidRPr="00535E17">
        <w:rPr>
          <w:rStyle w:val="Appelnotedebasdep"/>
        </w:rPr>
        <w:footnoteReference w:id="62"/>
      </w:r>
      <w:r w:rsidRPr="006C224C">
        <w:t xml:space="preserve">, et la </w:t>
      </w:r>
      <w:r>
        <w:t>loi sur la protection des patients</w:t>
      </w:r>
      <w:r w:rsidRPr="006C224C">
        <w:t>, adoptée en 2004</w:t>
      </w:r>
      <w:r>
        <w:t>,</w:t>
      </w:r>
      <w:r w:rsidRPr="006C224C">
        <w:t xml:space="preserve"> </w:t>
      </w:r>
      <w:r>
        <w:t xml:space="preserve">régit </w:t>
      </w:r>
      <w:r w:rsidRPr="006C224C">
        <w:t xml:space="preserve">les normes de comportement moral, éthique et civique des </w:t>
      </w:r>
      <w:r>
        <w:t xml:space="preserve">usagers et des prestataires </w:t>
      </w:r>
      <w:r w:rsidRPr="006C224C">
        <w:t xml:space="preserve">de services de santé. La stratégie nationale de santé </w:t>
      </w:r>
      <w:r>
        <w:t>publique (</w:t>
      </w:r>
      <w:r w:rsidRPr="006C224C">
        <w:t>2012-2020</w:t>
      </w:r>
      <w:r>
        <w:t>)</w:t>
      </w:r>
      <w:r w:rsidRPr="006C224C">
        <w:t xml:space="preserve"> est un document</w:t>
      </w:r>
      <w:r>
        <w:t xml:space="preserve"> général</w:t>
      </w:r>
      <w:r w:rsidRPr="006C224C">
        <w:t xml:space="preserve"> qui définit le contexte, </w:t>
      </w:r>
      <w:r>
        <w:t>les perspectives</w:t>
      </w:r>
      <w:r w:rsidRPr="006C224C">
        <w:t xml:space="preserve">, les priorités, les objectifs et les mesures </w:t>
      </w:r>
      <w:r>
        <w:t xml:space="preserve">essentielles en matière de </w:t>
      </w:r>
      <w:r w:rsidRPr="006C224C">
        <w:t xml:space="preserve">santé </w:t>
      </w:r>
      <w:r>
        <w:t xml:space="preserve">conformément aux principaux </w:t>
      </w:r>
      <w:r w:rsidRPr="006C224C">
        <w:t>documents stratégiques de l</w:t>
      </w:r>
      <w:r>
        <w:t>’</w:t>
      </w:r>
      <w:r w:rsidRPr="006C224C">
        <w:t>UE, de l</w:t>
      </w:r>
      <w:r>
        <w:t>’</w:t>
      </w:r>
      <w:r w:rsidRPr="006C224C">
        <w:t xml:space="preserve">OMS et </w:t>
      </w:r>
      <w:r>
        <w:t xml:space="preserve">de l’ONU. </w:t>
      </w:r>
    </w:p>
    <w:p w14:paraId="65FEB814" w14:textId="4D5015D5" w:rsidR="000C1192" w:rsidRPr="005D617F" w:rsidRDefault="000C1192" w:rsidP="000C1192">
      <w:pPr>
        <w:pStyle w:val="SingleTxtG"/>
      </w:pPr>
      <w:r w:rsidRPr="001A7F56">
        <w:t>197.</w:t>
      </w:r>
      <w:r w:rsidRPr="001A7F56">
        <w:tab/>
        <w:t>Le Ministère de la santé est chargé de superviser le système de santé et de financement des soins de santé ainsi que d</w:t>
      </w:r>
      <w:r>
        <w:t>’</w:t>
      </w:r>
      <w:r w:rsidRPr="001A7F56">
        <w:t xml:space="preserve">offrir des soins de santé de qualité. </w:t>
      </w:r>
      <w:r w:rsidRPr="005D617F">
        <w:t xml:space="preserve">Une attention particulière est accordée </w:t>
      </w:r>
      <w:r>
        <w:t xml:space="preserve">à la </w:t>
      </w:r>
      <w:r w:rsidRPr="005D617F">
        <w:t>santé de certains groupes vulnérables (femmes enceintes, enfants, personnes de plus de 65</w:t>
      </w:r>
      <w:r w:rsidR="000E2C32">
        <w:t> </w:t>
      </w:r>
      <w:r w:rsidRPr="005D617F">
        <w:t xml:space="preserve">ans, personnes handicapées, groupes marginalisés) ainsi </w:t>
      </w:r>
      <w:r>
        <w:t xml:space="preserve">qu’au règlement </w:t>
      </w:r>
      <w:r w:rsidRPr="005D617F">
        <w:t>des problèmes prioritaires de santé publique (maladies infectieuses et non transmissibles).</w:t>
      </w:r>
    </w:p>
    <w:p w14:paraId="77E8B6B9" w14:textId="1BCBFD0B" w:rsidR="000C1192" w:rsidRPr="00AD6F22" w:rsidRDefault="000C1192" w:rsidP="000C1192">
      <w:pPr>
        <w:pStyle w:val="SingleTxtG"/>
      </w:pPr>
      <w:r w:rsidRPr="00A77347">
        <w:t>198.</w:t>
      </w:r>
      <w:r w:rsidRPr="00A77347">
        <w:tab/>
      </w:r>
      <w:r w:rsidRPr="00AD6F22">
        <w:t xml:space="preserve">En 2015, </w:t>
      </w:r>
      <w:r>
        <w:t>la Caisse croate d’assurance maladie</w:t>
      </w:r>
      <w:r w:rsidRPr="00AD6F22">
        <w:t xml:space="preserve"> a enregistré 4</w:t>
      </w:r>
      <w:r w:rsidR="004A3902">
        <w:t> </w:t>
      </w:r>
      <w:r w:rsidRPr="00AD6F22">
        <w:t>325</w:t>
      </w:r>
      <w:r w:rsidR="000E2C32">
        <w:t> </w:t>
      </w:r>
      <w:r w:rsidRPr="00AD6F22">
        <w:t>852</w:t>
      </w:r>
      <w:r w:rsidR="000E2C32">
        <w:t> </w:t>
      </w:r>
      <w:r w:rsidRPr="00AD6F22">
        <w:t>assurés, et le nombre d</w:t>
      </w:r>
      <w:r>
        <w:t>’</w:t>
      </w:r>
      <w:r w:rsidRPr="00AD6F22">
        <w:t xml:space="preserve">assurés </w:t>
      </w:r>
      <w:r>
        <w:t xml:space="preserve">qui répondent aux </w:t>
      </w:r>
      <w:r w:rsidRPr="00AD6F22">
        <w:t xml:space="preserve">conditions </w:t>
      </w:r>
      <w:r>
        <w:t xml:space="preserve">requises </w:t>
      </w:r>
      <w:r w:rsidRPr="00AD6F22">
        <w:t>pour bénéficier d</w:t>
      </w:r>
      <w:r>
        <w:t>’</w:t>
      </w:r>
      <w:r w:rsidRPr="00AD6F22">
        <w:t xml:space="preserve">une </w:t>
      </w:r>
      <w:r>
        <w:t xml:space="preserve">assurance </w:t>
      </w:r>
      <w:r w:rsidRPr="00AD6F22">
        <w:t xml:space="preserve">complémentaire </w:t>
      </w:r>
      <w:r>
        <w:t xml:space="preserve">financée par </w:t>
      </w:r>
      <w:r w:rsidRPr="00AD6F22">
        <w:t>l</w:t>
      </w:r>
      <w:r>
        <w:t>’</w:t>
      </w:r>
      <w:r w:rsidRPr="00AD6F22">
        <w:t xml:space="preserve">État </w:t>
      </w:r>
      <w:r>
        <w:t xml:space="preserve">a atteint </w:t>
      </w:r>
      <w:r w:rsidRPr="00AD6F22">
        <w:t>974</w:t>
      </w:r>
      <w:r w:rsidR="000E2C32">
        <w:t> </w:t>
      </w:r>
      <w:r w:rsidRPr="00AD6F22">
        <w:t>032 (</w:t>
      </w:r>
      <w:r>
        <w:t xml:space="preserve">contre </w:t>
      </w:r>
      <w:r w:rsidRPr="00AD6F22">
        <w:t>945</w:t>
      </w:r>
      <w:r w:rsidR="000E2C32">
        <w:t> </w:t>
      </w:r>
      <w:r w:rsidRPr="00AD6F22">
        <w:t xml:space="preserve">277 en 2014), ce qui a </w:t>
      </w:r>
      <w:r>
        <w:t xml:space="preserve">amélioré </w:t>
      </w:r>
      <w:r w:rsidRPr="00AD6F22">
        <w:t>l</w:t>
      </w:r>
      <w:r>
        <w:t>’</w:t>
      </w:r>
      <w:r w:rsidRPr="00AD6F22">
        <w:t xml:space="preserve">accès aux services de santé </w:t>
      </w:r>
      <w:r>
        <w:t xml:space="preserve">des </w:t>
      </w:r>
      <w:r w:rsidRPr="00AD6F22">
        <w:t xml:space="preserve">personnes </w:t>
      </w:r>
      <w:r>
        <w:t>socialement vulnérables.</w:t>
      </w:r>
    </w:p>
    <w:p w14:paraId="35B6C0C8" w14:textId="77777777" w:rsidR="000C1192" w:rsidRPr="00A77347" w:rsidRDefault="000C1192" w:rsidP="000C1192">
      <w:pPr>
        <w:pStyle w:val="SingleTxtG"/>
      </w:pPr>
      <w:r w:rsidRPr="00060523">
        <w:t>199.</w:t>
      </w:r>
      <w:r w:rsidRPr="00060523">
        <w:tab/>
      </w:r>
      <w:r w:rsidRPr="00A77347">
        <w:t>L</w:t>
      </w:r>
      <w:r>
        <w:t xml:space="preserve">es soins médicaux sont dispensés sur la base des </w:t>
      </w:r>
      <w:r w:rsidRPr="00A77347">
        <w:t>principes d</w:t>
      </w:r>
      <w:r>
        <w:t>e l’</w:t>
      </w:r>
      <w:r w:rsidRPr="00A77347">
        <w:t xml:space="preserve">universalité, de </w:t>
      </w:r>
      <w:r>
        <w:t xml:space="preserve">la </w:t>
      </w:r>
      <w:r w:rsidRPr="00A77347">
        <w:t>continuité</w:t>
      </w:r>
      <w:r>
        <w:t xml:space="preserve"> et</w:t>
      </w:r>
      <w:r w:rsidRPr="00A77347">
        <w:t xml:space="preserve"> </w:t>
      </w:r>
      <w:r>
        <w:t xml:space="preserve">de l’accessibilité. Une démarche intégrée est adoptée pour ce qui concerne </w:t>
      </w:r>
      <w:r w:rsidRPr="00A77347">
        <w:t xml:space="preserve">les soins de santé primaires, et une approche </w:t>
      </w:r>
      <w:r>
        <w:t xml:space="preserve">ciblée pour ce qui concerne les </w:t>
      </w:r>
      <w:r w:rsidRPr="00A77347">
        <w:t>soins spécialisés</w:t>
      </w:r>
      <w:r>
        <w:t>, les cas problématiques et les soins en milieu hospitalier, selon les principes de la subsidiarité et de l’intégration fonctionnelle</w:t>
      </w:r>
      <w:r w:rsidRPr="00A77347">
        <w:t>. Les services de soins de santé primaires sont accessibles à l</w:t>
      </w:r>
      <w:r>
        <w:t>’</w:t>
      </w:r>
      <w:r w:rsidRPr="00A77347">
        <w:t xml:space="preserve">ensemble de la population </w:t>
      </w:r>
      <w:r>
        <w:t>à</w:t>
      </w:r>
      <w:r w:rsidRPr="00A77347">
        <w:t xml:space="preserve"> moins d</w:t>
      </w:r>
      <w:r>
        <w:t>’</w:t>
      </w:r>
      <w:r w:rsidRPr="00A77347">
        <w:t xml:space="preserve">une heure de marche ou de </w:t>
      </w:r>
      <w:r>
        <w:t>transport</w:t>
      </w:r>
      <w:r w:rsidRPr="00A77347">
        <w:t>.</w:t>
      </w:r>
    </w:p>
    <w:p w14:paraId="3F0E8FF3" w14:textId="77777777" w:rsidR="000C1192" w:rsidRPr="00060523" w:rsidRDefault="000C1192" w:rsidP="000C1192">
      <w:pPr>
        <w:pStyle w:val="SingleTxtG"/>
      </w:pPr>
      <w:r w:rsidRPr="00CF1BDB">
        <w:t>200.</w:t>
      </w:r>
      <w:r w:rsidRPr="00CF1BDB">
        <w:tab/>
      </w:r>
      <w:r w:rsidRPr="00060523">
        <w:t>Les droits fondamentaux qui découlent de l</w:t>
      </w:r>
      <w:r>
        <w:t>’</w:t>
      </w:r>
      <w:r w:rsidRPr="00060523">
        <w:t>assurance maladie obligatoire</w:t>
      </w:r>
      <w:r w:rsidRPr="00535E17">
        <w:rPr>
          <w:rStyle w:val="Appelnotedebasdep"/>
        </w:rPr>
        <w:footnoteReference w:id="63"/>
      </w:r>
      <w:r w:rsidRPr="00060523">
        <w:t xml:space="preserve"> sont le droit aux soins de santé et le droit </w:t>
      </w:r>
      <w:r>
        <w:t>au remboursement des soins</w:t>
      </w:r>
      <w:r w:rsidRPr="00060523">
        <w:t>.</w:t>
      </w:r>
    </w:p>
    <w:p w14:paraId="2CB52835" w14:textId="77777777" w:rsidR="000C1192" w:rsidRPr="00C23FF6" w:rsidRDefault="000C1192" w:rsidP="000C1192">
      <w:pPr>
        <w:pStyle w:val="SingleTxtG"/>
      </w:pPr>
      <w:r w:rsidRPr="00C23FF6">
        <w:t>201.</w:t>
      </w:r>
      <w:r w:rsidRPr="00C23FF6">
        <w:tab/>
        <w:t>L</w:t>
      </w:r>
      <w:r>
        <w:t xml:space="preserve">a loi sur les médicaments et la loi sur les dispositifs médicaux prescrivent les conditions d’utilisation </w:t>
      </w:r>
      <w:r w:rsidRPr="00C23FF6">
        <w:t xml:space="preserve">des médicaments et des dispositifs médicaux </w:t>
      </w:r>
      <w:r>
        <w:t xml:space="preserve">et définissent </w:t>
      </w:r>
      <w:r w:rsidRPr="00C23FF6">
        <w:t>le champ d</w:t>
      </w:r>
      <w:r>
        <w:t>’</w:t>
      </w:r>
      <w:r w:rsidRPr="00C23FF6">
        <w:t>action de l</w:t>
      </w:r>
      <w:r>
        <w:t>’</w:t>
      </w:r>
      <w:r w:rsidRPr="00C23FF6">
        <w:t>Agence des médicaments et des dispositifs médicaux, qui</w:t>
      </w:r>
      <w:r>
        <w:t xml:space="preserve"> est</w:t>
      </w:r>
      <w:r w:rsidRPr="00C23FF6">
        <w:t xml:space="preserve"> </w:t>
      </w:r>
      <w:r>
        <w:t xml:space="preserve">chargée </w:t>
      </w:r>
      <w:r w:rsidRPr="00C23FF6">
        <w:t xml:space="preserve">de la commercialisation et du contrôle des médicaments, de </w:t>
      </w:r>
      <w:r>
        <w:t xml:space="preserve">l’élaboration de </w:t>
      </w:r>
      <w:r w:rsidRPr="00C23FF6">
        <w:t>la pharmacopée croate et de l</w:t>
      </w:r>
      <w:r>
        <w:t>’</w:t>
      </w:r>
      <w:r w:rsidRPr="00C23FF6">
        <w:t xml:space="preserve">inspection </w:t>
      </w:r>
      <w:r>
        <w:t>des produits pharmaceutiques</w:t>
      </w:r>
      <w:r w:rsidRPr="00C23FF6">
        <w:t>.</w:t>
      </w:r>
    </w:p>
    <w:p w14:paraId="3CD4454F" w14:textId="77777777" w:rsidR="000C1192" w:rsidRPr="00C23FF6" w:rsidRDefault="000C1192" w:rsidP="000C1192">
      <w:pPr>
        <w:pStyle w:val="SingleTxtG"/>
      </w:pPr>
      <w:r w:rsidRPr="00040C11">
        <w:lastRenderedPageBreak/>
        <w:t>202.</w:t>
      </w:r>
      <w:r w:rsidRPr="00040C11">
        <w:tab/>
      </w:r>
      <w:r w:rsidRPr="001A43B0">
        <w:t>Les professionnels de santé sont des personnes ayant suivi une formation médicale</w:t>
      </w:r>
      <w:r w:rsidRPr="00535E17">
        <w:rPr>
          <w:rStyle w:val="Appelnotedebasdep"/>
        </w:rPr>
        <w:footnoteReference w:id="64"/>
      </w:r>
      <w:r w:rsidRPr="001A43B0">
        <w:t xml:space="preserve"> et assurant des soins de santé à la population, avec l</w:t>
      </w:r>
      <w:r>
        <w:t>’</w:t>
      </w:r>
      <w:r w:rsidRPr="001A43B0">
        <w:t xml:space="preserve">obligation de respecter les principes moraux et éthiques des métiers de santé. </w:t>
      </w:r>
      <w:r>
        <w:t>Dans le cadre des soins</w:t>
      </w:r>
      <w:r w:rsidRPr="00C23FF6">
        <w:t xml:space="preserve">, ils agissent conformément aux règles </w:t>
      </w:r>
      <w:r>
        <w:t>de leur profession</w:t>
      </w:r>
      <w:r w:rsidRPr="00C23FF6">
        <w:t xml:space="preserve">, </w:t>
      </w:r>
      <w:r>
        <w:t xml:space="preserve">d’une façon qui ne mette </w:t>
      </w:r>
      <w:r w:rsidRPr="00C23FF6">
        <w:t xml:space="preserve">pas en danger la vie et la santé des personnes. </w:t>
      </w:r>
      <w:r>
        <w:t xml:space="preserve">Pour exercer leurs </w:t>
      </w:r>
      <w:r w:rsidRPr="00C23FF6">
        <w:t>activités</w:t>
      </w:r>
      <w:r>
        <w:t xml:space="preserve">, ils doivent être titulaires d’une autorisation d’exercer délivrée par l’organe compétent, </w:t>
      </w:r>
      <w:r w:rsidRPr="00C23FF6">
        <w:t>qu</w:t>
      </w:r>
      <w:r>
        <w:t>’</w:t>
      </w:r>
      <w:r w:rsidRPr="00C23FF6">
        <w:t xml:space="preserve">ils renouvellent périodiquement </w:t>
      </w:r>
      <w:r>
        <w:t>par la</w:t>
      </w:r>
      <w:r w:rsidRPr="00C23FF6">
        <w:t xml:space="preserve"> formation continue et/ou en passant des </w:t>
      </w:r>
      <w:r>
        <w:t>épreuves</w:t>
      </w:r>
      <w:r w:rsidRPr="00C23FF6">
        <w:t>.</w:t>
      </w:r>
    </w:p>
    <w:p w14:paraId="3673A930" w14:textId="3A7F178A" w:rsidR="000C1192" w:rsidRPr="00C23FF6" w:rsidRDefault="000C1192" w:rsidP="000C1192">
      <w:pPr>
        <w:pStyle w:val="SingleTxtG"/>
        <w:rPr>
          <w:rStyle w:val="Appelnotedebasdep"/>
          <w:color w:val="000000" w:themeColor="text1"/>
        </w:rPr>
      </w:pPr>
      <w:r w:rsidRPr="006A5585">
        <w:t>203.</w:t>
      </w:r>
      <w:r w:rsidRPr="006A5585">
        <w:tab/>
        <w:t>L’amélioration</w:t>
      </w:r>
      <w:r>
        <w:t xml:space="preserve"> des </w:t>
      </w:r>
      <w:r w:rsidRPr="00AC6E49">
        <w:t>soins périnatals</w:t>
      </w:r>
      <w:r>
        <w:t xml:space="preserve"> fait partie des principaux objectifs </w:t>
      </w:r>
      <w:r w:rsidRPr="00AC6E49">
        <w:t>de la politique de santé</w:t>
      </w:r>
      <w:r w:rsidRPr="00535E17">
        <w:rPr>
          <w:rStyle w:val="Appelnotedebasdep"/>
        </w:rPr>
        <w:footnoteReference w:id="65"/>
      </w:r>
      <w:r w:rsidRPr="00AC6E49">
        <w:t xml:space="preserve">. </w:t>
      </w:r>
      <w:r w:rsidRPr="00C23FF6">
        <w:t xml:space="preserve">Les mesures prioritaires </w:t>
      </w:r>
      <w:r>
        <w:t xml:space="preserve">concernant la </w:t>
      </w:r>
      <w:r w:rsidRPr="00C23FF6">
        <w:t xml:space="preserve">maternité sans risque </w:t>
      </w:r>
      <w:r>
        <w:t xml:space="preserve">ont trait </w:t>
      </w:r>
      <w:r w:rsidRPr="00C23FF6">
        <w:t>à la prévention, au contrôle et à la détection précoce des complications de la grossesse. L</w:t>
      </w:r>
      <w:r>
        <w:t>es femmes ont accès aux soins de</w:t>
      </w:r>
      <w:r w:rsidRPr="00C23FF6">
        <w:t xml:space="preserve"> santé </w:t>
      </w:r>
      <w:r>
        <w:t xml:space="preserve">procréative </w:t>
      </w:r>
      <w:r w:rsidRPr="00C23FF6">
        <w:t xml:space="preserve">par les services gynécologiques, </w:t>
      </w:r>
      <w:r>
        <w:t xml:space="preserve">la planification </w:t>
      </w:r>
      <w:r w:rsidRPr="00C23FF6">
        <w:t>familial</w:t>
      </w:r>
      <w:r>
        <w:t>e</w:t>
      </w:r>
      <w:r w:rsidRPr="00C23FF6">
        <w:t xml:space="preserve">, le conseil aux femmes enceintes et les visites à domicile dans le </w:t>
      </w:r>
      <w:r>
        <w:t xml:space="preserve">contexte </w:t>
      </w:r>
      <w:r w:rsidRPr="00C23FF6">
        <w:t xml:space="preserve">des soins primaires. Les mesures prioritaires sont définies </w:t>
      </w:r>
      <w:r>
        <w:t xml:space="preserve">conformément à la </w:t>
      </w:r>
      <w:r w:rsidR="000E2C32">
        <w:t>réglementation</w:t>
      </w:r>
      <w:r>
        <w:t xml:space="preserve"> fixant les normes </w:t>
      </w:r>
      <w:r w:rsidRPr="00C23FF6">
        <w:t>en matière de soins périnatals et de santé infantile</w:t>
      </w:r>
      <w:r w:rsidRPr="00535E17">
        <w:rPr>
          <w:rStyle w:val="Appelnotedebasdep"/>
        </w:rPr>
        <w:footnoteReference w:id="66"/>
      </w:r>
      <w:r w:rsidRPr="00C23FF6">
        <w:t>.</w:t>
      </w:r>
    </w:p>
    <w:p w14:paraId="0E2E66D7" w14:textId="66BABACB" w:rsidR="000C1192" w:rsidRPr="00D94919" w:rsidRDefault="000C1192" w:rsidP="000C1192">
      <w:pPr>
        <w:pStyle w:val="SingleTxtG"/>
      </w:pPr>
      <w:r w:rsidRPr="0079576E">
        <w:t>204.</w:t>
      </w:r>
      <w:r w:rsidRPr="0079576E">
        <w:tab/>
      </w:r>
      <w:r w:rsidRPr="00C23FF6">
        <w:t>En 2019, 30,8</w:t>
      </w:r>
      <w:r w:rsidR="000E2C32">
        <w:t> </w:t>
      </w:r>
      <w:r w:rsidRPr="00C23FF6">
        <w:t xml:space="preserve">% </w:t>
      </w:r>
      <w:r>
        <w:t xml:space="preserve">des </w:t>
      </w:r>
      <w:r w:rsidRPr="00C23FF6">
        <w:t>assurées (</w:t>
      </w:r>
      <w:r>
        <w:t xml:space="preserve">soit </w:t>
      </w:r>
      <w:r w:rsidRPr="00C23FF6">
        <w:t>524</w:t>
      </w:r>
      <w:r w:rsidR="000E2C32">
        <w:t> </w:t>
      </w:r>
      <w:r w:rsidRPr="00C23FF6">
        <w:t>218</w:t>
      </w:r>
      <w:r w:rsidR="000E2C32">
        <w:t> </w:t>
      </w:r>
      <w:r>
        <w:t>femmes</w:t>
      </w:r>
      <w:r w:rsidRPr="00C23FF6">
        <w:t xml:space="preserve">) ont utilisé </w:t>
      </w:r>
      <w:r>
        <w:t xml:space="preserve">des </w:t>
      </w:r>
      <w:r w:rsidRPr="00C23FF6">
        <w:t xml:space="preserve">services de santé auprès de gynécologues </w:t>
      </w:r>
      <w:r>
        <w:t xml:space="preserve">en </w:t>
      </w:r>
      <w:r w:rsidRPr="00C23FF6">
        <w:t>soins primaires. Le nombre de bénéficiaires potentiel</w:t>
      </w:r>
      <w:r>
        <w:t>le</w:t>
      </w:r>
      <w:r w:rsidRPr="00C23FF6">
        <w:t xml:space="preserve">s </w:t>
      </w:r>
      <w:r>
        <w:t xml:space="preserve">parmi les </w:t>
      </w:r>
      <w:r w:rsidRPr="00C23FF6">
        <w:t>femmes de plus de 15</w:t>
      </w:r>
      <w:r w:rsidR="000E2C32">
        <w:t> </w:t>
      </w:r>
      <w:r w:rsidRPr="00C23FF6">
        <w:t xml:space="preserve">ans </w:t>
      </w:r>
      <w:r>
        <w:t xml:space="preserve">diminue, de même que </w:t>
      </w:r>
      <w:r w:rsidRPr="00C23FF6">
        <w:t xml:space="preserve">le nombre de femmes en âge de procréer. </w:t>
      </w:r>
      <w:r>
        <w:t xml:space="preserve">Le nombre de cabinets sous </w:t>
      </w:r>
      <w:r w:rsidRPr="00C23FF6">
        <w:t xml:space="preserve">contrat avec </w:t>
      </w:r>
      <w:r>
        <w:t xml:space="preserve">la Caisse croate d’assurance maladie s’élevait à </w:t>
      </w:r>
      <w:r w:rsidRPr="00C23FF6">
        <w:t>253</w:t>
      </w:r>
      <w:r w:rsidR="000E2C32">
        <w:t> </w:t>
      </w:r>
      <w:r w:rsidRPr="00C23FF6">
        <w:t>cabinets à temps plein et 14</w:t>
      </w:r>
      <w:r w:rsidR="000E2C32">
        <w:t> </w:t>
      </w:r>
      <w:r>
        <w:t xml:space="preserve">cabinets </w:t>
      </w:r>
      <w:r w:rsidRPr="00C23FF6">
        <w:t xml:space="preserve">à temps partiel. Les femmes enceintes sont suivies avec une attention particulière (elles </w:t>
      </w:r>
      <w:r>
        <w:t xml:space="preserve">sont </w:t>
      </w:r>
      <w:r w:rsidRPr="00C23FF6">
        <w:t>examinées 7,4</w:t>
      </w:r>
      <w:r w:rsidR="000E2C32">
        <w:t> </w:t>
      </w:r>
      <w:r w:rsidRPr="00C23FF6">
        <w:t xml:space="preserve">fois </w:t>
      </w:r>
      <w:r>
        <w:t xml:space="preserve">en moyenne </w:t>
      </w:r>
      <w:r w:rsidRPr="00C23FF6">
        <w:t>pendant leur grossesse). 26</w:t>
      </w:r>
      <w:r w:rsidR="000E2C32">
        <w:t> </w:t>
      </w:r>
      <w:r w:rsidRPr="00C23FF6">
        <w:t>426</w:t>
      </w:r>
      <w:r w:rsidR="000E2C32">
        <w:t> </w:t>
      </w:r>
      <w:r w:rsidRPr="00C23FF6">
        <w:t>états pathologiques de la grossesse ont été identifiés (</w:t>
      </w:r>
      <w:r>
        <w:t xml:space="preserve">soit </w:t>
      </w:r>
      <w:r w:rsidRPr="00C23FF6">
        <w:t>5,9</w:t>
      </w:r>
      <w:r w:rsidR="000E2C32">
        <w:t> </w:t>
      </w:r>
      <w:r w:rsidRPr="00C23FF6">
        <w:t>% de moins qu</w:t>
      </w:r>
      <w:r>
        <w:t>’</w:t>
      </w:r>
      <w:r w:rsidRPr="00C23FF6">
        <w:t xml:space="preserve">en 2018). </w:t>
      </w:r>
      <w:r>
        <w:t xml:space="preserve">Le nombre de </w:t>
      </w:r>
      <w:r w:rsidRPr="00C23FF6">
        <w:t xml:space="preserve">visites </w:t>
      </w:r>
      <w:r>
        <w:t xml:space="preserve">auprès de cabinets sous contrat ou hors contrat pour des services de </w:t>
      </w:r>
      <w:r w:rsidRPr="00C23FF6">
        <w:t>planification familiale et/ou de prescription de contracepti</w:t>
      </w:r>
      <w:r>
        <w:t xml:space="preserve">fs a augmenté de </w:t>
      </w:r>
      <w:r w:rsidRPr="00C23FF6">
        <w:t>10,2</w:t>
      </w:r>
      <w:r w:rsidR="000E2C32">
        <w:t> </w:t>
      </w:r>
      <w:r w:rsidRPr="00C23FF6">
        <w:t xml:space="preserve">% par rapport à 2018. </w:t>
      </w:r>
      <w:r>
        <w:t xml:space="preserve">On a enregistré </w:t>
      </w:r>
      <w:r w:rsidRPr="00C23FF6">
        <w:t>463</w:t>
      </w:r>
      <w:r w:rsidR="000E2C32">
        <w:t> </w:t>
      </w:r>
      <w:r w:rsidRPr="00C23FF6">
        <w:t>711</w:t>
      </w:r>
      <w:r w:rsidR="000E2C32">
        <w:t> </w:t>
      </w:r>
      <w:r w:rsidRPr="00C23FF6">
        <w:t>examens préventifs (</w:t>
      </w:r>
      <w:r>
        <w:t xml:space="preserve">en diminution par rapport à </w:t>
      </w:r>
      <w:r w:rsidRPr="00C23FF6">
        <w:t>l</w:t>
      </w:r>
      <w:r>
        <w:t>’</w:t>
      </w:r>
      <w:r w:rsidRPr="00C23FF6">
        <w:t>année précédente). Le nombre d</w:t>
      </w:r>
      <w:r>
        <w:t>’</w:t>
      </w:r>
      <w:r w:rsidRPr="00C23FF6">
        <w:t>examens préventifs de mammographie a augmenté par rapport à l</w:t>
      </w:r>
      <w:r>
        <w:t>’</w:t>
      </w:r>
      <w:r w:rsidRPr="00C23FF6">
        <w:t xml:space="preserve">année précédente, </w:t>
      </w:r>
      <w:r>
        <w:t xml:space="preserve">avec une diminution des diagnostics d’anomalies pathologiques </w:t>
      </w:r>
      <w:r w:rsidRPr="00C23FF6">
        <w:t>(</w:t>
      </w:r>
      <w:r>
        <w:t>-</w:t>
      </w:r>
      <w:r w:rsidRPr="00C23FF6">
        <w:t>8,1</w:t>
      </w:r>
      <w:r w:rsidR="000E2C32">
        <w:t> </w:t>
      </w:r>
      <w:r w:rsidRPr="00C23FF6">
        <w:t>%). L</w:t>
      </w:r>
      <w:r>
        <w:t>a proportion de cas d’</w:t>
      </w:r>
      <w:r w:rsidRPr="003E2C5D">
        <w:t xml:space="preserve">affections pathologiques </w:t>
      </w:r>
      <w:r>
        <w:t xml:space="preserve">décelés à l’issue de frottis cervicaux </w:t>
      </w:r>
      <w:r w:rsidRPr="00C23FF6">
        <w:t>a augmenté (9,8</w:t>
      </w:r>
      <w:r w:rsidR="000E2C32">
        <w:t> </w:t>
      </w:r>
      <w:r w:rsidRPr="00C23FF6">
        <w:t>%, contre 9,0</w:t>
      </w:r>
      <w:r w:rsidR="000E2C32">
        <w:t> </w:t>
      </w:r>
      <w:r w:rsidRPr="00C23FF6">
        <w:t>% en 2018).</w:t>
      </w:r>
      <w:r>
        <w:t xml:space="preserve"> </w:t>
      </w:r>
    </w:p>
    <w:p w14:paraId="252BF5C3" w14:textId="6E404C27" w:rsidR="000C1192" w:rsidRPr="00C23FF6" w:rsidRDefault="000C1192" w:rsidP="000C1192">
      <w:pPr>
        <w:pStyle w:val="SingleTxtG"/>
      </w:pPr>
      <w:r w:rsidRPr="00D423BC">
        <w:t>205.</w:t>
      </w:r>
      <w:r w:rsidRPr="00D423BC">
        <w:tab/>
      </w:r>
      <w:r w:rsidRPr="00C23FF6">
        <w:t xml:space="preserve">La prévalence </w:t>
      </w:r>
      <w:r>
        <w:t xml:space="preserve">durablement </w:t>
      </w:r>
      <w:r w:rsidRPr="00C23FF6">
        <w:t xml:space="preserve">très </w:t>
      </w:r>
      <w:r>
        <w:t>basse</w:t>
      </w:r>
      <w:r w:rsidRPr="00C23FF6">
        <w:t xml:space="preserve"> de la fièvre typhoïde (1</w:t>
      </w:r>
      <w:r w:rsidR="000E2C32">
        <w:t> </w:t>
      </w:r>
      <w:r w:rsidRPr="00C23FF6">
        <w:t>cas), de la dysenterie bactérienne (17</w:t>
      </w:r>
      <w:r w:rsidR="000E2C32">
        <w:t> </w:t>
      </w:r>
      <w:r>
        <w:t>cas</w:t>
      </w:r>
      <w:r w:rsidRPr="00C23FF6">
        <w:t>) et de l</w:t>
      </w:r>
      <w:r>
        <w:t>’</w:t>
      </w:r>
      <w:r w:rsidRPr="00C23FF6">
        <w:t>hépatite A (9</w:t>
      </w:r>
      <w:r w:rsidR="000E2C32">
        <w:t> </w:t>
      </w:r>
      <w:r>
        <w:t>cas</w:t>
      </w:r>
      <w:r w:rsidRPr="00C23FF6">
        <w:t>)</w:t>
      </w:r>
      <w:r w:rsidRPr="00535E17">
        <w:rPr>
          <w:rStyle w:val="Appelnotedebasdep"/>
        </w:rPr>
        <w:footnoteReference w:id="67"/>
      </w:r>
      <w:r w:rsidRPr="00C23FF6">
        <w:t xml:space="preserve"> est </w:t>
      </w:r>
      <w:r>
        <w:t xml:space="preserve">l’aboutissement </w:t>
      </w:r>
      <w:r w:rsidRPr="00C23FF6">
        <w:t xml:space="preserve">des progrès </w:t>
      </w:r>
      <w:r>
        <w:t xml:space="preserve">qui ont été faits </w:t>
      </w:r>
      <w:r w:rsidRPr="00C23FF6">
        <w:t>en matière d</w:t>
      </w:r>
      <w:r>
        <w:t>’</w:t>
      </w:r>
      <w:r w:rsidRPr="00C23FF6">
        <w:t xml:space="preserve">hygiène </w:t>
      </w:r>
      <w:r>
        <w:t xml:space="preserve">fondamentale </w:t>
      </w:r>
      <w:r w:rsidRPr="00C23FF6">
        <w:t>et d</w:t>
      </w:r>
      <w:r>
        <w:t>’</w:t>
      </w:r>
      <w:r w:rsidRPr="00C23FF6">
        <w:t xml:space="preserve">assainissement. </w:t>
      </w:r>
      <w:r>
        <w:t xml:space="preserve">L’attention portée au </w:t>
      </w:r>
      <w:r w:rsidRPr="00C23FF6">
        <w:t xml:space="preserve">traitement prioritaire et </w:t>
      </w:r>
      <w:r>
        <w:t xml:space="preserve">à </w:t>
      </w:r>
      <w:r w:rsidRPr="00C23FF6">
        <w:t xml:space="preserve">la surveillance des maladies transmissibles </w:t>
      </w:r>
      <w:r>
        <w:t xml:space="preserve">a aussi </w:t>
      </w:r>
      <w:r w:rsidRPr="00C23FF6">
        <w:t>été souligné</w:t>
      </w:r>
      <w:r>
        <w:t>e par l’UE</w:t>
      </w:r>
      <w:r w:rsidRPr="00C23FF6">
        <w:t xml:space="preserve"> dans des documents récents</w:t>
      </w:r>
      <w:r>
        <w:t>.</w:t>
      </w:r>
    </w:p>
    <w:p w14:paraId="22800166" w14:textId="77777777" w:rsidR="000C1192" w:rsidRPr="003E072F" w:rsidRDefault="000C1192" w:rsidP="000E2C32">
      <w:pPr>
        <w:pStyle w:val="SingleTxtG"/>
        <w:keepLines/>
      </w:pPr>
      <w:r w:rsidRPr="003E072F">
        <w:lastRenderedPageBreak/>
        <w:t>206.</w:t>
      </w:r>
      <w:r w:rsidRPr="003E072F">
        <w:tab/>
        <w:t xml:space="preserve">Le service </w:t>
      </w:r>
      <w:r>
        <w:t>d’</w:t>
      </w:r>
      <w:r w:rsidRPr="003E072F">
        <w:t>épidémiologi</w:t>
      </w:r>
      <w:r>
        <w:t>e</w:t>
      </w:r>
      <w:r w:rsidRPr="003E072F">
        <w:t xml:space="preserve"> de </w:t>
      </w:r>
      <w:r>
        <w:t xml:space="preserve">l’Institut national de santé publique </w:t>
      </w:r>
      <w:r w:rsidRPr="003E072F">
        <w:t>(</w:t>
      </w:r>
      <w:r>
        <w:t>formé du C</w:t>
      </w:r>
      <w:r w:rsidRPr="003E072F">
        <w:t xml:space="preserve">entre de référence du </w:t>
      </w:r>
      <w:r>
        <w:t>M</w:t>
      </w:r>
      <w:r w:rsidRPr="003E072F">
        <w:t>inistère de la santé pour l</w:t>
      </w:r>
      <w:r>
        <w:t>’</w:t>
      </w:r>
      <w:r w:rsidRPr="003E072F">
        <w:t xml:space="preserve">épidémiologie </w:t>
      </w:r>
      <w:r>
        <w:t>et du C</w:t>
      </w:r>
      <w:r w:rsidRPr="003E072F">
        <w:t xml:space="preserve">entre national de contrôle et de prévention des maladies) </w:t>
      </w:r>
      <w:r>
        <w:t xml:space="preserve">constitue le </w:t>
      </w:r>
      <w:r w:rsidRPr="003E072F">
        <w:t xml:space="preserve">système central </w:t>
      </w:r>
      <w:r>
        <w:t xml:space="preserve">pour déclarer et surveiller les </w:t>
      </w:r>
      <w:r w:rsidRPr="003E072F">
        <w:t>maladies infectieuses et supervise</w:t>
      </w:r>
      <w:r>
        <w:t>r</w:t>
      </w:r>
      <w:r w:rsidRPr="003E072F">
        <w:t xml:space="preserve"> </w:t>
      </w:r>
      <w:r>
        <w:t xml:space="preserve">les </w:t>
      </w:r>
      <w:r w:rsidRPr="003E072F">
        <w:t xml:space="preserve">mesures préventives et </w:t>
      </w:r>
      <w:r>
        <w:t xml:space="preserve">de prévention de la contagion appliquées </w:t>
      </w:r>
      <w:r w:rsidRPr="003E072F">
        <w:t xml:space="preserve">par </w:t>
      </w:r>
      <w:r>
        <w:t xml:space="preserve">les </w:t>
      </w:r>
      <w:r w:rsidRPr="003E072F">
        <w:t>divers acteurs de la santé, des médecins de famille aux hôpitaux cliniques</w:t>
      </w:r>
      <w:r>
        <w:t xml:space="preserve"> en passant </w:t>
      </w:r>
      <w:r w:rsidRPr="003E072F">
        <w:t>les services épidémiologiques spécialement formés et équipés</w:t>
      </w:r>
      <w:r>
        <w:t xml:space="preserve"> de l’Institut national de santé publique</w:t>
      </w:r>
      <w:r w:rsidRPr="003E072F">
        <w:t>.</w:t>
      </w:r>
    </w:p>
    <w:p w14:paraId="23C26B71" w14:textId="0611C15D" w:rsidR="000C1192" w:rsidRPr="006B217E" w:rsidRDefault="000C1192" w:rsidP="000C1192">
      <w:pPr>
        <w:pStyle w:val="SingleTxtG"/>
      </w:pPr>
      <w:r w:rsidRPr="008011F0">
        <w:t>207.</w:t>
      </w:r>
      <w:r w:rsidRPr="008011F0">
        <w:tab/>
      </w:r>
      <w:r w:rsidRPr="003E072F">
        <w:t xml:space="preserve">Les maladies </w:t>
      </w:r>
      <w:r>
        <w:t xml:space="preserve">susceptibles </w:t>
      </w:r>
      <w:r w:rsidRPr="003E072F">
        <w:t xml:space="preserve">être contrôlées par </w:t>
      </w:r>
      <w:r>
        <w:t xml:space="preserve">une vaccination </w:t>
      </w:r>
      <w:r w:rsidRPr="003E072F">
        <w:t xml:space="preserve">obligatoire </w:t>
      </w:r>
      <w:r>
        <w:t xml:space="preserve">en République de Croatie </w:t>
      </w:r>
      <w:r w:rsidRPr="003E072F">
        <w:t xml:space="preserve">sont </w:t>
      </w:r>
      <w:r>
        <w:t>les suivantes</w:t>
      </w:r>
      <w:r w:rsidR="000E2C32">
        <w:t> </w:t>
      </w:r>
      <w:r w:rsidRPr="003E072F">
        <w:t>: diphtérie, tétanos, coqueluche, polio, rougeole, oreillons, rubéole, grippe</w:t>
      </w:r>
      <w:r w:rsidR="000E2C32">
        <w:t> </w:t>
      </w:r>
      <w:r w:rsidRPr="003E072F">
        <w:t>B, hépatite</w:t>
      </w:r>
      <w:r w:rsidR="000E2C32">
        <w:t> </w:t>
      </w:r>
      <w:r w:rsidRPr="003E072F">
        <w:t xml:space="preserve">B, pneumocoque et tuberculose. </w:t>
      </w:r>
      <w:r>
        <w:t xml:space="preserve">En fonction des </w:t>
      </w:r>
      <w:r w:rsidRPr="003E072F">
        <w:t xml:space="preserve">indications épidémiologiques, </w:t>
      </w:r>
      <w:r>
        <w:t xml:space="preserve">une </w:t>
      </w:r>
      <w:r w:rsidRPr="003E072F">
        <w:t xml:space="preserve">vaccination est </w:t>
      </w:r>
      <w:r>
        <w:t xml:space="preserve">aussi indiquée </w:t>
      </w:r>
      <w:r w:rsidRPr="003E072F">
        <w:t xml:space="preserve">contre le choléra, la méningo-encéphalite à tiques, la méningococcie, la pneumococcie, </w:t>
      </w:r>
      <w:r>
        <w:t xml:space="preserve">le virus de la </w:t>
      </w:r>
      <w:r w:rsidRPr="003E072F">
        <w:t>varicelle</w:t>
      </w:r>
      <w:r>
        <w:t xml:space="preserve"> et du </w:t>
      </w:r>
      <w:r w:rsidRPr="003E072F">
        <w:t xml:space="preserve">zona, </w:t>
      </w:r>
      <w:r>
        <w:t>l’</w:t>
      </w:r>
      <w:r w:rsidRPr="003E072F">
        <w:t>hépatite A</w:t>
      </w:r>
      <w:r>
        <w:t>,</w:t>
      </w:r>
      <w:r w:rsidRPr="003E072F">
        <w:t xml:space="preserve"> la gastro-entérite à rotavirus, la grippe, </w:t>
      </w:r>
      <w:r>
        <w:t xml:space="preserve">le </w:t>
      </w:r>
      <w:r w:rsidRPr="00574412">
        <w:t xml:space="preserve">virus du papillome humain </w:t>
      </w:r>
      <w:r w:rsidRPr="003E072F">
        <w:t>et</w:t>
      </w:r>
      <w:r>
        <w:t xml:space="preserve"> le virus de la </w:t>
      </w:r>
      <w:r w:rsidRPr="003E072F">
        <w:t xml:space="preserve">COVID-19. </w:t>
      </w:r>
      <w:r>
        <w:t xml:space="preserve">Les données sur les effets </w:t>
      </w:r>
      <w:r w:rsidRPr="003E072F">
        <w:t>de la vaccination</w:t>
      </w:r>
      <w:r>
        <w:t xml:space="preserve"> sur </w:t>
      </w:r>
      <w:r w:rsidRPr="003E072F">
        <w:t>l</w:t>
      </w:r>
      <w:r>
        <w:t>’</w:t>
      </w:r>
      <w:r w:rsidRPr="003E072F">
        <w:t xml:space="preserve">incidence </w:t>
      </w:r>
      <w:r>
        <w:t xml:space="preserve">des </w:t>
      </w:r>
      <w:r w:rsidRPr="003E072F">
        <w:t>infection</w:t>
      </w:r>
      <w:r>
        <w:t>s</w:t>
      </w:r>
      <w:r w:rsidRPr="003E072F">
        <w:t xml:space="preserve"> par type de maladie</w:t>
      </w:r>
      <w:r>
        <w:t xml:space="preserve"> figurent à l’</w:t>
      </w:r>
      <w:r w:rsidRPr="003E072F">
        <w:t>annexe</w:t>
      </w:r>
      <w:r w:rsidR="000E2C32">
        <w:t> </w:t>
      </w:r>
      <w:r w:rsidRPr="003E072F">
        <w:t>2</w:t>
      </w:r>
      <w:r>
        <w:t>, feuille</w:t>
      </w:r>
      <w:r w:rsidR="000E2C32">
        <w:t> </w:t>
      </w:r>
      <w:r w:rsidRPr="003E072F">
        <w:t xml:space="preserve">12.1.1. </w:t>
      </w:r>
      <w:r>
        <w:t>Concernant la r</w:t>
      </w:r>
      <w:r w:rsidRPr="006B217E">
        <w:t>éduction significative des cas de tuberculose</w:t>
      </w:r>
      <w:r>
        <w:t>,</w:t>
      </w:r>
      <w:r w:rsidRPr="006B217E">
        <w:t xml:space="preserve"> voir </w:t>
      </w:r>
      <w:r>
        <w:t>l’a</w:t>
      </w:r>
      <w:r w:rsidRPr="006B217E">
        <w:t>nnexe</w:t>
      </w:r>
      <w:r w:rsidR="000E2C32">
        <w:t> </w:t>
      </w:r>
      <w:r w:rsidRPr="006B217E">
        <w:t xml:space="preserve">2, </w:t>
      </w:r>
      <w:r>
        <w:t>feuille</w:t>
      </w:r>
      <w:r w:rsidR="000E2C32">
        <w:t> </w:t>
      </w:r>
      <w:r w:rsidRPr="006B217E">
        <w:t>12.1.2</w:t>
      </w:r>
      <w:r w:rsidR="00756F77">
        <w:t>.</w:t>
      </w:r>
    </w:p>
    <w:p w14:paraId="74A0892B" w14:textId="11873A28" w:rsidR="000C1192" w:rsidRPr="00266C49" w:rsidRDefault="000C1192" w:rsidP="000C1192">
      <w:pPr>
        <w:pStyle w:val="SingleTxtG"/>
      </w:pPr>
      <w:r w:rsidRPr="007A2E88">
        <w:t>208.</w:t>
      </w:r>
      <w:r w:rsidRPr="007A2E88">
        <w:tab/>
      </w:r>
      <w:r w:rsidRPr="00266C49">
        <w:t>Grâce à l</w:t>
      </w:r>
      <w:r>
        <w:t>’</w:t>
      </w:r>
      <w:r w:rsidRPr="00266C49">
        <w:t xml:space="preserve">application des mesures globales </w:t>
      </w:r>
      <w:r>
        <w:t>définies dans le</w:t>
      </w:r>
      <w:r w:rsidRPr="00266C49">
        <w:t xml:space="preserve"> programme national de prévention du</w:t>
      </w:r>
      <w:r w:rsidR="000E2C32">
        <w:t xml:space="preserve"> VIH/sida</w:t>
      </w:r>
      <w:r w:rsidRPr="00266C49">
        <w:t xml:space="preserve"> (1993), qui vont de la surveillance des produits sanguins à </w:t>
      </w:r>
      <w:r>
        <w:t>l’information sur la santé</w:t>
      </w:r>
      <w:r w:rsidRPr="00266C49">
        <w:t xml:space="preserve">, </w:t>
      </w:r>
      <w:r>
        <w:t>la prévalence du</w:t>
      </w:r>
      <w:r w:rsidR="002E7CBE" w:rsidRPr="002E7CBE">
        <w:t xml:space="preserve"> </w:t>
      </w:r>
      <w:r w:rsidR="002E7CBE">
        <w:t>VIH/sida</w:t>
      </w:r>
      <w:r>
        <w:t xml:space="preserve"> est </w:t>
      </w:r>
      <w:r w:rsidRPr="00266C49">
        <w:t>resté</w:t>
      </w:r>
      <w:r>
        <w:t>e</w:t>
      </w:r>
      <w:r w:rsidRPr="00266C49">
        <w:t xml:space="preserve"> à </w:t>
      </w:r>
      <w:r>
        <w:t xml:space="preserve">un taux </w:t>
      </w:r>
      <w:r w:rsidRPr="00266C49">
        <w:t xml:space="preserve">faible depuis </w:t>
      </w:r>
      <w:r w:rsidR="002E7CBE">
        <w:t>trente</w:t>
      </w:r>
      <w:r w:rsidRPr="00266C49">
        <w:t xml:space="preserve"> ans (l</w:t>
      </w:r>
      <w:r>
        <w:t>’</w:t>
      </w:r>
      <w:r w:rsidRPr="00266C49">
        <w:t>un des plus bas d</w:t>
      </w:r>
      <w:r>
        <w:t>’</w:t>
      </w:r>
      <w:r w:rsidRPr="00266C49">
        <w:t xml:space="preserve">Europe, sans signe </w:t>
      </w:r>
      <w:r>
        <w:t>d’augmentation</w:t>
      </w:r>
      <w:r w:rsidRPr="00266C49">
        <w:t xml:space="preserve">). </w:t>
      </w:r>
      <w:r>
        <w:t>Les mesures suivantes ont un caractère continu : traitements antirétroviraux</w:t>
      </w:r>
      <w:r w:rsidRPr="00266C49">
        <w:t xml:space="preserve">, </w:t>
      </w:r>
      <w:r>
        <w:t xml:space="preserve">aide </w:t>
      </w:r>
      <w:r w:rsidRPr="00266C49">
        <w:t>social</w:t>
      </w:r>
      <w:r>
        <w:t>e</w:t>
      </w:r>
      <w:r w:rsidRPr="00266C49">
        <w:t xml:space="preserve"> aux patients et à leurs familles, programmes contre la stigmatisation, éducation et mesures préventives. Pour le nombre de patients séropositifs ou atteints du sida, voir </w:t>
      </w:r>
      <w:r>
        <w:t>l’a</w:t>
      </w:r>
      <w:r w:rsidRPr="00266C49">
        <w:t>nnexe</w:t>
      </w:r>
      <w:r w:rsidR="002E7CBE">
        <w:t> </w:t>
      </w:r>
      <w:r w:rsidRPr="00266C49">
        <w:t xml:space="preserve">2, </w:t>
      </w:r>
      <w:r>
        <w:t>feuille</w:t>
      </w:r>
      <w:r w:rsidR="002E7CBE">
        <w:t> </w:t>
      </w:r>
      <w:r w:rsidRPr="00266C49">
        <w:t>12.1.3</w:t>
      </w:r>
      <w:r>
        <w:t>.</w:t>
      </w:r>
    </w:p>
    <w:p w14:paraId="4DBB1C86" w14:textId="3CDB2E51" w:rsidR="000C1192" w:rsidRPr="00266C49" w:rsidRDefault="000C1192" w:rsidP="000C1192">
      <w:pPr>
        <w:pStyle w:val="SingleTxtG"/>
      </w:pPr>
      <w:r w:rsidRPr="00DE21A5">
        <w:t>209.</w:t>
      </w:r>
      <w:r w:rsidRPr="00DE21A5">
        <w:tab/>
        <w:t>Le Plan de renforcement de la lutte contre le tabagisme (2012-2016) a été conçu pour disposer d</w:t>
      </w:r>
      <w:r>
        <w:t>’</w:t>
      </w:r>
      <w:r w:rsidRPr="00DE21A5">
        <w:t>un instrument d</w:t>
      </w:r>
      <w:r>
        <w:t>’</w:t>
      </w:r>
      <w:r w:rsidRPr="00DE21A5">
        <w:t xml:space="preserve">application de la loi de restriction de la consommation des produits du tabac. </w:t>
      </w:r>
      <w:r w:rsidRPr="00266C49">
        <w:t>L</w:t>
      </w:r>
      <w:r>
        <w:t xml:space="preserve">es </w:t>
      </w:r>
      <w:r w:rsidRPr="00266C49">
        <w:t xml:space="preserve">mesures </w:t>
      </w:r>
      <w:r>
        <w:t xml:space="preserve">de </w:t>
      </w:r>
      <w:r w:rsidRPr="00266C49">
        <w:t xml:space="preserve">renforcement de la lutte antitabac </w:t>
      </w:r>
      <w:r>
        <w:t xml:space="preserve">sont proposées sur la base de loi sur la santé publique, de la loi sur l’inspection sanitaire </w:t>
      </w:r>
      <w:r w:rsidRPr="00266C49">
        <w:t xml:space="preserve">et </w:t>
      </w:r>
      <w:r>
        <w:t>du P</w:t>
      </w:r>
      <w:r w:rsidRPr="00266C49">
        <w:t xml:space="preserve">lan de la </w:t>
      </w:r>
      <w:r>
        <w:t>République de Croatie en matière de soins de santé</w:t>
      </w:r>
      <w:r w:rsidRPr="00266C49">
        <w:t xml:space="preserve">. </w:t>
      </w:r>
      <w:r>
        <w:t xml:space="preserve">Le Plan de renforcement vise principalement à </w:t>
      </w:r>
      <w:r w:rsidRPr="00266C49">
        <w:t xml:space="preserve">améliorer la santé de la population en </w:t>
      </w:r>
      <w:r>
        <w:t xml:space="preserve">l’incitant à </w:t>
      </w:r>
      <w:r w:rsidRPr="00266C49">
        <w:t>adopt</w:t>
      </w:r>
      <w:r>
        <w:t>er</w:t>
      </w:r>
      <w:r w:rsidR="00936B25">
        <w:t xml:space="preserve"> </w:t>
      </w:r>
      <w:r>
        <w:t xml:space="preserve">un </w:t>
      </w:r>
      <w:r w:rsidRPr="00266C49">
        <w:t xml:space="preserve">mode de vie plus sain </w:t>
      </w:r>
      <w:r>
        <w:t xml:space="preserve">en renonçant à fumer, et à réduire le </w:t>
      </w:r>
      <w:r w:rsidRPr="00266C49">
        <w:t>tabagisme</w:t>
      </w:r>
      <w:r>
        <w:t xml:space="preserve"> en tant que </w:t>
      </w:r>
      <w:r w:rsidRPr="00266C49">
        <w:t xml:space="preserve">facteur de risque </w:t>
      </w:r>
      <w:r>
        <w:t>d’</w:t>
      </w:r>
      <w:r w:rsidRPr="00266C49">
        <w:t xml:space="preserve">un certain nombre de maladies chroniques (maladies </w:t>
      </w:r>
      <w:r>
        <w:t xml:space="preserve">de l’appareil </w:t>
      </w:r>
      <w:r w:rsidRPr="00266C49">
        <w:t xml:space="preserve">circulatoire, </w:t>
      </w:r>
      <w:r>
        <w:t xml:space="preserve">tumeurs </w:t>
      </w:r>
      <w:r w:rsidRPr="00266C49">
        <w:t>mali</w:t>
      </w:r>
      <w:r>
        <w:t>gne</w:t>
      </w:r>
      <w:r w:rsidRPr="00266C49">
        <w:t xml:space="preserve">s, </w:t>
      </w:r>
      <w:r w:rsidRPr="00996CF0">
        <w:t>bronchopneumopathie</w:t>
      </w:r>
      <w:r>
        <w:t>s</w:t>
      </w:r>
      <w:r w:rsidRPr="00996CF0">
        <w:t xml:space="preserve"> chronique</w:t>
      </w:r>
      <w:r>
        <w:t>s</w:t>
      </w:r>
      <w:r w:rsidRPr="00996CF0">
        <w:t xml:space="preserve"> obstructive</w:t>
      </w:r>
      <w:r>
        <w:t>s</w:t>
      </w:r>
      <w:r w:rsidRPr="00266C49">
        <w:t>, etc.)</w:t>
      </w:r>
    </w:p>
    <w:p w14:paraId="1E421BB8" w14:textId="77777777" w:rsidR="000C1192" w:rsidRPr="00266C49" w:rsidRDefault="000C1192" w:rsidP="000C1192">
      <w:pPr>
        <w:pStyle w:val="SingleTxtG"/>
      </w:pPr>
      <w:r w:rsidRPr="00E9013F">
        <w:t>210.</w:t>
      </w:r>
      <w:r w:rsidRPr="00E9013F">
        <w:tab/>
      </w:r>
      <w:r w:rsidRPr="00266C49">
        <w:t>L</w:t>
      </w:r>
      <w:r>
        <w:t>’</w:t>
      </w:r>
      <w:r w:rsidRPr="00266C49">
        <w:t xml:space="preserve">adoption de la Stratégie nationale </w:t>
      </w:r>
      <w:r>
        <w:t xml:space="preserve">de </w:t>
      </w:r>
      <w:r w:rsidRPr="00266C49">
        <w:t xml:space="preserve">prévention de </w:t>
      </w:r>
      <w:r>
        <w:t>la consommation nocive d’alcool et des troubles causés par l’alcool (</w:t>
      </w:r>
      <w:r w:rsidRPr="00266C49">
        <w:t>2011-2016</w:t>
      </w:r>
      <w:r>
        <w:t xml:space="preserve">) témoigne de ce que le problème a rang de </w:t>
      </w:r>
      <w:r w:rsidRPr="00266C49">
        <w:t xml:space="preserve">priorité de santé publique. Une attention particulière est accordée à la réduction des </w:t>
      </w:r>
      <w:r>
        <w:t xml:space="preserve">conséquences préjudiciables de l’alcoolisme </w:t>
      </w:r>
      <w:r w:rsidRPr="00266C49">
        <w:t xml:space="preserve">pour les non-buveurs et </w:t>
      </w:r>
      <w:r>
        <w:t>les groupes plus vulnérables</w:t>
      </w:r>
      <w:r w:rsidRPr="00266C49">
        <w:t xml:space="preserve"> (enfants, adolescents, femmes en âge de procréer, femmes enceintes, femmes allaitantes et </w:t>
      </w:r>
      <w:r>
        <w:t xml:space="preserve">divers </w:t>
      </w:r>
      <w:r w:rsidRPr="00266C49">
        <w:t>autres groupes socioéconomique</w:t>
      </w:r>
      <w:r>
        <w:t>s</w:t>
      </w:r>
      <w:r w:rsidRPr="00266C49">
        <w:t xml:space="preserve">). </w:t>
      </w:r>
      <w:r>
        <w:t>C</w:t>
      </w:r>
      <w:r w:rsidRPr="00266C49">
        <w:t xml:space="preserve">es activités visent à promouvoir </w:t>
      </w:r>
      <w:r>
        <w:t xml:space="preserve">un </w:t>
      </w:r>
      <w:r w:rsidRPr="00266C49">
        <w:t>mode de vie sain</w:t>
      </w:r>
      <w:r>
        <w:t xml:space="preserve">, y compris </w:t>
      </w:r>
      <w:r w:rsidRPr="00266C49">
        <w:t>des campagnes publiques de sensibilisation aux effets néfastes de l</w:t>
      </w:r>
      <w:r>
        <w:t>’</w:t>
      </w:r>
      <w:r w:rsidRPr="00266C49">
        <w:t>alcool.</w:t>
      </w:r>
    </w:p>
    <w:p w14:paraId="692E2FEB" w14:textId="796A7A4B" w:rsidR="000C1192" w:rsidRPr="001A41B0" w:rsidRDefault="000C1192" w:rsidP="000C1192">
      <w:pPr>
        <w:pStyle w:val="SingleTxtG"/>
        <w:rPr>
          <w:rStyle w:val="Appelnotedebasdep"/>
          <w:color w:val="000000" w:themeColor="text1"/>
        </w:rPr>
      </w:pPr>
      <w:r w:rsidRPr="008A404A">
        <w:t>211.</w:t>
      </w:r>
      <w:r w:rsidRPr="008A404A">
        <w:tab/>
        <w:t>La loi</w:t>
      </w:r>
      <w:r>
        <w:t xml:space="preserve"> sur la prévention de l’abus de drogues</w:t>
      </w:r>
      <w:r w:rsidRPr="001A41B0">
        <w:t xml:space="preserve">, </w:t>
      </w:r>
      <w:r>
        <w:t>principale loi en la matière</w:t>
      </w:r>
      <w:r w:rsidRPr="001A41B0">
        <w:t xml:space="preserve">, </w:t>
      </w:r>
      <w:r>
        <w:t xml:space="preserve">régit l’ensemble des </w:t>
      </w:r>
      <w:r w:rsidRPr="001A41B0">
        <w:t xml:space="preserve">questions fondamentales </w:t>
      </w:r>
      <w:r>
        <w:t xml:space="preserve">concernant </w:t>
      </w:r>
      <w:r w:rsidRPr="001A41B0">
        <w:t>l</w:t>
      </w:r>
      <w:r>
        <w:t>’</w:t>
      </w:r>
      <w:r w:rsidRPr="001A41B0">
        <w:t>abus de drogues</w:t>
      </w:r>
      <w:r w:rsidR="002E7CBE">
        <w:t> </w:t>
      </w:r>
      <w:r w:rsidRPr="001A41B0">
        <w:t xml:space="preserve">: conditions </w:t>
      </w:r>
      <w:r>
        <w:t xml:space="preserve">applicables à la </w:t>
      </w:r>
      <w:r w:rsidRPr="001A41B0">
        <w:t xml:space="preserve">culture des plantes </w:t>
      </w:r>
      <w:r>
        <w:t xml:space="preserve">dont des drogues peuvent être extraites ; </w:t>
      </w:r>
      <w:r w:rsidRPr="001A41B0">
        <w:t xml:space="preserve">conditions </w:t>
      </w:r>
      <w:r>
        <w:t xml:space="preserve">applicables à la </w:t>
      </w:r>
      <w:r w:rsidRPr="001A41B0">
        <w:t xml:space="preserve">production, </w:t>
      </w:r>
      <w:r>
        <w:t xml:space="preserve">à la détention et au </w:t>
      </w:r>
      <w:r w:rsidRPr="001A41B0">
        <w:t xml:space="preserve">commerce de drogues et de substances pouvant être utilisées pour </w:t>
      </w:r>
      <w:r>
        <w:t xml:space="preserve">produire des </w:t>
      </w:r>
      <w:r w:rsidRPr="001A41B0">
        <w:t>drogues (précurseurs)</w:t>
      </w:r>
      <w:r w:rsidR="002E7CBE">
        <w:t> </w:t>
      </w:r>
      <w:r w:rsidRPr="001A41B0">
        <w:t>; mesures de lutte contre l</w:t>
      </w:r>
      <w:r>
        <w:t>’</w:t>
      </w:r>
      <w:r w:rsidRPr="001A41B0">
        <w:t>abus de drogues</w:t>
      </w:r>
      <w:r w:rsidR="002E7CBE">
        <w:t> </w:t>
      </w:r>
      <w:r w:rsidRPr="001A41B0">
        <w:t>; système de prévention de la toxicomanie et assistance aux toxicomanes et aux consommateurs occasionnels de drogues</w:t>
      </w:r>
      <w:r w:rsidR="002E7CBE">
        <w:t> </w:t>
      </w:r>
      <w:r w:rsidRPr="001A41B0">
        <w:t xml:space="preserve">; </w:t>
      </w:r>
      <w:r>
        <w:t xml:space="preserve">conservation des données </w:t>
      </w:r>
      <w:r w:rsidRPr="001A41B0">
        <w:t xml:space="preserve">et coopération internationale. </w:t>
      </w:r>
      <w:r>
        <w:t xml:space="preserve">On trouvera une </w:t>
      </w:r>
      <w:r w:rsidRPr="001A41B0">
        <w:t>vue d</w:t>
      </w:r>
      <w:r>
        <w:t>’</w:t>
      </w:r>
      <w:r w:rsidRPr="001A41B0">
        <w:t xml:space="preserve">ensemble de la législation croate dans le domaine des drogues sur le site Web </w:t>
      </w:r>
      <w:r>
        <w:t>de l’</w:t>
      </w:r>
      <w:r w:rsidRPr="00736919">
        <w:t>Observatoire européen des drogues et des toxicomanies</w:t>
      </w:r>
      <w:r w:rsidRPr="00535E17">
        <w:rPr>
          <w:rStyle w:val="Appelnotedebasdep"/>
        </w:rPr>
        <w:footnoteReference w:id="68"/>
      </w:r>
      <w:r>
        <w:t>.</w:t>
      </w:r>
    </w:p>
    <w:p w14:paraId="2BF12E8D" w14:textId="77777777" w:rsidR="000C1192" w:rsidRPr="001A41B0" w:rsidRDefault="000C1192" w:rsidP="000C1192">
      <w:pPr>
        <w:pStyle w:val="SingleTxtG"/>
      </w:pPr>
      <w:r w:rsidRPr="002E186A">
        <w:t>212.</w:t>
      </w:r>
      <w:r w:rsidRPr="002E186A">
        <w:tab/>
      </w:r>
      <w:r w:rsidRPr="001A41B0">
        <w:t xml:space="preserve">La </w:t>
      </w:r>
      <w:r>
        <w:t>P</w:t>
      </w:r>
      <w:r w:rsidRPr="001A41B0">
        <w:t>olitique de prévention de la toxicomanie et de lutte contre l</w:t>
      </w:r>
      <w:r>
        <w:t>’</w:t>
      </w:r>
      <w:r w:rsidRPr="001A41B0">
        <w:t xml:space="preserve">abus de drogues est fondée sur </w:t>
      </w:r>
      <w:r>
        <w:t xml:space="preserve">des </w:t>
      </w:r>
      <w:r w:rsidRPr="001A41B0">
        <w:t>objectifs stratégiques de réduction de l</w:t>
      </w:r>
      <w:r>
        <w:t>’</w:t>
      </w:r>
      <w:r w:rsidRPr="001A41B0">
        <w:t xml:space="preserve">offre et de la demande de drogues et sur une </w:t>
      </w:r>
      <w:r>
        <w:t>démarche pluri</w:t>
      </w:r>
      <w:r w:rsidRPr="001A41B0">
        <w:t xml:space="preserve">disciplinaire </w:t>
      </w:r>
      <w:r>
        <w:t xml:space="preserve">en ce qui concerne l’application </w:t>
      </w:r>
      <w:r w:rsidRPr="001A41B0">
        <w:t>du programme</w:t>
      </w:r>
      <w:r w:rsidRPr="00535E17">
        <w:rPr>
          <w:rStyle w:val="Appelnotedebasdep"/>
        </w:rPr>
        <w:footnoteReference w:id="69"/>
      </w:r>
      <w:r w:rsidRPr="001A41B0">
        <w:t xml:space="preserve">. Dans </w:t>
      </w:r>
      <w:r w:rsidRPr="001A41B0">
        <w:lastRenderedPageBreak/>
        <w:t xml:space="preserve">le cadre de la politique nationale </w:t>
      </w:r>
      <w:r>
        <w:t xml:space="preserve">en matière de </w:t>
      </w:r>
      <w:r w:rsidRPr="001A41B0">
        <w:t xml:space="preserve">lutte contre la toxicomanie, </w:t>
      </w:r>
      <w:r>
        <w:t xml:space="preserve">des programmes sont menés au niveau des autorités de santé, de la société, de l’éducation, du système répressif, des </w:t>
      </w:r>
      <w:r w:rsidRPr="001A41B0">
        <w:t xml:space="preserve">ONG et </w:t>
      </w:r>
      <w:r>
        <w:t xml:space="preserve">des </w:t>
      </w:r>
      <w:r w:rsidRPr="001A41B0">
        <w:t>médias publics</w:t>
      </w:r>
      <w:r>
        <w:t xml:space="preserve"> pour </w:t>
      </w:r>
      <w:r w:rsidRPr="001A41B0">
        <w:t>préve</w:t>
      </w:r>
      <w:r>
        <w:t xml:space="preserve">nir </w:t>
      </w:r>
      <w:r w:rsidRPr="001A41B0">
        <w:t xml:space="preserve">la toxicomanie et </w:t>
      </w:r>
      <w:r>
        <w:t xml:space="preserve">les dépendances </w:t>
      </w:r>
      <w:r w:rsidRPr="001A41B0">
        <w:t xml:space="preserve">comportementales, réduire les risques sanitaires et sociaux </w:t>
      </w:r>
      <w:r>
        <w:t xml:space="preserve">connexes, </w:t>
      </w:r>
      <w:r w:rsidRPr="001A41B0">
        <w:t xml:space="preserve">réduire </w:t>
      </w:r>
      <w:r>
        <w:t xml:space="preserve">l’offre de </w:t>
      </w:r>
      <w:r w:rsidRPr="001A41B0">
        <w:t xml:space="preserve">drogues </w:t>
      </w:r>
      <w:r>
        <w:t xml:space="preserve">et lutter à tous les niveaux contre la criminalité organisée liée aux drogues </w:t>
      </w:r>
      <w:r w:rsidRPr="001A41B0">
        <w:t>à tous les niveaux. L</w:t>
      </w:r>
      <w:r>
        <w:t xml:space="preserve">es textes de base pour cette politique sont </w:t>
      </w:r>
      <w:r w:rsidRPr="001A41B0">
        <w:t xml:space="preserve">la </w:t>
      </w:r>
      <w:r>
        <w:t>S</w:t>
      </w:r>
      <w:r w:rsidRPr="001A41B0">
        <w:t xml:space="preserve">tratégie nationale et le </w:t>
      </w:r>
      <w:r>
        <w:t>P</w:t>
      </w:r>
      <w:r w:rsidRPr="001A41B0">
        <w:t>lan d</w:t>
      </w:r>
      <w:r>
        <w:t>’</w:t>
      </w:r>
      <w:r w:rsidRPr="001A41B0">
        <w:t xml:space="preserve">action </w:t>
      </w:r>
      <w:r>
        <w:t xml:space="preserve">en matière de </w:t>
      </w:r>
      <w:r w:rsidRPr="001A41B0">
        <w:t xml:space="preserve">lutte contre </w:t>
      </w:r>
      <w:r>
        <w:t>l’abus de drogues et la loi sur la prévention de l’abus de drogues</w:t>
      </w:r>
      <w:r w:rsidRPr="001A41B0">
        <w:t>.</w:t>
      </w:r>
    </w:p>
    <w:p w14:paraId="5E93AB71" w14:textId="03C123C1" w:rsidR="000C1192" w:rsidRPr="00FD7EAE" w:rsidRDefault="000C1192" w:rsidP="000C1192">
      <w:pPr>
        <w:pStyle w:val="SingleTxtG"/>
        <w:rPr>
          <w:rStyle w:val="Appelnotedebasdep"/>
          <w:color w:val="000000" w:themeColor="text1"/>
        </w:rPr>
      </w:pPr>
      <w:r w:rsidRPr="008A404A">
        <w:t>213.</w:t>
      </w:r>
      <w:r w:rsidRPr="008A404A">
        <w:tab/>
        <w:t>Le Réseau</w:t>
      </w:r>
      <w:r w:rsidRPr="00FD7EAE">
        <w:t xml:space="preserve"> de services de santé publique</w:t>
      </w:r>
      <w:r>
        <w:t xml:space="preserve"> dispose, par l’intermédiaire des </w:t>
      </w:r>
      <w:r w:rsidRPr="00FD7EAE">
        <w:t>instituts de santé publique des comtés</w:t>
      </w:r>
      <w:r>
        <w:t>,</w:t>
      </w:r>
      <w:r w:rsidRPr="00FD7EAE">
        <w:t xml:space="preserve"> </w:t>
      </w:r>
      <w:r>
        <w:t xml:space="preserve">de </w:t>
      </w:r>
      <w:r w:rsidRPr="00FD7EAE">
        <w:t>48</w:t>
      </w:r>
      <w:r w:rsidR="002E7CBE">
        <w:t> </w:t>
      </w:r>
      <w:r w:rsidRPr="00FD7EAE">
        <w:t xml:space="preserve">équipes </w:t>
      </w:r>
      <w:r>
        <w:t xml:space="preserve">chargées de </w:t>
      </w:r>
      <w:r w:rsidRPr="00FD7EAE">
        <w:t xml:space="preserve">la protection </w:t>
      </w:r>
      <w:r>
        <w:t xml:space="preserve">en matière de </w:t>
      </w:r>
      <w:r w:rsidRPr="00FD7EAE">
        <w:t>santé mentale</w:t>
      </w:r>
      <w:r>
        <w:t xml:space="preserve"> et</w:t>
      </w:r>
      <w:r w:rsidRPr="00FD7EAE">
        <w:t xml:space="preserve"> </w:t>
      </w:r>
      <w:r>
        <w:t xml:space="preserve">de </w:t>
      </w:r>
      <w:r w:rsidRPr="00FD7EAE">
        <w:t xml:space="preserve">la prévention et </w:t>
      </w:r>
      <w:r>
        <w:t xml:space="preserve">du </w:t>
      </w:r>
      <w:r w:rsidRPr="00FD7EAE">
        <w:t>traitement ambulatoire de la toxicomanie</w:t>
      </w:r>
      <w:r>
        <w:t xml:space="preserve">, </w:t>
      </w:r>
      <w:r w:rsidRPr="00FD7EAE">
        <w:t>qui se composent d</w:t>
      </w:r>
      <w:r>
        <w:t>’</w:t>
      </w:r>
      <w:r w:rsidRPr="00FD7EAE">
        <w:t>un psychiatre, d</w:t>
      </w:r>
      <w:r>
        <w:t>’</w:t>
      </w:r>
      <w:r w:rsidRPr="00FD7EAE">
        <w:t>un psychologue et d</w:t>
      </w:r>
      <w:r>
        <w:t>’</w:t>
      </w:r>
      <w:r w:rsidRPr="00FD7EAE">
        <w:t xml:space="preserve">un infirmier, </w:t>
      </w:r>
      <w:r>
        <w:t>certains instituts de comté disposant également pour certains services d’</w:t>
      </w:r>
      <w:r w:rsidRPr="00FD7EAE">
        <w:t xml:space="preserve">un ergothérapeute, </w:t>
      </w:r>
      <w:r>
        <w:t>d’</w:t>
      </w:r>
      <w:r w:rsidRPr="00FD7EAE">
        <w:t xml:space="preserve">un travailleur social ou </w:t>
      </w:r>
      <w:r>
        <w:t>d’</w:t>
      </w:r>
      <w:r w:rsidRPr="00FD7EAE">
        <w:t xml:space="preserve">un </w:t>
      </w:r>
      <w:r>
        <w:t>éducateur</w:t>
      </w:r>
      <w:r w:rsidRPr="00535E17">
        <w:rPr>
          <w:rStyle w:val="Appelnotedebasdep"/>
        </w:rPr>
        <w:footnoteReference w:id="70"/>
      </w:r>
      <w:r>
        <w:t>.</w:t>
      </w:r>
    </w:p>
    <w:p w14:paraId="6224EE2F" w14:textId="77777777" w:rsidR="000C1192" w:rsidRPr="00C47B39" w:rsidRDefault="000C1192" w:rsidP="000C1192">
      <w:pPr>
        <w:pStyle w:val="SingleTxtG"/>
      </w:pPr>
      <w:r w:rsidRPr="006D7F5A">
        <w:t>214.</w:t>
      </w:r>
      <w:r w:rsidRPr="006D7F5A">
        <w:tab/>
      </w:r>
      <w:r>
        <w:t xml:space="preserve">Compte tenu des </w:t>
      </w:r>
      <w:r w:rsidRPr="00C47B39">
        <w:t xml:space="preserve">tendances actuelles et </w:t>
      </w:r>
      <w:r>
        <w:t xml:space="preserve">des </w:t>
      </w:r>
      <w:r w:rsidRPr="00C47B39">
        <w:t xml:space="preserve">résultats du projet </w:t>
      </w:r>
      <w:r>
        <w:t>jumelé « </w:t>
      </w:r>
      <w:r w:rsidRPr="00C47B39">
        <w:t>Assurer une prise en charge optimale des personnes atteintes de troubles mentaux</w:t>
      </w:r>
      <w:r>
        <w:t> »</w:t>
      </w:r>
      <w:r w:rsidRPr="00C47B39">
        <w:t xml:space="preserve">, </w:t>
      </w:r>
      <w:r>
        <w:t xml:space="preserve">une </w:t>
      </w:r>
      <w:r w:rsidRPr="00C47B39">
        <w:t xml:space="preserve">protection optimale </w:t>
      </w:r>
      <w:r>
        <w:t xml:space="preserve">de ces personnes est </w:t>
      </w:r>
      <w:r w:rsidRPr="00C47B39">
        <w:t xml:space="preserve">assurée </w:t>
      </w:r>
      <w:r>
        <w:t xml:space="preserve">grâce à une </w:t>
      </w:r>
      <w:r w:rsidRPr="00C47B39">
        <w:t xml:space="preserve">approche </w:t>
      </w:r>
      <w:r>
        <w:t xml:space="preserve">globale </w:t>
      </w:r>
      <w:r w:rsidRPr="00C47B39">
        <w:t xml:space="preserve">et </w:t>
      </w:r>
      <w:r>
        <w:t xml:space="preserve">à la </w:t>
      </w:r>
      <w:r w:rsidRPr="00C47B39">
        <w:t xml:space="preserve">coopération intersectorielle, </w:t>
      </w:r>
      <w:r>
        <w:t xml:space="preserve">à </w:t>
      </w:r>
      <w:r w:rsidRPr="00C47B39">
        <w:t xml:space="preserve">une approche biopsychosociale intégrée et </w:t>
      </w:r>
      <w:r>
        <w:t xml:space="preserve">à </w:t>
      </w:r>
      <w:r w:rsidRPr="00C47B39">
        <w:t xml:space="preserve">des interventions </w:t>
      </w:r>
      <w:r>
        <w:t>fortement individualisées dans le milieu de vie</w:t>
      </w:r>
      <w:r w:rsidRPr="00C47B39">
        <w:t xml:space="preserve">. </w:t>
      </w:r>
      <w:r>
        <w:t xml:space="preserve">Des établissements </w:t>
      </w:r>
      <w:r w:rsidRPr="00C47B39">
        <w:t xml:space="preserve">de santé publique ayant une longue </w:t>
      </w:r>
      <w:r>
        <w:t xml:space="preserve">expérience de la sensibilisation et de la </w:t>
      </w:r>
      <w:r w:rsidRPr="00C47B39">
        <w:t>prévention</w:t>
      </w:r>
      <w:r>
        <w:t xml:space="preserve"> disposent, pour </w:t>
      </w:r>
      <w:r w:rsidRPr="00C47B39">
        <w:t>la</w:t>
      </w:r>
      <w:r>
        <w:t xml:space="preserve"> santé mentale, d’</w:t>
      </w:r>
      <w:r w:rsidRPr="00C47B39">
        <w:t xml:space="preserve">un réseau de services psychiatriques </w:t>
      </w:r>
      <w:r>
        <w:t xml:space="preserve">et </w:t>
      </w:r>
      <w:r w:rsidRPr="00C47B39">
        <w:t>d</w:t>
      </w:r>
      <w:r>
        <w:t>’</w:t>
      </w:r>
      <w:r w:rsidRPr="00C47B39">
        <w:t xml:space="preserve">équipes mobiles </w:t>
      </w:r>
      <w:r>
        <w:t xml:space="preserve">pour assurer les soins au </w:t>
      </w:r>
      <w:r w:rsidRPr="00C47B39">
        <w:t>niveau primaire</w:t>
      </w:r>
      <w:r>
        <w:t xml:space="preserve">, en coordination avec des </w:t>
      </w:r>
      <w:r w:rsidRPr="00C47B39">
        <w:t xml:space="preserve">ONG. Les centres de santé sont les </w:t>
      </w:r>
      <w:r>
        <w:t xml:space="preserve">établissements qui offrent la meilleure disponibilité et sont la meilleure option </w:t>
      </w:r>
      <w:r w:rsidRPr="00C47B39">
        <w:t>pour le diagnostic précoce, le traitement et les programmes de réhabilitation.</w:t>
      </w:r>
    </w:p>
    <w:p w14:paraId="3DD25CA3" w14:textId="77777777" w:rsidR="000C1192" w:rsidRPr="0068126E" w:rsidRDefault="000C1192" w:rsidP="000C1192">
      <w:pPr>
        <w:pStyle w:val="SingleTxtG"/>
      </w:pPr>
      <w:r w:rsidRPr="0000014C">
        <w:t>215.</w:t>
      </w:r>
      <w:r w:rsidRPr="0000014C">
        <w:tab/>
      </w:r>
      <w:r w:rsidRPr="0068126E">
        <w:t xml:space="preserve">Les domaines prioritaires de la </w:t>
      </w:r>
      <w:r>
        <w:t>S</w:t>
      </w:r>
      <w:r w:rsidRPr="0068126E">
        <w:t xml:space="preserve">tratégie de santé mentale </w:t>
      </w:r>
      <w:r>
        <w:t>(</w:t>
      </w:r>
      <w:r w:rsidRPr="0068126E">
        <w:t>2011-2016</w:t>
      </w:r>
      <w:r>
        <w:t>)</w:t>
      </w:r>
      <w:r w:rsidRPr="0068126E">
        <w:t xml:space="preserve"> sont la prévention de la dépression et du suicide, la santé mentale des enfants et des jeunes, la santé mentale au travail, la santé mentale des personnes âgées, et la lutte contre la stigmatisation et l</w:t>
      </w:r>
      <w:r>
        <w:t>’</w:t>
      </w:r>
      <w:r w:rsidRPr="0068126E">
        <w:t xml:space="preserve">exclusion sociale des malades mentaux. </w:t>
      </w:r>
      <w:r>
        <w:t xml:space="preserve">Dans le cadre du </w:t>
      </w:r>
      <w:r w:rsidRPr="0068126E">
        <w:t xml:space="preserve">système santé, des services appropriés </w:t>
      </w:r>
      <w:r>
        <w:t xml:space="preserve">sont assurés </w:t>
      </w:r>
      <w:r w:rsidRPr="0068126E">
        <w:t xml:space="preserve">pour les malades mentaux, ainsi que la possibilité </w:t>
      </w:r>
      <w:r>
        <w:t xml:space="preserve">d’un suivi </w:t>
      </w:r>
      <w:r w:rsidRPr="0068126E">
        <w:t xml:space="preserve">périodique conformément à </w:t>
      </w:r>
      <w:r>
        <w:t>la loi sur la protection des personnes atteintes de troubles mentaux</w:t>
      </w:r>
      <w:r w:rsidRPr="0068126E">
        <w:t>.</w:t>
      </w:r>
    </w:p>
    <w:p w14:paraId="4A38B1B4" w14:textId="4A74F1C4" w:rsidR="000C1192" w:rsidRPr="0068126E" w:rsidRDefault="000C1192" w:rsidP="000C1192">
      <w:pPr>
        <w:pStyle w:val="SingleTxtG"/>
      </w:pPr>
      <w:r w:rsidRPr="00BE37F1">
        <w:t>216.</w:t>
      </w:r>
      <w:r w:rsidRPr="00BE37F1">
        <w:tab/>
      </w:r>
      <w:r w:rsidRPr="0068126E">
        <w:t xml:space="preserve">Le </w:t>
      </w:r>
      <w:r>
        <w:t>S</w:t>
      </w:r>
      <w:r w:rsidRPr="0068126E">
        <w:t xml:space="preserve">ervice de promotion </w:t>
      </w:r>
      <w:r>
        <w:t xml:space="preserve">de la santé de l’Institut national de santé public </w:t>
      </w:r>
      <w:r w:rsidRPr="0068126E">
        <w:t>(</w:t>
      </w:r>
      <w:r>
        <w:t>qui est le c</w:t>
      </w:r>
      <w:r w:rsidRPr="0068126E">
        <w:t xml:space="preserve">entre de référence du </w:t>
      </w:r>
      <w:r>
        <w:t>M</w:t>
      </w:r>
      <w:r w:rsidRPr="0068126E">
        <w:t xml:space="preserve">inistère de la santé pour la promotion de la santé), en partenariat avec le </w:t>
      </w:r>
      <w:r>
        <w:t>R</w:t>
      </w:r>
      <w:r w:rsidRPr="0068126E">
        <w:t xml:space="preserve">éseau des institutions de santé publique et </w:t>
      </w:r>
      <w:r>
        <w:t>un grand nombre de partenaires</w:t>
      </w:r>
      <w:r w:rsidRPr="0068126E">
        <w:t xml:space="preserve">, </w:t>
      </w:r>
      <w:r>
        <w:t>assure l’application du P</w:t>
      </w:r>
      <w:r w:rsidRPr="0068126E">
        <w:t>rogramme national de promotion de la santé</w:t>
      </w:r>
      <w:r>
        <w:t xml:space="preserve">, intitulé « Vivre en bonne santé ». Ce </w:t>
      </w:r>
      <w:r w:rsidRPr="0068126E">
        <w:t xml:space="preserve">programme </w:t>
      </w:r>
      <w:r>
        <w:t xml:space="preserve">vise à informer les </w:t>
      </w:r>
      <w:r w:rsidRPr="0068126E">
        <w:t xml:space="preserve">citoyens sur </w:t>
      </w:r>
      <w:r>
        <w:t xml:space="preserve">les moyens de vivre en bonne santé, afin de mettre à leur disposition davantage de contenus sur ce sujet, et pour les inciter à adopter les habitudes de vie qui permettent le meilleur état de santé possible. </w:t>
      </w:r>
      <w:r w:rsidRPr="0068126E">
        <w:t xml:space="preserve">Les activités sont </w:t>
      </w:r>
      <w:r>
        <w:t xml:space="preserve">structurées en </w:t>
      </w:r>
      <w:r w:rsidRPr="0068126E">
        <w:t>cinq composantes</w:t>
      </w:r>
      <w:r w:rsidR="002E7CBE">
        <w:t> </w:t>
      </w:r>
      <w:r w:rsidRPr="0068126E">
        <w:t>: Éducation à la santé, Santé et activité physique, Santé et nutrition, Santé et lieu de travail, et Santé et environnement. L</w:t>
      </w:r>
      <w:r>
        <w:t xml:space="preserve">’application du programme a été encore renforcée </w:t>
      </w:r>
      <w:r w:rsidRPr="0068126E">
        <w:t xml:space="preserve">en 2016 lorsque </w:t>
      </w:r>
      <w:r>
        <w:t xml:space="preserve">qu’un financement </w:t>
      </w:r>
      <w:r w:rsidRPr="0068126E">
        <w:t xml:space="preserve">du FSE </w:t>
      </w:r>
      <w:r>
        <w:t xml:space="preserve">a </w:t>
      </w:r>
      <w:r w:rsidRPr="0068126E">
        <w:t xml:space="preserve">été approuvé pour la période </w:t>
      </w:r>
      <w:r>
        <w:t xml:space="preserve">allant </w:t>
      </w:r>
      <w:r w:rsidRPr="0068126E">
        <w:t>de 2016 à 2022.</w:t>
      </w:r>
    </w:p>
    <w:p w14:paraId="7C063415" w14:textId="497E9B3D" w:rsidR="000C1192" w:rsidRPr="004F2483" w:rsidRDefault="000C1192" w:rsidP="002E7CBE">
      <w:pPr>
        <w:pStyle w:val="H1G"/>
      </w:pPr>
      <w:r w:rsidRPr="0068126E">
        <w:tab/>
      </w:r>
      <w:r w:rsidRPr="0068126E">
        <w:tab/>
      </w:r>
      <w:r w:rsidR="00A858B3">
        <w:t>Article </w:t>
      </w:r>
      <w:r w:rsidRPr="004F2483">
        <w:t>13</w:t>
      </w:r>
    </w:p>
    <w:p w14:paraId="150906D6" w14:textId="77777777" w:rsidR="000C1192" w:rsidRPr="0068126E" w:rsidRDefault="000C1192" w:rsidP="000C1192">
      <w:pPr>
        <w:pStyle w:val="SingleTxtG"/>
      </w:pPr>
      <w:r w:rsidRPr="00A35B6C">
        <w:t>217.</w:t>
      </w:r>
      <w:r w:rsidRPr="00A35B6C">
        <w:tab/>
      </w:r>
      <w:r>
        <w:t>Grâce à l’introduction de certaines matières transversales (</w:t>
      </w:r>
      <w:r w:rsidRPr="00BE37F1">
        <w:t>éducation civique, santé, utilisation des technologies de l</w:t>
      </w:r>
      <w:r>
        <w:t>’</w:t>
      </w:r>
      <w:r w:rsidRPr="00BE37F1">
        <w:t>information et de la communication, développement durable, développement personnel et social, apprendre à apprendre et esprit d</w:t>
      </w:r>
      <w:r>
        <w:t>’</w:t>
      </w:r>
      <w:r w:rsidRPr="00BE37F1">
        <w:t>entreprise</w:t>
      </w:r>
      <w:r>
        <w:t xml:space="preserve">), il est désormais possible de </w:t>
      </w:r>
      <w:r w:rsidRPr="0068126E">
        <w:t>concevoir et d</w:t>
      </w:r>
      <w:r>
        <w:t>’</w:t>
      </w:r>
      <w:r w:rsidRPr="0068126E">
        <w:t>organiser des cours facultatifs et optionnels, ce qui enrichit le</w:t>
      </w:r>
      <w:r>
        <w:t>s</w:t>
      </w:r>
      <w:r w:rsidRPr="0068126E">
        <w:t xml:space="preserve"> programme</w:t>
      </w:r>
      <w:r>
        <w:t>s</w:t>
      </w:r>
      <w:r w:rsidRPr="0068126E">
        <w:t xml:space="preserve"> scolaire</w:t>
      </w:r>
      <w:r>
        <w:t>s</w:t>
      </w:r>
      <w:r w:rsidRPr="0068126E">
        <w:t>. L</w:t>
      </w:r>
      <w:r>
        <w:t>’</w:t>
      </w:r>
      <w:r w:rsidRPr="0068126E">
        <w:t xml:space="preserve">éducation </w:t>
      </w:r>
      <w:r>
        <w:t xml:space="preserve">relative </w:t>
      </w:r>
      <w:r w:rsidRPr="0068126E">
        <w:t xml:space="preserve">aux droits économiques, sociaux et culturels </w:t>
      </w:r>
      <w:r>
        <w:t xml:space="preserve">est une composante de ces </w:t>
      </w:r>
      <w:r w:rsidRPr="0068126E">
        <w:t>sujets transversaux.</w:t>
      </w:r>
    </w:p>
    <w:p w14:paraId="1658074D" w14:textId="077DCBB6" w:rsidR="000C1192" w:rsidRPr="00A35B6C" w:rsidRDefault="000C1192" w:rsidP="000C1192">
      <w:pPr>
        <w:pStyle w:val="SingleTxtG"/>
      </w:pPr>
      <w:r w:rsidRPr="00A35B6C">
        <w:lastRenderedPageBreak/>
        <w:t>218.</w:t>
      </w:r>
      <w:r w:rsidRPr="00A35B6C">
        <w:tab/>
        <w:t xml:space="preserve">Conformément </w:t>
      </w:r>
      <w:r>
        <w:t xml:space="preserve">à </w:t>
      </w:r>
      <w:r w:rsidRPr="00A35B6C">
        <w:t>l</w:t>
      </w:r>
      <w:r>
        <w:t>’</w:t>
      </w:r>
      <w:r w:rsidR="00A858B3">
        <w:t>article </w:t>
      </w:r>
      <w:r w:rsidRPr="00A35B6C">
        <w:t>45 de l</w:t>
      </w:r>
      <w:r>
        <w:t xml:space="preserve">a loi sur </w:t>
      </w:r>
      <w:r w:rsidRPr="00A35B6C">
        <w:t>l</w:t>
      </w:r>
      <w:r>
        <w:t>’</w:t>
      </w:r>
      <w:r w:rsidRPr="00A35B6C">
        <w:t xml:space="preserve">enseignement </w:t>
      </w:r>
      <w:r>
        <w:t xml:space="preserve">primaire et secondaire, </w:t>
      </w:r>
      <w:r w:rsidRPr="00A35B6C">
        <w:t>le droit à l</w:t>
      </w:r>
      <w:r>
        <w:t>’</w:t>
      </w:r>
      <w:r w:rsidRPr="00A35B6C">
        <w:t xml:space="preserve">enseignement primaire et secondaire </w:t>
      </w:r>
      <w:r>
        <w:t xml:space="preserve">est reconnu </w:t>
      </w:r>
      <w:r w:rsidRPr="00A35B6C">
        <w:t xml:space="preserve">dans les mêmes conditions </w:t>
      </w:r>
      <w:r>
        <w:t xml:space="preserve">qu’aux Croates aux </w:t>
      </w:r>
      <w:r w:rsidRPr="00A35B6C">
        <w:t xml:space="preserve">enfants de </w:t>
      </w:r>
      <w:r>
        <w:t xml:space="preserve">ressortissants </w:t>
      </w:r>
      <w:r w:rsidRPr="00A35B6C">
        <w:t>d</w:t>
      </w:r>
      <w:r>
        <w:t>’</w:t>
      </w:r>
      <w:r w:rsidRPr="00A35B6C">
        <w:t>États membres de l</w:t>
      </w:r>
      <w:r>
        <w:t>’</w:t>
      </w:r>
      <w:r w:rsidRPr="00A35B6C">
        <w:t>UE</w:t>
      </w:r>
      <w:r>
        <w:t xml:space="preserve">, aux </w:t>
      </w:r>
      <w:r w:rsidRPr="00A35B6C">
        <w:t xml:space="preserve">enfants de </w:t>
      </w:r>
      <w:r>
        <w:t xml:space="preserve">ressortissants </w:t>
      </w:r>
      <w:r w:rsidRPr="00A35B6C">
        <w:t>croates qui ont été scolarisés dans un État membre de l</w:t>
      </w:r>
      <w:r>
        <w:t>’</w:t>
      </w:r>
      <w:r w:rsidRPr="00A35B6C">
        <w:t xml:space="preserve">UE et poursuivent leurs études en </w:t>
      </w:r>
      <w:r>
        <w:t>République de Croatie</w:t>
      </w:r>
      <w:r w:rsidRPr="00A35B6C">
        <w:t xml:space="preserve">, ainsi </w:t>
      </w:r>
      <w:r>
        <w:t xml:space="preserve">qu’aux </w:t>
      </w:r>
      <w:r w:rsidRPr="00A35B6C">
        <w:t>enfants de demandeurs d</w:t>
      </w:r>
      <w:r>
        <w:t>’</w:t>
      </w:r>
      <w:r w:rsidRPr="00A35B6C">
        <w:t>asile</w:t>
      </w:r>
      <w:r>
        <w:t xml:space="preserve">, </w:t>
      </w:r>
      <w:r w:rsidRPr="00A35B6C">
        <w:t>d</w:t>
      </w:r>
      <w:r>
        <w:t>’</w:t>
      </w:r>
      <w:r w:rsidRPr="00A35B6C">
        <w:t>étrangers sous protection subsidiaire et d</w:t>
      </w:r>
      <w:r>
        <w:t>’</w:t>
      </w:r>
      <w:r w:rsidRPr="00A35B6C">
        <w:t>étrangers sous protection temporaire.</w:t>
      </w:r>
    </w:p>
    <w:p w14:paraId="4A1CDA5B" w14:textId="42B101B6" w:rsidR="000C1192" w:rsidRPr="005D2CB8" w:rsidRDefault="000C1192" w:rsidP="000C1192">
      <w:pPr>
        <w:pStyle w:val="SingleTxtG"/>
      </w:pPr>
      <w:r w:rsidRPr="005D2CB8">
        <w:t>219.</w:t>
      </w:r>
      <w:r w:rsidRPr="005D2CB8">
        <w:tab/>
        <w:t xml:space="preserve">Les étrangers </w:t>
      </w:r>
      <w:r>
        <w:t xml:space="preserve">en situation irrégulière </w:t>
      </w:r>
      <w:r w:rsidRPr="005D2CB8">
        <w:t>sont autorisés à suivre l</w:t>
      </w:r>
      <w:r>
        <w:t>’</w:t>
      </w:r>
      <w:r w:rsidRPr="005D2CB8">
        <w:t>enseignement primaire s</w:t>
      </w:r>
      <w:r>
        <w:t>’</w:t>
      </w:r>
      <w:r w:rsidRPr="005D2CB8">
        <w:t>ils sont hébergés dans un centre d</w:t>
      </w:r>
      <w:r>
        <w:t>’</w:t>
      </w:r>
      <w:r w:rsidRPr="005D2CB8">
        <w:t xml:space="preserve">accueil pour étrangers, si leur </w:t>
      </w:r>
      <w:r>
        <w:t xml:space="preserve">retour </w:t>
      </w:r>
      <w:r w:rsidRPr="005D2CB8">
        <w:t>forcé est reporté temporairement ou s</w:t>
      </w:r>
      <w:r>
        <w:t>i une date a été fixée pour leur retour, pendant la période allant jusqu’à cette date.</w:t>
      </w:r>
    </w:p>
    <w:p w14:paraId="4FF1B68A" w14:textId="77777777" w:rsidR="000C1192" w:rsidRPr="00FA6714" w:rsidRDefault="000C1192" w:rsidP="000C1192">
      <w:pPr>
        <w:pStyle w:val="SingleTxtG"/>
      </w:pPr>
      <w:r w:rsidRPr="007C1BCE">
        <w:t>220.</w:t>
      </w:r>
      <w:r w:rsidRPr="007C1BCE">
        <w:tab/>
      </w:r>
      <w:r w:rsidRPr="00FA6714">
        <w:t>Selon la C</w:t>
      </w:r>
      <w:r>
        <w:t>onstitution de la République de Croatie</w:t>
      </w:r>
      <w:r w:rsidRPr="00FA6714">
        <w:t xml:space="preserve">, </w:t>
      </w:r>
      <w:r>
        <w:t xml:space="preserve">chacun a accès à </w:t>
      </w:r>
      <w:r w:rsidRPr="00FA6714">
        <w:t>l</w:t>
      </w:r>
      <w:r>
        <w:t>’</w:t>
      </w:r>
      <w:r w:rsidRPr="00FA6714">
        <w:t xml:space="preserve">éducation </w:t>
      </w:r>
      <w:r>
        <w:t xml:space="preserve">sur un pied </w:t>
      </w:r>
      <w:r w:rsidRPr="00FA6714">
        <w:t>d</w:t>
      </w:r>
      <w:r>
        <w:t>’</w:t>
      </w:r>
      <w:r w:rsidRPr="00FA6714">
        <w:t>égalité. Le budget de l</w:t>
      </w:r>
      <w:r>
        <w:t>’</w:t>
      </w:r>
      <w:r w:rsidRPr="00FA6714">
        <w:t xml:space="preserve">État </w:t>
      </w:r>
      <w:r>
        <w:t xml:space="preserve">prend en charge </w:t>
      </w:r>
      <w:r w:rsidRPr="00FA6714">
        <w:t>le coût de l</w:t>
      </w:r>
      <w:r>
        <w:t>’</w:t>
      </w:r>
      <w:r w:rsidRPr="00FA6714">
        <w:t>enseignement public et</w:t>
      </w:r>
      <w:r>
        <w:t xml:space="preserve"> une partie des dépenses des établissements </w:t>
      </w:r>
      <w:r w:rsidRPr="00FA6714">
        <w:t>religieu</w:t>
      </w:r>
      <w:r>
        <w:t>x</w:t>
      </w:r>
      <w:r w:rsidRPr="00FA6714">
        <w:t xml:space="preserve"> privés</w:t>
      </w:r>
      <w:r>
        <w:t xml:space="preserve"> en ce qui concerne les </w:t>
      </w:r>
      <w:r w:rsidRPr="00FA6714">
        <w:t xml:space="preserve">obligations </w:t>
      </w:r>
      <w:r>
        <w:t xml:space="preserve">prévues dans </w:t>
      </w:r>
      <w:r w:rsidRPr="00FA6714">
        <w:t>l</w:t>
      </w:r>
      <w:r>
        <w:t>’A</w:t>
      </w:r>
      <w:r w:rsidRPr="00FA6714">
        <w:t xml:space="preserve">ccord entre la </w:t>
      </w:r>
      <w:r>
        <w:t xml:space="preserve">République de Croatie </w:t>
      </w:r>
      <w:r w:rsidRPr="00FA6714">
        <w:t>et le Saint-Siège sur la coopération dans le domaine de l</w:t>
      </w:r>
      <w:r>
        <w:t>’</w:t>
      </w:r>
      <w:r w:rsidRPr="00FA6714">
        <w:t>éducation et de la culture</w:t>
      </w:r>
      <w:r w:rsidRPr="00535E17">
        <w:rPr>
          <w:rStyle w:val="Appelnotedebasdep"/>
        </w:rPr>
        <w:footnoteReference w:id="71"/>
      </w:r>
      <w:r w:rsidRPr="00FA6714">
        <w:t xml:space="preserve"> et </w:t>
      </w:r>
      <w:r>
        <w:t xml:space="preserve">dans les </w:t>
      </w:r>
      <w:r w:rsidRPr="00FA6714">
        <w:t>accords avec d</w:t>
      </w:r>
      <w:r>
        <w:t>’</w:t>
      </w:r>
      <w:r w:rsidRPr="00FA6714">
        <w:t>autres communautés religieuses.</w:t>
      </w:r>
    </w:p>
    <w:p w14:paraId="06F4B20A" w14:textId="77777777" w:rsidR="000C1192" w:rsidRPr="008D3EFA" w:rsidRDefault="000C1192" w:rsidP="000C1192">
      <w:pPr>
        <w:pStyle w:val="SingleTxtG"/>
        <w:rPr>
          <w:rStyle w:val="Appelnotedebasdep"/>
          <w:color w:val="000000" w:themeColor="text1"/>
        </w:rPr>
      </w:pPr>
      <w:r w:rsidRPr="0042520E">
        <w:t>221.</w:t>
      </w:r>
      <w:r w:rsidRPr="0042520E">
        <w:tab/>
        <w:t>Le Plan d’action pour</w:t>
      </w:r>
      <w:r w:rsidRPr="008D3EFA">
        <w:t xml:space="preserve"> l</w:t>
      </w:r>
      <w:r>
        <w:t>’</w:t>
      </w:r>
      <w:r w:rsidRPr="008D3EFA">
        <w:t xml:space="preserve">intégration des personnes bénéficiant </w:t>
      </w:r>
      <w:r>
        <w:t xml:space="preserve">de la </w:t>
      </w:r>
      <w:r w:rsidRPr="008D3EFA">
        <w:t xml:space="preserve">protection internationale </w:t>
      </w:r>
      <w:r>
        <w:t>(</w:t>
      </w:r>
      <w:r w:rsidRPr="008D3EFA">
        <w:t>2017</w:t>
      </w:r>
      <w:r>
        <w:t>-</w:t>
      </w:r>
      <w:r w:rsidRPr="008D3EFA">
        <w:t>2019</w:t>
      </w:r>
      <w:r>
        <w:t>)</w:t>
      </w:r>
      <w:r w:rsidRPr="008D3EFA">
        <w:t xml:space="preserve"> prévoit des mesures dans le domaine de l</w:t>
      </w:r>
      <w:r>
        <w:t>’</w:t>
      </w:r>
      <w:r w:rsidRPr="008D3EFA">
        <w:t>éducation</w:t>
      </w:r>
      <w:r w:rsidRPr="00535E17">
        <w:rPr>
          <w:rStyle w:val="Appelnotedebasdep"/>
        </w:rPr>
        <w:footnoteReference w:id="72"/>
      </w:r>
      <w:r>
        <w:t>.</w:t>
      </w:r>
    </w:p>
    <w:p w14:paraId="745EDE4E" w14:textId="77777777" w:rsidR="000C1192" w:rsidRPr="00C82006" w:rsidRDefault="000C1192" w:rsidP="000C1192">
      <w:pPr>
        <w:pStyle w:val="SingleTxtG"/>
      </w:pPr>
      <w:r w:rsidRPr="006F349A">
        <w:t>222.</w:t>
      </w:r>
      <w:r w:rsidRPr="006F349A">
        <w:tab/>
      </w:r>
      <w:r w:rsidRPr="00C82006">
        <w:t xml:space="preserve">Le nombre </w:t>
      </w:r>
      <w:r>
        <w:t>d’établissements</w:t>
      </w:r>
      <w:r w:rsidRPr="00C82006">
        <w:t xml:space="preserve"> primaires enseignant la langue croate </w:t>
      </w:r>
      <w:r>
        <w:t xml:space="preserve">a suivi une progression </w:t>
      </w:r>
      <w:r w:rsidRPr="00C82006">
        <w:t>systématique</w:t>
      </w:r>
      <w:r>
        <w:t xml:space="preserve"> </w:t>
      </w:r>
      <w:r w:rsidRPr="00C82006">
        <w:t>de 74 en 2013 à 293 en 2019.</w:t>
      </w:r>
    </w:p>
    <w:p w14:paraId="76834AC6" w14:textId="77777777" w:rsidR="000C1192" w:rsidRPr="00FC6D8C" w:rsidRDefault="000C1192" w:rsidP="000C1192">
      <w:pPr>
        <w:pStyle w:val="SingleTxtG"/>
      </w:pPr>
      <w:r w:rsidRPr="00345E2C">
        <w:t>223.</w:t>
      </w:r>
      <w:r w:rsidRPr="00345E2C">
        <w:tab/>
      </w:r>
      <w:r>
        <w:t xml:space="preserve">Pour </w:t>
      </w:r>
      <w:r w:rsidRPr="00FC6D8C">
        <w:t xml:space="preserve">réduire </w:t>
      </w:r>
      <w:r>
        <w:t xml:space="preserve">l’incidence </w:t>
      </w:r>
      <w:r w:rsidRPr="00FC6D8C">
        <w:t>des coûts indirects de l</w:t>
      </w:r>
      <w:r>
        <w:t>’</w:t>
      </w:r>
      <w:r w:rsidRPr="00FC6D8C">
        <w:t xml:space="preserve">éducation (manuels scolaires, transport, etc.) </w:t>
      </w:r>
      <w:r>
        <w:t xml:space="preserve">sur </w:t>
      </w:r>
      <w:r w:rsidRPr="00FC6D8C">
        <w:t>les élèves issus de groupes vulnérables, un cofinancement de l</w:t>
      </w:r>
      <w:r>
        <w:t>’</w:t>
      </w:r>
      <w:r w:rsidRPr="00FC6D8C">
        <w:t>achat de</w:t>
      </w:r>
      <w:r>
        <w:t>s</w:t>
      </w:r>
      <w:r w:rsidRPr="00FC6D8C">
        <w:t xml:space="preserve"> manuels </w:t>
      </w:r>
      <w:r>
        <w:t xml:space="preserve">et </w:t>
      </w:r>
      <w:r w:rsidRPr="00FC6D8C">
        <w:t xml:space="preserve">autres </w:t>
      </w:r>
      <w:r>
        <w:t xml:space="preserve">supports </w:t>
      </w:r>
      <w:r w:rsidRPr="00FC6D8C">
        <w:t>pédagogiques a été prévu. L</w:t>
      </w:r>
      <w:r>
        <w:t>a</w:t>
      </w:r>
      <w:r w:rsidRPr="00FC6D8C">
        <w:t xml:space="preserve"> nouvel</w:t>
      </w:r>
      <w:r>
        <w:t>le loi sur les manuels scolaires pour l’enseignement primaire et secondaire</w:t>
      </w:r>
      <w:r w:rsidRPr="00FC6D8C">
        <w:t xml:space="preserve"> </w:t>
      </w:r>
      <w:r>
        <w:t xml:space="preserve">prévoit que l’achat des </w:t>
      </w:r>
      <w:r w:rsidRPr="00FC6D8C">
        <w:t xml:space="preserve">manuels scolaires </w:t>
      </w:r>
      <w:r>
        <w:t xml:space="preserve">des </w:t>
      </w:r>
      <w:r w:rsidRPr="00FC6D8C">
        <w:t xml:space="preserve">élèves </w:t>
      </w:r>
      <w:r>
        <w:t xml:space="preserve">du </w:t>
      </w:r>
      <w:r w:rsidRPr="00FC6D8C">
        <w:t xml:space="preserve">primaire </w:t>
      </w:r>
      <w:r>
        <w:t xml:space="preserve">est financé au moyen du </w:t>
      </w:r>
      <w:r w:rsidRPr="00FC6D8C">
        <w:t>budget de l</w:t>
      </w:r>
      <w:r>
        <w:t>’</w:t>
      </w:r>
      <w:r w:rsidRPr="00FC6D8C">
        <w:t>État.</w:t>
      </w:r>
    </w:p>
    <w:p w14:paraId="25D87243" w14:textId="4C6F1353" w:rsidR="000C1192" w:rsidRPr="002B372D" w:rsidRDefault="000C1192" w:rsidP="000C1192">
      <w:pPr>
        <w:pStyle w:val="SingleTxtG"/>
      </w:pPr>
      <w:r w:rsidRPr="00EA6456">
        <w:t>224.</w:t>
      </w:r>
      <w:r w:rsidRPr="00EA6456">
        <w:tab/>
      </w:r>
      <w:r w:rsidRPr="002B372D">
        <w:t>Les écoles primaires sont tenues d</w:t>
      </w:r>
      <w:r>
        <w:t>’</w:t>
      </w:r>
      <w:r w:rsidRPr="002B372D">
        <w:t xml:space="preserve">organiser les repas </w:t>
      </w:r>
      <w:r>
        <w:t xml:space="preserve">scolaires </w:t>
      </w:r>
      <w:r w:rsidRPr="002B372D">
        <w:t xml:space="preserve">conformément </w:t>
      </w:r>
      <w:r>
        <w:t xml:space="preserve">aux normes du Ministère de la santé sur les </w:t>
      </w:r>
      <w:r w:rsidRPr="00802BF4">
        <w:t xml:space="preserve">aliments et </w:t>
      </w:r>
      <w:r>
        <w:t xml:space="preserve">les </w:t>
      </w:r>
      <w:r w:rsidRPr="00802BF4">
        <w:t xml:space="preserve">boissons </w:t>
      </w:r>
      <w:r>
        <w:t xml:space="preserve">offerts </w:t>
      </w:r>
      <w:r w:rsidRPr="00802BF4">
        <w:t>dans les écoles</w:t>
      </w:r>
      <w:r w:rsidRPr="002B372D">
        <w:t xml:space="preserve">. </w:t>
      </w:r>
      <w:r>
        <w:t>D</w:t>
      </w:r>
      <w:r w:rsidRPr="002B372D">
        <w:t>es repas sont organisés dans 92</w:t>
      </w:r>
      <w:r w:rsidR="002E7CBE">
        <w:t> </w:t>
      </w:r>
      <w:r w:rsidRPr="002B372D">
        <w:t>% des écoles primaires (</w:t>
      </w:r>
      <w:r>
        <w:t xml:space="preserve">en faveur de </w:t>
      </w:r>
      <w:r w:rsidRPr="002B372D">
        <w:t>plus de 65</w:t>
      </w:r>
      <w:r w:rsidR="002E7CBE">
        <w:t> </w:t>
      </w:r>
      <w:r w:rsidRPr="002B372D">
        <w:t>% des élèves). L</w:t>
      </w:r>
      <w:r>
        <w:t>e coût d</w:t>
      </w:r>
      <w:r w:rsidRPr="002B372D">
        <w:t xml:space="preserve">es repas </w:t>
      </w:r>
      <w:r>
        <w:t xml:space="preserve">est assumé par les </w:t>
      </w:r>
      <w:r w:rsidRPr="002B372D">
        <w:t xml:space="preserve">parents </w:t>
      </w:r>
      <w:r>
        <w:t xml:space="preserve">pour </w:t>
      </w:r>
      <w:r w:rsidRPr="002B372D">
        <w:t>50,8</w:t>
      </w:r>
      <w:r w:rsidR="002E7CBE">
        <w:t> </w:t>
      </w:r>
      <w:r w:rsidRPr="002B372D">
        <w:t>%</w:t>
      </w:r>
      <w:r>
        <w:t xml:space="preserve"> des élèves et est pris en charge par d’autres sources intégralement ou en partie pour le reste des élèves.</w:t>
      </w:r>
    </w:p>
    <w:p w14:paraId="7BA43034" w14:textId="2206C3C0" w:rsidR="000C1192" w:rsidRPr="007E1673" w:rsidRDefault="000C1192" w:rsidP="000C1192">
      <w:pPr>
        <w:pStyle w:val="SingleTxtG"/>
      </w:pPr>
      <w:r w:rsidRPr="00144CB7">
        <w:t>225.</w:t>
      </w:r>
      <w:r w:rsidRPr="00144CB7">
        <w:tab/>
      </w:r>
      <w:r w:rsidRPr="007E1673">
        <w:t>L</w:t>
      </w:r>
      <w:r>
        <w:t xml:space="preserve">’organisation des transports est à la charge des établissements pour les </w:t>
      </w:r>
      <w:r w:rsidRPr="007E1673">
        <w:t xml:space="preserve">élèves </w:t>
      </w:r>
      <w:r>
        <w:t xml:space="preserve">du préprimaire </w:t>
      </w:r>
      <w:r w:rsidRPr="007E1673">
        <w:t>(1</w:t>
      </w:r>
      <w:r w:rsidRPr="00C6029E">
        <w:rPr>
          <w:vertAlign w:val="superscript"/>
        </w:rPr>
        <w:t>re</w:t>
      </w:r>
      <w:r w:rsidRPr="007E1673">
        <w:t xml:space="preserve"> à 4</w:t>
      </w:r>
      <w:r w:rsidRPr="00C6029E">
        <w:rPr>
          <w:vertAlign w:val="superscript"/>
        </w:rPr>
        <w:t>e</w:t>
      </w:r>
      <w:r w:rsidR="002E7CBE">
        <w:t> </w:t>
      </w:r>
      <w:r w:rsidRPr="007E1673">
        <w:t xml:space="preserve">année) dont le domicile est situé à </w:t>
      </w:r>
      <w:r>
        <w:t xml:space="preserve">plus de </w:t>
      </w:r>
      <w:r w:rsidRPr="007E1673">
        <w:t>trois kilomètres de l</w:t>
      </w:r>
      <w:r>
        <w:t>’</w:t>
      </w:r>
      <w:r w:rsidRPr="007E1673">
        <w:t xml:space="preserve">école et </w:t>
      </w:r>
      <w:r>
        <w:t xml:space="preserve">les </w:t>
      </w:r>
      <w:r w:rsidRPr="007E1673">
        <w:t xml:space="preserve">élèves </w:t>
      </w:r>
      <w:r>
        <w:t xml:space="preserve">du </w:t>
      </w:r>
      <w:r w:rsidRPr="007E1673">
        <w:t>primaire de la 5</w:t>
      </w:r>
      <w:r w:rsidRPr="00C6029E">
        <w:rPr>
          <w:vertAlign w:val="superscript"/>
        </w:rPr>
        <w:t>e</w:t>
      </w:r>
      <w:r w:rsidRPr="007E1673">
        <w:t xml:space="preserve"> à la 8</w:t>
      </w:r>
      <w:r w:rsidRPr="00C6029E">
        <w:rPr>
          <w:vertAlign w:val="superscript"/>
        </w:rPr>
        <w:t>e</w:t>
      </w:r>
      <w:r w:rsidR="002E7CBE">
        <w:t> </w:t>
      </w:r>
      <w:r w:rsidRPr="007E1673">
        <w:t xml:space="preserve">année dont le domicile est situé à </w:t>
      </w:r>
      <w:r>
        <w:t xml:space="preserve">plus de </w:t>
      </w:r>
      <w:r w:rsidRPr="007E1673">
        <w:t>cinq kilomètres</w:t>
      </w:r>
      <w:r>
        <w:t xml:space="preserve"> de l’établissement</w:t>
      </w:r>
      <w:r w:rsidRPr="007E1673">
        <w:t>. Le</w:t>
      </w:r>
      <w:r>
        <w:t>s</w:t>
      </w:r>
      <w:r w:rsidRPr="007E1673">
        <w:t xml:space="preserve"> transport</w:t>
      </w:r>
      <w:r>
        <w:t>s</w:t>
      </w:r>
      <w:r w:rsidRPr="007E1673">
        <w:t xml:space="preserve"> </w:t>
      </w:r>
      <w:r>
        <w:t xml:space="preserve">sont </w:t>
      </w:r>
      <w:r w:rsidRPr="007E1673">
        <w:t>organisé</w:t>
      </w:r>
      <w:r>
        <w:t>s</w:t>
      </w:r>
      <w:r w:rsidRPr="007E1673">
        <w:t xml:space="preserve"> pour plus de 25</w:t>
      </w:r>
      <w:r w:rsidR="002E7CBE">
        <w:t> </w:t>
      </w:r>
      <w:r w:rsidRPr="007E1673">
        <w:t xml:space="preserve">% des élèves </w:t>
      </w:r>
      <w:r>
        <w:t xml:space="preserve">du </w:t>
      </w:r>
      <w:r w:rsidRPr="007E1673">
        <w:t>primaire.</w:t>
      </w:r>
    </w:p>
    <w:p w14:paraId="64DA401C" w14:textId="4BE52E5E" w:rsidR="000C1192" w:rsidRPr="007E1673" w:rsidRDefault="000C1192" w:rsidP="000C1192">
      <w:pPr>
        <w:pStyle w:val="SingleTxtG"/>
      </w:pPr>
      <w:bookmarkStart w:id="7" w:name="_Hlk109203948"/>
      <w:r w:rsidRPr="00787ABB">
        <w:t>226.</w:t>
      </w:r>
      <w:r w:rsidRPr="00787ABB">
        <w:tab/>
      </w:r>
      <w:r w:rsidRPr="00291B44">
        <w:t xml:space="preserve">Après avoir achevé </w:t>
      </w:r>
      <w:r>
        <w:t>le cycle obligatoire</w:t>
      </w:r>
      <w:r w:rsidRPr="00291B44">
        <w:t>, chacun a la possibilité d</w:t>
      </w:r>
      <w:r>
        <w:t>’</w:t>
      </w:r>
      <w:r w:rsidRPr="00291B44">
        <w:t xml:space="preserve">acquérir les compétences nécessaires pour entrer sur le marché du travail ou de poursuivre sa formation dans un établissement du deuxième cycle </w:t>
      </w:r>
      <w:r>
        <w:t>du secondaire. Il existe trois types d’établissements secondaires selon le type d’enseignement :</w:t>
      </w:r>
      <w:r w:rsidRPr="007E1673">
        <w:t xml:space="preserve"> </w:t>
      </w:r>
      <w:r>
        <w:t>le gymnase</w:t>
      </w:r>
      <w:r w:rsidRPr="007E1673">
        <w:t xml:space="preserve">, </w:t>
      </w:r>
      <w:r>
        <w:t>l’</w:t>
      </w:r>
      <w:r w:rsidRPr="007E1673">
        <w:t xml:space="preserve">école professionnelle et </w:t>
      </w:r>
      <w:r>
        <w:t>l’</w:t>
      </w:r>
      <w:r w:rsidRPr="007E1673">
        <w:t>école d</w:t>
      </w:r>
      <w:r>
        <w:t>’</w:t>
      </w:r>
      <w:r w:rsidRPr="007E1673">
        <w:t>art. Les candidats</w:t>
      </w:r>
      <w:r>
        <w:t xml:space="preserve"> à l’entrée dans les établissements secondaire</w:t>
      </w:r>
      <w:r w:rsidR="00630777">
        <w:t>s</w:t>
      </w:r>
      <w:r w:rsidRPr="007E1673">
        <w:t xml:space="preserve"> </w:t>
      </w:r>
      <w:r>
        <w:t xml:space="preserve">peuvent postuler et s’inscrire à l’aide </w:t>
      </w:r>
      <w:r w:rsidRPr="007E1673">
        <w:t>du système d</w:t>
      </w:r>
      <w:r>
        <w:t>’</w:t>
      </w:r>
      <w:r w:rsidRPr="007E1673">
        <w:t xml:space="preserve">information national pour </w:t>
      </w:r>
      <w:r>
        <w:t xml:space="preserve">le dépôt des candidatures </w:t>
      </w:r>
      <w:r w:rsidRPr="007E1673">
        <w:t>et l</w:t>
      </w:r>
      <w:r>
        <w:t>’</w:t>
      </w:r>
      <w:r w:rsidRPr="007E1673">
        <w:t xml:space="preserve">inscription dans les </w:t>
      </w:r>
      <w:r>
        <w:t xml:space="preserve">établissements </w:t>
      </w:r>
      <w:r w:rsidRPr="007E1673">
        <w:t>secondaires, qui rend l</w:t>
      </w:r>
      <w:r>
        <w:t>’</w:t>
      </w:r>
      <w:r w:rsidRPr="007E1673">
        <w:t xml:space="preserve">inscription plus accessible </w:t>
      </w:r>
      <w:r>
        <w:t xml:space="preserve">dans la mesure où </w:t>
      </w:r>
      <w:r w:rsidRPr="007E1673">
        <w:t xml:space="preserve">tous les </w:t>
      </w:r>
      <w:r>
        <w:t xml:space="preserve">élèves ont la possibilité de </w:t>
      </w:r>
      <w:r w:rsidRPr="007E1673">
        <w:t>s</w:t>
      </w:r>
      <w:r>
        <w:t>’</w:t>
      </w:r>
      <w:r w:rsidRPr="007E1673">
        <w:t xml:space="preserve">inscrire au </w:t>
      </w:r>
      <w:r>
        <w:t xml:space="preserve">programme </w:t>
      </w:r>
      <w:r w:rsidRPr="007E1673">
        <w:t>d</w:t>
      </w:r>
      <w:r>
        <w:t>’</w:t>
      </w:r>
      <w:r w:rsidRPr="007E1673">
        <w:t xml:space="preserve">éducation </w:t>
      </w:r>
      <w:r>
        <w:t xml:space="preserve">de leur choix en République de Croatie </w:t>
      </w:r>
      <w:r w:rsidRPr="007E1673">
        <w:t>depuis leur domicile.</w:t>
      </w:r>
      <w:r>
        <w:t xml:space="preserve"> </w:t>
      </w:r>
    </w:p>
    <w:bookmarkEnd w:id="7"/>
    <w:p w14:paraId="23DA70E1" w14:textId="2869000E" w:rsidR="000C1192" w:rsidRPr="00787ABB" w:rsidRDefault="000C1192" w:rsidP="002E7CBE">
      <w:pPr>
        <w:pStyle w:val="SingleTxtG"/>
        <w:keepLines/>
      </w:pPr>
      <w:r w:rsidRPr="00565E21">
        <w:lastRenderedPageBreak/>
        <w:t>227.</w:t>
      </w:r>
      <w:r w:rsidRPr="00565E21">
        <w:tab/>
      </w:r>
      <w:r w:rsidRPr="00787ABB">
        <w:t xml:space="preserve">Les mesures </w:t>
      </w:r>
      <w:r>
        <w:t xml:space="preserve">prises pour arriver progressivement à la </w:t>
      </w:r>
      <w:r w:rsidRPr="00787ABB">
        <w:t>gratuité de l</w:t>
      </w:r>
      <w:r>
        <w:t>’</w:t>
      </w:r>
      <w:r w:rsidRPr="00787ABB">
        <w:t xml:space="preserve">enseignement </w:t>
      </w:r>
      <w:r>
        <w:t xml:space="preserve">comprennent la participation au </w:t>
      </w:r>
      <w:r w:rsidRPr="00787ABB">
        <w:t xml:space="preserve">financement de programmes </w:t>
      </w:r>
      <w:r>
        <w:t xml:space="preserve">destinés aux </w:t>
      </w:r>
      <w:r w:rsidRPr="00787ABB">
        <w:t>élèves surdoués, l</w:t>
      </w:r>
      <w:r>
        <w:t>’</w:t>
      </w:r>
      <w:r w:rsidRPr="00787ABB">
        <w:t>éducation des élèves dans la langue et l</w:t>
      </w:r>
      <w:r>
        <w:t>’</w:t>
      </w:r>
      <w:r w:rsidRPr="00787ABB">
        <w:t>écriture des minorités nationales, l</w:t>
      </w:r>
      <w:r>
        <w:t>’</w:t>
      </w:r>
      <w:r w:rsidRPr="00787ABB">
        <w:t xml:space="preserve">équipement des écoles en </w:t>
      </w:r>
      <w:r>
        <w:t>mobilier</w:t>
      </w:r>
      <w:r w:rsidRPr="00787ABB">
        <w:t xml:space="preserve">, </w:t>
      </w:r>
      <w:r>
        <w:t xml:space="preserve">en supports </w:t>
      </w:r>
      <w:r w:rsidRPr="00787ABB">
        <w:t>didactique</w:t>
      </w:r>
      <w:r>
        <w:t>s</w:t>
      </w:r>
      <w:r w:rsidRPr="00787ABB">
        <w:t xml:space="preserve"> et </w:t>
      </w:r>
      <w:r>
        <w:t xml:space="preserve">en matériel </w:t>
      </w:r>
      <w:r w:rsidRPr="00787ABB">
        <w:t>informatique, l</w:t>
      </w:r>
      <w:r>
        <w:t>’</w:t>
      </w:r>
      <w:r w:rsidRPr="00787ABB">
        <w:t xml:space="preserve">équipement des bibliothèques scolaires en </w:t>
      </w:r>
      <w:r>
        <w:t xml:space="preserve">ouvrages figurant sur la liste des </w:t>
      </w:r>
      <w:r w:rsidRPr="00787ABB">
        <w:t>lecture</w:t>
      </w:r>
      <w:r>
        <w:t>s</w:t>
      </w:r>
      <w:r w:rsidRPr="00787ABB">
        <w:t xml:space="preserve"> obligatoire</w:t>
      </w:r>
      <w:r>
        <w:t>s</w:t>
      </w:r>
      <w:r w:rsidRPr="00787ABB">
        <w:t xml:space="preserve">, etc. Les </w:t>
      </w:r>
      <w:r>
        <w:t xml:space="preserve">collectivités locales et régionales autonomes </w:t>
      </w:r>
      <w:r w:rsidRPr="00787ABB">
        <w:t>cofinancent l</w:t>
      </w:r>
      <w:r>
        <w:t>’</w:t>
      </w:r>
      <w:r w:rsidRPr="00787ABB">
        <w:t xml:space="preserve">hébergement et les repas des </w:t>
      </w:r>
      <w:r>
        <w:t xml:space="preserve">élèves en internat, et proposent </w:t>
      </w:r>
      <w:r w:rsidRPr="00787ABB">
        <w:t>des bourses d</w:t>
      </w:r>
      <w:r>
        <w:t>’</w:t>
      </w:r>
      <w:r w:rsidRPr="00787ABB">
        <w:t>études</w:t>
      </w:r>
      <w:r>
        <w:t>, et généralement, des transports scolaires.</w:t>
      </w:r>
      <w:r w:rsidRPr="00787ABB">
        <w:t xml:space="preserve"> Les étudiants handicapés bénéficient </w:t>
      </w:r>
      <w:r>
        <w:t xml:space="preserve">de la prise en charge </w:t>
      </w:r>
      <w:r w:rsidRPr="00787ABB">
        <w:t>des frais de transport, y</w:t>
      </w:r>
      <w:r w:rsidR="002E7CBE">
        <w:t> </w:t>
      </w:r>
      <w:r w:rsidRPr="00787ABB">
        <w:t xml:space="preserve">compris </w:t>
      </w:r>
      <w:r>
        <w:t>le coût d’un accompagnateur</w:t>
      </w:r>
      <w:r w:rsidRPr="00787ABB">
        <w:t>. L</w:t>
      </w:r>
      <w:r>
        <w:t xml:space="preserve">’établissement </w:t>
      </w:r>
      <w:r w:rsidRPr="00787ABB">
        <w:t xml:space="preserve">peut </w:t>
      </w:r>
      <w:r>
        <w:t>exonérer les élèves qui ne peuvent assumer des frais plus élevés d’une partie ou de la totalité des frais de scolarité sur décision du conseil d’établissement</w:t>
      </w:r>
      <w:r w:rsidRPr="00787ABB">
        <w:t>.</w:t>
      </w:r>
    </w:p>
    <w:p w14:paraId="0E292123" w14:textId="09C4BDD8" w:rsidR="000C1192" w:rsidRPr="006A6D22" w:rsidRDefault="000C1192" w:rsidP="000C1192">
      <w:pPr>
        <w:pStyle w:val="SingleTxtG"/>
      </w:pPr>
      <w:r w:rsidRPr="0003092C">
        <w:t>228.</w:t>
      </w:r>
      <w:r w:rsidRPr="0003092C">
        <w:tab/>
        <w:t>L</w:t>
      </w:r>
      <w:r>
        <w:t>’</w:t>
      </w:r>
      <w:r w:rsidRPr="0003092C">
        <w:t>enseignement professionnel est dispensé par les établissements d</w:t>
      </w:r>
      <w:r>
        <w:t>’</w:t>
      </w:r>
      <w:r w:rsidRPr="0003092C">
        <w:t xml:space="preserve">enseignement professionnel et se fait en partie en entreprise. </w:t>
      </w:r>
      <w:r w:rsidRPr="006A6D22">
        <w:t>L</w:t>
      </w:r>
      <w:r>
        <w:t>’</w:t>
      </w:r>
      <w:r w:rsidRPr="006A6D22">
        <w:t xml:space="preserve">apprentissage en milieu professionnel </w:t>
      </w:r>
      <w:r>
        <w:t xml:space="preserve">se présente sous </w:t>
      </w:r>
      <w:r w:rsidRPr="006A6D22">
        <w:t xml:space="preserve">trois formes </w:t>
      </w:r>
      <w:r>
        <w:t xml:space="preserve">de </w:t>
      </w:r>
      <w:r w:rsidRPr="006A6D22">
        <w:t xml:space="preserve">programmes </w:t>
      </w:r>
      <w:r>
        <w:t xml:space="preserve">d’enseignement </w:t>
      </w:r>
      <w:r w:rsidRPr="006A6D22">
        <w:t>professionnel</w:t>
      </w:r>
      <w:r w:rsidR="002E7CBE">
        <w:t> </w:t>
      </w:r>
      <w:r w:rsidRPr="006A6D22">
        <w:t xml:space="preserve">: programmes </w:t>
      </w:r>
      <w:r>
        <w:t xml:space="preserve">mixtes </w:t>
      </w:r>
      <w:r w:rsidRPr="006A6D22">
        <w:t>ou apprentissage</w:t>
      </w:r>
      <w:r w:rsidR="002E7CBE">
        <w:t> </w:t>
      </w:r>
      <w:r w:rsidRPr="006A6D22">
        <w:t xml:space="preserve">; </w:t>
      </w:r>
      <w:r>
        <w:t xml:space="preserve">enseignement dans l’établissement </w:t>
      </w:r>
      <w:r w:rsidRPr="006A6D22">
        <w:t xml:space="preserve">avec périodes de formation </w:t>
      </w:r>
      <w:r>
        <w:t>en entreprise</w:t>
      </w:r>
      <w:r w:rsidR="002E7CBE">
        <w:t> </w:t>
      </w:r>
      <w:r>
        <w:t xml:space="preserve">; et </w:t>
      </w:r>
      <w:r w:rsidRPr="006A6D22">
        <w:t>programme</w:t>
      </w:r>
      <w:r>
        <w:t>s</w:t>
      </w:r>
      <w:r w:rsidRPr="006A6D22">
        <w:t xml:space="preserve"> d</w:t>
      </w:r>
      <w:r>
        <w:t>’</w:t>
      </w:r>
      <w:r w:rsidRPr="006A6D22">
        <w:t xml:space="preserve">enseignement et </w:t>
      </w:r>
      <w:r>
        <w:t xml:space="preserve">de </w:t>
      </w:r>
      <w:r w:rsidRPr="006A6D22">
        <w:t>formation professionnels.</w:t>
      </w:r>
    </w:p>
    <w:p w14:paraId="5AE8F46F" w14:textId="2A6CCA34" w:rsidR="000C1192" w:rsidRPr="005B755E" w:rsidRDefault="000C1192" w:rsidP="000C1192">
      <w:pPr>
        <w:pStyle w:val="SingleTxtG"/>
      </w:pPr>
      <w:r w:rsidRPr="005B755E">
        <w:t>229.</w:t>
      </w:r>
      <w:r w:rsidRPr="005B755E">
        <w:tab/>
      </w:r>
      <w:r>
        <w:t xml:space="preserve">Pour permettre l’acquisition de </w:t>
      </w:r>
      <w:r w:rsidRPr="005B755E">
        <w:t xml:space="preserve">qualifications professionnelles qui </w:t>
      </w:r>
      <w:r>
        <w:t xml:space="preserve">soient </w:t>
      </w:r>
      <w:r w:rsidRPr="005B755E">
        <w:t xml:space="preserve">compétitives sur le marché du travail et à </w:t>
      </w:r>
      <w:r>
        <w:t xml:space="preserve">partir desquelles il soit possible de poursuivre </w:t>
      </w:r>
      <w:r w:rsidRPr="005B755E">
        <w:t>des études, un certain nombre d</w:t>
      </w:r>
      <w:r>
        <w:t>’</w:t>
      </w:r>
      <w:r w:rsidRPr="005B755E">
        <w:t xml:space="preserve">activités ont été </w:t>
      </w:r>
      <w:r>
        <w:t>entreprises</w:t>
      </w:r>
      <w:r w:rsidR="002E7CBE">
        <w:t> </w:t>
      </w:r>
      <w:r w:rsidRPr="005B755E">
        <w:t xml:space="preserve">: </w:t>
      </w:r>
      <w:r>
        <w:t xml:space="preserve">élaboration de </w:t>
      </w:r>
      <w:r w:rsidRPr="005B755E">
        <w:t xml:space="preserve">programmes </w:t>
      </w:r>
      <w:r>
        <w:t xml:space="preserve">efficaces </w:t>
      </w:r>
      <w:r w:rsidRPr="005B755E">
        <w:t>d</w:t>
      </w:r>
      <w:r>
        <w:t>’</w:t>
      </w:r>
      <w:r w:rsidRPr="005B755E">
        <w:t xml:space="preserve">études professionnelles </w:t>
      </w:r>
      <w:r>
        <w:t xml:space="preserve">à partir de </w:t>
      </w:r>
      <w:r w:rsidRPr="005B755E">
        <w:t xml:space="preserve">normes professionnelles et </w:t>
      </w:r>
      <w:r>
        <w:t xml:space="preserve">de </w:t>
      </w:r>
      <w:r w:rsidRPr="005B755E">
        <w:t>normes de qualification</w:t>
      </w:r>
      <w:r w:rsidR="002E7CBE">
        <w:t> </w:t>
      </w:r>
      <w:r w:rsidRPr="005B755E">
        <w:t xml:space="preserve">; </w:t>
      </w:r>
      <w:r>
        <w:t xml:space="preserve">adoption de </w:t>
      </w:r>
      <w:r w:rsidRPr="005B755E">
        <w:t>nouveaux outils (profils sectoriels) et documents (normes professionnelles</w:t>
      </w:r>
      <w:r>
        <w:t xml:space="preserve"> et normes de qualification</w:t>
      </w:r>
      <w:r w:rsidRPr="005B755E">
        <w:t>)</w:t>
      </w:r>
      <w:r w:rsidR="002E7CBE">
        <w:t> </w:t>
      </w:r>
      <w:r w:rsidRPr="005B755E">
        <w:t xml:space="preserve">; </w:t>
      </w:r>
      <w:r>
        <w:t>mise en place d’</w:t>
      </w:r>
      <w:r w:rsidRPr="005B755E">
        <w:t xml:space="preserve">un cadre stratégique et juridique </w:t>
      </w:r>
      <w:r>
        <w:t xml:space="preserve">et conception de </w:t>
      </w:r>
      <w:r w:rsidRPr="005B755E">
        <w:t xml:space="preserve">nouveaux mécanismes de </w:t>
      </w:r>
      <w:r>
        <w:t xml:space="preserve">mise en relation </w:t>
      </w:r>
      <w:r w:rsidRPr="005B755E">
        <w:t xml:space="preserve">avec le marché du travail (conseils sectoriels, méthodologie pour </w:t>
      </w:r>
      <w:r>
        <w:t xml:space="preserve">la définition des </w:t>
      </w:r>
      <w:r w:rsidRPr="005B755E">
        <w:t xml:space="preserve">normes professionnelles </w:t>
      </w:r>
      <w:r>
        <w:t>par métier</w:t>
      </w:r>
      <w:r w:rsidRPr="005B755E">
        <w:t xml:space="preserve">, </w:t>
      </w:r>
      <w:r>
        <w:t xml:space="preserve">des </w:t>
      </w:r>
      <w:r w:rsidRPr="005B755E">
        <w:t xml:space="preserve">qualifications et </w:t>
      </w:r>
      <w:r>
        <w:t xml:space="preserve">des </w:t>
      </w:r>
      <w:r w:rsidRPr="005B755E">
        <w:t>programmes d</w:t>
      </w:r>
      <w:r>
        <w:t>’</w:t>
      </w:r>
      <w:r w:rsidRPr="005B755E">
        <w:t>études)</w:t>
      </w:r>
      <w:r>
        <w:t>.</w:t>
      </w:r>
    </w:p>
    <w:p w14:paraId="35F6336C" w14:textId="77777777" w:rsidR="000C1192" w:rsidRPr="005B755E" w:rsidRDefault="000C1192" w:rsidP="000C1192">
      <w:pPr>
        <w:pStyle w:val="SingleTxtG"/>
      </w:pPr>
      <w:r w:rsidRPr="00E279B5">
        <w:t>230.</w:t>
      </w:r>
      <w:r w:rsidRPr="00E279B5">
        <w:tab/>
      </w:r>
      <w:r>
        <w:t>La réforme en cours des programmes d’</w:t>
      </w:r>
      <w:r w:rsidRPr="005B755E">
        <w:t xml:space="preserve">enseignement et de formation professionnels </w:t>
      </w:r>
      <w:r>
        <w:t xml:space="preserve">vise à élaborer des </w:t>
      </w:r>
      <w:r w:rsidRPr="005B755E">
        <w:t xml:space="preserve">programmes sectoriels innovants et </w:t>
      </w:r>
      <w:r>
        <w:t xml:space="preserve">souples qui soient </w:t>
      </w:r>
      <w:r w:rsidRPr="005B755E">
        <w:t xml:space="preserve">adaptés aux besoins du marché du travail et </w:t>
      </w:r>
      <w:r>
        <w:t xml:space="preserve">à améliorer les </w:t>
      </w:r>
      <w:r w:rsidRPr="005B755E">
        <w:t xml:space="preserve">compétences des enseignants. </w:t>
      </w:r>
      <w:r>
        <w:t xml:space="preserve">Cette réforme </w:t>
      </w:r>
      <w:r w:rsidRPr="005B755E">
        <w:t xml:space="preserve">est </w:t>
      </w:r>
      <w:r>
        <w:t xml:space="preserve">également </w:t>
      </w:r>
      <w:r w:rsidRPr="005B755E">
        <w:t xml:space="preserve">soutenue par des </w:t>
      </w:r>
      <w:r>
        <w:t xml:space="preserve">activités au titre </w:t>
      </w:r>
      <w:r w:rsidRPr="005B755E">
        <w:t xml:space="preserve">du programme opérationnel </w:t>
      </w:r>
      <w:r>
        <w:t>du FSE sur la gestion efficace des r</w:t>
      </w:r>
      <w:r w:rsidRPr="005B755E">
        <w:t xml:space="preserve">essources humaines </w:t>
      </w:r>
      <w:r>
        <w:t>(</w:t>
      </w:r>
      <w:r w:rsidRPr="005B755E">
        <w:t>2014-2020</w:t>
      </w:r>
      <w:r>
        <w:t>)</w:t>
      </w:r>
      <w:r w:rsidRPr="005B755E">
        <w:t>.</w:t>
      </w:r>
    </w:p>
    <w:p w14:paraId="411F7BB1" w14:textId="77777777" w:rsidR="000C1192" w:rsidRPr="00721EA1" w:rsidRDefault="000C1192" w:rsidP="000C1192">
      <w:pPr>
        <w:pStyle w:val="SingleTxtG"/>
      </w:pPr>
      <w:r w:rsidRPr="00721EA1">
        <w:t>231.</w:t>
      </w:r>
      <w:r w:rsidRPr="00721EA1">
        <w:tab/>
        <w:t>Les conditions d</w:t>
      </w:r>
      <w:r>
        <w:t>’</w:t>
      </w:r>
      <w:r w:rsidRPr="00721EA1">
        <w:t>inscription aux programmes d</w:t>
      </w:r>
      <w:r>
        <w:t>’</w:t>
      </w:r>
      <w:r w:rsidRPr="00721EA1">
        <w:t xml:space="preserve">études sont </w:t>
      </w:r>
      <w:r>
        <w:t xml:space="preserve">fixées </w:t>
      </w:r>
      <w:r w:rsidRPr="00721EA1">
        <w:t>par les établissements d</w:t>
      </w:r>
      <w:r>
        <w:t>’</w:t>
      </w:r>
      <w:r w:rsidRPr="00721EA1">
        <w:t>enseignement supérieur</w:t>
      </w:r>
      <w:r w:rsidRPr="00BF5DCA">
        <w:t xml:space="preserve"> </w:t>
      </w:r>
      <w:r w:rsidRPr="00721EA1">
        <w:t xml:space="preserve">de manière autonome, mais avec </w:t>
      </w:r>
      <w:r>
        <w:t xml:space="preserve">la mise en place </w:t>
      </w:r>
      <w:r w:rsidRPr="00721EA1">
        <w:t>du baccalauréat d</w:t>
      </w:r>
      <w:r>
        <w:t>’</w:t>
      </w:r>
      <w:r w:rsidRPr="00721EA1">
        <w:t>État et la création du Centre national d</w:t>
      </w:r>
      <w:r>
        <w:t>’</w:t>
      </w:r>
      <w:r w:rsidRPr="00721EA1">
        <w:t>information sur les demandes d</w:t>
      </w:r>
      <w:r>
        <w:t>’</w:t>
      </w:r>
      <w:r w:rsidRPr="00721EA1">
        <w:t>inscription aux programmes d</w:t>
      </w:r>
      <w:r>
        <w:t>’</w:t>
      </w:r>
      <w:r w:rsidRPr="00721EA1">
        <w:t>études dans les établissements d</w:t>
      </w:r>
      <w:r>
        <w:t>’</w:t>
      </w:r>
      <w:r w:rsidRPr="00721EA1">
        <w:t xml:space="preserve">enseignement supérieur, </w:t>
      </w:r>
      <w:r>
        <w:t xml:space="preserve">lesdits </w:t>
      </w:r>
      <w:r w:rsidRPr="00721EA1">
        <w:t xml:space="preserve">établissements ont accepté </w:t>
      </w:r>
      <w:r>
        <w:t xml:space="preserve">que </w:t>
      </w:r>
      <w:r w:rsidRPr="00721EA1">
        <w:t xml:space="preserve">les résultats </w:t>
      </w:r>
      <w:r>
        <w:t xml:space="preserve">au </w:t>
      </w:r>
      <w:r w:rsidRPr="00721EA1">
        <w:t>baccalauréat d</w:t>
      </w:r>
      <w:r>
        <w:t>’</w:t>
      </w:r>
      <w:r w:rsidRPr="00721EA1">
        <w:t xml:space="preserve">État </w:t>
      </w:r>
      <w:r>
        <w:t xml:space="preserve">soient un des critères </w:t>
      </w:r>
      <w:r w:rsidRPr="00721EA1">
        <w:t xml:space="preserve">de classement des candidats, et les inscriptions </w:t>
      </w:r>
      <w:r>
        <w:t>sont menées sur cette base.</w:t>
      </w:r>
    </w:p>
    <w:p w14:paraId="6FD91DC0" w14:textId="77777777" w:rsidR="000C1192" w:rsidRPr="00721EA1" w:rsidRDefault="000C1192" w:rsidP="000C1192">
      <w:pPr>
        <w:pStyle w:val="SingleTxtG"/>
      </w:pPr>
      <w:r w:rsidRPr="00E068CA">
        <w:t>232.</w:t>
      </w:r>
      <w:r w:rsidRPr="00E068CA">
        <w:tab/>
      </w:r>
      <w:r w:rsidRPr="00721EA1">
        <w:t>L</w:t>
      </w:r>
      <w:r>
        <w:t>’</w:t>
      </w:r>
      <w:r w:rsidRPr="00721EA1">
        <w:t xml:space="preserve">enseignement supérieur est subventionné pour tous les étudiants à temps </w:t>
      </w:r>
      <w:r>
        <w:t xml:space="preserve">complet </w:t>
      </w:r>
      <w:r w:rsidRPr="00721EA1">
        <w:t>des programmes d</w:t>
      </w:r>
      <w:r>
        <w:t>’</w:t>
      </w:r>
      <w:r w:rsidRPr="00721EA1">
        <w:t>études de premier et de deuxième cycle des établissements publics d</w:t>
      </w:r>
      <w:r>
        <w:t>’</w:t>
      </w:r>
      <w:r w:rsidRPr="00721EA1">
        <w:t>enseignement supérieur. La subvention couvre le coût de la bourse d</w:t>
      </w:r>
      <w:r>
        <w:t>’</w:t>
      </w:r>
      <w:r w:rsidRPr="00721EA1">
        <w:t>études pendant toute la durée des études si les étudiants conservent le statut d</w:t>
      </w:r>
      <w:r>
        <w:t>’</w:t>
      </w:r>
      <w:r w:rsidRPr="00721EA1">
        <w:t xml:space="preserve">étudiant à temps </w:t>
      </w:r>
      <w:r>
        <w:t>complet</w:t>
      </w:r>
      <w:r w:rsidRPr="00535E17">
        <w:rPr>
          <w:rStyle w:val="Appelnotedebasdep"/>
        </w:rPr>
        <w:footnoteReference w:id="73"/>
      </w:r>
      <w:r w:rsidRPr="00721EA1">
        <w:t>. Outre les citoyens croates et les citoyens des États membres de l</w:t>
      </w:r>
      <w:r>
        <w:t>’</w:t>
      </w:r>
      <w:r w:rsidRPr="00721EA1">
        <w:t xml:space="preserve">UE, les personnes </w:t>
      </w:r>
      <w:r>
        <w:t xml:space="preserve">sous </w:t>
      </w:r>
      <w:r w:rsidRPr="00721EA1">
        <w:t xml:space="preserve">protection temporaire </w:t>
      </w:r>
      <w:r>
        <w:t xml:space="preserve">ou </w:t>
      </w:r>
      <w:r w:rsidRPr="00721EA1">
        <w:t xml:space="preserve">internationale (réfugiés) </w:t>
      </w:r>
      <w:r>
        <w:t>ont le droit d’</w:t>
      </w:r>
      <w:r w:rsidRPr="00721EA1">
        <w:t>accéder à l</w:t>
      </w:r>
      <w:r>
        <w:t>’</w:t>
      </w:r>
      <w:r w:rsidRPr="00721EA1">
        <w:t xml:space="preserve">enseignement supérieur et </w:t>
      </w:r>
      <w:r>
        <w:t xml:space="preserve">de </w:t>
      </w:r>
      <w:r w:rsidRPr="00721EA1">
        <w:t>bénéficier d</w:t>
      </w:r>
      <w:r>
        <w:t>’</w:t>
      </w:r>
      <w:r w:rsidRPr="00721EA1">
        <w:t>un soutien dans les mêmes conditions.</w:t>
      </w:r>
    </w:p>
    <w:p w14:paraId="77573087" w14:textId="585A105A" w:rsidR="000C1192" w:rsidRPr="005C0C21" w:rsidRDefault="000C1192" w:rsidP="000C1192">
      <w:pPr>
        <w:pStyle w:val="SingleTxtG"/>
      </w:pPr>
      <w:r w:rsidRPr="00055FF9">
        <w:t>233.</w:t>
      </w:r>
      <w:r w:rsidRPr="00055FF9">
        <w:tab/>
      </w:r>
      <w:r>
        <w:t xml:space="preserve">Conformément à </w:t>
      </w:r>
      <w:r w:rsidRPr="005C0C21">
        <w:t>l</w:t>
      </w:r>
      <w:r>
        <w:t>’</w:t>
      </w:r>
      <w:r w:rsidRPr="005C0C21">
        <w:t xml:space="preserve">accord de 2007, les anciens combattants croates, les </w:t>
      </w:r>
      <w:r>
        <w:t xml:space="preserve">invalides </w:t>
      </w:r>
      <w:r w:rsidRPr="005C0C21">
        <w:t xml:space="preserve">croates </w:t>
      </w:r>
      <w:r>
        <w:t>de la Guerre patriotique et</w:t>
      </w:r>
      <w:r w:rsidRPr="005C0C21">
        <w:t xml:space="preserve"> les enfants </w:t>
      </w:r>
      <w:r>
        <w:t>d’</w:t>
      </w:r>
      <w:r w:rsidRPr="005C0C21">
        <w:t>anciens combattants décédés, détenus ou disparus</w:t>
      </w:r>
      <w:r>
        <w:t xml:space="preserve"> et d’invalides de la Guerre patriotique </w:t>
      </w:r>
      <w:r w:rsidRPr="005C0C21">
        <w:t>ont le droit de s</w:t>
      </w:r>
      <w:r>
        <w:t>’</w:t>
      </w:r>
      <w:r w:rsidRPr="005C0C21">
        <w:t xml:space="preserve">inscrire </w:t>
      </w:r>
      <w:r>
        <w:t xml:space="preserve">comme </w:t>
      </w:r>
      <w:r w:rsidRPr="005C0C21">
        <w:t xml:space="preserve">étudiants à temps </w:t>
      </w:r>
      <w:r>
        <w:t xml:space="preserve">complet </w:t>
      </w:r>
      <w:r w:rsidRPr="005C0C21">
        <w:t>en dehors du quota d</w:t>
      </w:r>
      <w:r>
        <w:t>’</w:t>
      </w:r>
      <w:r w:rsidRPr="005C0C21">
        <w:t xml:space="preserve">inscription approuvé à condition </w:t>
      </w:r>
      <w:r>
        <w:t xml:space="preserve">de remplir </w:t>
      </w:r>
      <w:r w:rsidRPr="005C0C21">
        <w:t xml:space="preserve">les </w:t>
      </w:r>
      <w:r>
        <w:t>critères</w:t>
      </w:r>
      <w:r w:rsidRPr="005C0C21">
        <w:t xml:space="preserve"> d</w:t>
      </w:r>
      <w:r>
        <w:t>’</w:t>
      </w:r>
      <w:r w:rsidRPr="005C0C21">
        <w:t xml:space="preserve">inscription. </w:t>
      </w:r>
      <w:r>
        <w:t xml:space="preserve">Depuis </w:t>
      </w:r>
      <w:r w:rsidRPr="005C0C21">
        <w:t>l</w:t>
      </w:r>
      <w:r>
        <w:t>’</w:t>
      </w:r>
      <w:r w:rsidRPr="005C0C21">
        <w:t>année universitaire 2017/18</w:t>
      </w:r>
      <w:r>
        <w:t xml:space="preserve">, le Ministère des sciences et de l’éducation accorde </w:t>
      </w:r>
      <w:r w:rsidRPr="005C0C21">
        <w:t>10</w:t>
      </w:r>
      <w:r w:rsidR="00DA2080">
        <w:t> </w:t>
      </w:r>
      <w:r w:rsidRPr="005C0C21">
        <w:t>000</w:t>
      </w:r>
      <w:r w:rsidR="00DA2080">
        <w:t> </w:t>
      </w:r>
      <w:r w:rsidRPr="005C0C21">
        <w:t>bourses d</w:t>
      </w:r>
      <w:r>
        <w:t>’</w:t>
      </w:r>
      <w:r w:rsidRPr="005C0C21">
        <w:t xml:space="preserve">État </w:t>
      </w:r>
      <w:r>
        <w:t xml:space="preserve">aux </w:t>
      </w:r>
      <w:r w:rsidRPr="005C0C21">
        <w:t xml:space="preserve">étudiants </w:t>
      </w:r>
      <w:r>
        <w:t xml:space="preserve">issus des milieux </w:t>
      </w:r>
      <w:r w:rsidRPr="005C0C21">
        <w:t>socioéconomique</w:t>
      </w:r>
      <w:r>
        <w:t xml:space="preserve">s défavorisés </w:t>
      </w:r>
      <w:r w:rsidRPr="005C0C21">
        <w:t xml:space="preserve">dans le cadre </w:t>
      </w:r>
      <w:r>
        <w:t xml:space="preserve">de son </w:t>
      </w:r>
      <w:r w:rsidRPr="005C0C21">
        <w:t>projet d</w:t>
      </w:r>
      <w:r>
        <w:t>’</w:t>
      </w:r>
      <w:r w:rsidRPr="005C0C21">
        <w:t>attribution de bourses d</w:t>
      </w:r>
      <w:r>
        <w:t>’</w:t>
      </w:r>
      <w:r w:rsidRPr="005C0C21">
        <w:t>études</w:t>
      </w:r>
      <w:r>
        <w:t xml:space="preserve">. </w:t>
      </w:r>
      <w:r w:rsidRPr="005C0C21">
        <w:t xml:space="preserve">En 2019, des </w:t>
      </w:r>
      <w:r w:rsidRPr="005C0C21">
        <w:lastRenderedPageBreak/>
        <w:t>bourses d</w:t>
      </w:r>
      <w:r>
        <w:t>’</w:t>
      </w:r>
      <w:r w:rsidRPr="005C0C21">
        <w:t xml:space="preserve">État ont été </w:t>
      </w:r>
      <w:r>
        <w:t xml:space="preserve">ouvertes à </w:t>
      </w:r>
      <w:r w:rsidRPr="005C0C21">
        <w:t>des groupes spéciaux d</w:t>
      </w:r>
      <w:r>
        <w:t>’</w:t>
      </w:r>
      <w:r w:rsidRPr="005C0C21">
        <w:t>étudiants</w:t>
      </w:r>
      <w:r>
        <w:t xml:space="preserve">, les </w:t>
      </w:r>
      <w:r w:rsidRPr="005C0C21">
        <w:t xml:space="preserve">étudiants </w:t>
      </w:r>
      <w:r>
        <w:t xml:space="preserve">qui ont perdu un de leurs </w:t>
      </w:r>
      <w:r w:rsidRPr="005C0C21">
        <w:t xml:space="preserve">parents et les </w:t>
      </w:r>
      <w:r>
        <w:t>parents-</w:t>
      </w:r>
      <w:r w:rsidRPr="005C0C21">
        <w:t>étudiants.</w:t>
      </w:r>
    </w:p>
    <w:p w14:paraId="66EDACE4" w14:textId="2D279777" w:rsidR="000C1192" w:rsidRPr="00886DB0" w:rsidRDefault="000C1192" w:rsidP="000C1192">
      <w:pPr>
        <w:pStyle w:val="SingleTxtG"/>
      </w:pPr>
      <w:r w:rsidRPr="00606D96">
        <w:t>234.</w:t>
      </w:r>
      <w:r w:rsidRPr="00606D96">
        <w:tab/>
      </w:r>
      <w:r w:rsidRPr="00886DB0">
        <w:t>Les adultes de plus de 15</w:t>
      </w:r>
      <w:r w:rsidR="00DA2080">
        <w:t> </w:t>
      </w:r>
      <w:r w:rsidRPr="00886DB0">
        <w:t>ans qui n</w:t>
      </w:r>
      <w:r>
        <w:t>’</w:t>
      </w:r>
      <w:r w:rsidRPr="00886DB0">
        <w:t xml:space="preserve">ont pas </w:t>
      </w:r>
      <w:r>
        <w:t xml:space="preserve">achevé le </w:t>
      </w:r>
      <w:r w:rsidRPr="00886DB0">
        <w:t xml:space="preserve">primaire sont autorisés à </w:t>
      </w:r>
      <w:r>
        <w:t xml:space="preserve">terminer leurs études primaires </w:t>
      </w:r>
      <w:r w:rsidRPr="00886DB0">
        <w:t>dans des établissements pour adultes</w:t>
      </w:r>
      <w:r>
        <w:t xml:space="preserve">, les frais étant pris en charge par </w:t>
      </w:r>
      <w:r w:rsidRPr="00886DB0">
        <w:t>l</w:t>
      </w:r>
      <w:r>
        <w:t>’</w:t>
      </w:r>
      <w:r w:rsidRPr="00886DB0">
        <w:t>État</w:t>
      </w:r>
      <w:r>
        <w:t xml:space="preserve">, qui finance aussi </w:t>
      </w:r>
      <w:r w:rsidRPr="00886DB0">
        <w:t>l</w:t>
      </w:r>
      <w:r>
        <w:t>’</w:t>
      </w:r>
      <w:r w:rsidRPr="00886DB0">
        <w:t xml:space="preserve">acquisition </w:t>
      </w:r>
      <w:r>
        <w:t xml:space="preserve">de compétences simples pour </w:t>
      </w:r>
      <w:r w:rsidRPr="00886DB0">
        <w:t>certains emplois afin de permettre aux personnes d</w:t>
      </w:r>
      <w:r>
        <w:t>’</w:t>
      </w:r>
      <w:r w:rsidRPr="00886DB0">
        <w:t>entrer sur le marché du travail</w:t>
      </w:r>
      <w:r>
        <w:t>.</w:t>
      </w:r>
    </w:p>
    <w:p w14:paraId="470E9ECA" w14:textId="6DF03A35" w:rsidR="000C1192" w:rsidRPr="0056488A" w:rsidRDefault="000C1192" w:rsidP="000C1192">
      <w:pPr>
        <w:pStyle w:val="SingleTxtG"/>
      </w:pPr>
      <w:r w:rsidRPr="00606D96">
        <w:t>235.</w:t>
      </w:r>
      <w:r w:rsidRPr="00606D96">
        <w:tab/>
        <w:t xml:space="preserve">Le </w:t>
      </w:r>
      <w:r>
        <w:t>Ministère des sciences et de l’éducation a élaboré un programme d’enseignement aux adultes des compétences numériques, mathématiques et de lecture.</w:t>
      </w:r>
    </w:p>
    <w:p w14:paraId="16EE7DCF" w14:textId="77777777" w:rsidR="000C1192" w:rsidRDefault="000C1192" w:rsidP="00DA2080">
      <w:pPr>
        <w:pStyle w:val="H23G"/>
      </w:pPr>
      <w:r w:rsidRPr="0056488A">
        <w:tab/>
      </w:r>
      <w:r w:rsidRPr="0056488A">
        <w:tab/>
        <w:t>Membres des minorités nationales</w:t>
      </w:r>
    </w:p>
    <w:p w14:paraId="565D1A2E" w14:textId="395EE72E" w:rsidR="000C1192" w:rsidRPr="00AB60A4" w:rsidRDefault="000C1192" w:rsidP="000C1192">
      <w:pPr>
        <w:pStyle w:val="SingleTxtG"/>
      </w:pPr>
      <w:r w:rsidRPr="00120166">
        <w:t>236.</w:t>
      </w:r>
      <w:r w:rsidRPr="00120166">
        <w:tab/>
      </w:r>
      <w:r w:rsidRPr="00726CD2">
        <w:t>Les membres des minorités nationales disposent du droit à l</w:t>
      </w:r>
      <w:r>
        <w:t>’</w:t>
      </w:r>
      <w:r w:rsidRPr="00726CD2">
        <w:t>éducation dans leurs langue et alphabet à tous les niveaux d</w:t>
      </w:r>
      <w:r>
        <w:t>’</w:t>
      </w:r>
      <w:r w:rsidRPr="00726CD2">
        <w:t>enseignement, de l</w:t>
      </w:r>
      <w:r>
        <w:t>’</w:t>
      </w:r>
      <w:r w:rsidRPr="00726CD2">
        <w:t>école maternelle à l</w:t>
      </w:r>
      <w:r>
        <w:t>’</w:t>
      </w:r>
      <w:r w:rsidRPr="00726CD2">
        <w:t>enseignement supérieur, conformément à la Constitution</w:t>
      </w:r>
      <w:r>
        <w:t xml:space="preserve"> de la République de Croatie</w:t>
      </w:r>
      <w:r w:rsidRPr="00726CD2">
        <w:t xml:space="preserve">, </w:t>
      </w:r>
      <w:r>
        <w:t>à la L</w:t>
      </w:r>
      <w:r w:rsidRPr="00726CD2">
        <w:t>oi constitutionnelle sur les droits des minorités nationales et à la loi sur l</w:t>
      </w:r>
      <w:r>
        <w:t>’</w:t>
      </w:r>
      <w:r w:rsidRPr="00726CD2">
        <w:t xml:space="preserve">éducation dans les langues et alphabets des minorités nationales. </w:t>
      </w:r>
      <w:r w:rsidRPr="00AB60A4">
        <w:t>Il existe trois modèles fondamentaux d</w:t>
      </w:r>
      <w:r>
        <w:t>’</w:t>
      </w:r>
      <w:r w:rsidRPr="00AB60A4">
        <w:t>organisation et de déroulement des cours (A, B</w:t>
      </w:r>
      <w:r>
        <w:t xml:space="preserve"> et</w:t>
      </w:r>
      <w:r w:rsidRPr="00AB60A4">
        <w:t xml:space="preserve"> C). L</w:t>
      </w:r>
      <w:r>
        <w:t xml:space="preserve">e modèle d’enseignement dans lequel les cours sont dispensés intégralement dans la langue et l’alphabet </w:t>
      </w:r>
      <w:r w:rsidRPr="00AB60A4">
        <w:t>des minorités nationales (modèle</w:t>
      </w:r>
      <w:r w:rsidR="00DA2080">
        <w:t> </w:t>
      </w:r>
      <w:r w:rsidRPr="00AB60A4">
        <w:t xml:space="preserve">A) est </w:t>
      </w:r>
      <w:r>
        <w:t xml:space="preserve">appliqué </w:t>
      </w:r>
      <w:r w:rsidRPr="00AB60A4">
        <w:t>avec succès, tandis que de plus en plus d</w:t>
      </w:r>
      <w:r>
        <w:t>’</w:t>
      </w:r>
      <w:r w:rsidRPr="00AB60A4">
        <w:t xml:space="preserve">élèves </w:t>
      </w:r>
      <w:r>
        <w:t xml:space="preserve">du </w:t>
      </w:r>
      <w:r w:rsidRPr="00AB60A4">
        <w:t xml:space="preserve">primaire </w:t>
      </w:r>
      <w:r>
        <w:t xml:space="preserve">apprennent désormais aussi </w:t>
      </w:r>
      <w:r w:rsidRPr="00AB60A4">
        <w:t>la langue et la culture des minorités nationales (modèle</w:t>
      </w:r>
      <w:r w:rsidR="00DA2080">
        <w:t> </w:t>
      </w:r>
      <w:r w:rsidRPr="00AB60A4">
        <w:t>C).</w:t>
      </w:r>
    </w:p>
    <w:p w14:paraId="4CC24874" w14:textId="46E027A0" w:rsidR="000C1192" w:rsidRPr="00E61735" w:rsidRDefault="000C1192" w:rsidP="000C1192">
      <w:pPr>
        <w:pStyle w:val="SingleTxtG"/>
      </w:pPr>
      <w:r w:rsidRPr="006A6832">
        <w:t>237.</w:t>
      </w:r>
      <w:r w:rsidRPr="006A6832">
        <w:tab/>
      </w:r>
      <w:r w:rsidRPr="00E61735">
        <w:t xml:space="preserve">Des progrès </w:t>
      </w:r>
      <w:r>
        <w:t xml:space="preserve">notables </w:t>
      </w:r>
      <w:r w:rsidRPr="00E61735">
        <w:t xml:space="preserve">ont été </w:t>
      </w:r>
      <w:r>
        <w:t xml:space="preserve">faits en améliorant </w:t>
      </w:r>
      <w:r w:rsidRPr="00E61735">
        <w:t>la qualité de l</w:t>
      </w:r>
      <w:r>
        <w:t>’</w:t>
      </w:r>
      <w:r w:rsidRPr="00E61735">
        <w:t>enseignement en cofinançant l</w:t>
      </w:r>
      <w:r>
        <w:t>’</w:t>
      </w:r>
      <w:r w:rsidRPr="00E61735">
        <w:t xml:space="preserve">élaboration de manuels </w:t>
      </w:r>
      <w:r>
        <w:t xml:space="preserve">originaux d’après le </w:t>
      </w:r>
      <w:r w:rsidRPr="00E61735">
        <w:t>programme d</w:t>
      </w:r>
      <w:r>
        <w:t>’</w:t>
      </w:r>
      <w:r w:rsidRPr="00E61735">
        <w:t>enseignement et la traduction de plusieurs manuels pour l</w:t>
      </w:r>
      <w:r>
        <w:t>’</w:t>
      </w:r>
      <w:r w:rsidRPr="00E61735">
        <w:t>enseignement primaire (pour les minorités nationales tchèque, hongroise, serbe et italienne). En 2019, le M</w:t>
      </w:r>
      <w:r>
        <w:t xml:space="preserve">inistère des sciences et de l’éducation </w:t>
      </w:r>
      <w:r w:rsidRPr="00E61735">
        <w:t>a adopté des programmes d</w:t>
      </w:r>
      <w:r>
        <w:t>’</w:t>
      </w:r>
      <w:r w:rsidRPr="00E61735">
        <w:t>enseignement pour le serbe (modèles</w:t>
      </w:r>
      <w:r w:rsidR="00DA2080">
        <w:t> </w:t>
      </w:r>
      <w:r w:rsidRPr="00E61735">
        <w:t>A et C), l</w:t>
      </w:r>
      <w:r>
        <w:t>’</w:t>
      </w:r>
      <w:r w:rsidRPr="00E61735">
        <w:t>italien (modèle</w:t>
      </w:r>
      <w:r w:rsidR="00DA2080">
        <w:t> </w:t>
      </w:r>
      <w:r w:rsidRPr="00E61735">
        <w:t>A) et le tchèque (modèles</w:t>
      </w:r>
      <w:r w:rsidR="00DA2080">
        <w:t> </w:t>
      </w:r>
      <w:r w:rsidRPr="00E61735">
        <w:t>A et C).</w:t>
      </w:r>
      <w:r>
        <w:t xml:space="preserve"> </w:t>
      </w:r>
    </w:p>
    <w:p w14:paraId="546259A3" w14:textId="77777777" w:rsidR="000C1192" w:rsidRPr="006A6832" w:rsidRDefault="000C1192" w:rsidP="00DA2080">
      <w:pPr>
        <w:pStyle w:val="H23G"/>
      </w:pPr>
      <w:r w:rsidRPr="00E61735">
        <w:tab/>
      </w:r>
      <w:r w:rsidRPr="00E61735">
        <w:tab/>
      </w:r>
      <w:r w:rsidRPr="006A6832">
        <w:t>Membres de la minorité nationale rom</w:t>
      </w:r>
    </w:p>
    <w:p w14:paraId="5C15B7B3" w14:textId="77777777" w:rsidR="000C1192" w:rsidRPr="00B81836" w:rsidRDefault="000C1192" w:rsidP="000C1192">
      <w:pPr>
        <w:pStyle w:val="SingleTxtG"/>
      </w:pPr>
      <w:r w:rsidRPr="00DD1BBE">
        <w:t>238.</w:t>
      </w:r>
      <w:r w:rsidRPr="00DD1BBE">
        <w:tab/>
      </w:r>
      <w:r w:rsidRPr="00B81836">
        <w:t xml:space="preserve">Depuis </w:t>
      </w:r>
      <w:r>
        <w:t xml:space="preserve">l’application </w:t>
      </w:r>
      <w:r w:rsidRPr="00B81836">
        <w:t>du Programme national pour les Roms en 2003 et la Décennie pour l</w:t>
      </w:r>
      <w:r>
        <w:t>’</w:t>
      </w:r>
      <w:r w:rsidRPr="00B81836">
        <w:t xml:space="preserve">intégration des Roms </w:t>
      </w:r>
      <w:r>
        <w:t>(</w:t>
      </w:r>
      <w:r w:rsidRPr="00B81836">
        <w:t>2005</w:t>
      </w:r>
      <w:r>
        <w:t>-</w:t>
      </w:r>
      <w:r w:rsidRPr="00B81836">
        <w:t>2015</w:t>
      </w:r>
      <w:r>
        <w:t>)</w:t>
      </w:r>
      <w:r w:rsidRPr="00B81836">
        <w:t xml:space="preserve">, et </w:t>
      </w:r>
      <w:r>
        <w:t xml:space="preserve">au titre </w:t>
      </w:r>
      <w:r w:rsidRPr="00B81836">
        <w:t>de la Stratégie nationale pour l</w:t>
      </w:r>
      <w:r>
        <w:t>’</w:t>
      </w:r>
      <w:r w:rsidRPr="00B81836">
        <w:t xml:space="preserve">intégration des Roms </w:t>
      </w:r>
      <w:r>
        <w:t>(</w:t>
      </w:r>
      <w:r w:rsidRPr="00B81836">
        <w:t>2013-2020</w:t>
      </w:r>
      <w:r>
        <w:t>)</w:t>
      </w:r>
      <w:r w:rsidRPr="00B81836">
        <w:t xml:space="preserve">, des progrès </w:t>
      </w:r>
      <w:r>
        <w:t xml:space="preserve">notables </w:t>
      </w:r>
      <w:r w:rsidRPr="00B81836">
        <w:t xml:space="preserve">ont été </w:t>
      </w:r>
      <w:r>
        <w:t xml:space="preserve">accomplis dans </w:t>
      </w:r>
      <w:r w:rsidRPr="00B81836">
        <w:t>l</w:t>
      </w:r>
      <w:r>
        <w:t>’</w:t>
      </w:r>
      <w:r w:rsidRPr="00B81836">
        <w:t xml:space="preserve">éducation des membres de la minorité nationale rom, en particulier </w:t>
      </w:r>
      <w:r>
        <w:t xml:space="preserve">au niveau du </w:t>
      </w:r>
      <w:r w:rsidRPr="00B81836">
        <w:t xml:space="preserve">préscolaire, </w:t>
      </w:r>
      <w:r>
        <w:t xml:space="preserve">tandis que le </w:t>
      </w:r>
      <w:r w:rsidRPr="00B81836">
        <w:t xml:space="preserve">nombre </w:t>
      </w:r>
      <w:r>
        <w:t xml:space="preserve">d’élèves inscrits a aussi augmenté dans le </w:t>
      </w:r>
      <w:r w:rsidRPr="00B81836">
        <w:t xml:space="preserve">secondaire. </w:t>
      </w:r>
      <w:r>
        <w:t>Un</w:t>
      </w:r>
      <w:r w:rsidRPr="00B81836">
        <w:t xml:space="preserve"> suivi </w:t>
      </w:r>
      <w:r>
        <w:t xml:space="preserve">régulier </w:t>
      </w:r>
      <w:r w:rsidRPr="00B81836">
        <w:t xml:space="preserve">des mesures </w:t>
      </w:r>
      <w:r>
        <w:t xml:space="preserve">prévues dans </w:t>
      </w:r>
      <w:r w:rsidRPr="00B81836">
        <w:t xml:space="preserve">la stratégie </w:t>
      </w:r>
      <w:r>
        <w:t>sus</w:t>
      </w:r>
      <w:r w:rsidRPr="00B81836">
        <w:t xml:space="preserve">mentionnée est effectué par le </w:t>
      </w:r>
      <w:r>
        <w:t xml:space="preserve">Ministre de l’éducation et des sciences, qui </w:t>
      </w:r>
      <w:r w:rsidRPr="00B81836">
        <w:t xml:space="preserve">rend compte </w:t>
      </w:r>
      <w:r>
        <w:t xml:space="preserve">chaque année au </w:t>
      </w:r>
      <w:r w:rsidRPr="00E335E6">
        <w:t>Bureau des droits de l</w:t>
      </w:r>
      <w:r>
        <w:t>’</w:t>
      </w:r>
      <w:r w:rsidRPr="00E335E6">
        <w:t>homme et des droits des minorités nationales</w:t>
      </w:r>
      <w:r w:rsidRPr="00B81836">
        <w:t>.</w:t>
      </w:r>
    </w:p>
    <w:p w14:paraId="48354709" w14:textId="77777777" w:rsidR="000C1192" w:rsidRPr="00B81836" w:rsidRDefault="000C1192" w:rsidP="000C1192">
      <w:pPr>
        <w:pStyle w:val="SingleTxtG"/>
      </w:pPr>
      <w:r w:rsidRPr="00586534">
        <w:t>239.</w:t>
      </w:r>
      <w:r w:rsidRPr="00586534">
        <w:tab/>
      </w:r>
      <w:r>
        <w:t>D</w:t>
      </w:r>
      <w:r w:rsidRPr="00B81836">
        <w:t xml:space="preserve">es groupes </w:t>
      </w:r>
      <w:r>
        <w:t xml:space="preserve">pédagogiques </w:t>
      </w:r>
      <w:r w:rsidRPr="00B81836">
        <w:t>préscolaire</w:t>
      </w:r>
      <w:r>
        <w:t>s</w:t>
      </w:r>
      <w:r w:rsidRPr="00B81836">
        <w:t xml:space="preserve"> </w:t>
      </w:r>
      <w:r>
        <w:t xml:space="preserve">ont continué d’être organisés </w:t>
      </w:r>
      <w:r w:rsidRPr="00B81836">
        <w:t xml:space="preserve">pour tous les enfants roms </w:t>
      </w:r>
      <w:r>
        <w:t xml:space="preserve">pour </w:t>
      </w:r>
      <w:r w:rsidRPr="00B81836">
        <w:t xml:space="preserve">préparer leur intégration dans le système éducatif, en particulier dans les zones </w:t>
      </w:r>
      <w:r>
        <w:t xml:space="preserve">qui ne disposent pas </w:t>
      </w:r>
      <w:r w:rsidRPr="00B81836">
        <w:t xml:space="preserve">de </w:t>
      </w:r>
      <w:r>
        <w:t>moyens</w:t>
      </w:r>
      <w:r w:rsidRPr="00B81836">
        <w:t xml:space="preserve"> </w:t>
      </w:r>
      <w:r>
        <w:t xml:space="preserve">pédagogiques </w:t>
      </w:r>
      <w:r w:rsidRPr="00B81836">
        <w:t>préscolaire</w:t>
      </w:r>
      <w:r>
        <w:t>s</w:t>
      </w:r>
      <w:r w:rsidRPr="00B81836">
        <w:t xml:space="preserve"> intégré</w:t>
      </w:r>
      <w:r>
        <w:t>s</w:t>
      </w:r>
      <w:r w:rsidRPr="00B81836">
        <w:t>. Le M</w:t>
      </w:r>
      <w:r>
        <w:t xml:space="preserve">inistère de l’éducation et des sciences </w:t>
      </w:r>
      <w:r w:rsidRPr="00B81836">
        <w:t>cofinance la part parentale du coût économique de l</w:t>
      </w:r>
      <w:r>
        <w:t>’</w:t>
      </w:r>
      <w:r w:rsidRPr="00B81836">
        <w:t xml:space="preserve">éducation préscolaire </w:t>
      </w:r>
      <w:r>
        <w:t xml:space="preserve">des </w:t>
      </w:r>
      <w:r w:rsidRPr="00B81836">
        <w:t xml:space="preserve">enfants intégrés, </w:t>
      </w:r>
      <w:r>
        <w:t xml:space="preserve">autrement dit ceux qui suivent le programme d’enseignement ordinaire de la </w:t>
      </w:r>
      <w:r w:rsidRPr="00B81836">
        <w:t xml:space="preserve">maternelle. </w:t>
      </w:r>
      <w:r>
        <w:t>Par ailleurs</w:t>
      </w:r>
      <w:r w:rsidRPr="00B81836">
        <w:t>, le programme préscolaire (</w:t>
      </w:r>
      <w:r>
        <w:t xml:space="preserve">de </w:t>
      </w:r>
      <w:r w:rsidRPr="00B81836">
        <w:t>préparation à l</w:t>
      </w:r>
      <w:r>
        <w:t>’</w:t>
      </w:r>
      <w:r w:rsidRPr="00B81836">
        <w:t xml:space="preserve">école primaire) </w:t>
      </w:r>
      <w:r>
        <w:t xml:space="preserve">pour </w:t>
      </w:r>
      <w:r w:rsidRPr="00B81836">
        <w:t xml:space="preserve">enfants roms est cofinancé, </w:t>
      </w:r>
      <w:r>
        <w:t xml:space="preserve">mesure qui s’est révélée </w:t>
      </w:r>
      <w:r w:rsidRPr="00B81836">
        <w:t>très nécessaire et donne de bons résultats</w:t>
      </w:r>
      <w:r>
        <w:t>.</w:t>
      </w:r>
    </w:p>
    <w:p w14:paraId="3EF30B85" w14:textId="77777777" w:rsidR="000C1192" w:rsidRPr="00B81836" w:rsidRDefault="000C1192" w:rsidP="000C1192">
      <w:pPr>
        <w:pStyle w:val="SingleTxtG"/>
      </w:pPr>
      <w:r w:rsidRPr="00B81836">
        <w:t>240.</w:t>
      </w:r>
      <w:r w:rsidRPr="00B81836">
        <w:tab/>
        <w:t>Le M</w:t>
      </w:r>
      <w:r>
        <w:t xml:space="preserve">inistère de l’éducation et des sciences soutient </w:t>
      </w:r>
      <w:r w:rsidRPr="00B81836">
        <w:t>l</w:t>
      </w:r>
      <w:r>
        <w:t>’</w:t>
      </w:r>
      <w:r w:rsidRPr="00B81836">
        <w:t xml:space="preserve">apprentissage de la langue croate </w:t>
      </w:r>
      <w:r>
        <w:t xml:space="preserve">par </w:t>
      </w:r>
      <w:r w:rsidRPr="00B81836">
        <w:t xml:space="preserve">les élèves roms en </w:t>
      </w:r>
      <w:r>
        <w:t xml:space="preserve">y consacrant des moyens dans les </w:t>
      </w:r>
      <w:r w:rsidRPr="00B81836">
        <w:t>écoles primaires et</w:t>
      </w:r>
      <w:r>
        <w:t xml:space="preserve"> en mettant à leur disposition des </w:t>
      </w:r>
      <w:r w:rsidRPr="00B81836">
        <w:t>enseignants de croate.</w:t>
      </w:r>
    </w:p>
    <w:p w14:paraId="0D0DD2B3" w14:textId="77777777" w:rsidR="000C1192" w:rsidRPr="00B81836" w:rsidRDefault="000C1192" w:rsidP="000C1192">
      <w:pPr>
        <w:pStyle w:val="SingleTxtG"/>
      </w:pPr>
      <w:r w:rsidRPr="00B148C2">
        <w:t>241.</w:t>
      </w:r>
      <w:r w:rsidRPr="00B148C2">
        <w:tab/>
      </w:r>
      <w:r w:rsidRPr="00B81836">
        <w:t>Le M</w:t>
      </w:r>
      <w:r>
        <w:t xml:space="preserve">inistère des sciences et de l’éducation prévoit </w:t>
      </w:r>
      <w:r w:rsidRPr="00B81836">
        <w:t>des programmes</w:t>
      </w:r>
      <w:r>
        <w:t xml:space="preserve"> d’enseignement périscolaire à l’intention des </w:t>
      </w:r>
      <w:r w:rsidRPr="00B81836">
        <w:t xml:space="preserve">élèves roms, ce qui est </w:t>
      </w:r>
      <w:r>
        <w:t xml:space="preserve">un </w:t>
      </w:r>
      <w:r w:rsidRPr="00B81836">
        <w:t xml:space="preserve">préalable </w:t>
      </w:r>
      <w:r>
        <w:t xml:space="preserve">important pour leur permettre d’achever le </w:t>
      </w:r>
      <w:r w:rsidRPr="00B81836">
        <w:t xml:space="preserve">primaire. Des progrès </w:t>
      </w:r>
      <w:r>
        <w:t xml:space="preserve">sensibles </w:t>
      </w:r>
      <w:r w:rsidRPr="00B81836">
        <w:t xml:space="preserve">ont été </w:t>
      </w:r>
      <w:r>
        <w:t xml:space="preserve">accomplis </w:t>
      </w:r>
      <w:r w:rsidRPr="00B81836">
        <w:t>dans les domaines de l</w:t>
      </w:r>
      <w:r>
        <w:t>’</w:t>
      </w:r>
      <w:r w:rsidRPr="00B81836">
        <w:t>apprentissage des langues, de l</w:t>
      </w:r>
      <w:r>
        <w:t>’</w:t>
      </w:r>
      <w:r w:rsidRPr="00B81836">
        <w:t xml:space="preserve">hygiène et de la socialisation des enfants. </w:t>
      </w:r>
      <w:r>
        <w:t>Un cofinancement est également apporté pour l</w:t>
      </w:r>
      <w:r w:rsidRPr="00B81836">
        <w:t>es voyages de fin d</w:t>
      </w:r>
      <w:r>
        <w:t>’</w:t>
      </w:r>
      <w:r w:rsidRPr="00B81836">
        <w:t>études, l</w:t>
      </w:r>
      <w:r>
        <w:t>’</w:t>
      </w:r>
      <w:r w:rsidRPr="00B81836">
        <w:t>école de plein air, les cours d</w:t>
      </w:r>
      <w:r>
        <w:t>’</w:t>
      </w:r>
      <w:r w:rsidRPr="00B81836">
        <w:t xml:space="preserve">été et </w:t>
      </w:r>
      <w:r>
        <w:t>l’internat</w:t>
      </w:r>
      <w:r w:rsidRPr="00B81836">
        <w:t xml:space="preserve">. </w:t>
      </w:r>
      <w:r>
        <w:t>De plus en plus d’</w:t>
      </w:r>
      <w:r w:rsidRPr="00B81836">
        <w:t xml:space="preserve">élèves sont inscrits dans </w:t>
      </w:r>
      <w:r>
        <w:t xml:space="preserve">le </w:t>
      </w:r>
      <w:r w:rsidRPr="00B81836">
        <w:t xml:space="preserve">secondaire, et des bourses </w:t>
      </w:r>
      <w:r>
        <w:t>et des places d’internat sont aussi proposées pour le secondaire</w:t>
      </w:r>
      <w:r w:rsidRPr="00B81836">
        <w:t xml:space="preserve">. </w:t>
      </w:r>
      <w:r>
        <w:t xml:space="preserve">Sont également </w:t>
      </w:r>
      <w:r>
        <w:lastRenderedPageBreak/>
        <w:t xml:space="preserve">proposés des </w:t>
      </w:r>
      <w:r w:rsidRPr="00B81836">
        <w:t>bourse</w:t>
      </w:r>
      <w:r>
        <w:t xml:space="preserve">s, des places d’hébergement en foyer pour élèves/étudiants </w:t>
      </w:r>
      <w:r w:rsidRPr="00B81836">
        <w:t>et des programmes d</w:t>
      </w:r>
      <w:r>
        <w:t>’</w:t>
      </w:r>
      <w:r w:rsidRPr="00B81836">
        <w:t xml:space="preserve">alphabétisation et de </w:t>
      </w:r>
      <w:r>
        <w:t xml:space="preserve">formation qualifiante </w:t>
      </w:r>
      <w:r w:rsidRPr="00B81836">
        <w:t>pour adultes.</w:t>
      </w:r>
    </w:p>
    <w:p w14:paraId="6658C749" w14:textId="163028CB" w:rsidR="000C1192" w:rsidRPr="00ED400F" w:rsidRDefault="000C1192" w:rsidP="000C1192">
      <w:pPr>
        <w:pStyle w:val="SingleTxtG"/>
      </w:pPr>
      <w:bookmarkStart w:id="8" w:name="_Hlk109209745"/>
      <w:r w:rsidRPr="00ED400F">
        <w:t>242.</w:t>
      </w:r>
      <w:r w:rsidRPr="00ED400F">
        <w:tab/>
        <w:t xml:space="preserve">En 2013, le </w:t>
      </w:r>
      <w:r>
        <w:t xml:space="preserve">Ministère des sciences et de l’éducation </w:t>
      </w:r>
      <w:r w:rsidRPr="00ED400F">
        <w:t xml:space="preserve">a </w:t>
      </w:r>
      <w:r w:rsidRPr="009C0D2F">
        <w:t xml:space="preserve">alloué </w:t>
      </w:r>
      <w:r w:rsidR="009C0D2F" w:rsidRPr="009C0D2F">
        <w:t>8</w:t>
      </w:r>
      <w:r w:rsidR="009C0D2F">
        <w:t> </w:t>
      </w:r>
      <w:r w:rsidR="009C0D2F" w:rsidRPr="009C0D2F">
        <w:t>977</w:t>
      </w:r>
      <w:r w:rsidR="009C0D2F">
        <w:t> </w:t>
      </w:r>
      <w:r w:rsidR="009C0D2F" w:rsidRPr="009C0D2F">
        <w:t>778</w:t>
      </w:r>
      <w:r w:rsidR="009C0D2F">
        <w:t>,</w:t>
      </w:r>
      <w:r w:rsidR="009C0D2F" w:rsidRPr="009C0D2F">
        <w:t>29</w:t>
      </w:r>
      <w:r w:rsidR="009C0D2F">
        <w:t> </w:t>
      </w:r>
      <w:r w:rsidRPr="009C0D2F">
        <w:t>millions</w:t>
      </w:r>
      <w:r>
        <w:t xml:space="preserve"> de </w:t>
      </w:r>
      <w:proofErr w:type="spellStart"/>
      <w:r w:rsidRPr="00ED400F">
        <w:t>kunas</w:t>
      </w:r>
      <w:proofErr w:type="spellEnd"/>
      <w:r w:rsidRPr="00ED400F">
        <w:t xml:space="preserve"> </w:t>
      </w:r>
      <w:r>
        <w:t xml:space="preserve">au financement de mesures au titre la politique nationale en faveur de </w:t>
      </w:r>
      <w:r w:rsidRPr="00ED400F">
        <w:t>l</w:t>
      </w:r>
      <w:r>
        <w:t>’</w:t>
      </w:r>
      <w:r w:rsidRPr="00ED400F">
        <w:t xml:space="preserve">éducation des Roms, </w:t>
      </w:r>
      <w:r>
        <w:t xml:space="preserve">les fonds alloués </w:t>
      </w:r>
      <w:r w:rsidRPr="009C0D2F">
        <w:t xml:space="preserve">atteignant </w:t>
      </w:r>
      <w:r w:rsidR="009C0D2F" w:rsidRPr="009C0D2F">
        <w:t>15</w:t>
      </w:r>
      <w:r w:rsidR="009C0D2F">
        <w:t> </w:t>
      </w:r>
      <w:r w:rsidR="009C0D2F" w:rsidRPr="009C0D2F">
        <w:t>556</w:t>
      </w:r>
      <w:r w:rsidR="009C0D2F">
        <w:t> </w:t>
      </w:r>
      <w:r w:rsidR="009C0D2F" w:rsidRPr="009C0D2F">
        <w:t>588</w:t>
      </w:r>
      <w:r w:rsidR="009C0D2F">
        <w:t>,</w:t>
      </w:r>
      <w:r w:rsidR="009C0D2F" w:rsidRPr="009C0D2F">
        <w:t>41</w:t>
      </w:r>
      <w:r w:rsidR="00DA2080">
        <w:t> </w:t>
      </w:r>
      <w:r>
        <w:t xml:space="preserve">millions de </w:t>
      </w:r>
      <w:proofErr w:type="spellStart"/>
      <w:r>
        <w:t>kunas</w:t>
      </w:r>
      <w:proofErr w:type="spellEnd"/>
      <w:r>
        <w:t xml:space="preserve"> en </w:t>
      </w:r>
      <w:r w:rsidRPr="00ED400F">
        <w:t>2019.</w:t>
      </w:r>
    </w:p>
    <w:bookmarkEnd w:id="8"/>
    <w:p w14:paraId="76E22670" w14:textId="4765160A" w:rsidR="000C1192" w:rsidRPr="00ED400F" w:rsidRDefault="000C1192" w:rsidP="000C1192">
      <w:pPr>
        <w:pStyle w:val="SingleTxtG"/>
      </w:pPr>
      <w:r w:rsidRPr="00ED400F">
        <w:t>243.</w:t>
      </w:r>
      <w:r w:rsidRPr="00ED400F">
        <w:tab/>
      </w:r>
      <w:r>
        <w:t xml:space="preserve">Pour favoriser </w:t>
      </w:r>
      <w:r w:rsidRPr="00ED400F">
        <w:t xml:space="preserve">la compréhension des Roms et améliorer </w:t>
      </w:r>
      <w:r>
        <w:t xml:space="preserve">leur </w:t>
      </w:r>
      <w:r w:rsidRPr="00ED400F">
        <w:t xml:space="preserve">réussite scolaire et </w:t>
      </w:r>
      <w:r>
        <w:t xml:space="preserve">leur </w:t>
      </w:r>
      <w:r w:rsidRPr="00ED400F">
        <w:t xml:space="preserve">inclusion, </w:t>
      </w:r>
      <w:r>
        <w:t xml:space="preserve">des travaux ont été engagés en 2015 pour concevoir un </w:t>
      </w:r>
      <w:r w:rsidRPr="00ED400F">
        <w:t>programme d</w:t>
      </w:r>
      <w:r>
        <w:t>’</w:t>
      </w:r>
      <w:r w:rsidRPr="00ED400F">
        <w:t xml:space="preserve">études </w:t>
      </w:r>
      <w:r>
        <w:t xml:space="preserve">intitulé « Entretenir </w:t>
      </w:r>
      <w:r w:rsidRPr="00ED400F">
        <w:t xml:space="preserve">la langue et la culture de la minorité nationale rom dans les </w:t>
      </w:r>
      <w:r>
        <w:t xml:space="preserve">établissements </w:t>
      </w:r>
      <w:r w:rsidRPr="00ED400F">
        <w:t xml:space="preserve">primaires et secondaires de </w:t>
      </w:r>
      <w:r>
        <w:t xml:space="preserve">République de Croatie » </w:t>
      </w:r>
      <w:r w:rsidRPr="00ED400F">
        <w:t>(modèle</w:t>
      </w:r>
      <w:r w:rsidR="00DA2080">
        <w:t> </w:t>
      </w:r>
      <w:r w:rsidRPr="00ED400F">
        <w:t>C).</w:t>
      </w:r>
    </w:p>
    <w:p w14:paraId="5CE99E9B" w14:textId="77777777" w:rsidR="000C1192" w:rsidRPr="00ED400F" w:rsidRDefault="000C1192" w:rsidP="000C1192">
      <w:pPr>
        <w:pStyle w:val="SingleTxtG"/>
      </w:pPr>
      <w:r w:rsidRPr="00ED400F">
        <w:t>244.</w:t>
      </w:r>
      <w:r w:rsidRPr="00ED400F">
        <w:tab/>
      </w:r>
      <w:r>
        <w:t xml:space="preserve">Le </w:t>
      </w:r>
      <w:r w:rsidRPr="007E1673">
        <w:t>système d</w:t>
      </w:r>
      <w:r>
        <w:t>’</w:t>
      </w:r>
      <w:r w:rsidRPr="007E1673">
        <w:t xml:space="preserve">information national pour </w:t>
      </w:r>
      <w:r>
        <w:t xml:space="preserve">le dépôt des candidatures </w:t>
      </w:r>
      <w:r w:rsidRPr="007E1673">
        <w:t>et l</w:t>
      </w:r>
      <w:r>
        <w:t>’</w:t>
      </w:r>
      <w:r w:rsidRPr="007E1673">
        <w:t xml:space="preserve">inscription dans les </w:t>
      </w:r>
      <w:r>
        <w:t xml:space="preserve">établissements </w:t>
      </w:r>
      <w:r w:rsidRPr="007E1673">
        <w:t>secondaires</w:t>
      </w:r>
      <w:r w:rsidRPr="00ED400F">
        <w:t xml:space="preserve"> permet aux élèves de s</w:t>
      </w:r>
      <w:r>
        <w:t>’</w:t>
      </w:r>
      <w:r w:rsidRPr="00ED400F">
        <w:t>inscrire facilement</w:t>
      </w:r>
      <w:r>
        <w:t xml:space="preserve"> et rapidement</w:t>
      </w:r>
      <w:r w:rsidRPr="00ED400F">
        <w:t xml:space="preserve"> de manière transparente dans </w:t>
      </w:r>
      <w:r>
        <w:t xml:space="preserve">l’établissement </w:t>
      </w:r>
      <w:r w:rsidRPr="00ED400F">
        <w:t>secondaire souhaité en fonction de leurs résultats à l</w:t>
      </w:r>
      <w:r>
        <w:t>’</w:t>
      </w:r>
      <w:r w:rsidRPr="00ED400F">
        <w:t xml:space="preserve">école primaire, sans distinction </w:t>
      </w:r>
      <w:r>
        <w:t xml:space="preserve">liée à la </w:t>
      </w:r>
      <w:r w:rsidRPr="00ED400F">
        <w:t xml:space="preserve">race, </w:t>
      </w:r>
      <w:r>
        <w:t xml:space="preserve">à la </w:t>
      </w:r>
      <w:r w:rsidRPr="00ED400F">
        <w:t xml:space="preserve">couleur, </w:t>
      </w:r>
      <w:r>
        <w:t xml:space="preserve">au </w:t>
      </w:r>
      <w:r w:rsidRPr="00ED400F">
        <w:t xml:space="preserve">sexe, </w:t>
      </w:r>
      <w:r>
        <w:t xml:space="preserve">à la </w:t>
      </w:r>
      <w:r w:rsidRPr="00ED400F">
        <w:t xml:space="preserve">langue, </w:t>
      </w:r>
      <w:r>
        <w:t xml:space="preserve">à la </w:t>
      </w:r>
      <w:r w:rsidRPr="00ED400F">
        <w:t xml:space="preserve">religion, </w:t>
      </w:r>
      <w:r>
        <w:t xml:space="preserve">aux </w:t>
      </w:r>
      <w:r w:rsidRPr="00ED400F">
        <w:t xml:space="preserve">convictions politiques ou autres, </w:t>
      </w:r>
      <w:r>
        <w:t>à l’</w:t>
      </w:r>
      <w:r w:rsidRPr="00ED400F">
        <w:t xml:space="preserve">origine nationale ou sociale, </w:t>
      </w:r>
      <w:r>
        <w:t>au patrimoine</w:t>
      </w:r>
      <w:r w:rsidRPr="00ED400F">
        <w:t xml:space="preserve">, </w:t>
      </w:r>
      <w:r>
        <w:t xml:space="preserve">à la </w:t>
      </w:r>
      <w:r w:rsidRPr="00ED400F">
        <w:t xml:space="preserve">naissance, </w:t>
      </w:r>
      <w:r>
        <w:t xml:space="preserve">à la </w:t>
      </w:r>
      <w:r w:rsidRPr="00ED400F">
        <w:t xml:space="preserve">position sociale </w:t>
      </w:r>
      <w:r>
        <w:t xml:space="preserve">ou au </w:t>
      </w:r>
      <w:r w:rsidRPr="00ED400F">
        <w:t>handicap</w:t>
      </w:r>
      <w:r>
        <w:t>.</w:t>
      </w:r>
    </w:p>
    <w:p w14:paraId="09768D55" w14:textId="77777777" w:rsidR="000C1192" w:rsidRPr="00ED400F" w:rsidRDefault="000C1192" w:rsidP="000C1192">
      <w:pPr>
        <w:pStyle w:val="SingleTxtG"/>
      </w:pPr>
      <w:r w:rsidRPr="003C1E4F">
        <w:t>245.</w:t>
      </w:r>
      <w:r w:rsidRPr="003C1E4F">
        <w:tab/>
        <w:t>Depuis plus de trente ans, la législation favorise l</w:t>
      </w:r>
      <w:r>
        <w:t>’</w:t>
      </w:r>
      <w:r w:rsidRPr="003C1E4F">
        <w:t xml:space="preserve">intégration des enfants ayant des besoins éducatifs spéciaux dans le système éducatif ordinaire. </w:t>
      </w:r>
      <w:r w:rsidRPr="00ED400F">
        <w:t xml:space="preserve">Une attention particulière est accordée aux enfants surdoués, aux enfants ayant des besoins éducatifs spéciaux, aux enfants ayant des </w:t>
      </w:r>
      <w:r>
        <w:t>difficultés</w:t>
      </w:r>
      <w:r w:rsidRPr="00ED400F">
        <w:t xml:space="preserve"> de comportement et aux enfants </w:t>
      </w:r>
      <w:r>
        <w:t xml:space="preserve">élevés dans </w:t>
      </w:r>
      <w:r w:rsidRPr="00ED400F">
        <w:t>différentes</w:t>
      </w:r>
      <w:r>
        <w:t xml:space="preserve"> situations à risque</w:t>
      </w:r>
      <w:r w:rsidRPr="00ED400F">
        <w:t>.</w:t>
      </w:r>
    </w:p>
    <w:p w14:paraId="2418B45F" w14:textId="28BA7F0E" w:rsidR="000C1192" w:rsidRPr="00A80111" w:rsidRDefault="000C1192" w:rsidP="000C1192">
      <w:pPr>
        <w:pStyle w:val="SingleTxtG"/>
        <w:rPr>
          <w:rStyle w:val="Appelnotedebasdep"/>
          <w:color w:val="000000" w:themeColor="text1"/>
        </w:rPr>
      </w:pPr>
      <w:r w:rsidRPr="00653FF6">
        <w:t>246.</w:t>
      </w:r>
      <w:r w:rsidRPr="00653FF6">
        <w:tab/>
        <w:t>Le droit</w:t>
      </w:r>
      <w:r w:rsidRPr="00A80111">
        <w:t xml:space="preserve"> de s</w:t>
      </w:r>
      <w:r>
        <w:t>’</w:t>
      </w:r>
      <w:r w:rsidRPr="00A80111">
        <w:t>inscrire en première année de deuxième cycle du secondaire est accordé aux élèves qui ont 17</w:t>
      </w:r>
      <w:r w:rsidR="00DA2080">
        <w:t> </w:t>
      </w:r>
      <w:r w:rsidRPr="00A80111">
        <w:t>ans au début de l</w:t>
      </w:r>
      <w:r>
        <w:t>’</w:t>
      </w:r>
      <w:r w:rsidRPr="00A80111">
        <w:t>année scolaire de le</w:t>
      </w:r>
      <w:r>
        <w:t>ur inscription</w:t>
      </w:r>
      <w:r w:rsidRPr="00535E17">
        <w:rPr>
          <w:rStyle w:val="Appelnotedebasdep"/>
        </w:rPr>
        <w:footnoteReference w:id="74"/>
      </w:r>
      <w:r>
        <w:t>.</w:t>
      </w:r>
    </w:p>
    <w:p w14:paraId="62CC66B8" w14:textId="77777777" w:rsidR="000C1192" w:rsidRPr="00B97C2F" w:rsidRDefault="000C1192" w:rsidP="000C1192">
      <w:pPr>
        <w:pStyle w:val="SingleTxtG"/>
      </w:pPr>
      <w:r w:rsidRPr="00B97C2F">
        <w:t>247.</w:t>
      </w:r>
      <w:r w:rsidRPr="00B97C2F">
        <w:tab/>
        <w:t>Le M</w:t>
      </w:r>
      <w:r>
        <w:t xml:space="preserve">inistère des sciences et de l’éducation </w:t>
      </w:r>
      <w:r w:rsidRPr="00B97C2F">
        <w:t>garantit le droit à l</w:t>
      </w:r>
      <w:r>
        <w:t>’</w:t>
      </w:r>
      <w:r w:rsidRPr="00B97C2F">
        <w:t xml:space="preserve">éducation des étudiants handicapés qui fréquentent des établissements ordinaires ou spéciaux et </w:t>
      </w:r>
      <w:r>
        <w:t xml:space="preserve">leur assure une aide </w:t>
      </w:r>
      <w:r w:rsidRPr="00B97C2F">
        <w:t>professionnel</w:t>
      </w:r>
      <w:r>
        <w:t>le</w:t>
      </w:r>
      <w:r w:rsidRPr="00B97C2F">
        <w:t>, programmatique et matériel</w:t>
      </w:r>
      <w:r>
        <w:t>le</w:t>
      </w:r>
      <w:r w:rsidRPr="00B97C2F">
        <w:t xml:space="preserve"> </w:t>
      </w:r>
      <w:r>
        <w:t xml:space="preserve">afin d’égaliser leurs chances de participer pleinement </w:t>
      </w:r>
      <w:r w:rsidRPr="00B97C2F">
        <w:t xml:space="preserve">à la vie </w:t>
      </w:r>
      <w:r>
        <w:t>collective</w:t>
      </w:r>
      <w:r w:rsidRPr="00B97C2F">
        <w:t>.</w:t>
      </w:r>
    </w:p>
    <w:p w14:paraId="568D8240" w14:textId="1C623AFB" w:rsidR="000C1192" w:rsidRPr="00B97C2F" w:rsidRDefault="000C1192" w:rsidP="000C1192">
      <w:pPr>
        <w:pStyle w:val="SingleTxtG"/>
      </w:pPr>
      <w:r w:rsidRPr="004E5A90">
        <w:t>248.</w:t>
      </w:r>
      <w:r w:rsidRPr="004E5A90">
        <w:tab/>
        <w:t>Conformément à l</w:t>
      </w:r>
      <w:r>
        <w:t>’</w:t>
      </w:r>
      <w:r w:rsidR="00A858B3">
        <w:t>article </w:t>
      </w:r>
      <w:r w:rsidRPr="00B97C2F">
        <w:t>42 de l</w:t>
      </w:r>
      <w:r>
        <w:t xml:space="preserve">a loi sur l’enseignement primaire et secondaire et aux indications figurant dans le dossier médical et </w:t>
      </w:r>
      <w:r w:rsidRPr="00B97C2F">
        <w:t xml:space="preserve">pédagogique </w:t>
      </w:r>
      <w:r>
        <w:t>qui a été transmis</w:t>
      </w:r>
      <w:r w:rsidRPr="00B97C2F">
        <w:t xml:space="preserve">, le </w:t>
      </w:r>
      <w:r>
        <w:t>M</w:t>
      </w:r>
      <w:r w:rsidRPr="00B97C2F">
        <w:t>inistère de</w:t>
      </w:r>
      <w:r>
        <w:t>s sciences et de</w:t>
      </w:r>
      <w:r w:rsidRPr="00B97C2F">
        <w:t xml:space="preserve"> l</w:t>
      </w:r>
      <w:r>
        <w:t>’é</w:t>
      </w:r>
      <w:r w:rsidRPr="00B97C2F">
        <w:t xml:space="preserve">ducation </w:t>
      </w:r>
      <w:r>
        <w:t>veille à</w:t>
      </w:r>
      <w:r w:rsidRPr="00B97C2F">
        <w:t xml:space="preserve"> la mise en </w:t>
      </w:r>
      <w:r>
        <w:t xml:space="preserve">place d’un </w:t>
      </w:r>
      <w:r w:rsidRPr="00B97C2F">
        <w:t>enseignement à domicile/apprentissage à distance pour les élèves qui ne peuvent fréquenter l</w:t>
      </w:r>
      <w:r>
        <w:t>’</w:t>
      </w:r>
      <w:r w:rsidRPr="00B97C2F">
        <w:t>école en raison de difficultés motrices majeures ou de maladies chroniques</w:t>
      </w:r>
      <w:r>
        <w:t>.</w:t>
      </w:r>
    </w:p>
    <w:p w14:paraId="0DCAB030" w14:textId="77777777" w:rsidR="000C1192" w:rsidRPr="00B97C2F" w:rsidRDefault="000C1192" w:rsidP="000C1192">
      <w:pPr>
        <w:pStyle w:val="SingleTxtG"/>
      </w:pPr>
      <w:r w:rsidRPr="003451E5">
        <w:t>249.</w:t>
      </w:r>
      <w:r w:rsidRPr="003451E5">
        <w:tab/>
      </w:r>
      <w:r w:rsidRPr="00B97C2F">
        <w:t xml:space="preserve">Après </w:t>
      </w:r>
      <w:r>
        <w:t xml:space="preserve">que </w:t>
      </w:r>
      <w:r w:rsidRPr="00B97C2F">
        <w:t xml:space="preserve">la nécessité de promouvoir une éducation inclusive et de </w:t>
      </w:r>
      <w:r>
        <w:t xml:space="preserve">porter directement assistance </w:t>
      </w:r>
      <w:r w:rsidRPr="00B97C2F">
        <w:t xml:space="preserve">aux </w:t>
      </w:r>
      <w:r>
        <w:t xml:space="preserve">élèves </w:t>
      </w:r>
      <w:r w:rsidRPr="00B97C2F">
        <w:t>handicapés</w:t>
      </w:r>
      <w:r>
        <w:t xml:space="preserve"> a été reconnue, des postes d’assistants pédagogiques ont été créés dans les écoles de </w:t>
      </w:r>
      <w:r w:rsidRPr="00B97C2F">
        <w:t>2005 à 2007</w:t>
      </w:r>
      <w:r>
        <w:t xml:space="preserve"> au moyen </w:t>
      </w:r>
      <w:r w:rsidRPr="00B97C2F">
        <w:t>de projets d</w:t>
      </w:r>
      <w:r>
        <w:t>’</w:t>
      </w:r>
      <w:r w:rsidRPr="00B97C2F">
        <w:t xml:space="preserve">ONG, de </w:t>
      </w:r>
      <w:r>
        <w:t xml:space="preserve">projets au niveau local et de concours financiers </w:t>
      </w:r>
      <w:r w:rsidRPr="00B97C2F">
        <w:t xml:space="preserve">des parents. Depuis 2013, le </w:t>
      </w:r>
      <w:r>
        <w:t xml:space="preserve">Ministère des sciences et de l’éducation </w:t>
      </w:r>
      <w:r w:rsidRPr="00B97C2F">
        <w:t>prend en charge le financement des projets d</w:t>
      </w:r>
      <w:r>
        <w:t>’</w:t>
      </w:r>
      <w:r w:rsidRPr="00B97C2F">
        <w:t xml:space="preserve">ONG qui </w:t>
      </w:r>
      <w:r>
        <w:t xml:space="preserve">assurent </w:t>
      </w:r>
      <w:r w:rsidRPr="00B97C2F">
        <w:t>des services d</w:t>
      </w:r>
      <w:r>
        <w:t>’</w:t>
      </w:r>
      <w:r w:rsidRPr="00B97C2F">
        <w:t>assistance pédagogique aux étudiants handicapés.</w:t>
      </w:r>
    </w:p>
    <w:p w14:paraId="33D5DA3C" w14:textId="0CF5DF33" w:rsidR="000C1192" w:rsidRPr="00B97C2F" w:rsidRDefault="000C1192" w:rsidP="000C1192">
      <w:pPr>
        <w:pStyle w:val="SingleTxtG"/>
      </w:pPr>
      <w:r w:rsidRPr="007E622A">
        <w:t>250.</w:t>
      </w:r>
      <w:r w:rsidRPr="007E622A">
        <w:tab/>
        <w:t>Les indicateurs témoignent d</w:t>
      </w:r>
      <w:r>
        <w:t>’</w:t>
      </w:r>
      <w:r w:rsidRPr="007E622A">
        <w:t xml:space="preserve">un système bien développé. </w:t>
      </w:r>
      <w:r w:rsidRPr="00B97C2F">
        <w:t>Le taux d</w:t>
      </w:r>
      <w:r>
        <w:t>’</w:t>
      </w:r>
      <w:r w:rsidRPr="00B97C2F">
        <w:t xml:space="preserve">abandon scolaire </w:t>
      </w:r>
      <w:r>
        <w:t xml:space="preserve">précoce, qui </w:t>
      </w:r>
      <w:r w:rsidRPr="00B97C2F">
        <w:t>était de 5,2</w:t>
      </w:r>
      <w:r w:rsidR="00DA2080">
        <w:t> </w:t>
      </w:r>
      <w:r w:rsidRPr="00B97C2F">
        <w:t xml:space="preserve">% </w:t>
      </w:r>
      <w:r>
        <w:t xml:space="preserve">dans le pays </w:t>
      </w:r>
      <w:r w:rsidRPr="00B97C2F">
        <w:t>en 2009</w:t>
      </w:r>
      <w:r>
        <w:t xml:space="preserve">, n’atteignait plus que </w:t>
      </w:r>
      <w:r w:rsidRPr="00B97C2F">
        <w:t>3</w:t>
      </w:r>
      <w:r w:rsidR="00DA2080">
        <w:t> </w:t>
      </w:r>
      <w:r w:rsidRPr="00B97C2F">
        <w:t xml:space="preserve">% </w:t>
      </w:r>
      <w:r>
        <w:t xml:space="preserve">en </w:t>
      </w:r>
      <w:r w:rsidRPr="00B97C2F">
        <w:t xml:space="preserve">2019, </w:t>
      </w:r>
      <w:r>
        <w:t xml:space="preserve">ce qui est </w:t>
      </w:r>
      <w:r w:rsidRPr="00B97C2F">
        <w:t>le taux le plus bas de l</w:t>
      </w:r>
      <w:r>
        <w:t>’</w:t>
      </w:r>
      <w:r w:rsidRPr="00B97C2F">
        <w:t>UE (la moyenne de l</w:t>
      </w:r>
      <w:r>
        <w:t>’</w:t>
      </w:r>
      <w:r w:rsidRPr="00B97C2F">
        <w:t xml:space="preserve">UE-27 </w:t>
      </w:r>
      <w:r>
        <w:t xml:space="preserve">étant </w:t>
      </w:r>
      <w:r w:rsidRPr="00B97C2F">
        <w:t>de 10,2</w:t>
      </w:r>
      <w:r w:rsidR="00DA2080">
        <w:t> </w:t>
      </w:r>
      <w:r w:rsidRPr="00B97C2F">
        <w:t>%).</w:t>
      </w:r>
    </w:p>
    <w:p w14:paraId="2E21FD80" w14:textId="0A5B26C2" w:rsidR="000C1192" w:rsidRPr="0056488A" w:rsidRDefault="000C1192" w:rsidP="00DA2080">
      <w:pPr>
        <w:pStyle w:val="H1G"/>
      </w:pPr>
      <w:r w:rsidRPr="00B97C2F">
        <w:tab/>
      </w:r>
      <w:r w:rsidRPr="00B97C2F">
        <w:tab/>
      </w:r>
      <w:r w:rsidR="00A858B3">
        <w:t>Article </w:t>
      </w:r>
      <w:r w:rsidRPr="0056488A">
        <w:t>14</w:t>
      </w:r>
    </w:p>
    <w:p w14:paraId="6906D8D6" w14:textId="3E1B0045" w:rsidR="000C1192" w:rsidRPr="00CC6A11" w:rsidRDefault="000C1192" w:rsidP="000C1192">
      <w:pPr>
        <w:pStyle w:val="SingleTxtG"/>
      </w:pPr>
      <w:r w:rsidRPr="00CC6A11">
        <w:t>251.</w:t>
      </w:r>
      <w:r w:rsidRPr="00CC6A11">
        <w:tab/>
        <w:t>L</w:t>
      </w:r>
      <w:r>
        <w:t>’</w:t>
      </w:r>
      <w:r w:rsidRPr="00CC6A11">
        <w:t>enseignement primaire, d</w:t>
      </w:r>
      <w:r>
        <w:t>’</w:t>
      </w:r>
      <w:r w:rsidRPr="00CC6A11">
        <w:t xml:space="preserve">une durée de huit ans, est obligatoire et gratuit pour tous les enfants âgés de </w:t>
      </w:r>
      <w:r w:rsidR="00382448">
        <w:t>6</w:t>
      </w:r>
      <w:r w:rsidRPr="00CC6A11">
        <w:t xml:space="preserve"> à </w:t>
      </w:r>
      <w:r w:rsidR="00382448">
        <w:t>15 </w:t>
      </w:r>
      <w:r w:rsidRPr="00CC6A11">
        <w:t>ans.</w:t>
      </w:r>
    </w:p>
    <w:p w14:paraId="46B97291" w14:textId="77777777" w:rsidR="000C1192" w:rsidRPr="007E622A" w:rsidRDefault="000C1192" w:rsidP="000C1192">
      <w:pPr>
        <w:pStyle w:val="SingleTxtG"/>
      </w:pPr>
      <w:r w:rsidRPr="007E622A">
        <w:t>252.</w:t>
      </w:r>
      <w:r w:rsidRPr="007E622A">
        <w:tab/>
        <w:t>L</w:t>
      </w:r>
      <w:r>
        <w:t>’</w:t>
      </w:r>
      <w:r w:rsidRPr="007E622A">
        <w:t xml:space="preserve">enseignement secondaire permet à chacun, dans </w:t>
      </w:r>
      <w:r>
        <w:t xml:space="preserve">les mêmes </w:t>
      </w:r>
      <w:r w:rsidRPr="007E622A">
        <w:t xml:space="preserve">conditions et </w:t>
      </w:r>
      <w:r>
        <w:t xml:space="preserve">selon </w:t>
      </w:r>
      <w:r w:rsidRPr="007E622A">
        <w:t xml:space="preserve">ses capacités, après avoir </w:t>
      </w:r>
      <w:r>
        <w:t xml:space="preserve">achevé </w:t>
      </w:r>
      <w:r w:rsidRPr="007E622A">
        <w:t>l</w:t>
      </w:r>
      <w:r>
        <w:t>’</w:t>
      </w:r>
      <w:r w:rsidRPr="007E622A">
        <w:t>enseignement primaire, d</w:t>
      </w:r>
      <w:r>
        <w:t>’</w:t>
      </w:r>
      <w:r w:rsidRPr="007E622A">
        <w:t xml:space="preserve">acquérir </w:t>
      </w:r>
      <w:r>
        <w:t xml:space="preserve">des </w:t>
      </w:r>
      <w:r w:rsidRPr="007E622A">
        <w:t xml:space="preserve">compétences </w:t>
      </w:r>
      <w:r>
        <w:t xml:space="preserve">pour entrer </w:t>
      </w:r>
      <w:r w:rsidRPr="007E622A">
        <w:t xml:space="preserve">sur le marché du travail et de poursuivre </w:t>
      </w:r>
      <w:r>
        <w:t xml:space="preserve">ses études dans un établissement </w:t>
      </w:r>
      <w:r w:rsidRPr="007E622A">
        <w:t>d</w:t>
      </w:r>
      <w:r>
        <w:t>’</w:t>
      </w:r>
      <w:r w:rsidRPr="007E622A">
        <w:t>enseignement supérieur.</w:t>
      </w:r>
    </w:p>
    <w:p w14:paraId="536D02EF" w14:textId="720FD6C2" w:rsidR="000C1192" w:rsidRPr="0056488A" w:rsidRDefault="000C1192" w:rsidP="00DA2080">
      <w:pPr>
        <w:pStyle w:val="H1G"/>
      </w:pPr>
      <w:r w:rsidRPr="007E622A">
        <w:lastRenderedPageBreak/>
        <w:tab/>
      </w:r>
      <w:r w:rsidRPr="007E622A">
        <w:tab/>
      </w:r>
      <w:r w:rsidR="00A858B3">
        <w:t>Article </w:t>
      </w:r>
      <w:r w:rsidRPr="0056488A">
        <w:t>15</w:t>
      </w:r>
    </w:p>
    <w:p w14:paraId="181677FF" w14:textId="4F8EFFDC" w:rsidR="000C1192" w:rsidRPr="00E7021B" w:rsidRDefault="000C1192" w:rsidP="000C1192">
      <w:pPr>
        <w:pStyle w:val="SingleTxtG"/>
        <w:rPr>
          <w:rStyle w:val="Appelnotedebasdep"/>
          <w:color w:val="000000" w:themeColor="text1"/>
        </w:rPr>
      </w:pPr>
      <w:r w:rsidRPr="00CA6060">
        <w:t>253.</w:t>
      </w:r>
      <w:r w:rsidRPr="00CA6060">
        <w:tab/>
        <w:t>Des infrastructures institutionnelles sont en place pour améliorer l’accès à la culture : centres culturels, musées, bibliothèques, archives, galeries, théâtres publics et privés, autres institutions culturelles publiques, associations culturelles, organisations artistiques, etc. Leur activité est cofinancée au niveau des collectivités locales et régionales autonomes. Des fonds destinés aux programmes des bibliothèques, des musées et des théâtres professionnels, à la musique</w:t>
      </w:r>
      <w:r w:rsidRPr="00E7021B">
        <w:t xml:space="preserve">, </w:t>
      </w:r>
      <w:r>
        <w:t xml:space="preserve">aux </w:t>
      </w:r>
      <w:r w:rsidRPr="00E7021B">
        <w:t xml:space="preserve">arts de la scène et </w:t>
      </w:r>
      <w:r>
        <w:t xml:space="preserve">à </w:t>
      </w:r>
      <w:r w:rsidRPr="00E7021B">
        <w:t xml:space="preserve">la danse, </w:t>
      </w:r>
      <w:r>
        <w:t xml:space="preserve">aux </w:t>
      </w:r>
      <w:r w:rsidRPr="00E7021B">
        <w:t xml:space="preserve">arts visuels, </w:t>
      </w:r>
      <w:r>
        <w:t xml:space="preserve">aux </w:t>
      </w:r>
      <w:r w:rsidRPr="00E7021B">
        <w:t xml:space="preserve">pratiques artistiques et culturelles innovantes et </w:t>
      </w:r>
      <w:r>
        <w:t xml:space="preserve">à la pratique </w:t>
      </w:r>
      <w:r w:rsidRPr="00E7021B">
        <w:t>culturel</w:t>
      </w:r>
      <w:r>
        <w:t>le</w:t>
      </w:r>
      <w:r w:rsidRPr="00E7021B">
        <w:t>, artistique et dramatique</w:t>
      </w:r>
      <w:r>
        <w:t xml:space="preserve"> en amateur</w:t>
      </w:r>
      <w:r w:rsidRPr="00E7021B">
        <w:t xml:space="preserve"> sont </w:t>
      </w:r>
      <w:r>
        <w:t xml:space="preserve">aussi inscrits au </w:t>
      </w:r>
      <w:r w:rsidRPr="00E7021B">
        <w:t>budget de l</w:t>
      </w:r>
      <w:r>
        <w:t>’</w:t>
      </w:r>
      <w:r w:rsidRPr="00E7021B">
        <w:t>État</w:t>
      </w:r>
      <w:r w:rsidRPr="00535E17">
        <w:rPr>
          <w:rStyle w:val="Appelnotedebasdep"/>
        </w:rPr>
        <w:footnoteReference w:id="75"/>
      </w:r>
      <w:r w:rsidRPr="00E7021B">
        <w:t xml:space="preserve">. Sur </w:t>
      </w:r>
      <w:r>
        <w:t>demande</w:t>
      </w:r>
      <w:r w:rsidRPr="00E7021B">
        <w:t>, le</w:t>
      </w:r>
      <w:r>
        <w:t xml:space="preserve"> Ministère de la culture et des médias peut mettre à disposition </w:t>
      </w:r>
      <w:r w:rsidRPr="00E7021B">
        <w:t>des fonds permett</w:t>
      </w:r>
      <w:r>
        <w:t>a</w:t>
      </w:r>
      <w:r w:rsidRPr="00E7021B">
        <w:t xml:space="preserve">nt à tous les citoyens de la </w:t>
      </w:r>
      <w:r>
        <w:t xml:space="preserve">République de Croatie </w:t>
      </w:r>
      <w:r w:rsidRPr="00E7021B">
        <w:t>d</w:t>
      </w:r>
      <w:r>
        <w:t>’</w:t>
      </w:r>
      <w:r w:rsidRPr="00E7021B">
        <w:t>accéder gratuitement ou à un prix très abordable à une grande quantité d</w:t>
      </w:r>
      <w:r>
        <w:t>’</w:t>
      </w:r>
      <w:r w:rsidRPr="00E7021B">
        <w:t>informations et de contenus culturels, artistiques et éducatifs dans tous les domaines de la culture et de l</w:t>
      </w:r>
      <w:r>
        <w:t>’</w:t>
      </w:r>
      <w:r w:rsidRPr="00E7021B">
        <w:t>art</w:t>
      </w:r>
      <w:r w:rsidRPr="00535E17">
        <w:rPr>
          <w:rStyle w:val="Appelnotedebasdep"/>
        </w:rPr>
        <w:footnoteReference w:id="76"/>
      </w:r>
      <w:r w:rsidRPr="00E7021B">
        <w:t>.</w:t>
      </w:r>
    </w:p>
    <w:p w14:paraId="31063E11" w14:textId="77777777" w:rsidR="000C1192" w:rsidRPr="008A4817" w:rsidRDefault="000C1192" w:rsidP="000C1192">
      <w:pPr>
        <w:pStyle w:val="SingleTxtG"/>
        <w:rPr>
          <w:rStyle w:val="Appelnotedebasdep"/>
          <w:color w:val="000000" w:themeColor="text1"/>
        </w:rPr>
      </w:pPr>
      <w:r w:rsidRPr="00CA6060">
        <w:t>254.</w:t>
      </w:r>
      <w:r w:rsidRPr="00CA6060">
        <w:tab/>
        <w:t xml:space="preserve">Conformément à la loi sur les théâtres (2006), le Ministère de la culture et des </w:t>
      </w:r>
      <w:proofErr w:type="spellStart"/>
      <w:r w:rsidRPr="00CA6060">
        <w:t>médias</w:t>
      </w:r>
      <w:proofErr w:type="spellEnd"/>
      <w:r w:rsidRPr="00CA6060">
        <w:t xml:space="preserve"> soutient le lancement de</w:t>
      </w:r>
      <w:r w:rsidRPr="008A4817">
        <w:t xml:space="preserve"> productions professionnelles permanentes et la création </w:t>
      </w:r>
      <w:r>
        <w:t xml:space="preserve">de troupes </w:t>
      </w:r>
      <w:r w:rsidRPr="008A4817">
        <w:t>théâtr</w:t>
      </w:r>
      <w:r>
        <w:t>ales</w:t>
      </w:r>
      <w:r w:rsidRPr="008A4817">
        <w:t xml:space="preserve"> professionnel</w:t>
      </w:r>
      <w:r>
        <w:t>le</w:t>
      </w:r>
      <w:r w:rsidRPr="008A4817">
        <w:t>s permanent</w:t>
      </w:r>
      <w:r>
        <w:t>e</w:t>
      </w:r>
      <w:r w:rsidRPr="008A4817">
        <w:t xml:space="preserve">s dans les centres </w:t>
      </w:r>
      <w:r>
        <w:t>plus modestes des régions,</w:t>
      </w:r>
      <w:r w:rsidRPr="008A4817">
        <w:t xml:space="preserve"> où les théâtres professionnels ont été supprimés dans les années 1960</w:t>
      </w:r>
      <w:r w:rsidRPr="00535E17">
        <w:rPr>
          <w:rStyle w:val="Appelnotedebasdep"/>
        </w:rPr>
        <w:footnoteReference w:id="77"/>
      </w:r>
      <w:r w:rsidRPr="008A4817">
        <w:t>.</w:t>
      </w:r>
    </w:p>
    <w:p w14:paraId="5787D024" w14:textId="7C2997EF" w:rsidR="000C1192" w:rsidRPr="007B006B" w:rsidRDefault="000C1192" w:rsidP="000C1192">
      <w:pPr>
        <w:pStyle w:val="SingleTxtG"/>
      </w:pPr>
      <w:r w:rsidRPr="00DC0C87">
        <w:t>255.</w:t>
      </w:r>
      <w:r w:rsidRPr="00DC0C87">
        <w:tab/>
      </w:r>
      <w:r w:rsidRPr="0096448C">
        <w:t>L</w:t>
      </w:r>
      <w:r>
        <w:t>’</w:t>
      </w:r>
      <w:r w:rsidRPr="0096448C">
        <w:t xml:space="preserve">infrastructure culturelle </w:t>
      </w:r>
      <w:r>
        <w:t>de la</w:t>
      </w:r>
      <w:r w:rsidRPr="0096448C">
        <w:t xml:space="preserve"> </w:t>
      </w:r>
      <w:r>
        <w:t xml:space="preserve">République de Croatie </w:t>
      </w:r>
      <w:r w:rsidRPr="0096448C">
        <w:t xml:space="preserve">consiste en un système </w:t>
      </w:r>
      <w:r>
        <w:t xml:space="preserve">muséal de </w:t>
      </w:r>
      <w:r w:rsidRPr="0096448C">
        <w:t>162</w:t>
      </w:r>
      <w:r w:rsidR="00DA2080">
        <w:t> </w:t>
      </w:r>
      <w:r>
        <w:t xml:space="preserve">institutions </w:t>
      </w:r>
      <w:r w:rsidRPr="0096448C">
        <w:t>enregistré</w:t>
      </w:r>
      <w:r>
        <w:t>e</w:t>
      </w:r>
      <w:r w:rsidRPr="0096448C">
        <w:t xml:space="preserve">s pour exercer des activités réglementées par </w:t>
      </w:r>
      <w:r>
        <w:t>la loi sur les musées</w:t>
      </w:r>
      <w:r w:rsidRPr="0096448C">
        <w:t xml:space="preserve">. </w:t>
      </w:r>
      <w:r w:rsidRPr="007B006B">
        <w:t>La liste</w:t>
      </w:r>
      <w:r>
        <w:t xml:space="preserve"> de ces institutions, appelée « r</w:t>
      </w:r>
      <w:r w:rsidRPr="007B006B">
        <w:t xml:space="preserve">egistre des musées publics et privés de la </w:t>
      </w:r>
      <w:r>
        <w:t xml:space="preserve">République de Croatie », </w:t>
      </w:r>
      <w:r w:rsidRPr="007B006B">
        <w:t>est conservée au Centre de documentation des musées. L</w:t>
      </w:r>
      <w:r>
        <w:t>’</w:t>
      </w:r>
      <w:r w:rsidRPr="007B006B">
        <w:t xml:space="preserve">entrée dans les musées est gratuite pour tous les visiteurs </w:t>
      </w:r>
      <w:r>
        <w:t xml:space="preserve">à l’occasion de certaines manifestations et </w:t>
      </w:r>
      <w:r w:rsidRPr="007B006B">
        <w:t>certain</w:t>
      </w:r>
      <w:r>
        <w:t>s</w:t>
      </w:r>
      <w:r w:rsidRPr="007B006B">
        <w:t xml:space="preserve"> jour</w:t>
      </w:r>
      <w:r>
        <w:t>s</w:t>
      </w:r>
      <w:r w:rsidRPr="007B006B">
        <w:t xml:space="preserve"> du mois</w:t>
      </w:r>
      <w:r>
        <w:t xml:space="preserve"> ; </w:t>
      </w:r>
      <w:r w:rsidRPr="007B006B">
        <w:t>1</w:t>
      </w:r>
      <w:r w:rsidR="00DA2080">
        <w:t> </w:t>
      </w:r>
      <w:r w:rsidRPr="007B006B">
        <w:t>535</w:t>
      </w:r>
      <w:r w:rsidR="00DA2080">
        <w:t> </w:t>
      </w:r>
      <w:r w:rsidRPr="007B006B">
        <w:t>339</w:t>
      </w:r>
      <w:r w:rsidR="00DA2080">
        <w:t> </w:t>
      </w:r>
      <w:r w:rsidRPr="007B006B">
        <w:t xml:space="preserve">visites </w:t>
      </w:r>
      <w:r>
        <w:t xml:space="preserve">de musée </w:t>
      </w:r>
      <w:r w:rsidRPr="007B006B">
        <w:t>gratuites ont été enregistrées</w:t>
      </w:r>
      <w:r>
        <w:t xml:space="preserve"> </w:t>
      </w:r>
      <w:r w:rsidRPr="007B006B">
        <w:t xml:space="preserve">en 2019 sur </w:t>
      </w:r>
      <w:r>
        <w:t xml:space="preserve">un total </w:t>
      </w:r>
      <w:r w:rsidRPr="007B006B">
        <w:t>5</w:t>
      </w:r>
      <w:r w:rsidR="00DA2080">
        <w:t> </w:t>
      </w:r>
      <w:r w:rsidRPr="007B006B">
        <w:t>235</w:t>
      </w:r>
      <w:r w:rsidR="00DA2080">
        <w:t> </w:t>
      </w:r>
      <w:r w:rsidRPr="007B006B">
        <w:t>765</w:t>
      </w:r>
      <w:r w:rsidR="00DA2080">
        <w:t> </w:t>
      </w:r>
      <w:r w:rsidRPr="007B006B">
        <w:t>visites (</w:t>
      </w:r>
      <w:r>
        <w:t xml:space="preserve">soit </w:t>
      </w:r>
      <w:r w:rsidRPr="007B006B">
        <w:t xml:space="preserve">près </w:t>
      </w:r>
      <w:r>
        <w:t>d’un tiers du total</w:t>
      </w:r>
      <w:r w:rsidRPr="007B006B">
        <w:t>).</w:t>
      </w:r>
    </w:p>
    <w:p w14:paraId="1048D73D" w14:textId="03AA2F48" w:rsidR="000C1192" w:rsidRPr="00B77670" w:rsidRDefault="000C1192" w:rsidP="000C1192">
      <w:pPr>
        <w:pStyle w:val="SingleTxtG"/>
      </w:pPr>
      <w:r w:rsidRPr="002F6636">
        <w:t>256.</w:t>
      </w:r>
      <w:r w:rsidRPr="002F6636">
        <w:tab/>
        <w:t>L</w:t>
      </w:r>
      <w:r>
        <w:t>’</w:t>
      </w:r>
      <w:r w:rsidRPr="002F6636">
        <w:t xml:space="preserve">infrastructure culturelle la plus développée </w:t>
      </w:r>
      <w:r>
        <w:t xml:space="preserve">du pays </w:t>
      </w:r>
      <w:r w:rsidRPr="002F6636">
        <w:t xml:space="preserve">est </w:t>
      </w:r>
      <w:r>
        <w:t xml:space="preserve">son </w:t>
      </w:r>
      <w:r w:rsidRPr="002F6636">
        <w:t xml:space="preserve">réseau de bibliothèques, qui </w:t>
      </w:r>
      <w:r>
        <w:t xml:space="preserve">forme le </w:t>
      </w:r>
      <w:r w:rsidRPr="002F6636">
        <w:t xml:space="preserve">système de bibliothèques </w:t>
      </w:r>
      <w:r>
        <w:t>spécifique de la République de Croatie</w:t>
      </w:r>
      <w:r w:rsidRPr="002F6636">
        <w:t xml:space="preserve">. </w:t>
      </w:r>
      <w:r>
        <w:t>L</w:t>
      </w:r>
      <w:r w:rsidRPr="002F6636">
        <w:t xml:space="preserve">e registre des bibliothèques, tenu par la Bibliothèque nationale et universitaire de Zagreb, </w:t>
      </w:r>
      <w:r>
        <w:t xml:space="preserve">compte </w:t>
      </w:r>
      <w:r w:rsidRPr="002F6636">
        <w:t>1</w:t>
      </w:r>
      <w:r w:rsidR="00DA2080">
        <w:t> </w:t>
      </w:r>
      <w:r w:rsidRPr="002F6636">
        <w:t>636</w:t>
      </w:r>
      <w:r w:rsidR="00DA2080">
        <w:t> </w:t>
      </w:r>
      <w:r w:rsidRPr="002F6636">
        <w:t xml:space="preserve">bibliothèques </w:t>
      </w:r>
      <w:r>
        <w:t xml:space="preserve">inscrites, </w:t>
      </w:r>
      <w:r w:rsidRPr="002F6636">
        <w:t>publiques, scolaires, d</w:t>
      </w:r>
      <w:r>
        <w:t>’</w:t>
      </w:r>
      <w:r w:rsidRPr="002F6636">
        <w:t xml:space="preserve">enseignement supérieur, universitaires, scientifiques </w:t>
      </w:r>
      <w:r>
        <w:t xml:space="preserve">ou </w:t>
      </w:r>
      <w:r w:rsidRPr="002F6636">
        <w:t>spécial</w:t>
      </w:r>
      <w:r>
        <w:t>isée</w:t>
      </w:r>
      <w:r w:rsidRPr="002F6636">
        <w:t xml:space="preserve">s. </w:t>
      </w:r>
      <w:r w:rsidRPr="00B77670">
        <w:t xml:space="preserve">Les activités des bibliothèques sont </w:t>
      </w:r>
      <w:r>
        <w:t xml:space="preserve">régies </w:t>
      </w:r>
      <w:r w:rsidRPr="00B77670">
        <w:t xml:space="preserve">par </w:t>
      </w:r>
      <w:r>
        <w:t>la loi relative aux bibliothèques et à leurs activités</w:t>
      </w:r>
      <w:r w:rsidRPr="00B77670">
        <w:t>.</w:t>
      </w:r>
    </w:p>
    <w:p w14:paraId="5575F0B0" w14:textId="77777777" w:rsidR="000C1192" w:rsidRPr="002F6636" w:rsidRDefault="000C1192" w:rsidP="000C1192">
      <w:pPr>
        <w:pStyle w:val="SingleTxtG"/>
      </w:pPr>
      <w:r w:rsidRPr="002F6636">
        <w:t>257.</w:t>
      </w:r>
      <w:r w:rsidRPr="002F6636">
        <w:tab/>
        <w:t xml:space="preserve">Le </w:t>
      </w:r>
      <w:r>
        <w:t xml:space="preserve">Ministère de la culture et des médias </w:t>
      </w:r>
      <w:r w:rsidRPr="002F6636">
        <w:t xml:space="preserve">finance les programmes </w:t>
      </w:r>
      <w:r>
        <w:t>de</w:t>
      </w:r>
      <w:r w:rsidRPr="002F6636">
        <w:t xml:space="preserve"> services de</w:t>
      </w:r>
      <w:r>
        <w:t>s</w:t>
      </w:r>
      <w:r w:rsidRPr="002F6636">
        <w:t xml:space="preserve"> bibliothèques qui font partie du réseau </w:t>
      </w:r>
      <w:r>
        <w:t xml:space="preserve">permanent de </w:t>
      </w:r>
      <w:r w:rsidRPr="002F6636">
        <w:t xml:space="preserve">bibliothèques nationales et </w:t>
      </w:r>
      <w:r>
        <w:t xml:space="preserve">répondent à </w:t>
      </w:r>
      <w:r w:rsidRPr="002F6636">
        <w:t xml:space="preserve">un besoin public dans une culture qui contribue aux objectifs stratégiques </w:t>
      </w:r>
      <w:r>
        <w:t xml:space="preserve">fondamentaux </w:t>
      </w:r>
      <w:r w:rsidRPr="002F6636">
        <w:t>de l</w:t>
      </w:r>
      <w:r>
        <w:t>’</w:t>
      </w:r>
      <w:r w:rsidRPr="002F6636">
        <w:t>UE et de la Croatie concernant l</w:t>
      </w:r>
      <w:r>
        <w:t>’</w:t>
      </w:r>
      <w:r w:rsidRPr="002F6636">
        <w:t>inclusion sociale, culturelle et numérique et l</w:t>
      </w:r>
      <w:r>
        <w:t>’</w:t>
      </w:r>
      <w:r w:rsidRPr="002F6636">
        <w:t xml:space="preserve">apprentissage tout au long de la vie, en particulier </w:t>
      </w:r>
      <w:r>
        <w:t xml:space="preserve">des </w:t>
      </w:r>
      <w:r w:rsidRPr="002F6636">
        <w:t xml:space="preserve">enfants et </w:t>
      </w:r>
      <w:r>
        <w:t xml:space="preserve">des </w:t>
      </w:r>
      <w:r w:rsidRPr="002F6636">
        <w:t xml:space="preserve">adultes </w:t>
      </w:r>
      <w:r>
        <w:t xml:space="preserve">des zones </w:t>
      </w:r>
      <w:r w:rsidRPr="002F6636">
        <w:t xml:space="preserve">rurales, </w:t>
      </w:r>
      <w:r>
        <w:t xml:space="preserve">et de ceux </w:t>
      </w:r>
      <w:r w:rsidRPr="002F6636">
        <w:t xml:space="preserve">des grands centres urbains </w:t>
      </w:r>
      <w:r>
        <w:t xml:space="preserve">qui ne disposent pas de bonnes liaisons </w:t>
      </w:r>
      <w:r w:rsidRPr="002F6636">
        <w:t>vers les</w:t>
      </w:r>
      <w:r>
        <w:t xml:space="preserve"> zones </w:t>
      </w:r>
      <w:r w:rsidRPr="002F6636">
        <w:t>voisin</w:t>
      </w:r>
      <w:r>
        <w:t>e</w:t>
      </w:r>
      <w:r w:rsidRPr="002F6636">
        <w:t xml:space="preserve">s </w:t>
      </w:r>
      <w:r>
        <w:t xml:space="preserve">plus </w:t>
      </w:r>
      <w:r w:rsidRPr="002F6636">
        <w:t>développé</w:t>
      </w:r>
      <w:r>
        <w:t>e</w:t>
      </w:r>
      <w:r w:rsidRPr="002F6636">
        <w:t>s.</w:t>
      </w:r>
    </w:p>
    <w:p w14:paraId="289F6C40" w14:textId="519B3EF5" w:rsidR="000C1192" w:rsidRPr="002F6636" w:rsidRDefault="000C1192" w:rsidP="000C1192">
      <w:pPr>
        <w:pStyle w:val="SingleTxtG"/>
      </w:pPr>
      <w:r w:rsidRPr="002F6636">
        <w:t>258.</w:t>
      </w:r>
      <w:r w:rsidRPr="002F6636">
        <w:tab/>
        <w:t>Dans le cadre d</w:t>
      </w:r>
      <w:r>
        <w:t>u Programme opérationnel pour le développement des ressources humaines (</w:t>
      </w:r>
      <w:r w:rsidRPr="002F6636">
        <w:t>2014-2020</w:t>
      </w:r>
      <w:r>
        <w:t>)</w:t>
      </w:r>
      <w:r w:rsidRPr="002F6636">
        <w:t xml:space="preserve"> (</w:t>
      </w:r>
      <w:r>
        <w:t>a</w:t>
      </w:r>
      <w:r w:rsidRPr="002F6636">
        <w:t xml:space="preserve">xe prioritaire 2 </w:t>
      </w:r>
      <w:r w:rsidR="00DA2080">
        <w:t>−</w:t>
      </w:r>
      <w:r w:rsidRPr="002F6636">
        <w:t xml:space="preserve"> </w:t>
      </w:r>
      <w:r>
        <w:t>i</w:t>
      </w:r>
      <w:r w:rsidRPr="002F6636">
        <w:t>nclusion sociale)</w:t>
      </w:r>
      <w:r>
        <w:t>, le Ministère de la culture et des médias a</w:t>
      </w:r>
      <w:r w:rsidRPr="002F6636">
        <w:t xml:space="preserve"> </w:t>
      </w:r>
      <w:r>
        <w:t xml:space="preserve">organisé </w:t>
      </w:r>
      <w:r w:rsidRPr="002F6636">
        <w:t>de 2017 à 2019</w:t>
      </w:r>
      <w:r>
        <w:t xml:space="preserve"> </w:t>
      </w:r>
      <w:r w:rsidRPr="002F6636">
        <w:t xml:space="preserve">des appels </w:t>
      </w:r>
      <w:r>
        <w:t xml:space="preserve">de </w:t>
      </w:r>
      <w:r w:rsidRPr="002F6636">
        <w:t>proposition</w:t>
      </w:r>
      <w:r>
        <w:t>s</w:t>
      </w:r>
      <w:r w:rsidRPr="002F6636">
        <w:t xml:space="preserve"> </w:t>
      </w:r>
      <w:r>
        <w:t>pour les projets « L’a</w:t>
      </w:r>
      <w:r w:rsidRPr="002F6636">
        <w:t xml:space="preserve">rt et </w:t>
      </w:r>
      <w:r>
        <w:t xml:space="preserve">la </w:t>
      </w:r>
      <w:r w:rsidRPr="002F6636">
        <w:t>culture pour la jeunesse</w:t>
      </w:r>
      <w:r>
        <w:t xml:space="preserve"> » </w:t>
      </w:r>
      <w:r w:rsidRPr="002F6636">
        <w:t xml:space="preserve">et </w:t>
      </w:r>
      <w:r>
        <w:t>« L’a</w:t>
      </w:r>
      <w:r w:rsidRPr="002F6636">
        <w:t xml:space="preserve">rt et </w:t>
      </w:r>
      <w:r>
        <w:t xml:space="preserve">la </w:t>
      </w:r>
      <w:r w:rsidRPr="002F6636">
        <w:t xml:space="preserve">culture </w:t>
      </w:r>
      <w:r>
        <w:t xml:space="preserve">pour les plus de </w:t>
      </w:r>
      <w:r w:rsidRPr="002F6636">
        <w:t>54</w:t>
      </w:r>
      <w:r w:rsidR="00DA2080">
        <w:t> </w:t>
      </w:r>
      <w:r>
        <w:t>ans »</w:t>
      </w:r>
      <w:r w:rsidRPr="002F6636">
        <w:t>. L</w:t>
      </w:r>
      <w:r>
        <w:t>’</w:t>
      </w:r>
      <w:r w:rsidRPr="002F6636">
        <w:t xml:space="preserve">appel </w:t>
      </w:r>
      <w:r>
        <w:t>de propositions concernant « L’a</w:t>
      </w:r>
      <w:r w:rsidRPr="002F6636">
        <w:t xml:space="preserve">rt et </w:t>
      </w:r>
      <w:r>
        <w:t xml:space="preserve">la </w:t>
      </w:r>
      <w:r w:rsidRPr="002F6636">
        <w:t>culture pour la jeunesse</w:t>
      </w:r>
      <w:r>
        <w:t xml:space="preserve"> » devait permettre de réaliser des </w:t>
      </w:r>
      <w:r w:rsidRPr="002F6636">
        <w:t>activités artistiques et culturelles participatives pour les jeunes de 15 à 25</w:t>
      </w:r>
      <w:r w:rsidR="00DA2080">
        <w:t> </w:t>
      </w:r>
      <w:r w:rsidRPr="002F6636">
        <w:t xml:space="preserve">ans, en particulier les jeunes défavorisés (personnes handicapées, enfants handicapés, Roms et autres </w:t>
      </w:r>
      <w:r>
        <w:t xml:space="preserve">membres de </w:t>
      </w:r>
      <w:r w:rsidRPr="002F6636">
        <w:t>minorités nationales, chômeurs, y compris les chômeurs de longue durée</w:t>
      </w:r>
      <w:r>
        <w:t>,</w:t>
      </w:r>
      <w:r w:rsidRPr="002F6636">
        <w:t xml:space="preserve"> et </w:t>
      </w:r>
      <w:r w:rsidRPr="002F6636">
        <w:lastRenderedPageBreak/>
        <w:t>jeunes bénéficiaires de l</w:t>
      </w:r>
      <w:r>
        <w:t>’</w:t>
      </w:r>
      <w:r w:rsidRPr="002F6636">
        <w:t>aide sociale). L</w:t>
      </w:r>
      <w:r>
        <w:t>’</w:t>
      </w:r>
      <w:r w:rsidRPr="002F6636">
        <w:t xml:space="preserve">appel </w:t>
      </w:r>
      <w:r>
        <w:t>de propositions concernant « L’a</w:t>
      </w:r>
      <w:r w:rsidRPr="002F6636">
        <w:t xml:space="preserve">rt et </w:t>
      </w:r>
      <w:r>
        <w:t xml:space="preserve">la </w:t>
      </w:r>
      <w:r w:rsidRPr="002F6636">
        <w:t xml:space="preserve">culture </w:t>
      </w:r>
      <w:r>
        <w:t xml:space="preserve">pour les plus de </w:t>
      </w:r>
      <w:r w:rsidRPr="002F6636">
        <w:t>54</w:t>
      </w:r>
      <w:r w:rsidR="00DA2080">
        <w:t> </w:t>
      </w:r>
      <w:r>
        <w:t>ans »</w:t>
      </w:r>
      <w:r w:rsidRPr="002F6636">
        <w:t xml:space="preserve"> a permis </w:t>
      </w:r>
      <w:r>
        <w:t xml:space="preserve">de réaliser des </w:t>
      </w:r>
      <w:r w:rsidRPr="002F6636">
        <w:t xml:space="preserve">activités artistiques et culturelles participatives </w:t>
      </w:r>
      <w:r>
        <w:t xml:space="preserve">orientées vers </w:t>
      </w:r>
      <w:r w:rsidRPr="002F6636">
        <w:t>l</w:t>
      </w:r>
      <w:r>
        <w:t>’</w:t>
      </w:r>
      <w:r w:rsidRPr="002F6636">
        <w:t>inclusion sociale des personnes de plus de 54</w:t>
      </w:r>
      <w:r w:rsidR="00DA2080">
        <w:t> </w:t>
      </w:r>
      <w:r w:rsidRPr="002F6636">
        <w:t xml:space="preserve">ans et </w:t>
      </w:r>
      <w:r>
        <w:t xml:space="preserve">des </w:t>
      </w:r>
      <w:r w:rsidRPr="002F6636">
        <w:t xml:space="preserve">activités de </w:t>
      </w:r>
      <w:r>
        <w:t xml:space="preserve">formation </w:t>
      </w:r>
      <w:r w:rsidRPr="002F6636">
        <w:t>professionnel</w:t>
      </w:r>
      <w:r>
        <w:t>le</w:t>
      </w:r>
      <w:r w:rsidRPr="002F6636">
        <w:t xml:space="preserve"> dans le domaine de l</w:t>
      </w:r>
      <w:r>
        <w:t>’</w:t>
      </w:r>
      <w:r w:rsidRPr="002F6636">
        <w:t>éducation culturelle et artistique</w:t>
      </w:r>
      <w:r>
        <w:t xml:space="preserve">, également orientées vers </w:t>
      </w:r>
      <w:r w:rsidRPr="002F6636">
        <w:t>l</w:t>
      </w:r>
      <w:r>
        <w:t>’</w:t>
      </w:r>
      <w:r w:rsidRPr="002F6636">
        <w:t xml:space="preserve">inclusion sociale </w:t>
      </w:r>
      <w:r>
        <w:t xml:space="preserve">de ces </w:t>
      </w:r>
      <w:r w:rsidRPr="002F6636">
        <w:t xml:space="preserve">personnes. Dans </w:t>
      </w:r>
      <w:r>
        <w:t xml:space="preserve">le cadre des </w:t>
      </w:r>
      <w:r w:rsidRPr="002F6636">
        <w:t>deux appels</w:t>
      </w:r>
      <w:r>
        <w:t xml:space="preserve"> de propositions</w:t>
      </w:r>
      <w:r w:rsidRPr="002F6636">
        <w:t xml:space="preserve">, la participation à </w:t>
      </w:r>
      <w:r>
        <w:t xml:space="preserve">l’ensemble des </w:t>
      </w:r>
      <w:r w:rsidRPr="002F6636">
        <w:t xml:space="preserve">activités était gratuite. Pour </w:t>
      </w:r>
      <w:r>
        <w:t>des</w:t>
      </w:r>
      <w:r w:rsidRPr="002F6636">
        <w:t xml:space="preserve"> données </w:t>
      </w:r>
      <w:r>
        <w:t xml:space="preserve">concernant </w:t>
      </w:r>
      <w:r w:rsidRPr="002F6636">
        <w:t>le</w:t>
      </w:r>
      <w:r>
        <w:t xml:space="preserve"> financement de ces projets, voir a</w:t>
      </w:r>
      <w:r w:rsidRPr="002F6636">
        <w:t>nnexe</w:t>
      </w:r>
      <w:r w:rsidR="00DA2080">
        <w:t> </w:t>
      </w:r>
      <w:r w:rsidRPr="002F6636">
        <w:t xml:space="preserve">2, </w:t>
      </w:r>
      <w:r>
        <w:t>feuille</w:t>
      </w:r>
      <w:r w:rsidR="00DA2080">
        <w:t> </w:t>
      </w:r>
      <w:r w:rsidRPr="002F6636">
        <w:t>15.1.1, tableau</w:t>
      </w:r>
      <w:r w:rsidR="00DA2080">
        <w:t> </w:t>
      </w:r>
      <w:r w:rsidRPr="002F6636">
        <w:t xml:space="preserve">1 </w:t>
      </w:r>
      <w:r>
        <w:t xml:space="preserve">sur les </w:t>
      </w:r>
      <w:r w:rsidRPr="002F6636">
        <w:t xml:space="preserve">investissements </w:t>
      </w:r>
      <w:r>
        <w:t xml:space="preserve">culturels, et tableau 1a, concernant la participation à ces projets. </w:t>
      </w:r>
    </w:p>
    <w:p w14:paraId="0708A4B3" w14:textId="77777777" w:rsidR="000C1192" w:rsidRPr="002F6636" w:rsidRDefault="000C1192" w:rsidP="000C1192">
      <w:pPr>
        <w:pStyle w:val="SingleTxtG"/>
      </w:pPr>
      <w:r w:rsidRPr="002F6636">
        <w:t>259.</w:t>
      </w:r>
      <w:r w:rsidRPr="002F6636">
        <w:tab/>
        <w:t xml:space="preserve">Afin </w:t>
      </w:r>
      <w:r>
        <w:t xml:space="preserve">de garantir </w:t>
      </w:r>
      <w:r w:rsidRPr="002F6636">
        <w:t>le processus de gestion et l</w:t>
      </w:r>
      <w:r>
        <w:t>’</w:t>
      </w:r>
      <w:r w:rsidRPr="002F6636">
        <w:t xml:space="preserve">accès à </w:t>
      </w:r>
      <w:r>
        <w:t xml:space="preserve">une </w:t>
      </w:r>
      <w:r w:rsidRPr="002F6636">
        <w:t xml:space="preserve">information complète sur </w:t>
      </w:r>
      <w:r>
        <w:t>le patrimoine culturel</w:t>
      </w:r>
      <w:r w:rsidRPr="002F6636">
        <w:t xml:space="preserve">, </w:t>
      </w:r>
      <w:r>
        <w:t>le Ministère de la culture et des médias</w:t>
      </w:r>
      <w:r w:rsidRPr="002F6636">
        <w:t xml:space="preserve"> a </w:t>
      </w:r>
      <w:r>
        <w:t xml:space="preserve">mis en place </w:t>
      </w:r>
      <w:r w:rsidRPr="002F6636">
        <w:t>de 2015 à 2019 un système d</w:t>
      </w:r>
      <w:r>
        <w:t>’</w:t>
      </w:r>
      <w:r w:rsidRPr="002F6636">
        <w:t xml:space="preserve">information sur le patrimoine culturel </w:t>
      </w:r>
      <w:r>
        <w:t xml:space="preserve">fondé sur </w:t>
      </w:r>
      <w:r w:rsidRPr="002F6636">
        <w:t xml:space="preserve">une plateforme de réseau unique. Toutes les données sur </w:t>
      </w:r>
      <w:r>
        <w:t xml:space="preserve">les activités </w:t>
      </w:r>
      <w:r w:rsidRPr="002F6636">
        <w:t xml:space="preserve">de tous les types de bibliothèques du système de bibliothèques de la </w:t>
      </w:r>
      <w:r>
        <w:t xml:space="preserve">République de Croatie </w:t>
      </w:r>
      <w:r w:rsidRPr="002F6636">
        <w:t xml:space="preserve">sont accessibles au public sur le site </w:t>
      </w:r>
      <w:r>
        <w:t>W</w:t>
      </w:r>
      <w:r w:rsidRPr="002F6636">
        <w:t>eb de la Bibliothèque nationale et universitaire de Zagreb.</w:t>
      </w:r>
    </w:p>
    <w:p w14:paraId="71A32B82" w14:textId="2B559BFB" w:rsidR="000C1192" w:rsidRPr="002F6636" w:rsidRDefault="000C1192" w:rsidP="000C1192">
      <w:pPr>
        <w:pStyle w:val="SingleTxtG"/>
      </w:pPr>
      <w:r w:rsidRPr="002F6636">
        <w:t>260.</w:t>
      </w:r>
      <w:r w:rsidRPr="002F6636">
        <w:tab/>
        <w:t>Le 7</w:t>
      </w:r>
      <w:r w:rsidR="00DA2080">
        <w:t> </w:t>
      </w:r>
      <w:r w:rsidRPr="002F6636">
        <w:t xml:space="preserve">novembre 2019, le </w:t>
      </w:r>
      <w:r>
        <w:t>Ministère de la culture et des médias</w:t>
      </w:r>
      <w:r w:rsidRPr="002F6636">
        <w:t xml:space="preserve"> a </w:t>
      </w:r>
      <w:r>
        <w:t xml:space="preserve">conclu </w:t>
      </w:r>
      <w:r w:rsidRPr="002F6636">
        <w:t>un accord de subvention</w:t>
      </w:r>
      <w:r>
        <w:t>s</w:t>
      </w:r>
      <w:r w:rsidRPr="002F6636">
        <w:t xml:space="preserve"> pour </w:t>
      </w:r>
      <w:r>
        <w:t xml:space="preserve">un </w:t>
      </w:r>
      <w:r w:rsidRPr="002F6636">
        <w:t xml:space="preserve">projet </w:t>
      </w:r>
      <w:r>
        <w:t>de n</w:t>
      </w:r>
      <w:r w:rsidRPr="002F6636">
        <w:t>umérisation du patrimoine culturel</w:t>
      </w:r>
      <w:r>
        <w:t xml:space="preserve">, en </w:t>
      </w:r>
      <w:r w:rsidRPr="002F6636">
        <w:t xml:space="preserve">partenariat avec les Archives </w:t>
      </w:r>
      <w:r>
        <w:t xml:space="preserve">nationales </w:t>
      </w:r>
      <w:r w:rsidRPr="002F6636">
        <w:t>croates, la Bibliothèque nationale et universitaire de Zagreb, le Musée des arts et de l</w:t>
      </w:r>
      <w:r>
        <w:t>’</w:t>
      </w:r>
      <w:r w:rsidRPr="002F6636">
        <w:t xml:space="preserve">artisanat et la Radio Télévision croate). </w:t>
      </w:r>
      <w:r>
        <w:t xml:space="preserve">Pour </w:t>
      </w:r>
      <w:r w:rsidRPr="002F6636">
        <w:t xml:space="preserve">des données </w:t>
      </w:r>
      <w:r>
        <w:t xml:space="preserve">concernant le financement </w:t>
      </w:r>
      <w:r w:rsidRPr="002F6636">
        <w:t xml:space="preserve">du projet et </w:t>
      </w:r>
      <w:r>
        <w:t xml:space="preserve">l’appui </w:t>
      </w:r>
      <w:r w:rsidRPr="002F6636">
        <w:t xml:space="preserve">aux publications électroniques, </w:t>
      </w:r>
      <w:r>
        <w:t xml:space="preserve">se reporter à </w:t>
      </w:r>
      <w:r w:rsidRPr="002F6636">
        <w:t>l</w:t>
      </w:r>
      <w:r>
        <w:t>’</w:t>
      </w:r>
      <w:r w:rsidRPr="002F6636">
        <w:t>annexe</w:t>
      </w:r>
      <w:r w:rsidR="00DA2080">
        <w:t> </w:t>
      </w:r>
      <w:r w:rsidRPr="002F6636">
        <w:t xml:space="preserve">2, </w:t>
      </w:r>
      <w:r>
        <w:t>feuille</w:t>
      </w:r>
      <w:r w:rsidR="00DA2080">
        <w:t> </w:t>
      </w:r>
      <w:r w:rsidRPr="002F6636">
        <w:t>15.1.1, tableau</w:t>
      </w:r>
      <w:r w:rsidR="00DA2080">
        <w:t> </w:t>
      </w:r>
      <w:r w:rsidRPr="002F6636">
        <w:t>2.</w:t>
      </w:r>
    </w:p>
    <w:p w14:paraId="1BC91B2E" w14:textId="0E4DC354" w:rsidR="000C1192" w:rsidRPr="002F6636" w:rsidRDefault="000C1192" w:rsidP="000C1192">
      <w:pPr>
        <w:pStyle w:val="SingleTxtG"/>
        <w:rPr>
          <w:rStyle w:val="Appelnotedebasdep"/>
          <w:color w:val="000000" w:themeColor="text1"/>
        </w:rPr>
      </w:pPr>
      <w:r w:rsidRPr="002F6636">
        <w:t>261.</w:t>
      </w:r>
      <w:r w:rsidRPr="002F6636">
        <w:tab/>
        <w:t xml:space="preserve">Les </w:t>
      </w:r>
      <w:r>
        <w:t xml:space="preserve">centres </w:t>
      </w:r>
      <w:r w:rsidRPr="002F6636">
        <w:t>d</w:t>
      </w:r>
      <w:r>
        <w:t>’</w:t>
      </w:r>
      <w:r w:rsidRPr="002F6636">
        <w:t xml:space="preserve">archives, </w:t>
      </w:r>
      <w:r>
        <w:t xml:space="preserve">les </w:t>
      </w:r>
      <w:r w:rsidRPr="002F6636">
        <w:t xml:space="preserve">bibliothèques et </w:t>
      </w:r>
      <w:r>
        <w:t xml:space="preserve">les </w:t>
      </w:r>
      <w:r w:rsidRPr="002F6636">
        <w:t xml:space="preserve">musées </w:t>
      </w:r>
      <w:r>
        <w:t xml:space="preserve">garantissent l’accès du public aux </w:t>
      </w:r>
      <w:r w:rsidRPr="002F6636">
        <w:t xml:space="preserve">données </w:t>
      </w:r>
      <w:r>
        <w:t>sur l’établissement concerné</w:t>
      </w:r>
      <w:r w:rsidRPr="002F6636">
        <w:t xml:space="preserve">, </w:t>
      </w:r>
      <w:r>
        <w:t xml:space="preserve">son travail auprès des </w:t>
      </w:r>
      <w:r w:rsidRPr="002F6636">
        <w:t xml:space="preserve">utilisateurs et </w:t>
      </w:r>
      <w:r>
        <w:t xml:space="preserve">des </w:t>
      </w:r>
      <w:r w:rsidRPr="002F6636">
        <w:t xml:space="preserve">visiteurs, et </w:t>
      </w:r>
      <w:r>
        <w:t xml:space="preserve">ses </w:t>
      </w:r>
      <w:r w:rsidRPr="002F6636">
        <w:t xml:space="preserve">programmes </w:t>
      </w:r>
      <w:r>
        <w:t xml:space="preserve">au moyen de leurs </w:t>
      </w:r>
      <w:r w:rsidRPr="002F6636">
        <w:t>sites Web</w:t>
      </w:r>
      <w:r w:rsidRPr="00535E17">
        <w:rPr>
          <w:rStyle w:val="Appelnotedebasdep"/>
        </w:rPr>
        <w:footnoteReference w:id="78"/>
      </w:r>
      <w:r>
        <w:t>.</w:t>
      </w:r>
      <w:r w:rsidRPr="002F6636">
        <w:t xml:space="preserve"> </w:t>
      </w:r>
    </w:p>
    <w:p w14:paraId="0D247E6B" w14:textId="77777777" w:rsidR="000C1192" w:rsidRPr="00045071" w:rsidRDefault="000C1192" w:rsidP="000C1192">
      <w:pPr>
        <w:pStyle w:val="SingleTxtG"/>
      </w:pPr>
      <w:r w:rsidRPr="00045071">
        <w:t>262.</w:t>
      </w:r>
      <w:r w:rsidRPr="00045071">
        <w:tab/>
        <w:t xml:space="preserve">Dans le cadre des programmes annuels </w:t>
      </w:r>
      <w:r>
        <w:t>qu’il mène afin de répondre aux</w:t>
      </w:r>
      <w:r w:rsidRPr="00045071">
        <w:t xml:space="preserve"> besoins </w:t>
      </w:r>
      <w:r>
        <w:t>culturels du public</w:t>
      </w:r>
      <w:r w:rsidRPr="00045071">
        <w:t xml:space="preserve">, le </w:t>
      </w:r>
      <w:r>
        <w:t xml:space="preserve">Ministère de la culture et des médias </w:t>
      </w:r>
      <w:r w:rsidRPr="00045071">
        <w:t>soutient l</w:t>
      </w:r>
      <w:r>
        <w:t>’</w:t>
      </w:r>
      <w:r w:rsidRPr="00045071">
        <w:t>expression artistique et culturelle des enfants, en particulier l</w:t>
      </w:r>
      <w:r>
        <w:t>’</w:t>
      </w:r>
      <w:r w:rsidRPr="00045071">
        <w:t>adoption de nouvelles formes de contenus culturels.</w:t>
      </w:r>
    </w:p>
    <w:p w14:paraId="4C128605" w14:textId="6B24C980" w:rsidR="000C1192" w:rsidRPr="00045071" w:rsidRDefault="000C1192" w:rsidP="000C1192">
      <w:pPr>
        <w:pStyle w:val="SingleTxtG"/>
      </w:pPr>
      <w:r w:rsidRPr="00045071">
        <w:t>263.</w:t>
      </w:r>
      <w:r w:rsidRPr="00045071">
        <w:tab/>
        <w:t xml:space="preserve">En 2013, le </w:t>
      </w:r>
      <w:r>
        <w:t xml:space="preserve">Ministère de la culture et des médias </w:t>
      </w:r>
      <w:r w:rsidRPr="00045071">
        <w:t xml:space="preserve">a lancé, en collaboration avec le </w:t>
      </w:r>
      <w:r>
        <w:t>Ministère des sciences et de l’éducation</w:t>
      </w:r>
      <w:r w:rsidRPr="00045071">
        <w:t xml:space="preserve">, au niveau </w:t>
      </w:r>
      <w:r>
        <w:t xml:space="preserve">national, </w:t>
      </w:r>
      <w:r w:rsidRPr="00045071">
        <w:t>un programme d</w:t>
      </w:r>
      <w:r>
        <w:t>’</w:t>
      </w:r>
      <w:r w:rsidRPr="00045071">
        <w:t xml:space="preserve">éducation </w:t>
      </w:r>
      <w:r>
        <w:t>sur l’art et la culture destiné aux élèves du jardin d’enfants et des écoles, module complémentaire du programme d’enseignement du jardin d’enfants, du primaire et du</w:t>
      </w:r>
      <w:r w:rsidR="00DA2080">
        <w:t xml:space="preserve"> secondaire</w:t>
      </w:r>
      <w:r w:rsidR="00DA2080" w:rsidRPr="00535E17">
        <w:rPr>
          <w:rStyle w:val="Appelnotedebasdep"/>
        </w:rPr>
        <w:footnoteReference w:id="79"/>
      </w:r>
      <w:r>
        <w:t xml:space="preserve"> </w:t>
      </w:r>
      <w:r w:rsidRPr="00F74126">
        <w:t>(</w:t>
      </w:r>
      <w:r w:rsidRPr="00045071">
        <w:t xml:space="preserve">voir </w:t>
      </w:r>
      <w:r>
        <w:t>a</w:t>
      </w:r>
      <w:r w:rsidRPr="00045071">
        <w:t>nnexe</w:t>
      </w:r>
      <w:r w:rsidR="00DA2080">
        <w:t> </w:t>
      </w:r>
      <w:r w:rsidRPr="00045071">
        <w:t>2, feuille</w:t>
      </w:r>
      <w:r w:rsidR="00DA2080">
        <w:t> </w:t>
      </w:r>
      <w:r w:rsidRPr="00045071">
        <w:t>15.1.1, tableau</w:t>
      </w:r>
      <w:r w:rsidR="00DA2080">
        <w:t> </w:t>
      </w:r>
      <w:r w:rsidRPr="00045071">
        <w:t>4</w:t>
      </w:r>
      <w:r>
        <w:t>)</w:t>
      </w:r>
      <w:r w:rsidRPr="00045071">
        <w:t>.</w:t>
      </w:r>
    </w:p>
    <w:p w14:paraId="7DAC3BAA" w14:textId="7736F9F3" w:rsidR="000C1192" w:rsidRPr="00045071" w:rsidRDefault="000C1192" w:rsidP="000C1192">
      <w:pPr>
        <w:pStyle w:val="SingleTxtG"/>
      </w:pPr>
      <w:r w:rsidRPr="00045071">
        <w:t>264.</w:t>
      </w:r>
      <w:r w:rsidRPr="00045071">
        <w:tab/>
      </w:r>
      <w:r>
        <w:t>On trouvera des renseignements sur le f</w:t>
      </w:r>
      <w:r w:rsidRPr="00045071">
        <w:t xml:space="preserve">inancement </w:t>
      </w:r>
      <w:r>
        <w:t xml:space="preserve">de </w:t>
      </w:r>
      <w:r w:rsidRPr="00045071">
        <w:t xml:space="preserve">programmes </w:t>
      </w:r>
      <w:r>
        <w:t xml:space="preserve">destinés aux </w:t>
      </w:r>
      <w:r w:rsidRPr="00045071">
        <w:t xml:space="preserve">enfants et </w:t>
      </w:r>
      <w:r>
        <w:t>à la jeunesse à l’</w:t>
      </w:r>
      <w:r w:rsidRPr="00045071">
        <w:t>annexe</w:t>
      </w:r>
      <w:r w:rsidR="00DA2080">
        <w:t> </w:t>
      </w:r>
      <w:r w:rsidRPr="00045071">
        <w:t xml:space="preserve">2, </w:t>
      </w:r>
      <w:r>
        <w:t>feuille</w:t>
      </w:r>
      <w:r w:rsidR="00DA2080">
        <w:t> </w:t>
      </w:r>
      <w:r w:rsidRPr="00045071">
        <w:t>15.1.1</w:t>
      </w:r>
      <w:r>
        <w:t xml:space="preserve">, </w:t>
      </w:r>
      <w:r w:rsidRPr="00045071">
        <w:t>tableau</w:t>
      </w:r>
      <w:r w:rsidR="00DA2080">
        <w:t> </w:t>
      </w:r>
      <w:r w:rsidRPr="00045071">
        <w:t>3.</w:t>
      </w:r>
    </w:p>
    <w:p w14:paraId="5379DE65" w14:textId="77777777" w:rsidR="000C1192" w:rsidRPr="00045071" w:rsidRDefault="000C1192" w:rsidP="000C1192">
      <w:pPr>
        <w:pStyle w:val="SingleTxtG"/>
      </w:pPr>
      <w:r w:rsidRPr="00045071">
        <w:t>265.</w:t>
      </w:r>
      <w:r w:rsidRPr="00045071">
        <w:tab/>
        <w:t xml:space="preserve">Depuis 1995, des </w:t>
      </w:r>
      <w:r>
        <w:t xml:space="preserve">ateliers sont organisés au niveau du jardin </w:t>
      </w:r>
      <w:r w:rsidRPr="00045071">
        <w:t>d</w:t>
      </w:r>
      <w:r>
        <w:t>’</w:t>
      </w:r>
      <w:r w:rsidRPr="00045071">
        <w:t xml:space="preserve">enfants et </w:t>
      </w:r>
      <w:r>
        <w:t xml:space="preserve">des </w:t>
      </w:r>
      <w:r w:rsidRPr="00045071">
        <w:t xml:space="preserve">écoles dans le cadre de la Journée européenne du patrimoine, </w:t>
      </w:r>
      <w:r>
        <w:t xml:space="preserve">pour aider les enfants et les jeunes à se familiariser avec leur propre héritage culturel et à prendre conscience des </w:t>
      </w:r>
      <w:r w:rsidRPr="00045071">
        <w:t xml:space="preserve">valeurs des autres cultures et </w:t>
      </w:r>
      <w:r>
        <w:t xml:space="preserve">des valeurs de </w:t>
      </w:r>
      <w:r w:rsidRPr="00045071">
        <w:t>respect mutuel.</w:t>
      </w:r>
    </w:p>
    <w:p w14:paraId="0555A96E" w14:textId="77777777" w:rsidR="000C1192" w:rsidRPr="00045071" w:rsidRDefault="000C1192" w:rsidP="000C1192">
      <w:pPr>
        <w:pStyle w:val="SingleTxtG"/>
      </w:pPr>
      <w:r w:rsidRPr="00045071">
        <w:t>266.</w:t>
      </w:r>
      <w:r w:rsidRPr="00045071">
        <w:tab/>
      </w:r>
      <w:r>
        <w:t xml:space="preserve">Des </w:t>
      </w:r>
      <w:r w:rsidRPr="00045071">
        <w:t xml:space="preserve">stratégies </w:t>
      </w:r>
      <w:r>
        <w:t xml:space="preserve">sont adoptées </w:t>
      </w:r>
      <w:r w:rsidRPr="00045071">
        <w:t xml:space="preserve">en faveur des personnes handicapées </w:t>
      </w:r>
      <w:r>
        <w:t>d</w:t>
      </w:r>
      <w:r w:rsidRPr="00045071">
        <w:t xml:space="preserve">epuis 2003. La dernière </w:t>
      </w:r>
      <w:r>
        <w:t>s</w:t>
      </w:r>
      <w:r w:rsidRPr="00045071">
        <w:t xml:space="preserve">tratégie nationale </w:t>
      </w:r>
      <w:r>
        <w:t xml:space="preserve">en date </w:t>
      </w:r>
      <w:r w:rsidRPr="00045071">
        <w:t>pour l</w:t>
      </w:r>
      <w:r>
        <w:t>’</w:t>
      </w:r>
      <w:r w:rsidRPr="00045071">
        <w:t>égali</w:t>
      </w:r>
      <w:r>
        <w:t xml:space="preserve">té </w:t>
      </w:r>
      <w:r w:rsidRPr="00045071">
        <w:t xml:space="preserve">des chances des personnes handicapées </w:t>
      </w:r>
      <w:r>
        <w:t xml:space="preserve">porte sur </w:t>
      </w:r>
      <w:r w:rsidRPr="00045071">
        <w:t xml:space="preserve">la période </w:t>
      </w:r>
      <w:r>
        <w:t xml:space="preserve">allant </w:t>
      </w:r>
      <w:r w:rsidRPr="00045071">
        <w:t xml:space="preserve">de 2016 à 2020. </w:t>
      </w:r>
      <w:r w:rsidRPr="002F6636">
        <w:t xml:space="preserve">Le </w:t>
      </w:r>
      <w:r>
        <w:t xml:space="preserve">Ministère de la culture et des médias </w:t>
      </w:r>
      <w:r w:rsidRPr="00045071">
        <w:t xml:space="preserve">est </w:t>
      </w:r>
      <w:r>
        <w:t xml:space="preserve">chargé de prendre les </w:t>
      </w:r>
      <w:r w:rsidRPr="00045071">
        <w:t xml:space="preserve">mesures appropriées </w:t>
      </w:r>
      <w:r>
        <w:t xml:space="preserve">en ce qui concerne </w:t>
      </w:r>
      <w:r w:rsidRPr="00045071">
        <w:t xml:space="preserve">la culture et la lutte contre </w:t>
      </w:r>
      <w:r>
        <w:t>la discrimination</w:t>
      </w:r>
      <w:r w:rsidRPr="00045071">
        <w:t>. L</w:t>
      </w:r>
      <w:r>
        <w:t>’</w:t>
      </w:r>
      <w:r w:rsidRPr="00045071">
        <w:t xml:space="preserve">égalité des personnes handicapées implique </w:t>
      </w:r>
      <w:r>
        <w:t xml:space="preserve">leur </w:t>
      </w:r>
      <w:r w:rsidRPr="00045071">
        <w:t xml:space="preserve">droit à </w:t>
      </w:r>
      <w:r>
        <w:t xml:space="preserve">la </w:t>
      </w:r>
      <w:r w:rsidRPr="00045071">
        <w:t xml:space="preserve">pleine inclusion dans la société et la vie culturelle. </w:t>
      </w:r>
      <w:r>
        <w:t xml:space="preserve">Les </w:t>
      </w:r>
      <w:r w:rsidRPr="00045071">
        <w:t xml:space="preserve">activités des personnes handicapées </w:t>
      </w:r>
      <w:r>
        <w:t xml:space="preserve">sont soutenues en sensibilisant le </w:t>
      </w:r>
      <w:r w:rsidRPr="00045071">
        <w:t xml:space="preserve">public à la diversité de leurs activités culturelles </w:t>
      </w:r>
      <w:r>
        <w:t xml:space="preserve">et aux valeurs qu’elles </w:t>
      </w:r>
      <w:r>
        <w:lastRenderedPageBreak/>
        <w:t xml:space="preserve">représentent, en favorisant leur </w:t>
      </w:r>
      <w:r w:rsidRPr="00045071">
        <w:t>pleine indépendance dans l</w:t>
      </w:r>
      <w:r>
        <w:t>’</w:t>
      </w:r>
      <w:r w:rsidRPr="00045071">
        <w:t xml:space="preserve">expression artistique et créative, </w:t>
      </w:r>
      <w:r>
        <w:t>et en soutenant financièrement leurs activités</w:t>
      </w:r>
      <w:r w:rsidRPr="00045071">
        <w:t>.</w:t>
      </w:r>
    </w:p>
    <w:p w14:paraId="4251812E" w14:textId="77777777" w:rsidR="000C1192" w:rsidRPr="00045071" w:rsidRDefault="000C1192" w:rsidP="000C1192">
      <w:pPr>
        <w:pStyle w:val="SingleTxtG"/>
      </w:pPr>
      <w:r w:rsidRPr="00045071">
        <w:t>267.</w:t>
      </w:r>
      <w:r w:rsidRPr="00045071">
        <w:tab/>
      </w:r>
      <w:r>
        <w:t>Des mesures protectrices sont prises dans le domaine culturel, g</w:t>
      </w:r>
      <w:r w:rsidRPr="00045071">
        <w:t xml:space="preserve">râce à des projets </w:t>
      </w:r>
      <w:r>
        <w:t>d’aménagement</w:t>
      </w:r>
      <w:r w:rsidRPr="00045071">
        <w:t xml:space="preserve">, pour éliminer les </w:t>
      </w:r>
      <w:r>
        <w:t xml:space="preserve">obstacles </w:t>
      </w:r>
      <w:r w:rsidRPr="00045071">
        <w:t xml:space="preserve">physiques </w:t>
      </w:r>
      <w:r>
        <w:t xml:space="preserve">que peuvent rencontrer </w:t>
      </w:r>
      <w:r w:rsidRPr="00045071">
        <w:t>les personnes âgées et les personnes handicapées</w:t>
      </w:r>
      <w:r>
        <w:t>,</w:t>
      </w:r>
      <w:r w:rsidRPr="00045071">
        <w:t xml:space="preserve"> en construisant des rampes d</w:t>
      </w:r>
      <w:r>
        <w:t>’</w:t>
      </w:r>
      <w:r w:rsidRPr="00045071">
        <w:t xml:space="preserve">accès, des ascenseurs, etc. </w:t>
      </w:r>
      <w:r>
        <w:t>P</w:t>
      </w:r>
      <w:r w:rsidRPr="00045071">
        <w:t>ar l</w:t>
      </w:r>
      <w:r>
        <w:t>’</w:t>
      </w:r>
      <w:r w:rsidRPr="00045071">
        <w:t xml:space="preserve">intermédiaire des services de conservation compétents, chacun reçoit </w:t>
      </w:r>
      <w:r>
        <w:t xml:space="preserve">aussi directement </w:t>
      </w:r>
      <w:r w:rsidRPr="00045071">
        <w:t xml:space="preserve">des informations sur la protection </w:t>
      </w:r>
      <w:r>
        <w:t xml:space="preserve">du patrimoine </w:t>
      </w:r>
      <w:r w:rsidRPr="00045071">
        <w:t>culturel et la résolution des problèmes éventuels.</w:t>
      </w:r>
    </w:p>
    <w:p w14:paraId="4BD59F98" w14:textId="77777777" w:rsidR="000C1192" w:rsidRPr="00045071" w:rsidRDefault="000C1192" w:rsidP="000C1192">
      <w:pPr>
        <w:pStyle w:val="SingleTxtG"/>
      </w:pPr>
      <w:r w:rsidRPr="00045071">
        <w:t>268.</w:t>
      </w:r>
      <w:r w:rsidRPr="00045071">
        <w:tab/>
        <w:t xml:space="preserve">Le Conseil croate des musées, organe consultatif du </w:t>
      </w:r>
      <w:r>
        <w:t>Ministère</w:t>
      </w:r>
      <w:r w:rsidRPr="00045071">
        <w:t xml:space="preserve">, vérifie </w:t>
      </w:r>
      <w:r>
        <w:t xml:space="preserve">que </w:t>
      </w:r>
      <w:r w:rsidRPr="00045071">
        <w:t xml:space="preserve">les </w:t>
      </w:r>
      <w:r>
        <w:t xml:space="preserve">projets </w:t>
      </w:r>
      <w:r w:rsidRPr="00045071">
        <w:t>muséologiques (nouvelle</w:t>
      </w:r>
      <w:r>
        <w:t>s</w:t>
      </w:r>
      <w:r w:rsidRPr="00045071">
        <w:t xml:space="preserve"> exposition</w:t>
      </w:r>
      <w:r>
        <w:t>s</w:t>
      </w:r>
      <w:r w:rsidRPr="00045071">
        <w:t xml:space="preserve"> permanente</w:t>
      </w:r>
      <w:r>
        <w:t>s ou adaptations de celles-ci</w:t>
      </w:r>
      <w:r w:rsidRPr="00045071">
        <w:t xml:space="preserve">) </w:t>
      </w:r>
      <w:r>
        <w:t xml:space="preserve">comportent </w:t>
      </w:r>
      <w:r w:rsidRPr="00045071">
        <w:t xml:space="preserve">une analyse des espaces prévus pour </w:t>
      </w:r>
      <w:r>
        <w:t xml:space="preserve">les expositions, ceux-ci devant </w:t>
      </w:r>
      <w:r w:rsidRPr="00045071">
        <w:t>être accessibles à tous les visiteurs.</w:t>
      </w:r>
    </w:p>
    <w:p w14:paraId="5D587AE9" w14:textId="77777777" w:rsidR="000C1192" w:rsidRPr="00045071" w:rsidRDefault="000C1192" w:rsidP="000C1192">
      <w:pPr>
        <w:pStyle w:val="SingleTxtG"/>
      </w:pPr>
      <w:r w:rsidRPr="00045071">
        <w:t>269.</w:t>
      </w:r>
      <w:r w:rsidRPr="00045071">
        <w:tab/>
      </w:r>
      <w:r w:rsidRPr="002F6636">
        <w:t xml:space="preserve">Le </w:t>
      </w:r>
      <w:r>
        <w:t xml:space="preserve">Ministère de la culture et des médias </w:t>
      </w:r>
      <w:r w:rsidRPr="00045071">
        <w:t xml:space="preserve">est </w:t>
      </w:r>
      <w:r>
        <w:t xml:space="preserve">à l’origine de la création </w:t>
      </w:r>
      <w:r w:rsidRPr="00045071">
        <w:t xml:space="preserve">du Musée typologique de Zagreb, institution unique </w:t>
      </w:r>
      <w:r>
        <w:t xml:space="preserve">en son genre </w:t>
      </w:r>
      <w:r w:rsidRPr="00045071">
        <w:t xml:space="preserve">pour la participation active des personnes handicapées aux activités </w:t>
      </w:r>
      <w:r>
        <w:t>muséales</w:t>
      </w:r>
      <w:r w:rsidRPr="00045071">
        <w:t>.</w:t>
      </w:r>
    </w:p>
    <w:p w14:paraId="26701DAE" w14:textId="4661C006" w:rsidR="000C1192" w:rsidRPr="00045071" w:rsidRDefault="000C1192" w:rsidP="000C1192">
      <w:pPr>
        <w:pStyle w:val="SingleTxtG"/>
      </w:pPr>
      <w:r w:rsidRPr="00045071">
        <w:t>270.</w:t>
      </w:r>
      <w:r w:rsidRPr="00045071">
        <w:tab/>
      </w:r>
      <w:r>
        <w:t xml:space="preserve">On constate </w:t>
      </w:r>
      <w:r w:rsidRPr="00045071">
        <w:t xml:space="preserve">une augmentation des demandes de subventions et des programmes </w:t>
      </w:r>
      <w:r>
        <w:t xml:space="preserve">appliqués en faveur des </w:t>
      </w:r>
      <w:r w:rsidRPr="00045071">
        <w:t xml:space="preserve">personnes handicapées. </w:t>
      </w:r>
      <w:r>
        <w:t xml:space="preserve">Concernant </w:t>
      </w:r>
      <w:r w:rsidRPr="00045071">
        <w:t xml:space="preserve">les programmes destinés aux personnes handicapées, </w:t>
      </w:r>
      <w:r>
        <w:t xml:space="preserve">se reporter à </w:t>
      </w:r>
      <w:r w:rsidRPr="00045071">
        <w:t>l</w:t>
      </w:r>
      <w:r>
        <w:t>’</w:t>
      </w:r>
      <w:r w:rsidRPr="00045071">
        <w:t>annexe</w:t>
      </w:r>
      <w:r w:rsidR="00391095">
        <w:t> </w:t>
      </w:r>
      <w:r w:rsidRPr="00045071">
        <w:t>2, f</w:t>
      </w:r>
      <w:r w:rsidR="00391095">
        <w:t>euille </w:t>
      </w:r>
      <w:r w:rsidRPr="00045071">
        <w:t>15.1.1, tableau 5</w:t>
      </w:r>
      <w:r>
        <w:t xml:space="preserve"> ; voir également le </w:t>
      </w:r>
      <w:r w:rsidRPr="00045071">
        <w:t>tableau</w:t>
      </w:r>
      <w:r w:rsidR="00391095">
        <w:t> </w:t>
      </w:r>
      <w:r w:rsidRPr="00045071">
        <w:t>5a</w:t>
      </w:r>
      <w:r>
        <w:t xml:space="preserve"> pour de plus amples renseignements sur les mesures prises pour garantir l’accès aux institutions culturelles</w:t>
      </w:r>
      <w:r w:rsidRPr="00045071">
        <w:t>.</w:t>
      </w:r>
    </w:p>
    <w:p w14:paraId="362F584E" w14:textId="28ACDEBD" w:rsidR="000C1192" w:rsidRPr="00045071" w:rsidRDefault="000C1192" w:rsidP="000C1192">
      <w:pPr>
        <w:pStyle w:val="SingleTxtG"/>
      </w:pPr>
      <w:r w:rsidRPr="00045071">
        <w:t>271.</w:t>
      </w:r>
      <w:r w:rsidRPr="00045071">
        <w:tab/>
      </w:r>
      <w:r>
        <w:t xml:space="preserve">Sur les </w:t>
      </w:r>
      <w:r w:rsidRPr="00045071">
        <w:t>22</w:t>
      </w:r>
      <w:r w:rsidR="00391095">
        <w:t> </w:t>
      </w:r>
      <w:r w:rsidRPr="00045071">
        <w:t xml:space="preserve">minorités nationales </w:t>
      </w:r>
      <w:r>
        <w:t xml:space="preserve">que compte la République de Croatie, </w:t>
      </w:r>
      <w:r w:rsidRPr="00045071">
        <w:t xml:space="preserve">19 sont organisées en associations. Le cadre juridique qui régit les droits des minorités nationales </w:t>
      </w:r>
      <w:r>
        <w:t>est composé de la Constitution de la République de Croatie</w:t>
      </w:r>
      <w:r w:rsidRPr="00045071">
        <w:t xml:space="preserve">, </w:t>
      </w:r>
      <w:r>
        <w:t>la L</w:t>
      </w:r>
      <w:r w:rsidRPr="00ED2B25">
        <w:t xml:space="preserve">oi constitutionnelle </w:t>
      </w:r>
      <w:r>
        <w:t xml:space="preserve">sur les </w:t>
      </w:r>
      <w:r w:rsidRPr="00ED2B25">
        <w:t>droits des minorités nationales</w:t>
      </w:r>
      <w:r w:rsidRPr="00045071">
        <w:t xml:space="preserve">, </w:t>
      </w:r>
      <w:r>
        <w:t xml:space="preserve">la </w:t>
      </w:r>
      <w:r w:rsidRPr="00726CD2">
        <w:t>loi sur l</w:t>
      </w:r>
      <w:r>
        <w:t>’</w:t>
      </w:r>
      <w:r w:rsidRPr="00726CD2">
        <w:t>éducation dans les langues et alphabets des minorités nationales</w:t>
      </w:r>
      <w:r w:rsidRPr="00045071">
        <w:t xml:space="preserve">, </w:t>
      </w:r>
      <w:r>
        <w:t xml:space="preserve">la </w:t>
      </w:r>
      <w:r w:rsidRPr="00B23505">
        <w:t>loi relative aux modalités d</w:t>
      </w:r>
      <w:r>
        <w:t>’</w:t>
      </w:r>
      <w:r w:rsidRPr="00B23505">
        <w:t>élection des représentants au Parlement croate</w:t>
      </w:r>
      <w:r>
        <w:t xml:space="preserve">, la </w:t>
      </w:r>
      <w:r w:rsidRPr="00B23505">
        <w:t>loi relative aux modalités d</w:t>
      </w:r>
      <w:r>
        <w:t>’</w:t>
      </w:r>
      <w:r w:rsidRPr="00B23505">
        <w:t xml:space="preserve">élection </w:t>
      </w:r>
      <w:r>
        <w:t>des membres des organes représentatifs des collectivités locales et régionales autonomes</w:t>
      </w:r>
      <w:r w:rsidRPr="00045071">
        <w:t xml:space="preserve">, </w:t>
      </w:r>
      <w:r>
        <w:t xml:space="preserve">la loi sur la construction et la loi sur le Bureau du Procureur de l’État. </w:t>
      </w:r>
    </w:p>
    <w:p w14:paraId="515B75BC" w14:textId="77777777" w:rsidR="000C1192" w:rsidRPr="00045071" w:rsidRDefault="000C1192" w:rsidP="000C1192">
      <w:pPr>
        <w:pStyle w:val="SingleTxtG"/>
      </w:pPr>
      <w:r w:rsidRPr="00045071">
        <w:t>272.</w:t>
      </w:r>
      <w:r w:rsidRPr="00045071">
        <w:tab/>
        <w:t xml:space="preserve">La </w:t>
      </w:r>
      <w:r>
        <w:t>L</w:t>
      </w:r>
      <w:r w:rsidRPr="00ED2B25">
        <w:t xml:space="preserve">oi constitutionnelle </w:t>
      </w:r>
      <w:r>
        <w:t xml:space="preserve">sur les </w:t>
      </w:r>
      <w:r w:rsidRPr="00ED2B25">
        <w:t>droits des minorités nationales</w:t>
      </w:r>
      <w:r w:rsidRPr="00045071">
        <w:t xml:space="preserve"> </w:t>
      </w:r>
      <w:r>
        <w:t xml:space="preserve">régit aussi l’application </w:t>
      </w:r>
      <w:r w:rsidRPr="00045071">
        <w:t xml:space="preserve">des obligations </w:t>
      </w:r>
      <w:r>
        <w:t xml:space="preserve">prévues dans les </w:t>
      </w:r>
      <w:r w:rsidRPr="00045071">
        <w:t xml:space="preserve">accords internationaux auxquels la </w:t>
      </w:r>
      <w:r>
        <w:t xml:space="preserve">République de Croatie </w:t>
      </w:r>
      <w:r w:rsidRPr="00045071">
        <w:t xml:space="preserve">est partie. La </w:t>
      </w:r>
      <w:r>
        <w:t xml:space="preserve">République de Croatie </w:t>
      </w:r>
      <w:r w:rsidRPr="00045071">
        <w:t>a conclu des accords bilatéraux sur la protection des droits des minorités nationales avec l</w:t>
      </w:r>
      <w:r>
        <w:t>’</w:t>
      </w:r>
      <w:r w:rsidRPr="00045071">
        <w:t>Italie, la Hongrie, la Macédoine, la Serbie et le Monténégro. Dans le domaine de la culture et de l</w:t>
      </w:r>
      <w:r>
        <w:t>’</w:t>
      </w:r>
      <w:r w:rsidRPr="00045071">
        <w:t xml:space="preserve">éducation, un accord a été conclu avec le </w:t>
      </w:r>
      <w:r>
        <w:t>G</w:t>
      </w:r>
      <w:r w:rsidRPr="00045071">
        <w:t>ouvernement tchèque</w:t>
      </w:r>
      <w:r>
        <w:t>,</w:t>
      </w:r>
      <w:r w:rsidRPr="00045071">
        <w:t xml:space="preserve"> et un contrat avec l</w:t>
      </w:r>
      <w:r>
        <w:t>e Gouvernement autrichien</w:t>
      </w:r>
      <w:r w:rsidRPr="00045071">
        <w:t>.</w:t>
      </w:r>
    </w:p>
    <w:p w14:paraId="3CC09F7D" w14:textId="21300A8A" w:rsidR="000C1192" w:rsidRPr="00556D04" w:rsidRDefault="000C1192" w:rsidP="000C1192">
      <w:pPr>
        <w:pStyle w:val="SingleTxtG"/>
      </w:pPr>
      <w:r w:rsidRPr="00045071">
        <w:t>273.</w:t>
      </w:r>
      <w:r w:rsidRPr="00045071">
        <w:tab/>
      </w:r>
      <w:r>
        <w:t xml:space="preserve">Le </w:t>
      </w:r>
      <w:r w:rsidRPr="00045071">
        <w:t>Ministère de la culture</w:t>
      </w:r>
      <w:r>
        <w:t xml:space="preserve"> et des médias soutient le patrimoine culturel </w:t>
      </w:r>
      <w:r w:rsidRPr="00045071">
        <w:t xml:space="preserve">des minorités nationales </w:t>
      </w:r>
      <w:r>
        <w:t xml:space="preserve">en passant régulièrement chaque année des </w:t>
      </w:r>
      <w:r w:rsidRPr="00045071">
        <w:t>appel</w:t>
      </w:r>
      <w:r>
        <w:t>s</w:t>
      </w:r>
      <w:r w:rsidRPr="00045071">
        <w:t xml:space="preserve"> d</w:t>
      </w:r>
      <w:r>
        <w:t>’</w:t>
      </w:r>
      <w:r w:rsidRPr="00045071">
        <w:t xml:space="preserve">offres </w:t>
      </w:r>
      <w:r>
        <w:t xml:space="preserve">publics </w:t>
      </w:r>
      <w:r w:rsidRPr="00045071">
        <w:t xml:space="preserve">pour des programmes de protection et de préservation des biens culturels. </w:t>
      </w:r>
      <w:r>
        <w:t xml:space="preserve">Concernant </w:t>
      </w:r>
      <w:r w:rsidRPr="00045071">
        <w:t xml:space="preserve">la protection et la préservation des biens culturels, voir </w:t>
      </w:r>
      <w:r>
        <w:t>l’</w:t>
      </w:r>
      <w:r w:rsidRPr="00045071">
        <w:t>annexe</w:t>
      </w:r>
      <w:r w:rsidR="00391095">
        <w:t> </w:t>
      </w:r>
      <w:r w:rsidRPr="00045071">
        <w:t xml:space="preserve">2, </w:t>
      </w:r>
      <w:r>
        <w:t>feuille</w:t>
      </w:r>
      <w:r w:rsidR="00391095">
        <w:t> </w:t>
      </w:r>
      <w:r w:rsidRPr="00045071">
        <w:t>15.1.1</w:t>
      </w:r>
      <w:r>
        <w:t>,</w:t>
      </w:r>
      <w:r w:rsidRPr="00045071">
        <w:t xml:space="preserve"> </w:t>
      </w:r>
      <w:r>
        <w:t>t</w:t>
      </w:r>
      <w:r w:rsidRPr="00556D04">
        <w:t>ableau</w:t>
      </w:r>
      <w:r w:rsidR="00391095">
        <w:t> </w:t>
      </w:r>
      <w:r w:rsidRPr="00556D04">
        <w:t>6</w:t>
      </w:r>
      <w:r>
        <w:t>.</w:t>
      </w:r>
    </w:p>
    <w:p w14:paraId="44B3515B" w14:textId="193FFE9A" w:rsidR="000C1192" w:rsidRPr="00CD20DB" w:rsidRDefault="000C1192" w:rsidP="000C1192">
      <w:pPr>
        <w:pStyle w:val="SingleTxtG"/>
      </w:pPr>
      <w:r w:rsidRPr="00CD20DB">
        <w:t>274.</w:t>
      </w:r>
      <w:r w:rsidRPr="00CD20DB">
        <w:tab/>
        <w:t xml:space="preserve">Le </w:t>
      </w:r>
      <w:r>
        <w:t xml:space="preserve">Ministère de la culture et des médias </w:t>
      </w:r>
      <w:r w:rsidRPr="00CD20DB">
        <w:t>mène un programme d</w:t>
      </w:r>
      <w:r>
        <w:t>’</w:t>
      </w:r>
      <w:r w:rsidRPr="00CD20DB">
        <w:t>enregistrement et d</w:t>
      </w:r>
      <w:r>
        <w:t>’</w:t>
      </w:r>
      <w:r w:rsidRPr="00CD20DB">
        <w:t xml:space="preserve">inventaire des biens culturels </w:t>
      </w:r>
      <w:r>
        <w:t xml:space="preserve">meubles </w:t>
      </w:r>
      <w:r w:rsidRPr="00CD20DB">
        <w:t xml:space="preserve">appartenant </w:t>
      </w:r>
      <w:r>
        <w:t xml:space="preserve">aux </w:t>
      </w:r>
      <w:r w:rsidRPr="00CD20DB">
        <w:t>communautés religieuses, dont l</w:t>
      </w:r>
      <w:r>
        <w:t>’</w:t>
      </w:r>
      <w:r w:rsidRPr="00CD20DB">
        <w:t xml:space="preserve">Église orthodoxe serbe, et </w:t>
      </w:r>
      <w:r>
        <w:t>mène actuellement des travaux d’</w:t>
      </w:r>
      <w:r w:rsidRPr="00CD20DB">
        <w:t xml:space="preserve">inventaire des églises orthodoxes évacuées au début de la </w:t>
      </w:r>
      <w:r>
        <w:t>G</w:t>
      </w:r>
      <w:r w:rsidRPr="00CD20DB">
        <w:t xml:space="preserve">uerre </w:t>
      </w:r>
      <w:r>
        <w:t>patriotique</w:t>
      </w:r>
      <w:r w:rsidRPr="00CD20DB">
        <w:t xml:space="preserve">. </w:t>
      </w:r>
      <w:r>
        <w:t xml:space="preserve">Concernant les </w:t>
      </w:r>
      <w:r w:rsidRPr="00CD20DB">
        <w:t xml:space="preserve">programmes </w:t>
      </w:r>
      <w:r>
        <w:t xml:space="preserve">relatifs aux </w:t>
      </w:r>
      <w:r w:rsidRPr="00CD20DB">
        <w:t xml:space="preserve">minorités nationales, voir </w:t>
      </w:r>
      <w:r>
        <w:t>l’a</w:t>
      </w:r>
      <w:r w:rsidRPr="00CD20DB">
        <w:t>nnexe</w:t>
      </w:r>
      <w:r w:rsidR="00391095">
        <w:t> </w:t>
      </w:r>
      <w:r w:rsidRPr="00CD20DB">
        <w:t xml:space="preserve">2, </w:t>
      </w:r>
      <w:r w:rsidR="00391095">
        <w:t>feuille </w:t>
      </w:r>
      <w:r w:rsidRPr="00CD20DB">
        <w:t>15.1.1</w:t>
      </w:r>
      <w:r>
        <w:t>, t</w:t>
      </w:r>
      <w:r w:rsidRPr="00CD20DB">
        <w:t>ableau</w:t>
      </w:r>
      <w:r w:rsidR="00391095">
        <w:t> </w:t>
      </w:r>
      <w:r w:rsidRPr="00CD20DB">
        <w:t>7.</w:t>
      </w:r>
    </w:p>
    <w:p w14:paraId="2E44ECD2" w14:textId="10F8E078" w:rsidR="000C1192" w:rsidRPr="00CD20DB" w:rsidRDefault="000C1192" w:rsidP="000C1192">
      <w:pPr>
        <w:pStyle w:val="SingleTxtG"/>
      </w:pPr>
      <w:r w:rsidRPr="00CD20DB">
        <w:t>275.</w:t>
      </w:r>
      <w:r w:rsidRPr="00CD20DB">
        <w:tab/>
      </w:r>
      <w:r>
        <w:t>F</w:t>
      </w:r>
      <w:r w:rsidRPr="00CD20DB">
        <w:t>in 2019, 10</w:t>
      </w:r>
      <w:r w:rsidR="00391095">
        <w:t> </w:t>
      </w:r>
      <w:r w:rsidRPr="00CD20DB">
        <w:t>bibliothèques centrales</w:t>
      </w:r>
      <w:r>
        <w:t>,</w:t>
      </w:r>
      <w:r w:rsidRPr="00CD20DB">
        <w:t xml:space="preserve"> pour 11</w:t>
      </w:r>
      <w:r w:rsidR="00391095">
        <w:t> </w:t>
      </w:r>
      <w:r w:rsidRPr="00CD20DB">
        <w:t>minorités nationales</w:t>
      </w:r>
      <w:r>
        <w:t>,</w:t>
      </w:r>
      <w:r w:rsidRPr="00CD20DB">
        <w:t xml:space="preserve"> avaient été ouvertes et équipées. Le </w:t>
      </w:r>
      <w:r>
        <w:t xml:space="preserve">Ministère de la culture et des médias </w:t>
      </w:r>
      <w:r w:rsidRPr="00CD20DB">
        <w:t xml:space="preserve">finance les </w:t>
      </w:r>
      <w:r>
        <w:t xml:space="preserve">dépenses en matériel </w:t>
      </w:r>
      <w:r w:rsidRPr="00CD20DB">
        <w:t>et les salaires de 11</w:t>
      </w:r>
      <w:r w:rsidR="00391095">
        <w:t> </w:t>
      </w:r>
      <w:r w:rsidRPr="00CD20DB">
        <w:t xml:space="preserve">professionnels </w:t>
      </w:r>
      <w:r>
        <w:t xml:space="preserve">pour </w:t>
      </w:r>
      <w:r w:rsidRPr="00CD20DB">
        <w:t>ces bibliothèques et cofinance l</w:t>
      </w:r>
      <w:r>
        <w:t>’</w:t>
      </w:r>
      <w:r w:rsidRPr="00CD20DB">
        <w:t>achat de livres et de contenus non livresques.</w:t>
      </w:r>
    </w:p>
    <w:p w14:paraId="253E092F" w14:textId="77777777" w:rsidR="000C1192" w:rsidRPr="00CD20DB" w:rsidRDefault="000C1192" w:rsidP="000C1192">
      <w:pPr>
        <w:pStyle w:val="SingleTxtG"/>
      </w:pPr>
      <w:r w:rsidRPr="00CD20DB">
        <w:t>276.</w:t>
      </w:r>
      <w:r w:rsidRPr="00CD20DB">
        <w:tab/>
      </w:r>
      <w:r w:rsidRPr="002F6636">
        <w:t xml:space="preserve">Le </w:t>
      </w:r>
      <w:r>
        <w:t xml:space="preserve">Ministère de la culture et des médias </w:t>
      </w:r>
      <w:r w:rsidRPr="00CD20DB">
        <w:t xml:space="preserve">soutient </w:t>
      </w:r>
      <w:r>
        <w:t xml:space="preserve">à titre permanent </w:t>
      </w:r>
      <w:r w:rsidRPr="00CD20DB">
        <w:t>les activités des associations roms de l</w:t>
      </w:r>
      <w:r>
        <w:t>’</w:t>
      </w:r>
      <w:r w:rsidRPr="00CD20DB">
        <w:t xml:space="preserve">Union croate </w:t>
      </w:r>
      <w:r>
        <w:t>des Roms « </w:t>
      </w:r>
      <w:r w:rsidRPr="00CD20DB">
        <w:t>Kali Sata</w:t>
      </w:r>
      <w:r>
        <w:t> »</w:t>
      </w:r>
      <w:r w:rsidRPr="00CD20DB">
        <w:t xml:space="preserve"> et de l</w:t>
      </w:r>
      <w:r>
        <w:t>’</w:t>
      </w:r>
      <w:r w:rsidRPr="00CD20DB">
        <w:t xml:space="preserve">Association des jeunes roms </w:t>
      </w:r>
      <w:r>
        <w:t xml:space="preserve">« Avenir des roms » à </w:t>
      </w:r>
      <w:r w:rsidRPr="00CD20DB">
        <w:t xml:space="preserve">Rijeka, </w:t>
      </w:r>
      <w:r>
        <w:t xml:space="preserve">par des </w:t>
      </w:r>
      <w:r w:rsidRPr="00CD20DB">
        <w:t xml:space="preserve">projets de soutien aux artistes roms et des projets </w:t>
      </w:r>
      <w:r>
        <w:t xml:space="preserve">visant préserver </w:t>
      </w:r>
      <w:r w:rsidRPr="00CD20DB">
        <w:t>la culture, l</w:t>
      </w:r>
      <w:r>
        <w:t>’</w:t>
      </w:r>
      <w:r w:rsidRPr="00CD20DB">
        <w:t>histoire et la langue des Roms en Croatie.</w:t>
      </w:r>
    </w:p>
    <w:p w14:paraId="57F32232" w14:textId="77777777" w:rsidR="000C1192" w:rsidRPr="00823F5C" w:rsidRDefault="000C1192" w:rsidP="000C1192">
      <w:pPr>
        <w:pStyle w:val="SingleTxtG"/>
        <w:rPr>
          <w:rStyle w:val="Appelnotedebasdep"/>
          <w:color w:val="000000" w:themeColor="text1"/>
        </w:rPr>
      </w:pPr>
      <w:r w:rsidRPr="00CD20DB">
        <w:lastRenderedPageBreak/>
        <w:t>277.</w:t>
      </w:r>
      <w:r w:rsidRPr="00CD20DB">
        <w:tab/>
        <w:t>L</w:t>
      </w:r>
      <w:r>
        <w:t>’</w:t>
      </w:r>
      <w:r w:rsidRPr="00CD20DB">
        <w:t xml:space="preserve">éducation artistique est accessible à </w:t>
      </w:r>
      <w:r>
        <w:t>chacun sur un pied d’égalité</w:t>
      </w:r>
      <w:r w:rsidRPr="00CD20DB">
        <w:t xml:space="preserve">, </w:t>
      </w:r>
      <w:r>
        <w:t xml:space="preserve">selon ses </w:t>
      </w:r>
      <w:r w:rsidRPr="00CD20DB">
        <w:t xml:space="preserve">capacités, et conformément à </w:t>
      </w:r>
      <w:r>
        <w:t>la loi sur l’éducation artistique</w:t>
      </w:r>
      <w:r w:rsidRPr="00535E17">
        <w:rPr>
          <w:rStyle w:val="Appelnotedebasdep"/>
        </w:rPr>
        <w:footnoteReference w:id="80"/>
      </w:r>
      <w:r w:rsidRPr="00823F5C">
        <w:t>.</w:t>
      </w:r>
    </w:p>
    <w:p w14:paraId="2573B501" w14:textId="77777777" w:rsidR="000C1192" w:rsidRPr="00343CE2" w:rsidRDefault="000C1192" w:rsidP="000C1192">
      <w:pPr>
        <w:pStyle w:val="SingleTxtG"/>
      </w:pPr>
      <w:r w:rsidRPr="002C60A5">
        <w:t>278.</w:t>
      </w:r>
      <w:r w:rsidRPr="002C60A5">
        <w:tab/>
      </w:r>
      <w:r w:rsidRPr="00343CE2">
        <w:t>L</w:t>
      </w:r>
      <w:r>
        <w:t>’</w:t>
      </w:r>
      <w:r w:rsidRPr="00343CE2">
        <w:t xml:space="preserve">activité scientifique </w:t>
      </w:r>
      <w:r>
        <w:t xml:space="preserve">fait l’objet </w:t>
      </w:r>
      <w:r w:rsidRPr="00343CE2">
        <w:t>d</w:t>
      </w:r>
      <w:r>
        <w:t xml:space="preserve">’un </w:t>
      </w:r>
      <w:r w:rsidRPr="00343CE2">
        <w:t xml:space="preserve">intérêt particulier </w:t>
      </w:r>
      <w:r>
        <w:t>en République de Croatie</w:t>
      </w:r>
      <w:r w:rsidRPr="00343CE2">
        <w:t xml:space="preserve">, et conformément </w:t>
      </w:r>
      <w:r>
        <w:t>à la loi sur l’activité scientifique et l’enseignement supérieur</w:t>
      </w:r>
      <w:r w:rsidRPr="00343CE2">
        <w:t xml:space="preserve">, </w:t>
      </w:r>
      <w:r>
        <w:t xml:space="preserve">a pour fondements </w:t>
      </w:r>
      <w:r w:rsidRPr="00343CE2">
        <w:t>la liberté et l</w:t>
      </w:r>
      <w:r>
        <w:t>’</w:t>
      </w:r>
      <w:r w:rsidRPr="00343CE2">
        <w:t xml:space="preserve">autonomie </w:t>
      </w:r>
      <w:r>
        <w:t>de création</w:t>
      </w:r>
      <w:r w:rsidRPr="00343CE2">
        <w:t>, l</w:t>
      </w:r>
      <w:r>
        <w:t>’</w:t>
      </w:r>
      <w:r w:rsidRPr="00343CE2">
        <w:t xml:space="preserve">éthique </w:t>
      </w:r>
      <w:r>
        <w:t>scientifique</w:t>
      </w:r>
      <w:r w:rsidRPr="00343CE2">
        <w:t xml:space="preserve">, la </w:t>
      </w:r>
      <w:r>
        <w:t>transparence</w:t>
      </w:r>
      <w:r w:rsidRPr="00343CE2">
        <w:t xml:space="preserve">, </w:t>
      </w:r>
      <w:r>
        <w:t xml:space="preserve">les liens </w:t>
      </w:r>
      <w:r w:rsidRPr="00343CE2">
        <w:t>avec le système éducatif, les normes internationales</w:t>
      </w:r>
      <w:r w:rsidRPr="007D5DFA">
        <w:t xml:space="preserve"> </w:t>
      </w:r>
      <w:r w:rsidRPr="00343CE2">
        <w:t>de qualité, l</w:t>
      </w:r>
      <w:r>
        <w:t>’</w:t>
      </w:r>
      <w:r w:rsidRPr="00343CE2">
        <w:t xml:space="preserve">encouragement </w:t>
      </w:r>
      <w:r>
        <w:t xml:space="preserve">des </w:t>
      </w:r>
      <w:r w:rsidRPr="00343CE2">
        <w:t>contenu</w:t>
      </w:r>
      <w:r>
        <w:t>s d’origine</w:t>
      </w:r>
      <w:r w:rsidRPr="00343CE2">
        <w:t xml:space="preserve"> national</w:t>
      </w:r>
      <w:r>
        <w:t>e</w:t>
      </w:r>
      <w:r w:rsidRPr="00343CE2">
        <w:t xml:space="preserve"> </w:t>
      </w:r>
      <w:r>
        <w:t xml:space="preserve">et le respect de leurs spécificités </w:t>
      </w:r>
      <w:r w:rsidRPr="00343CE2">
        <w:t>et la protection de la propriété intellectuelle. Le travail scientifique n</w:t>
      </w:r>
      <w:r>
        <w:t>’</w:t>
      </w:r>
      <w:r w:rsidRPr="00343CE2">
        <w:t xml:space="preserve">est soumis à aucune restriction </w:t>
      </w:r>
      <w:r>
        <w:t xml:space="preserve">ni </w:t>
      </w:r>
      <w:r w:rsidRPr="00343CE2">
        <w:t>exigence formelle autre que celles découlant du respect de l</w:t>
      </w:r>
      <w:r>
        <w:t>’</w:t>
      </w:r>
      <w:r w:rsidRPr="00343CE2">
        <w:t xml:space="preserve">éthique dans </w:t>
      </w:r>
      <w:r>
        <w:t xml:space="preserve">l’activité </w:t>
      </w:r>
      <w:r w:rsidRPr="00343CE2">
        <w:t xml:space="preserve">scientifique et </w:t>
      </w:r>
      <w:r>
        <w:t xml:space="preserve">la </w:t>
      </w:r>
      <w:r w:rsidRPr="00343CE2">
        <w:t>recherche, de la protection des droits de l</w:t>
      </w:r>
      <w:r>
        <w:t>’</w:t>
      </w:r>
      <w:r w:rsidRPr="00343CE2">
        <w:t xml:space="preserve">homme et de la protection de la sécurité </w:t>
      </w:r>
      <w:r>
        <w:t xml:space="preserve">individuelle </w:t>
      </w:r>
      <w:r w:rsidRPr="00343CE2">
        <w:t xml:space="preserve">et générale au travail. La </w:t>
      </w:r>
      <w:r>
        <w:t xml:space="preserve">République de Croatie est consciente de </w:t>
      </w:r>
      <w:r w:rsidRPr="00343CE2">
        <w:t>l</w:t>
      </w:r>
      <w:r>
        <w:t>’</w:t>
      </w:r>
      <w:r w:rsidRPr="00343CE2">
        <w:t>importance de la science et de la technologie appliquées</w:t>
      </w:r>
      <w:r>
        <w:t xml:space="preserve"> comme moyen très efficace de </w:t>
      </w:r>
      <w:r w:rsidRPr="00343CE2">
        <w:t xml:space="preserve">stimuler la croissance économique et </w:t>
      </w:r>
      <w:r>
        <w:t xml:space="preserve">de </w:t>
      </w:r>
      <w:r w:rsidRPr="00343CE2">
        <w:t>promouvoir d</w:t>
      </w:r>
      <w:r>
        <w:t>’</w:t>
      </w:r>
      <w:r w:rsidRPr="00343CE2">
        <w:t>autres objectifs nationaux et valeurs constitutionnelles.</w:t>
      </w:r>
    </w:p>
    <w:p w14:paraId="62F39CDC" w14:textId="77777777" w:rsidR="000C1192" w:rsidRPr="00B5087A" w:rsidRDefault="000C1192" w:rsidP="000C1192">
      <w:pPr>
        <w:pStyle w:val="SingleTxtG"/>
      </w:pPr>
      <w:r w:rsidRPr="00131BFF">
        <w:t>279.</w:t>
      </w:r>
      <w:r w:rsidRPr="00131BFF">
        <w:tab/>
      </w:r>
      <w:r w:rsidRPr="00B5087A">
        <w:t>Le M</w:t>
      </w:r>
      <w:r>
        <w:t xml:space="preserve">inistère des sciences et de l’éducation soutient </w:t>
      </w:r>
      <w:r w:rsidRPr="00B5087A">
        <w:t xml:space="preserve">et finance régulièrement </w:t>
      </w:r>
      <w:r>
        <w:t xml:space="preserve">des activités de </w:t>
      </w:r>
      <w:r w:rsidRPr="00B5087A">
        <w:t xml:space="preserve">recherche et </w:t>
      </w:r>
      <w:r>
        <w:t xml:space="preserve">des </w:t>
      </w:r>
      <w:r w:rsidRPr="00B5087A">
        <w:t>activités scientifiques</w:t>
      </w:r>
      <w:r>
        <w:t>,</w:t>
      </w:r>
      <w:r w:rsidRPr="00B5087A">
        <w:t xml:space="preserve"> </w:t>
      </w:r>
      <w:r>
        <w:t xml:space="preserve">là </w:t>
      </w:r>
      <w:r w:rsidRPr="00B5087A">
        <w:t xml:space="preserve">où </w:t>
      </w:r>
      <w:r>
        <w:t xml:space="preserve">des </w:t>
      </w:r>
      <w:r w:rsidRPr="00B5087A">
        <w:t>découvertes scientifiques sont susceptibles d</w:t>
      </w:r>
      <w:r>
        <w:t>’</w:t>
      </w:r>
      <w:r w:rsidRPr="00B5087A">
        <w:t xml:space="preserve">être utilisées </w:t>
      </w:r>
      <w:r>
        <w:t xml:space="preserve">dans l’intérêt de </w:t>
      </w:r>
      <w:r w:rsidRPr="00B5087A">
        <w:t xml:space="preserve">tous les citoyens (climat, agriculture, bioéconomie, biomédecine, etc.). En outre, </w:t>
      </w:r>
      <w:r>
        <w:t xml:space="preserve">il est l’autorité chargée de l’application des </w:t>
      </w:r>
      <w:r w:rsidRPr="00B5087A">
        <w:t>programmes-cadres Horizon 2020 et Horizon Europe</w:t>
      </w:r>
      <w:r>
        <w:t xml:space="preserve"> de l’UE </w:t>
      </w:r>
      <w:r w:rsidRPr="00B5087A">
        <w:t>pour la recherche et l</w:t>
      </w:r>
      <w:r>
        <w:t>’</w:t>
      </w:r>
      <w:r w:rsidRPr="00B5087A">
        <w:t>innovation</w:t>
      </w:r>
      <w:r>
        <w:t>,</w:t>
      </w:r>
      <w:r w:rsidRPr="00B5087A">
        <w:t xml:space="preserve"> </w:t>
      </w:r>
      <w:r>
        <w:t xml:space="preserve">qui aident à mettre en application sur le plan commercial les résultats obtenus par </w:t>
      </w:r>
      <w:r w:rsidRPr="00B5087A">
        <w:t>des scientifiques croates</w:t>
      </w:r>
      <w:r>
        <w:t xml:space="preserve"> dans le cadre de la recherche scientifique</w:t>
      </w:r>
      <w:r w:rsidRPr="00B5087A">
        <w:t>.</w:t>
      </w:r>
    </w:p>
    <w:p w14:paraId="36D59849" w14:textId="36C82254" w:rsidR="000C1192" w:rsidRPr="00131BFF" w:rsidRDefault="000C1192" w:rsidP="000C1192">
      <w:pPr>
        <w:pStyle w:val="SingleTxtG"/>
        <w:rPr>
          <w:rStyle w:val="Appelnotedebasdep"/>
          <w:color w:val="000000" w:themeColor="text1"/>
        </w:rPr>
      </w:pPr>
      <w:r w:rsidRPr="00734233">
        <w:t>280.</w:t>
      </w:r>
      <w:r w:rsidRPr="00734233">
        <w:tab/>
        <w:t>Conformément</w:t>
      </w:r>
      <w:r w:rsidRPr="00131BFF">
        <w:t xml:space="preserve"> aux dispositions de </w:t>
      </w:r>
      <w:r>
        <w:t>la loi sur l’activité scientifique et l’enseignement supérieur</w:t>
      </w:r>
      <w:r w:rsidRPr="00131BFF">
        <w:t xml:space="preserve">, le </w:t>
      </w:r>
      <w:r>
        <w:t xml:space="preserve">Ministère des sciences et de l’éducation publie </w:t>
      </w:r>
      <w:r w:rsidRPr="00131BFF">
        <w:t xml:space="preserve">un appel </w:t>
      </w:r>
      <w:r>
        <w:t>à candidatures à l’issue duquel des membres sont proposés pour la Commission de l’</w:t>
      </w:r>
      <w:r w:rsidRPr="0040639D">
        <w:t xml:space="preserve">éthique </w:t>
      </w:r>
      <w:r>
        <w:t xml:space="preserve">dans les </w:t>
      </w:r>
      <w:r w:rsidRPr="0040639D">
        <w:t>science</w:t>
      </w:r>
      <w:r>
        <w:t>s</w:t>
      </w:r>
      <w:r w:rsidRPr="0040639D">
        <w:t xml:space="preserve"> et l</w:t>
      </w:r>
      <w:r>
        <w:t>’</w:t>
      </w:r>
      <w:r w:rsidRPr="0040639D">
        <w:t>enseignement supérieur</w:t>
      </w:r>
      <w:r w:rsidRPr="00535E17">
        <w:rPr>
          <w:rStyle w:val="Appelnotedebasdep"/>
        </w:rPr>
        <w:footnoteReference w:id="81"/>
      </w:r>
      <w:r>
        <w:t>.</w:t>
      </w:r>
    </w:p>
    <w:p w14:paraId="3B4005BB" w14:textId="54FC4318" w:rsidR="000C1192" w:rsidRPr="00AB3D88" w:rsidRDefault="000C1192" w:rsidP="000C1192">
      <w:pPr>
        <w:pStyle w:val="SingleTxtG"/>
      </w:pPr>
      <w:r w:rsidRPr="007D4B1C">
        <w:t>281.</w:t>
      </w:r>
      <w:r w:rsidRPr="007D4B1C">
        <w:tab/>
      </w:r>
      <w:r>
        <w:t xml:space="preserve">Afin de </w:t>
      </w:r>
      <w:r w:rsidRPr="004463FB">
        <w:t>réaliser les intérêts matériels fondamentaux</w:t>
      </w:r>
      <w:r>
        <w:t xml:space="preserve"> qui reviennent,</w:t>
      </w:r>
      <w:r w:rsidRPr="004463FB">
        <w:t xml:space="preserve"> dans le domaine de l</w:t>
      </w:r>
      <w:r>
        <w:t>’</w:t>
      </w:r>
      <w:r w:rsidRPr="004463FB">
        <w:t xml:space="preserve">édition littéraire, </w:t>
      </w:r>
      <w:r>
        <w:t xml:space="preserve">par rapport à leur œuvre, aux </w:t>
      </w:r>
      <w:r w:rsidRPr="004463FB">
        <w:t>auteurs</w:t>
      </w:r>
      <w:r>
        <w:t>,</w:t>
      </w:r>
      <w:r w:rsidRPr="004463FB">
        <w:t xml:space="preserve"> le </w:t>
      </w:r>
      <w:r>
        <w:t>M</w:t>
      </w:r>
      <w:r w:rsidRPr="004463FB">
        <w:t xml:space="preserve">inistère de la culture et des médias accorde des </w:t>
      </w:r>
      <w:r>
        <w:t>aides</w:t>
      </w:r>
      <w:r w:rsidRPr="004463FB">
        <w:t xml:space="preserve"> pour </w:t>
      </w:r>
      <w:r>
        <w:t xml:space="preserve">soutenir </w:t>
      </w:r>
      <w:r w:rsidRPr="004463FB">
        <w:t>la création littéraire sous la forme de bourses trimestrielles, semestrielles et annuelles</w:t>
      </w:r>
      <w:r>
        <w:t>,</w:t>
      </w:r>
      <w:r w:rsidRPr="004463FB">
        <w:t xml:space="preserve"> </w:t>
      </w:r>
      <w:r>
        <w:t xml:space="preserve">dont les auteurs peuvent bénéficier </w:t>
      </w:r>
      <w:r w:rsidRPr="004463FB">
        <w:t>pour des travaux littéraires et de traduction</w:t>
      </w:r>
      <w:r>
        <w:t>,</w:t>
      </w:r>
      <w:r w:rsidRPr="004463FB">
        <w:t xml:space="preserve"> et de </w:t>
      </w:r>
      <w:r>
        <w:t xml:space="preserve">prix récompensant la meilleure œuvre </w:t>
      </w:r>
      <w:r w:rsidRPr="004463FB">
        <w:t>de création littéraire de l</w:t>
      </w:r>
      <w:r>
        <w:t>’</w:t>
      </w:r>
      <w:r w:rsidRPr="004463FB">
        <w:t>année</w:t>
      </w:r>
      <w:r>
        <w:t xml:space="preserve"> (v</w:t>
      </w:r>
      <w:r w:rsidRPr="00AB3D88">
        <w:t xml:space="preserve">oir </w:t>
      </w:r>
      <w:r>
        <w:t>a</w:t>
      </w:r>
      <w:r w:rsidRPr="00AB3D88">
        <w:t>nnexe</w:t>
      </w:r>
      <w:r w:rsidR="00391095">
        <w:t> </w:t>
      </w:r>
      <w:r w:rsidRPr="00AB3D88">
        <w:t>2, f</w:t>
      </w:r>
      <w:r w:rsidR="00391095">
        <w:t>euille </w:t>
      </w:r>
      <w:r w:rsidRPr="00AB3D88">
        <w:t>15.1.1</w:t>
      </w:r>
      <w:r>
        <w:t>, t</w:t>
      </w:r>
      <w:r w:rsidRPr="00AB3D88">
        <w:t>ableau</w:t>
      </w:r>
      <w:r w:rsidR="00391095">
        <w:t> </w:t>
      </w:r>
      <w:r w:rsidRPr="00AB3D88">
        <w:t>8</w:t>
      </w:r>
      <w:r>
        <w:t>).</w:t>
      </w:r>
    </w:p>
    <w:p w14:paraId="2228AF47" w14:textId="19FBAE6D" w:rsidR="000C1192" w:rsidRPr="003D60D0" w:rsidRDefault="000C1192" w:rsidP="000C1192">
      <w:pPr>
        <w:pStyle w:val="SingleTxtG"/>
      </w:pPr>
      <w:bookmarkStart w:id="10" w:name="_Hlk109209858"/>
      <w:r w:rsidRPr="00456266">
        <w:t>282.</w:t>
      </w:r>
      <w:r w:rsidRPr="00456266">
        <w:tab/>
      </w:r>
      <w:r w:rsidRPr="003D60D0">
        <w:t>En 2018</w:t>
      </w:r>
      <w:r>
        <w:t xml:space="preserve">, le </w:t>
      </w:r>
      <w:r w:rsidRPr="003D60D0">
        <w:t xml:space="preserve">Ministère de la culture et des médias a </w:t>
      </w:r>
      <w:r>
        <w:t xml:space="preserve">rendu public un projet pilote d’aide aux créateurs des arts visuels, pour lequel a été lancé un appel public à candidatures. Cette nouvelle </w:t>
      </w:r>
      <w:r w:rsidRPr="003D60D0">
        <w:t xml:space="preserve">initiative </w:t>
      </w:r>
      <w:r>
        <w:t xml:space="preserve">vise à </w:t>
      </w:r>
      <w:r w:rsidRPr="003D60D0">
        <w:t xml:space="preserve">améliorer </w:t>
      </w:r>
      <w:r>
        <w:t xml:space="preserve">la situation </w:t>
      </w:r>
      <w:r w:rsidRPr="003D60D0">
        <w:t>social</w:t>
      </w:r>
      <w:r>
        <w:t>e</w:t>
      </w:r>
      <w:r w:rsidRPr="003D60D0">
        <w:t>, professionnel</w:t>
      </w:r>
      <w:r>
        <w:t>le</w:t>
      </w:r>
      <w:r w:rsidRPr="003D60D0">
        <w:t xml:space="preserve"> et matériel</w:t>
      </w:r>
      <w:r>
        <w:t>le</w:t>
      </w:r>
      <w:r w:rsidRPr="003D60D0">
        <w:t xml:space="preserve"> des artistes visuels. En 2018 et </w:t>
      </w:r>
      <w:r>
        <w:t xml:space="preserve">en </w:t>
      </w:r>
      <w:r w:rsidRPr="003D60D0">
        <w:t>2019, 88</w:t>
      </w:r>
      <w:r w:rsidR="00391095">
        <w:t> </w:t>
      </w:r>
      <w:r>
        <w:t xml:space="preserve">bourses </w:t>
      </w:r>
      <w:r w:rsidRPr="003D60D0">
        <w:t>ont été accordées à des artistes visuels (</w:t>
      </w:r>
      <w:r>
        <w:t xml:space="preserve">pour un montant </w:t>
      </w:r>
      <w:r w:rsidR="009C0D2F" w:rsidRPr="009C0D2F">
        <w:t xml:space="preserve">de </w:t>
      </w:r>
      <w:r w:rsidR="009C0D2F" w:rsidRPr="009C0D2F">
        <w:t>2</w:t>
      </w:r>
      <w:r w:rsidR="009C0D2F">
        <w:t> </w:t>
      </w:r>
      <w:r w:rsidR="009C0D2F" w:rsidRPr="009C0D2F">
        <w:t>387</w:t>
      </w:r>
      <w:r w:rsidR="009C0D2F">
        <w:t> </w:t>
      </w:r>
      <w:r w:rsidR="009C0D2F" w:rsidRPr="009C0D2F">
        <w:t>195</w:t>
      </w:r>
      <w:r w:rsidR="009C0D2F">
        <w:t>,</w:t>
      </w:r>
      <w:r w:rsidR="009C0D2F" w:rsidRPr="009C0D2F">
        <w:t>00</w:t>
      </w:r>
      <w:r w:rsidR="00391095">
        <w:t> </w:t>
      </w:r>
      <w:r>
        <w:t xml:space="preserve">millions de </w:t>
      </w:r>
      <w:proofErr w:type="spellStart"/>
      <w:r>
        <w:t>kunas</w:t>
      </w:r>
      <w:proofErr w:type="spellEnd"/>
      <w:r w:rsidRPr="003D60D0">
        <w:t>).</w:t>
      </w:r>
    </w:p>
    <w:bookmarkEnd w:id="10"/>
    <w:p w14:paraId="0DD8F031" w14:textId="22742A5B" w:rsidR="000C1192" w:rsidRPr="00456266" w:rsidRDefault="000C1192" w:rsidP="000C1192">
      <w:pPr>
        <w:pStyle w:val="SingleTxtG"/>
      </w:pPr>
      <w:r w:rsidRPr="00B81E2C">
        <w:t>283.</w:t>
      </w:r>
      <w:r w:rsidRPr="00B81E2C">
        <w:tab/>
      </w:r>
      <w:r w:rsidRPr="00456266">
        <w:t>L</w:t>
      </w:r>
      <w:r>
        <w:t>’</w:t>
      </w:r>
      <w:r w:rsidR="00A858B3">
        <w:t>article </w:t>
      </w:r>
      <w:r w:rsidRPr="00456266">
        <w:t xml:space="preserve">69 </w:t>
      </w:r>
      <w:r>
        <w:t xml:space="preserve">de la Constitution de la République de Croatie garantit </w:t>
      </w:r>
      <w:r w:rsidRPr="00456266">
        <w:t xml:space="preserve">la liberté </w:t>
      </w:r>
      <w:r>
        <w:t xml:space="preserve">de création </w:t>
      </w:r>
      <w:r w:rsidRPr="00456266">
        <w:t>scientifique, culturelle et artistique</w:t>
      </w:r>
      <w:r>
        <w:t>.</w:t>
      </w:r>
    </w:p>
    <w:p w14:paraId="56834085" w14:textId="5DACC290" w:rsidR="000C1192" w:rsidRPr="0089334D" w:rsidRDefault="000C1192" w:rsidP="000C1192">
      <w:pPr>
        <w:pStyle w:val="SingleTxtG"/>
      </w:pPr>
      <w:r w:rsidRPr="00DA3693">
        <w:t>284.</w:t>
      </w:r>
      <w:r w:rsidRPr="00DA3693">
        <w:tab/>
      </w:r>
      <w:r w:rsidRPr="0089334D">
        <w:t>La liberté d</w:t>
      </w:r>
      <w:r>
        <w:t>e l’</w:t>
      </w:r>
      <w:r w:rsidRPr="0089334D">
        <w:t xml:space="preserve">activité scientifique et </w:t>
      </w:r>
      <w:r>
        <w:t xml:space="preserve">créatrice est dûment reconnue </w:t>
      </w:r>
      <w:r w:rsidRPr="0089334D">
        <w:t>à tous les membres de la communauté universitaire</w:t>
      </w:r>
      <w:r>
        <w:t xml:space="preserve"> et recouvre </w:t>
      </w:r>
      <w:r w:rsidRPr="0089334D">
        <w:t>la liberté de recherche et de création scientifique et artistique, d</w:t>
      </w:r>
      <w:r>
        <w:t>’</w:t>
      </w:r>
      <w:r w:rsidRPr="0089334D">
        <w:t>enseignement, de coopération mutuelle et d</w:t>
      </w:r>
      <w:r>
        <w:t>’</w:t>
      </w:r>
      <w:r w:rsidRPr="0089334D">
        <w:t xml:space="preserve">association, conformément </w:t>
      </w:r>
      <w:r>
        <w:t>à la Constitution de la République de Croatie</w:t>
      </w:r>
      <w:r w:rsidRPr="0089334D">
        <w:t xml:space="preserve">, aux traités internationaux et à </w:t>
      </w:r>
      <w:r>
        <w:t xml:space="preserve">la loi sur l’activité scientifique et l’enseignement supérieur, qui définit l’autonomie dont jouissent les </w:t>
      </w:r>
      <w:r w:rsidRPr="0089334D">
        <w:t>établissements d</w:t>
      </w:r>
      <w:r>
        <w:t>’</w:t>
      </w:r>
      <w:r w:rsidRPr="0089334D">
        <w:t xml:space="preserve">enseignement supérieur et </w:t>
      </w:r>
      <w:r>
        <w:t xml:space="preserve">les </w:t>
      </w:r>
      <w:r w:rsidRPr="0089334D">
        <w:t xml:space="preserve">universités, </w:t>
      </w:r>
      <w:r>
        <w:t xml:space="preserve">qui va de pair avec des </w:t>
      </w:r>
      <w:r w:rsidRPr="0089334D">
        <w:t>responsabilité</w:t>
      </w:r>
      <w:r>
        <w:t>s</w:t>
      </w:r>
      <w:r w:rsidRPr="0089334D">
        <w:t xml:space="preserve"> </w:t>
      </w:r>
      <w:r>
        <w:t xml:space="preserve">de </w:t>
      </w:r>
      <w:r w:rsidRPr="0089334D">
        <w:t xml:space="preserve">la communauté </w:t>
      </w:r>
      <w:r>
        <w:t>universitaire envers la société.</w:t>
      </w:r>
    </w:p>
    <w:p w14:paraId="044F1B6A" w14:textId="77777777" w:rsidR="000C1192" w:rsidRPr="00351150" w:rsidRDefault="000C1192" w:rsidP="000C1192">
      <w:pPr>
        <w:pStyle w:val="SingleTxtG"/>
      </w:pPr>
      <w:r w:rsidRPr="003D7849">
        <w:t>285.</w:t>
      </w:r>
      <w:r w:rsidRPr="003D7849">
        <w:tab/>
        <w:t>La loi sur les activités audiovisuelles (2007) régit l</w:t>
      </w:r>
      <w:r>
        <w:t>’</w:t>
      </w:r>
      <w:r w:rsidRPr="003D7849">
        <w:t>action menée par le Centre croate de l</w:t>
      </w:r>
      <w:r>
        <w:t>’</w:t>
      </w:r>
      <w:r w:rsidRPr="003D7849">
        <w:t xml:space="preserve">audiovisuel, institution publique, pour soutenir la création audiovisuelle. </w:t>
      </w:r>
      <w:r w:rsidRPr="00351150">
        <w:t xml:space="preserve">Le </w:t>
      </w:r>
      <w:r w:rsidRPr="002C72C6">
        <w:t>Centre croate de l</w:t>
      </w:r>
      <w:r>
        <w:t>’</w:t>
      </w:r>
      <w:r w:rsidRPr="002C72C6">
        <w:t>audiovisuel e</w:t>
      </w:r>
      <w:r>
        <w:t xml:space="preserve">st chargé d’élaborer et d’appliquer </w:t>
      </w:r>
      <w:r w:rsidRPr="00351150">
        <w:t xml:space="preserve">le programme national de promotion de la </w:t>
      </w:r>
      <w:r>
        <w:t xml:space="preserve">création </w:t>
      </w:r>
      <w:r w:rsidRPr="00351150">
        <w:t xml:space="preserve">audiovisuelle, </w:t>
      </w:r>
      <w:r>
        <w:t xml:space="preserve">de </w:t>
      </w:r>
      <w:r w:rsidRPr="00351150">
        <w:t>collecte</w:t>
      </w:r>
      <w:r>
        <w:t>r</w:t>
      </w:r>
      <w:r w:rsidRPr="00351150">
        <w:t xml:space="preserve"> et distribue</w:t>
      </w:r>
      <w:r>
        <w:t>r</w:t>
      </w:r>
      <w:r w:rsidRPr="00351150">
        <w:t xml:space="preserve"> des fonds </w:t>
      </w:r>
      <w:r>
        <w:t xml:space="preserve">au moyen </w:t>
      </w:r>
      <w:r w:rsidRPr="00351150">
        <w:t>d</w:t>
      </w:r>
      <w:r>
        <w:t>’</w:t>
      </w:r>
      <w:r w:rsidRPr="00351150">
        <w:t xml:space="preserve">appels </w:t>
      </w:r>
      <w:r w:rsidRPr="00351150">
        <w:lastRenderedPageBreak/>
        <w:t>d</w:t>
      </w:r>
      <w:r>
        <w:t>’</w:t>
      </w:r>
      <w:r w:rsidRPr="00351150">
        <w:t xml:space="preserve">offres </w:t>
      </w:r>
      <w:r>
        <w:t xml:space="preserve">pour financer des </w:t>
      </w:r>
      <w:r w:rsidRPr="00351150">
        <w:t xml:space="preserve">activités audiovisuelles, </w:t>
      </w:r>
      <w:r>
        <w:t xml:space="preserve">de soutenir </w:t>
      </w:r>
      <w:r w:rsidRPr="00351150">
        <w:t xml:space="preserve">la production de films </w:t>
      </w:r>
      <w:r>
        <w:t>d’</w:t>
      </w:r>
      <w:r w:rsidRPr="00351150">
        <w:t xml:space="preserve">auteurs </w:t>
      </w:r>
      <w:r>
        <w:t xml:space="preserve">jeunes ou </w:t>
      </w:r>
      <w:r w:rsidRPr="00351150">
        <w:t xml:space="preserve">débutants, </w:t>
      </w:r>
      <w:r>
        <w:t xml:space="preserve">de </w:t>
      </w:r>
      <w:r w:rsidRPr="00351150">
        <w:t>représente</w:t>
      </w:r>
      <w:r>
        <w:t>r</w:t>
      </w:r>
      <w:r w:rsidRPr="00351150">
        <w:t xml:space="preserve"> les œuvres audiovisuelles croates lors de </w:t>
      </w:r>
      <w:r>
        <w:t xml:space="preserve">manifestations et de festivals </w:t>
      </w:r>
      <w:r w:rsidRPr="00351150">
        <w:t xml:space="preserve">internationaux et </w:t>
      </w:r>
      <w:r>
        <w:t>d’</w:t>
      </w:r>
      <w:r w:rsidRPr="00351150">
        <w:t>encourage</w:t>
      </w:r>
      <w:r>
        <w:t>r</w:t>
      </w:r>
      <w:r w:rsidRPr="00351150">
        <w:t xml:space="preserve"> la participation de producteurs croates à des coproductions européennes et internationales.</w:t>
      </w:r>
    </w:p>
    <w:p w14:paraId="69DB76F7" w14:textId="124264A7" w:rsidR="000C1192" w:rsidRPr="00DC195B" w:rsidRDefault="000C1192" w:rsidP="000C1192">
      <w:pPr>
        <w:pStyle w:val="SingleTxtG"/>
      </w:pPr>
      <w:r w:rsidRPr="0074159A">
        <w:t>286.</w:t>
      </w:r>
      <w:r w:rsidRPr="0074159A">
        <w:tab/>
      </w:r>
      <w:r w:rsidRPr="00DC195B">
        <w:t>L</w:t>
      </w:r>
      <w:r>
        <w:t>a</w:t>
      </w:r>
      <w:r w:rsidRPr="00DC195B">
        <w:t xml:space="preserve"> nouvel</w:t>
      </w:r>
      <w:r>
        <w:t xml:space="preserve">le loi sur les documents et les services d’archive </w:t>
      </w:r>
      <w:r w:rsidRPr="00DC195B">
        <w:t>a été adopté</w:t>
      </w:r>
      <w:r>
        <w:t>e</w:t>
      </w:r>
      <w:r w:rsidRPr="00DC195B">
        <w:t xml:space="preserve"> en 2018 </w:t>
      </w:r>
      <w:r>
        <w:t xml:space="preserve">pour </w:t>
      </w:r>
      <w:r w:rsidRPr="00DC195B">
        <w:t>améliorer et moderniser le système de protection des documents d</w:t>
      </w:r>
      <w:r>
        <w:t>’</w:t>
      </w:r>
      <w:r w:rsidRPr="00DC195B">
        <w:t xml:space="preserve">archive </w:t>
      </w:r>
      <w:r>
        <w:t xml:space="preserve">selon trois axes </w:t>
      </w:r>
      <w:r w:rsidRPr="00DC195B">
        <w:t>importants</w:t>
      </w:r>
      <w:r w:rsidR="00391095">
        <w:t> </w:t>
      </w:r>
      <w:r w:rsidRPr="00DC195B">
        <w:t xml:space="preserve">: la transformation </w:t>
      </w:r>
      <w:r>
        <w:t xml:space="preserve">des </w:t>
      </w:r>
      <w:r w:rsidRPr="00DC195B">
        <w:t>service</w:t>
      </w:r>
      <w:r>
        <w:t>s concernés</w:t>
      </w:r>
      <w:r w:rsidRPr="00DC195B">
        <w:t xml:space="preserve">, </w:t>
      </w:r>
      <w:r>
        <w:t xml:space="preserve">l’accessibilité </w:t>
      </w:r>
      <w:r w:rsidRPr="00DC195B">
        <w:t>et l</w:t>
      </w:r>
      <w:r>
        <w:t>’</w:t>
      </w:r>
      <w:r w:rsidRPr="00DC195B">
        <w:t xml:space="preserve">utilisation des documents, et la protection des documents </w:t>
      </w:r>
      <w:r>
        <w:t>par la numérisation</w:t>
      </w:r>
      <w:r w:rsidRPr="00DC195B">
        <w:t xml:space="preserve">. La période générale </w:t>
      </w:r>
      <w:r>
        <w:t xml:space="preserve">de non accessibilité des documents pendant </w:t>
      </w:r>
      <w:r w:rsidR="00391095">
        <w:t>trente</w:t>
      </w:r>
      <w:r w:rsidRPr="00DC195B">
        <w:t xml:space="preserve"> ans a été </w:t>
      </w:r>
      <w:r>
        <w:t xml:space="preserve">abolie </w:t>
      </w:r>
      <w:r w:rsidRPr="00DC195B">
        <w:t xml:space="preserve">et </w:t>
      </w:r>
      <w:r>
        <w:t xml:space="preserve">les </w:t>
      </w:r>
      <w:r w:rsidRPr="00DC195B">
        <w:t xml:space="preserve">archives et </w:t>
      </w:r>
      <w:r>
        <w:t xml:space="preserve">documents </w:t>
      </w:r>
      <w:r w:rsidRPr="00DC195B">
        <w:t>public</w:t>
      </w:r>
      <w:r>
        <w:t>s</w:t>
      </w:r>
      <w:r w:rsidRPr="00DC195B">
        <w:t xml:space="preserve"> </w:t>
      </w:r>
      <w:r>
        <w:t xml:space="preserve">sont désormais accessibles dès leur </w:t>
      </w:r>
      <w:r w:rsidRPr="00DC195B">
        <w:t>création</w:t>
      </w:r>
      <w:r>
        <w:t>.</w:t>
      </w:r>
    </w:p>
    <w:p w14:paraId="236FCA2F" w14:textId="08FE001B" w:rsidR="000C1192" w:rsidRPr="0074159A" w:rsidRDefault="000C1192" w:rsidP="000C1192">
      <w:pPr>
        <w:pStyle w:val="SingleTxtG"/>
      </w:pPr>
      <w:r w:rsidRPr="0074159A">
        <w:t>287.</w:t>
      </w:r>
      <w:r w:rsidRPr="0074159A">
        <w:tab/>
      </w:r>
      <w:r>
        <w:t>Le</w:t>
      </w:r>
      <w:r w:rsidRPr="0074159A">
        <w:t xml:space="preserve"> Plan national </w:t>
      </w:r>
      <w:r>
        <w:t xml:space="preserve">de </w:t>
      </w:r>
      <w:r w:rsidRPr="0074159A">
        <w:t xml:space="preserve">développement </w:t>
      </w:r>
      <w:r>
        <w:t xml:space="preserve">des archives </w:t>
      </w:r>
      <w:r w:rsidRPr="0074159A">
        <w:t xml:space="preserve">(2019) </w:t>
      </w:r>
      <w:r>
        <w:t xml:space="preserve">vise à créer le cadre indispensable pour accomplir les activités d’archive dans le contexte des </w:t>
      </w:r>
      <w:r w:rsidRPr="0074159A">
        <w:t>défis technologiques du XXI</w:t>
      </w:r>
      <w:r w:rsidRPr="00BA458D">
        <w:rPr>
          <w:vertAlign w:val="superscript"/>
        </w:rPr>
        <w:t>e</w:t>
      </w:r>
      <w:r w:rsidR="00391095">
        <w:t> </w:t>
      </w:r>
      <w:r w:rsidRPr="0074159A">
        <w:t xml:space="preserve">siècle, </w:t>
      </w:r>
      <w:r>
        <w:t xml:space="preserve">numériser les </w:t>
      </w:r>
      <w:r w:rsidRPr="0074159A">
        <w:t>documents d</w:t>
      </w:r>
      <w:r>
        <w:t>’</w:t>
      </w:r>
      <w:r w:rsidRPr="0074159A">
        <w:t xml:space="preserve">archives et </w:t>
      </w:r>
      <w:r>
        <w:t xml:space="preserve">rendre pleinement accessibles et utilisables les </w:t>
      </w:r>
      <w:r w:rsidRPr="0074159A">
        <w:t>documents et données d</w:t>
      </w:r>
      <w:r>
        <w:t>’</w:t>
      </w:r>
      <w:r w:rsidRPr="0074159A">
        <w:t>archives.</w:t>
      </w:r>
    </w:p>
    <w:p w14:paraId="12AC287F" w14:textId="77777777" w:rsidR="000C1192" w:rsidRPr="0074159A" w:rsidRDefault="000C1192" w:rsidP="000C1192">
      <w:pPr>
        <w:pStyle w:val="SingleTxtG"/>
      </w:pPr>
      <w:r w:rsidRPr="0074159A">
        <w:t>288.</w:t>
      </w:r>
      <w:r w:rsidRPr="0074159A">
        <w:tab/>
        <w:t>L</w:t>
      </w:r>
      <w:r>
        <w:t>’</w:t>
      </w:r>
      <w:r w:rsidRPr="0074159A">
        <w:t xml:space="preserve">un des objectifs importants du </w:t>
      </w:r>
      <w:r>
        <w:t xml:space="preserve">Ministère de la culture et des médias concerne le renforcement de </w:t>
      </w:r>
      <w:r w:rsidRPr="0074159A">
        <w:t>la coopération et des échanges culturels internationaux dans l</w:t>
      </w:r>
      <w:r>
        <w:t>’</w:t>
      </w:r>
      <w:r w:rsidRPr="0074159A">
        <w:t xml:space="preserve">UE et à </w:t>
      </w:r>
      <w:r>
        <w:t>l’extérieur</w:t>
      </w:r>
      <w:r w:rsidRPr="0074159A">
        <w:t xml:space="preserve">, </w:t>
      </w:r>
      <w:r>
        <w:t xml:space="preserve">et de </w:t>
      </w:r>
      <w:r w:rsidRPr="0074159A">
        <w:t xml:space="preserve">la présence </w:t>
      </w:r>
      <w:r>
        <w:t xml:space="preserve">de la République de Croatie </w:t>
      </w:r>
      <w:r w:rsidRPr="0074159A">
        <w:t>dans les organisations et associations internationales.</w:t>
      </w:r>
    </w:p>
    <w:p w14:paraId="719A452F" w14:textId="0F4EA56C" w:rsidR="000C1192" w:rsidRPr="00253498" w:rsidRDefault="000C1192" w:rsidP="000C1192">
      <w:pPr>
        <w:pStyle w:val="SingleTxtG"/>
      </w:pPr>
      <w:bookmarkStart w:id="11" w:name="_Hlk109209879"/>
      <w:r w:rsidRPr="00C43F13">
        <w:t>289.</w:t>
      </w:r>
      <w:r w:rsidRPr="00C43F13">
        <w:tab/>
      </w:r>
      <w:r>
        <w:t xml:space="preserve">Entre </w:t>
      </w:r>
      <w:r w:rsidRPr="00253498">
        <w:t xml:space="preserve">2010 </w:t>
      </w:r>
      <w:r>
        <w:t xml:space="preserve">et </w:t>
      </w:r>
      <w:r w:rsidRPr="00253498">
        <w:t xml:space="preserve">2013, la coopération a </w:t>
      </w:r>
      <w:r>
        <w:t xml:space="preserve">relevé </w:t>
      </w:r>
      <w:r w:rsidRPr="00253498">
        <w:t xml:space="preserve">du </w:t>
      </w:r>
      <w:r>
        <w:t>P</w:t>
      </w:r>
      <w:r w:rsidRPr="00253498">
        <w:t xml:space="preserve">rogramme </w:t>
      </w:r>
      <w:r>
        <w:t>pour la culture (</w:t>
      </w:r>
      <w:r w:rsidRPr="00253498">
        <w:t>2007</w:t>
      </w:r>
      <w:r w:rsidR="00391095">
        <w:noBreakHyphen/>
      </w:r>
      <w:r w:rsidRPr="00253498">
        <w:t>2013</w:t>
      </w:r>
      <w:r>
        <w:t>)</w:t>
      </w:r>
      <w:r w:rsidRPr="00253498">
        <w:t xml:space="preserve">, et des activités spéciales </w:t>
      </w:r>
      <w:r>
        <w:t xml:space="preserve">ont été mises en place au titre de programmes </w:t>
      </w:r>
      <w:r w:rsidRPr="00253498">
        <w:t xml:space="preserve">avec </w:t>
      </w:r>
      <w:r>
        <w:t xml:space="preserve">des </w:t>
      </w:r>
      <w:r w:rsidRPr="00253498">
        <w:t>États assurant la présidence de l</w:t>
      </w:r>
      <w:r>
        <w:t>’</w:t>
      </w:r>
      <w:r w:rsidRPr="00253498">
        <w:t>UE</w:t>
      </w:r>
      <w:r w:rsidRPr="00535E17">
        <w:rPr>
          <w:rStyle w:val="Appelnotedebasdep"/>
        </w:rPr>
        <w:footnoteReference w:id="82"/>
      </w:r>
      <w:r w:rsidRPr="00253498">
        <w:t>. Depuis 2014, la coopération se poursuit dans le cadre du programme Europe créative (2014</w:t>
      </w:r>
      <w:r w:rsidR="00391095">
        <w:noBreakHyphen/>
      </w:r>
      <w:r w:rsidRPr="00253498">
        <w:t xml:space="preserve">2019), destiné au secteur </w:t>
      </w:r>
      <w:r>
        <w:t>de la culture et de l’</w:t>
      </w:r>
      <w:r w:rsidRPr="00253498">
        <w:t>audiovisuel</w:t>
      </w:r>
      <w:r>
        <w:t xml:space="preserve"> et réparti en </w:t>
      </w:r>
      <w:r w:rsidRPr="00253498">
        <w:t xml:space="preserve">sous-programmes Culture et </w:t>
      </w:r>
      <w:r>
        <w:t>Médias</w:t>
      </w:r>
      <w:r w:rsidRPr="00253498">
        <w:t xml:space="preserve">. </w:t>
      </w:r>
      <w:r>
        <w:t xml:space="preserve">Le </w:t>
      </w:r>
      <w:proofErr w:type="spellStart"/>
      <w:r>
        <w:t>cofinancement</w:t>
      </w:r>
      <w:proofErr w:type="spellEnd"/>
      <w:r>
        <w:t xml:space="preserve"> accordé </w:t>
      </w:r>
      <w:r w:rsidRPr="00253498">
        <w:t>de 2014 à 2019</w:t>
      </w:r>
      <w:r>
        <w:t xml:space="preserve"> à des </w:t>
      </w:r>
      <w:r w:rsidRPr="00253498">
        <w:t>bénéficiaires croates</w:t>
      </w:r>
      <w:r>
        <w:t xml:space="preserve"> au titre du </w:t>
      </w:r>
      <w:r w:rsidRPr="00253498">
        <w:t xml:space="preserve">sous-programme Culture </w:t>
      </w:r>
      <w:r>
        <w:t xml:space="preserve">du </w:t>
      </w:r>
      <w:r w:rsidRPr="00253498">
        <w:t>programme Europe créative</w:t>
      </w:r>
      <w:r>
        <w:t xml:space="preserve"> totalise un montant </w:t>
      </w:r>
      <w:r w:rsidRPr="009C0D2F">
        <w:t xml:space="preserve">de </w:t>
      </w:r>
      <w:r w:rsidR="009C0D2F" w:rsidRPr="009C0D2F">
        <w:t>8</w:t>
      </w:r>
      <w:r w:rsidR="009C0D2F">
        <w:t> </w:t>
      </w:r>
      <w:r w:rsidR="009C0D2F" w:rsidRPr="009C0D2F">
        <w:t>095</w:t>
      </w:r>
      <w:r w:rsidR="009C0D2F">
        <w:t> </w:t>
      </w:r>
      <w:r w:rsidR="009C0D2F" w:rsidRPr="009C0D2F">
        <w:t>416</w:t>
      </w:r>
      <w:r w:rsidR="009C0D2F">
        <w:t>,</w:t>
      </w:r>
      <w:r w:rsidR="009C0D2F" w:rsidRPr="009C0D2F">
        <w:t>16</w:t>
      </w:r>
      <w:r w:rsidR="00391095" w:rsidRPr="009C0D2F">
        <w:t> </w:t>
      </w:r>
      <w:r w:rsidRPr="009C0D2F">
        <w:t>millions</w:t>
      </w:r>
      <w:r>
        <w:t xml:space="preserve"> d’</w:t>
      </w:r>
      <w:r w:rsidRPr="00253498">
        <w:t>euros.</w:t>
      </w:r>
    </w:p>
    <w:p w14:paraId="465D0CFE" w14:textId="5EE61F4E" w:rsidR="000C1192" w:rsidRPr="005F3EF4" w:rsidRDefault="000C1192" w:rsidP="000C1192">
      <w:pPr>
        <w:pStyle w:val="SingleTxtG"/>
      </w:pPr>
      <w:bookmarkStart w:id="12" w:name="_Hlk109209915"/>
      <w:bookmarkEnd w:id="11"/>
      <w:r w:rsidRPr="005F3EF4">
        <w:t>290.</w:t>
      </w:r>
      <w:r w:rsidRPr="005F3EF4">
        <w:tab/>
        <w:t xml:space="preserve">Les contrats et les programmes de coopération culturelle </w:t>
      </w:r>
      <w:r>
        <w:t xml:space="preserve">qui sont conclus élargissent les possibilités de présenter </w:t>
      </w:r>
      <w:r w:rsidRPr="005F3EF4">
        <w:t>la culture croate dans d</w:t>
      </w:r>
      <w:r>
        <w:t>’</w:t>
      </w:r>
      <w:r w:rsidRPr="005F3EF4">
        <w:t>autres pays, ainsi que la culture d</w:t>
      </w:r>
      <w:r>
        <w:t>’</w:t>
      </w:r>
      <w:r w:rsidRPr="005F3EF4">
        <w:t xml:space="preserve">autres pays </w:t>
      </w:r>
      <w:r>
        <w:t>en République de Croatie</w:t>
      </w:r>
      <w:r w:rsidRPr="005F3EF4">
        <w:t>. De 2017 à 2019, 151</w:t>
      </w:r>
      <w:r w:rsidR="00391095">
        <w:t> </w:t>
      </w:r>
      <w:r>
        <w:t xml:space="preserve">contrats </w:t>
      </w:r>
      <w:r w:rsidRPr="005F3EF4">
        <w:t xml:space="preserve">ont été </w:t>
      </w:r>
      <w:r>
        <w:t xml:space="preserve">passés </w:t>
      </w:r>
      <w:r w:rsidRPr="005F3EF4">
        <w:t>avec des éditeurs étrangers pour la publication d</w:t>
      </w:r>
      <w:r>
        <w:t>’</w:t>
      </w:r>
      <w:r w:rsidRPr="005F3EF4">
        <w:t>œuvres littéraires d</w:t>
      </w:r>
      <w:r>
        <w:t>’</w:t>
      </w:r>
      <w:r w:rsidRPr="005F3EF4">
        <w:t xml:space="preserve">auteurs croates </w:t>
      </w:r>
      <w:r>
        <w:t xml:space="preserve">dans d’autres </w:t>
      </w:r>
      <w:r w:rsidRPr="005F3EF4">
        <w:t>langues (</w:t>
      </w:r>
      <w:r>
        <w:t xml:space="preserve">pour un montant total de </w:t>
      </w:r>
      <w:r w:rsidRPr="005F3EF4">
        <w:t>272</w:t>
      </w:r>
      <w:r w:rsidR="00391095">
        <w:t> </w:t>
      </w:r>
      <w:r w:rsidRPr="005F3EF4">
        <w:t>610</w:t>
      </w:r>
      <w:r w:rsidR="00391095">
        <w:t> </w:t>
      </w:r>
      <w:r>
        <w:t>euros</w:t>
      </w:r>
      <w:r w:rsidRPr="005F3EF4">
        <w:t xml:space="preserve">), et </w:t>
      </w:r>
      <w:r w:rsidR="008F3DCF" w:rsidRPr="008F3DCF">
        <w:t>2</w:t>
      </w:r>
      <w:r w:rsidR="008F3DCF">
        <w:t> </w:t>
      </w:r>
      <w:r w:rsidR="008F3DCF" w:rsidRPr="008F3DCF">
        <w:t>996</w:t>
      </w:r>
      <w:r w:rsidR="008F3DCF">
        <w:t> </w:t>
      </w:r>
      <w:r w:rsidR="008F3DCF" w:rsidRPr="008F3DCF">
        <w:t>258</w:t>
      </w:r>
      <w:r w:rsidR="008F3DCF">
        <w:t> </w:t>
      </w:r>
      <w:r w:rsidRPr="008F3DCF">
        <w:t>millions</w:t>
      </w:r>
      <w:r>
        <w:t xml:space="preserve"> de </w:t>
      </w:r>
      <w:proofErr w:type="spellStart"/>
      <w:r>
        <w:t>kunas</w:t>
      </w:r>
      <w:proofErr w:type="spellEnd"/>
      <w:r>
        <w:t xml:space="preserve"> ont été alloués à la représentation dans des festivals étrangers et à </w:t>
      </w:r>
      <w:r w:rsidRPr="005F3EF4">
        <w:t>l</w:t>
      </w:r>
      <w:r>
        <w:t>’</w:t>
      </w:r>
      <w:r w:rsidRPr="005F3EF4">
        <w:t xml:space="preserve">organisation </w:t>
      </w:r>
      <w:r>
        <w:t xml:space="preserve">de salons internationaux </w:t>
      </w:r>
      <w:r w:rsidRPr="005F3EF4">
        <w:t xml:space="preserve">du livre </w:t>
      </w:r>
      <w:r>
        <w:t>en République de Croatie</w:t>
      </w:r>
      <w:r w:rsidRPr="005F3EF4">
        <w:t>, pour 27</w:t>
      </w:r>
      <w:r w:rsidR="00391095">
        <w:t> </w:t>
      </w:r>
      <w:r w:rsidRPr="005F3EF4">
        <w:t xml:space="preserve">programmes. La </w:t>
      </w:r>
      <w:r>
        <w:t xml:space="preserve">République de Croatie </w:t>
      </w:r>
      <w:r w:rsidRPr="005F3EF4">
        <w:t xml:space="preserve">a </w:t>
      </w:r>
      <w:r>
        <w:t xml:space="preserve">conclu </w:t>
      </w:r>
      <w:r w:rsidRPr="005F3EF4">
        <w:t>51</w:t>
      </w:r>
      <w:r w:rsidR="00391095">
        <w:t> </w:t>
      </w:r>
      <w:r w:rsidRPr="005F3EF4">
        <w:t>accords bilatéraux sur la coopération culturelle et 27</w:t>
      </w:r>
      <w:r w:rsidR="00391095">
        <w:t> </w:t>
      </w:r>
      <w:r w:rsidRPr="005F3EF4">
        <w:t>programmes bilatéraux sur la coopération culturelle</w:t>
      </w:r>
      <w:r>
        <w:t xml:space="preserve"> (</w:t>
      </w:r>
      <w:r w:rsidRPr="005F3EF4">
        <w:t xml:space="preserve">voir </w:t>
      </w:r>
      <w:r>
        <w:t>a</w:t>
      </w:r>
      <w:r w:rsidRPr="005F3EF4">
        <w:t>nnexe</w:t>
      </w:r>
      <w:r w:rsidR="00391095">
        <w:t> </w:t>
      </w:r>
      <w:r w:rsidRPr="005F3EF4">
        <w:t xml:space="preserve">2, </w:t>
      </w:r>
      <w:r>
        <w:t>feuille</w:t>
      </w:r>
      <w:r w:rsidR="00391095">
        <w:t> </w:t>
      </w:r>
      <w:r w:rsidRPr="005F3EF4">
        <w:t>15.1.1</w:t>
      </w:r>
      <w:r>
        <w:t xml:space="preserve">, </w:t>
      </w:r>
      <w:r w:rsidRPr="005F3EF4">
        <w:t>tableau</w:t>
      </w:r>
      <w:r w:rsidR="00391095">
        <w:t> </w:t>
      </w:r>
      <w:r w:rsidRPr="005F3EF4">
        <w:t>9</w:t>
      </w:r>
      <w:r>
        <w:t>)</w:t>
      </w:r>
      <w:r w:rsidRPr="005F3EF4">
        <w:t>.</w:t>
      </w:r>
      <w:bookmarkEnd w:id="12"/>
    </w:p>
    <w:p w14:paraId="7AC83BEB" w14:textId="479D2DC5" w:rsidR="000C1192" w:rsidRPr="005F3EF4" w:rsidRDefault="000C1192" w:rsidP="000C1192">
      <w:pPr>
        <w:pStyle w:val="SingleTxtG"/>
      </w:pPr>
      <w:r w:rsidRPr="005F3EF4">
        <w:t>291.</w:t>
      </w:r>
      <w:r w:rsidRPr="005F3EF4">
        <w:tab/>
      </w:r>
      <w:r>
        <w:t xml:space="preserve">Des </w:t>
      </w:r>
      <w:r w:rsidRPr="005F3EF4">
        <w:t xml:space="preserve">accords </w:t>
      </w:r>
      <w:r>
        <w:t xml:space="preserve">désignant des </w:t>
      </w:r>
      <w:r w:rsidRPr="005F3EF4">
        <w:t xml:space="preserve">zones spéciales </w:t>
      </w:r>
      <w:r>
        <w:t xml:space="preserve">pour la protection de la culture et </w:t>
      </w:r>
      <w:r w:rsidRPr="005F3EF4">
        <w:t xml:space="preserve">du patrimoine ont </w:t>
      </w:r>
      <w:r>
        <w:t>aussi été conclus (</w:t>
      </w:r>
      <w:r w:rsidRPr="005F3EF4">
        <w:t xml:space="preserve">voir </w:t>
      </w:r>
      <w:r>
        <w:t>a</w:t>
      </w:r>
      <w:r w:rsidRPr="005F3EF4">
        <w:t>nnexe</w:t>
      </w:r>
      <w:r w:rsidR="00391095">
        <w:t> </w:t>
      </w:r>
      <w:r w:rsidRPr="005F3EF4">
        <w:t xml:space="preserve">2, </w:t>
      </w:r>
      <w:r>
        <w:t>feuille</w:t>
      </w:r>
      <w:r w:rsidR="00391095">
        <w:t> </w:t>
      </w:r>
      <w:r w:rsidRPr="005F3EF4">
        <w:t>15.1.1, tableau</w:t>
      </w:r>
      <w:r w:rsidR="00391095">
        <w:t> </w:t>
      </w:r>
      <w:r w:rsidRPr="005F3EF4">
        <w:t>10</w:t>
      </w:r>
      <w:r>
        <w:t>)</w:t>
      </w:r>
      <w:r w:rsidRPr="005F3EF4">
        <w:t>.</w:t>
      </w:r>
    </w:p>
    <w:p w14:paraId="6EAFA9CB" w14:textId="692F4263" w:rsidR="000C1192" w:rsidRPr="005F3EF4" w:rsidRDefault="000C1192" w:rsidP="000C1192">
      <w:pPr>
        <w:pStyle w:val="SingleTxtG"/>
      </w:pPr>
      <w:r w:rsidRPr="005F3EF4">
        <w:t>292.</w:t>
      </w:r>
      <w:r w:rsidRPr="005F3EF4">
        <w:tab/>
        <w:t xml:space="preserve">La coopération multilatérale </w:t>
      </w:r>
      <w:r>
        <w:t xml:space="preserve">passe par le soutien à </w:t>
      </w:r>
      <w:r w:rsidRPr="005F3EF4">
        <w:t xml:space="preserve">la participation </w:t>
      </w:r>
      <w:r>
        <w:t>d’</w:t>
      </w:r>
      <w:r w:rsidRPr="005F3EF4">
        <w:t xml:space="preserve">artistes et </w:t>
      </w:r>
      <w:r>
        <w:t xml:space="preserve">de </w:t>
      </w:r>
      <w:r w:rsidRPr="005F3EF4">
        <w:t xml:space="preserve">travailleurs culturels </w:t>
      </w:r>
      <w:r>
        <w:t xml:space="preserve">à des </w:t>
      </w:r>
      <w:r w:rsidRPr="005F3EF4">
        <w:t xml:space="preserve">programmes multilatéraux qui favorisent le développement du dialogue interculturel et de la diversité culturelle, au sein </w:t>
      </w:r>
      <w:r>
        <w:t>d’</w:t>
      </w:r>
      <w:r w:rsidRPr="005F3EF4">
        <w:t xml:space="preserve">organisations internationales, </w:t>
      </w:r>
      <w:r>
        <w:t>d’</w:t>
      </w:r>
      <w:r w:rsidRPr="005F3EF4">
        <w:t xml:space="preserve">ONG et </w:t>
      </w:r>
      <w:r>
        <w:t>d’</w:t>
      </w:r>
      <w:r w:rsidRPr="005F3EF4">
        <w:t>initiatives</w:t>
      </w:r>
      <w:r>
        <w:t xml:space="preserve"> diverses</w:t>
      </w:r>
      <w:r w:rsidRPr="005F3EF4">
        <w:t>. L</w:t>
      </w:r>
      <w:r>
        <w:t xml:space="preserve">a République de Croatie s’associe à l’action </w:t>
      </w:r>
      <w:r w:rsidRPr="005F3EF4">
        <w:t>d</w:t>
      </w:r>
      <w:r>
        <w:t>’</w:t>
      </w:r>
      <w:r w:rsidRPr="005F3EF4">
        <w:t>un certain nombre de réseaux internationaux</w:t>
      </w:r>
      <w:r>
        <w:t xml:space="preserve"> (</w:t>
      </w:r>
      <w:r w:rsidRPr="005F3EF4">
        <w:t xml:space="preserve">voir </w:t>
      </w:r>
      <w:r>
        <w:t>a</w:t>
      </w:r>
      <w:r w:rsidRPr="005F3EF4">
        <w:t>nnexe</w:t>
      </w:r>
      <w:r w:rsidR="00391095">
        <w:t> </w:t>
      </w:r>
      <w:r w:rsidRPr="005F3EF4">
        <w:t xml:space="preserve">2, </w:t>
      </w:r>
      <w:r>
        <w:t>feuille</w:t>
      </w:r>
      <w:r w:rsidR="00391095">
        <w:t> </w:t>
      </w:r>
      <w:r w:rsidRPr="005F3EF4">
        <w:t>15.1.1</w:t>
      </w:r>
      <w:r>
        <w:t xml:space="preserve">, </w:t>
      </w:r>
      <w:r w:rsidRPr="005F3EF4">
        <w:t>tableau</w:t>
      </w:r>
      <w:r w:rsidR="00391095">
        <w:t> </w:t>
      </w:r>
      <w:r w:rsidRPr="005F3EF4">
        <w:t>11</w:t>
      </w:r>
      <w:r>
        <w:t>)</w:t>
      </w:r>
      <w:r w:rsidRPr="005F3EF4">
        <w:t>.</w:t>
      </w:r>
    </w:p>
    <w:p w14:paraId="6411C1A9" w14:textId="77777777" w:rsidR="000C1192" w:rsidRPr="005F3EF4" w:rsidRDefault="000C1192" w:rsidP="000C1192">
      <w:pPr>
        <w:pStyle w:val="SingleTxtG"/>
      </w:pPr>
      <w:r w:rsidRPr="005F3EF4">
        <w:t>293.</w:t>
      </w:r>
      <w:r w:rsidRPr="005F3EF4">
        <w:tab/>
        <w:t>L</w:t>
      </w:r>
      <w:r>
        <w:t xml:space="preserve">a loi sur le droit d’auteur et les droits voisins permet </w:t>
      </w:r>
      <w:r w:rsidRPr="005F3EF4">
        <w:t xml:space="preserve">une protection efficace des droits garantis par le </w:t>
      </w:r>
      <w:r>
        <w:t>Pacte international relatif aux droits économiques, sociaux et culturels</w:t>
      </w:r>
      <w:r w:rsidRPr="005F3EF4">
        <w:t>.</w:t>
      </w:r>
    </w:p>
    <w:p w14:paraId="183F6669" w14:textId="77777777" w:rsidR="000C1192" w:rsidRPr="005F3EF4" w:rsidRDefault="000C1192" w:rsidP="000C1192">
      <w:pPr>
        <w:pStyle w:val="SingleTxtG"/>
        <w:rPr>
          <w:rStyle w:val="Appelnotedebasdep"/>
          <w:color w:val="000000" w:themeColor="text1"/>
        </w:rPr>
      </w:pPr>
      <w:r w:rsidRPr="005F3EF4">
        <w:t>294.</w:t>
      </w:r>
      <w:r w:rsidRPr="005F3EF4">
        <w:tab/>
      </w:r>
      <w:r>
        <w:t>La</w:t>
      </w:r>
      <w:r w:rsidRPr="005F3EF4">
        <w:t xml:space="preserve"> protection des intérêts moraux et matériels des auteurs est </w:t>
      </w:r>
      <w:r>
        <w:t xml:space="preserve">régie </w:t>
      </w:r>
      <w:r w:rsidRPr="005F3EF4">
        <w:t xml:space="preserve">principalement par </w:t>
      </w:r>
      <w:r>
        <w:t>la loi en question</w:t>
      </w:r>
      <w:r w:rsidRPr="005F3EF4">
        <w:t>, qui est harmonisé</w:t>
      </w:r>
      <w:r>
        <w:t>e</w:t>
      </w:r>
      <w:r w:rsidRPr="005F3EF4">
        <w:t xml:space="preserve"> avec l</w:t>
      </w:r>
      <w:r>
        <w:t>’a</w:t>
      </w:r>
      <w:r w:rsidRPr="005F3EF4">
        <w:t xml:space="preserve">cquis </w:t>
      </w:r>
      <w:r>
        <w:t>c</w:t>
      </w:r>
      <w:r w:rsidRPr="005F3EF4">
        <w:t xml:space="preserve">ommunautaire ainsi </w:t>
      </w:r>
      <w:r>
        <w:t xml:space="preserve">que </w:t>
      </w:r>
      <w:r w:rsidRPr="005F3EF4">
        <w:t xml:space="preserve">les accords internationaux auxquels la </w:t>
      </w:r>
      <w:r>
        <w:t xml:space="preserve">République de Croatie </w:t>
      </w:r>
      <w:r w:rsidRPr="005F3EF4">
        <w:t>a adhéré</w:t>
      </w:r>
      <w:r>
        <w:t>,</w:t>
      </w:r>
      <w:r w:rsidRPr="005F3EF4">
        <w:t xml:space="preserve"> et est adapté</w:t>
      </w:r>
      <w:r>
        <w:t>e</w:t>
      </w:r>
      <w:r w:rsidRPr="005F3EF4">
        <w:t xml:space="preserve"> aux exigences </w:t>
      </w:r>
      <w:r>
        <w:t xml:space="preserve">découlant du progrès </w:t>
      </w:r>
      <w:r w:rsidRPr="005F3EF4">
        <w:t xml:space="preserve">technologique. Par rapport à la </w:t>
      </w:r>
      <w:r>
        <w:t xml:space="preserve">version de la loi sur le droit d’auteur et </w:t>
      </w:r>
      <w:r>
        <w:lastRenderedPageBreak/>
        <w:t>les droits voisins dont il a été rendu compte dans le rapport précédent</w:t>
      </w:r>
      <w:r w:rsidRPr="005F3EF4">
        <w:t xml:space="preserve">, le </w:t>
      </w:r>
      <w:r>
        <w:t xml:space="preserve">périmètre </w:t>
      </w:r>
      <w:r w:rsidRPr="005F3EF4">
        <w:t xml:space="preserve">des droits moraux des auteurs </w:t>
      </w:r>
      <w:r>
        <w:t>a eu tendance à s’élargir</w:t>
      </w:r>
      <w:r w:rsidRPr="005F3EF4">
        <w:t xml:space="preserve">, </w:t>
      </w:r>
      <w:r>
        <w:t xml:space="preserve">et </w:t>
      </w:r>
      <w:r w:rsidRPr="005F3EF4">
        <w:t xml:space="preserve">les droits patrimoniaux des auteurs sont </w:t>
      </w:r>
      <w:r>
        <w:t xml:space="preserve">désormais </w:t>
      </w:r>
      <w:r w:rsidRPr="005F3EF4">
        <w:t xml:space="preserve">définis </w:t>
      </w:r>
      <w:r>
        <w:t xml:space="preserve">plus précisément, de même que la </w:t>
      </w:r>
      <w:r w:rsidRPr="005F3EF4">
        <w:t xml:space="preserve">catégorie des droits </w:t>
      </w:r>
      <w:r>
        <w:t xml:space="preserve">« autres » </w:t>
      </w:r>
      <w:r w:rsidRPr="005F3EF4">
        <w:t xml:space="preserve">des </w:t>
      </w:r>
      <w:r>
        <w:t xml:space="preserve">auteurs </w:t>
      </w:r>
      <w:r w:rsidRPr="005F3EF4">
        <w:t xml:space="preserve">qui </w:t>
      </w:r>
      <w:r>
        <w:t xml:space="preserve">ont à la fois les </w:t>
      </w:r>
      <w:r w:rsidRPr="005F3EF4">
        <w:t xml:space="preserve">caractéristiques </w:t>
      </w:r>
      <w:r>
        <w:t xml:space="preserve">de droits de propriété et de </w:t>
      </w:r>
      <w:r w:rsidRPr="005F3EF4">
        <w:t>droits moraux</w:t>
      </w:r>
      <w:r>
        <w:t>,</w:t>
      </w:r>
      <w:r w:rsidRPr="005F3EF4">
        <w:t xml:space="preserve"> et ne peuvent être classés dans aucune des catégories </w:t>
      </w:r>
      <w:r>
        <w:t>précédentes</w:t>
      </w:r>
      <w:r w:rsidRPr="00535E17">
        <w:rPr>
          <w:rStyle w:val="Appelnotedebasdep"/>
        </w:rPr>
        <w:footnoteReference w:id="83"/>
      </w:r>
      <w:r>
        <w:t>.</w:t>
      </w:r>
    </w:p>
    <w:p w14:paraId="534880D7" w14:textId="77777777" w:rsidR="000C1192" w:rsidRPr="00734233" w:rsidRDefault="000C1192" w:rsidP="00734233">
      <w:pPr>
        <w:pStyle w:val="SingleTxtG"/>
        <w:rPr>
          <w:rStyle w:val="Appelnotedebasdep"/>
          <w:sz w:val="20"/>
          <w:vertAlign w:val="baseline"/>
        </w:rPr>
      </w:pPr>
      <w:r w:rsidRPr="00734233">
        <w:rPr>
          <w:rStyle w:val="Appelnotedebasdep"/>
          <w:sz w:val="20"/>
          <w:vertAlign w:val="baseline"/>
        </w:rPr>
        <w:t>295.</w:t>
      </w:r>
      <w:r w:rsidRPr="00734233">
        <w:rPr>
          <w:rStyle w:val="Appelnotedebasdep"/>
          <w:sz w:val="20"/>
          <w:vertAlign w:val="baseline"/>
        </w:rPr>
        <w:tab/>
        <w:t xml:space="preserve">Les dispositions relatives à l’exercice du droit d’auteur et des droits voisins sont </w:t>
      </w:r>
      <w:r w:rsidRPr="00734233">
        <w:t xml:space="preserve">précisées par les règles plus détaillées qui existent au niveau des </w:t>
      </w:r>
      <w:r w:rsidRPr="00734233">
        <w:rPr>
          <w:rStyle w:val="Appelnotedebasdep"/>
          <w:sz w:val="20"/>
          <w:vertAlign w:val="baseline"/>
        </w:rPr>
        <w:t>associations pour l’exercice collectif du droit d’auteur et des droits voisins. La</w:t>
      </w:r>
      <w:r w:rsidRPr="00734233">
        <w:t xml:space="preserve"> </w:t>
      </w:r>
      <w:r w:rsidRPr="00734233">
        <w:rPr>
          <w:rStyle w:val="Appelnotedebasdep"/>
          <w:sz w:val="20"/>
          <w:vertAlign w:val="baseline"/>
        </w:rPr>
        <w:t>protection c</w:t>
      </w:r>
      <w:r w:rsidRPr="00734233">
        <w:t xml:space="preserve">ontre les atteintes au </w:t>
      </w:r>
      <w:r w:rsidRPr="00734233">
        <w:rPr>
          <w:rStyle w:val="Appelnotedebasdep"/>
          <w:sz w:val="20"/>
          <w:vertAlign w:val="baseline"/>
        </w:rPr>
        <w:t>droit d’auteur et a</w:t>
      </w:r>
      <w:r w:rsidRPr="00734233">
        <w:t xml:space="preserve">ux </w:t>
      </w:r>
      <w:r w:rsidRPr="00734233">
        <w:rPr>
          <w:rStyle w:val="Appelnotedebasdep"/>
          <w:sz w:val="20"/>
          <w:vertAlign w:val="baseline"/>
        </w:rPr>
        <w:t>droits voisins e</w:t>
      </w:r>
      <w:r w:rsidRPr="00734233">
        <w:t xml:space="preserve">st aussi détaillée dans le système juridique de la République de Croatie par le régime des délits et des infractions pénales, dans lequel de </w:t>
      </w:r>
      <w:r w:rsidRPr="00734233">
        <w:rPr>
          <w:rStyle w:val="Appelnotedebasdep"/>
          <w:sz w:val="20"/>
          <w:vertAlign w:val="baseline"/>
        </w:rPr>
        <w:t>nouvelles exceptions et r</w:t>
      </w:r>
      <w:r w:rsidRPr="00734233">
        <w:t xml:space="preserve">estrictions ont aussi été imposées </w:t>
      </w:r>
      <w:r w:rsidRPr="00734233">
        <w:rPr>
          <w:rStyle w:val="Appelnotedebasdep"/>
          <w:sz w:val="20"/>
          <w:vertAlign w:val="baseline"/>
        </w:rPr>
        <w:t>au droit d’auteur et aux droits voisins</w:t>
      </w:r>
      <w:r w:rsidRPr="00734233">
        <w:rPr>
          <w:rStyle w:val="Appelnotedebasdep"/>
        </w:rPr>
        <w:footnoteReference w:id="84"/>
      </w:r>
      <w:r w:rsidRPr="00734233">
        <w:rPr>
          <w:rStyle w:val="Appelnotedebasdep"/>
          <w:sz w:val="20"/>
          <w:vertAlign w:val="baseline"/>
        </w:rPr>
        <w:t>.</w:t>
      </w:r>
    </w:p>
    <w:p w14:paraId="1F83A8E0" w14:textId="41EBCFD8" w:rsidR="000C1192" w:rsidRDefault="000C1192" w:rsidP="000C1192">
      <w:pPr>
        <w:pStyle w:val="SingleTxtG"/>
      </w:pPr>
      <w:r w:rsidRPr="001F5B59">
        <w:t>296.</w:t>
      </w:r>
      <w:r w:rsidRPr="001F5B59">
        <w:tab/>
      </w:r>
      <w:r w:rsidRPr="005F3EF4">
        <w:t>L</w:t>
      </w:r>
      <w:r>
        <w:t>a loi sur le droit d’auteur et les droits voisins cherche à équilibrer deux aspects</w:t>
      </w:r>
      <w:r w:rsidR="00391095">
        <w:t> </w:t>
      </w:r>
      <w:r>
        <w:t xml:space="preserve">: </w:t>
      </w:r>
      <w:r w:rsidRPr="009C1A0B">
        <w:t>d</w:t>
      </w:r>
      <w:r>
        <w:t>’</w:t>
      </w:r>
      <w:r w:rsidRPr="009C1A0B">
        <w:t>une part, favoriser l</w:t>
      </w:r>
      <w:r>
        <w:t>’</w:t>
      </w:r>
      <w:r w:rsidRPr="009C1A0B">
        <w:t>accès des utilisateurs aux œuvres protégées par le droit d</w:t>
      </w:r>
      <w:r>
        <w:t>’</w:t>
      </w:r>
      <w:r w:rsidRPr="009C1A0B">
        <w:t>auteur et les droits voisins</w:t>
      </w:r>
      <w:r>
        <w:t>,</w:t>
      </w:r>
      <w:r w:rsidRPr="009C1A0B">
        <w:t xml:space="preserve"> et d</w:t>
      </w:r>
      <w:r>
        <w:t>’</w:t>
      </w:r>
      <w:r w:rsidRPr="009C1A0B">
        <w:t xml:space="preserve">autre part, soutenir la </w:t>
      </w:r>
      <w:r>
        <w:t>création</w:t>
      </w:r>
      <w:r w:rsidRPr="009C1A0B">
        <w:t xml:space="preserve">, la juste rémunération des créateurs et </w:t>
      </w:r>
      <w:r>
        <w:t xml:space="preserve">la pérennité </w:t>
      </w:r>
      <w:r w:rsidRPr="009C1A0B">
        <w:t>de l</w:t>
      </w:r>
      <w:r>
        <w:t>’</w:t>
      </w:r>
      <w:r w:rsidRPr="009C1A0B">
        <w:t>économie culturelle.</w:t>
      </w:r>
    </w:p>
    <w:p w14:paraId="0E91623F" w14:textId="7A72B704" w:rsidR="00391095" w:rsidRPr="00391095" w:rsidRDefault="00391095" w:rsidP="00391095">
      <w:pPr>
        <w:pStyle w:val="SingleTxtG"/>
        <w:spacing w:before="240" w:after="0"/>
        <w:jc w:val="center"/>
        <w:rPr>
          <w:u w:val="single"/>
        </w:rPr>
      </w:pPr>
      <w:r>
        <w:rPr>
          <w:u w:val="single"/>
        </w:rPr>
        <w:tab/>
      </w:r>
      <w:r>
        <w:rPr>
          <w:u w:val="single"/>
        </w:rPr>
        <w:tab/>
      </w:r>
      <w:r>
        <w:rPr>
          <w:u w:val="single"/>
        </w:rPr>
        <w:tab/>
      </w:r>
    </w:p>
    <w:sectPr w:rsidR="00391095" w:rsidRPr="00391095" w:rsidSect="000C1192">
      <w:headerReference w:type="even" r:id="rId22"/>
      <w:headerReference w:type="default" r:id="rId23"/>
      <w:footerReference w:type="even" r:id="rId24"/>
      <w:footerReference w:type="default" r:id="rId25"/>
      <w:footerReference w:type="first" r:id="rId2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EC74" w14:textId="77777777" w:rsidR="00F014EC" w:rsidRDefault="00F014EC" w:rsidP="00F95C08">
      <w:pPr>
        <w:spacing w:line="240" w:lineRule="auto"/>
      </w:pPr>
    </w:p>
  </w:endnote>
  <w:endnote w:type="continuationSeparator" w:id="0">
    <w:p w14:paraId="1FC27468" w14:textId="77777777" w:rsidR="00F014EC" w:rsidRPr="00AC3823" w:rsidRDefault="00F014EC" w:rsidP="00AC3823">
      <w:pPr>
        <w:pStyle w:val="Pieddepage"/>
      </w:pPr>
    </w:p>
  </w:endnote>
  <w:endnote w:type="continuationNotice" w:id="1">
    <w:p w14:paraId="346A272E" w14:textId="77777777" w:rsidR="00F014EC" w:rsidRDefault="00F014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FD2B" w14:textId="6C3314D0" w:rsidR="000C1192" w:rsidRPr="000C1192" w:rsidRDefault="000C1192" w:rsidP="000C1192">
    <w:pPr>
      <w:pStyle w:val="Pieddepage"/>
      <w:tabs>
        <w:tab w:val="right" w:pos="9638"/>
      </w:tabs>
    </w:pPr>
    <w:r w:rsidRPr="000C1192">
      <w:rPr>
        <w:b/>
        <w:sz w:val="18"/>
      </w:rPr>
      <w:fldChar w:fldCharType="begin"/>
    </w:r>
    <w:r w:rsidRPr="000C1192">
      <w:rPr>
        <w:b/>
        <w:sz w:val="18"/>
      </w:rPr>
      <w:instrText xml:space="preserve"> PAGE  \* MERGEFORMAT </w:instrText>
    </w:r>
    <w:r w:rsidRPr="000C1192">
      <w:rPr>
        <w:b/>
        <w:sz w:val="18"/>
      </w:rPr>
      <w:fldChar w:fldCharType="separate"/>
    </w:r>
    <w:r w:rsidRPr="000C1192">
      <w:rPr>
        <w:b/>
        <w:noProof/>
        <w:sz w:val="18"/>
      </w:rPr>
      <w:t>2</w:t>
    </w:r>
    <w:r w:rsidRPr="000C1192">
      <w:rPr>
        <w:b/>
        <w:sz w:val="18"/>
      </w:rPr>
      <w:fldChar w:fldCharType="end"/>
    </w:r>
    <w:r>
      <w:rPr>
        <w:b/>
        <w:sz w:val="18"/>
      </w:rPr>
      <w:tab/>
    </w:r>
    <w:r>
      <w:t>GE.22-05909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7050" w14:textId="32EF742C" w:rsidR="000C1192" w:rsidRPr="000C1192" w:rsidRDefault="000C1192" w:rsidP="000C1192">
    <w:pPr>
      <w:pStyle w:val="Pieddepage"/>
      <w:tabs>
        <w:tab w:val="right" w:pos="9638"/>
      </w:tabs>
      <w:rPr>
        <w:b/>
        <w:sz w:val="18"/>
      </w:rPr>
    </w:pPr>
    <w:r>
      <w:t>GE.22-05909</w:t>
    </w:r>
    <w:r>
      <w:tab/>
    </w:r>
    <w:r w:rsidRPr="000C1192">
      <w:rPr>
        <w:b/>
        <w:sz w:val="18"/>
      </w:rPr>
      <w:fldChar w:fldCharType="begin"/>
    </w:r>
    <w:r w:rsidRPr="000C1192">
      <w:rPr>
        <w:b/>
        <w:sz w:val="18"/>
      </w:rPr>
      <w:instrText xml:space="preserve"> PAGE  \* MERGEFORMAT </w:instrText>
    </w:r>
    <w:r w:rsidRPr="000C1192">
      <w:rPr>
        <w:b/>
        <w:sz w:val="18"/>
      </w:rPr>
      <w:fldChar w:fldCharType="separate"/>
    </w:r>
    <w:r w:rsidRPr="000C1192">
      <w:rPr>
        <w:b/>
        <w:noProof/>
        <w:sz w:val="18"/>
      </w:rPr>
      <w:t>3</w:t>
    </w:r>
    <w:r w:rsidRPr="000C11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622A" w14:textId="1AD00E14" w:rsidR="0080236C" w:rsidRPr="000C1192" w:rsidRDefault="000C1192" w:rsidP="000C1192">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131169F4" wp14:editId="2D18EBD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22-05909  (F)</w:t>
    </w:r>
    <w:r>
      <w:rPr>
        <w:noProof/>
        <w:sz w:val="20"/>
      </w:rPr>
      <w:drawing>
        <wp:anchor distT="0" distB="0" distL="114300" distR="114300" simplePos="0" relativeHeight="251661312" behindDoc="0" locked="0" layoutInCell="1" allowOverlap="1" wp14:anchorId="08419448" wp14:editId="53C959A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180722    200722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DDDC" w14:textId="77777777" w:rsidR="00F014EC" w:rsidRPr="00AC3823" w:rsidRDefault="00F014EC" w:rsidP="00AC3823">
      <w:pPr>
        <w:pStyle w:val="Pieddepage"/>
        <w:tabs>
          <w:tab w:val="right" w:pos="2155"/>
        </w:tabs>
        <w:spacing w:after="80" w:line="240" w:lineRule="atLeast"/>
        <w:ind w:left="680"/>
        <w:rPr>
          <w:u w:val="single"/>
        </w:rPr>
      </w:pPr>
      <w:r>
        <w:rPr>
          <w:u w:val="single"/>
        </w:rPr>
        <w:tab/>
      </w:r>
    </w:p>
  </w:footnote>
  <w:footnote w:type="continuationSeparator" w:id="0">
    <w:p w14:paraId="68D5541A" w14:textId="77777777" w:rsidR="00F014EC" w:rsidRPr="00AC3823" w:rsidRDefault="00F014EC" w:rsidP="00AC3823">
      <w:pPr>
        <w:pStyle w:val="Pieddepage"/>
        <w:tabs>
          <w:tab w:val="right" w:pos="2155"/>
        </w:tabs>
        <w:spacing w:after="80" w:line="240" w:lineRule="atLeast"/>
        <w:ind w:left="680"/>
        <w:rPr>
          <w:u w:val="single"/>
        </w:rPr>
      </w:pPr>
      <w:r>
        <w:rPr>
          <w:u w:val="single"/>
        </w:rPr>
        <w:tab/>
      </w:r>
    </w:p>
  </w:footnote>
  <w:footnote w:type="continuationNotice" w:id="1">
    <w:p w14:paraId="6CD27696" w14:textId="77777777" w:rsidR="00F014EC" w:rsidRPr="00AC3823" w:rsidRDefault="00F014EC">
      <w:pPr>
        <w:spacing w:line="240" w:lineRule="auto"/>
        <w:rPr>
          <w:sz w:val="2"/>
          <w:szCs w:val="2"/>
        </w:rPr>
      </w:pPr>
    </w:p>
  </w:footnote>
  <w:footnote w:id="2">
    <w:p w14:paraId="5172035F" w14:textId="4269D9CF" w:rsidR="000C1192" w:rsidRPr="004155BD" w:rsidRDefault="000C1192" w:rsidP="000C1192">
      <w:pPr>
        <w:pStyle w:val="Notedebasdepage"/>
      </w:pPr>
      <w:r w:rsidRPr="000C1192">
        <w:rPr>
          <w:rStyle w:val="Appelnotedebasdep"/>
          <w:vertAlign w:val="baseline"/>
        </w:rPr>
        <w:tab/>
      </w:r>
      <w:r w:rsidRPr="000C1192">
        <w:rPr>
          <w:rStyle w:val="Appelnotedebasdep"/>
          <w:sz w:val="20"/>
          <w:vertAlign w:val="baseline"/>
        </w:rPr>
        <w:t>*</w:t>
      </w:r>
      <w:r w:rsidRPr="000C1192">
        <w:rPr>
          <w:rStyle w:val="Appelnotedebasdep"/>
          <w:sz w:val="20"/>
          <w:vertAlign w:val="baseline"/>
        </w:rPr>
        <w:tab/>
      </w:r>
      <w:r w:rsidRPr="004155BD">
        <w:t>La version originale du présent document n</w:t>
      </w:r>
      <w:r>
        <w:t>’</w:t>
      </w:r>
      <w:r w:rsidRPr="004155BD">
        <w:t>a pas été revue par les services d</w:t>
      </w:r>
      <w:r>
        <w:t>’</w:t>
      </w:r>
      <w:r w:rsidRPr="004155BD">
        <w:t>édition.</w:t>
      </w:r>
    </w:p>
  </w:footnote>
  <w:footnote w:id="3">
    <w:p w14:paraId="1DF8422F" w14:textId="77777777" w:rsidR="000C1192" w:rsidRPr="00AA1DE2" w:rsidRDefault="000C1192" w:rsidP="000C1192">
      <w:pPr>
        <w:pStyle w:val="Notedebasdepage"/>
      </w:pPr>
      <w:r w:rsidRPr="000C1192">
        <w:rPr>
          <w:rStyle w:val="Appelnotedebasdep"/>
          <w:vertAlign w:val="baseline"/>
        </w:rPr>
        <w:tab/>
      </w:r>
      <w:r w:rsidRPr="000C1192">
        <w:rPr>
          <w:rStyle w:val="Appelnotedebasdep"/>
          <w:sz w:val="20"/>
          <w:vertAlign w:val="baseline"/>
        </w:rPr>
        <w:t>**</w:t>
      </w:r>
      <w:r w:rsidRPr="000C1192">
        <w:rPr>
          <w:rStyle w:val="Appelnotedebasdep"/>
          <w:sz w:val="20"/>
          <w:vertAlign w:val="baseline"/>
        </w:rPr>
        <w:tab/>
      </w:r>
      <w:r w:rsidRPr="00AA1DE2">
        <w:t>Les annexes au présent rapport peuvent être consultées sur la page Web du Comité</w:t>
      </w:r>
      <w:r w:rsidRPr="00AA1DE2">
        <w:rPr>
          <w:sz w:val="20"/>
        </w:rPr>
        <w:t>.</w:t>
      </w:r>
    </w:p>
  </w:footnote>
  <w:footnote w:id="4">
    <w:p w14:paraId="580FC36A" w14:textId="2B668818" w:rsidR="000C1192" w:rsidRPr="00041D37" w:rsidRDefault="000C1192" w:rsidP="000C1192">
      <w:pPr>
        <w:pStyle w:val="Notedebasdepage"/>
      </w:pPr>
      <w:r w:rsidRPr="000C1192">
        <w:rPr>
          <w:rStyle w:val="Appelnotedebasdep"/>
          <w:vertAlign w:val="baseline"/>
        </w:rPr>
        <w:tab/>
      </w:r>
      <w:r w:rsidRPr="000C1192">
        <w:rPr>
          <w:rStyle w:val="Appelnotedebasdep"/>
          <w:sz w:val="20"/>
          <w:vertAlign w:val="baseline"/>
        </w:rPr>
        <w:t>***</w:t>
      </w:r>
      <w:r w:rsidRPr="000C1192">
        <w:rPr>
          <w:rStyle w:val="Appelnotedebasdep"/>
          <w:sz w:val="20"/>
          <w:vertAlign w:val="baseline"/>
        </w:rPr>
        <w:tab/>
      </w:r>
      <w:r w:rsidRPr="00041D37">
        <w:rPr>
          <w:rFonts w:eastAsia="SimSun"/>
          <w:lang w:eastAsia="zh-CN"/>
        </w:rPr>
        <w:t>Le rapport initial de l</w:t>
      </w:r>
      <w:r>
        <w:rPr>
          <w:rFonts w:eastAsia="SimSun"/>
          <w:lang w:eastAsia="zh-CN"/>
        </w:rPr>
        <w:t>’</w:t>
      </w:r>
      <w:r w:rsidRPr="00041D37">
        <w:rPr>
          <w:rFonts w:eastAsia="SimSun"/>
          <w:lang w:eastAsia="zh-CN"/>
        </w:rPr>
        <w:t>État partie a été publié sous la cote</w:t>
      </w:r>
      <w:r>
        <w:rPr>
          <w:rFonts w:eastAsia="SimSun"/>
          <w:lang w:eastAsia="zh-CN"/>
        </w:rPr>
        <w:t xml:space="preserve"> </w:t>
      </w:r>
      <w:hyperlink r:id="rId1" w:history="1">
        <w:r w:rsidR="00EE6A74">
          <w:rPr>
            <w:rStyle w:val="Lienhypertexte"/>
          </w:rPr>
          <w:t>E/1990/5/Add.46</w:t>
        </w:r>
      </w:hyperlink>
      <w:r w:rsidRPr="00041D37">
        <w:t>.</w:t>
      </w:r>
    </w:p>
  </w:footnote>
  <w:footnote w:id="5">
    <w:p w14:paraId="6FC89824" w14:textId="77777777" w:rsidR="000C1192" w:rsidRPr="0060098B" w:rsidRDefault="000C1192" w:rsidP="000C1192">
      <w:pPr>
        <w:pStyle w:val="Notedebasdepage"/>
        <w:rPr>
          <w:color w:val="000000" w:themeColor="text1"/>
        </w:rPr>
      </w:pPr>
      <w:r w:rsidRPr="00041D37">
        <w:tab/>
      </w:r>
      <w:r w:rsidRPr="00535E17">
        <w:rPr>
          <w:rStyle w:val="Appelnotedebasdep"/>
        </w:rPr>
        <w:footnoteRef/>
      </w:r>
      <w:r w:rsidRPr="0060098B">
        <w:rPr>
          <w:rStyle w:val="Appelnotedebasdep"/>
        </w:rPr>
        <w:tab/>
      </w:r>
      <w:r>
        <w:rPr>
          <w:color w:val="000000" w:themeColor="text1"/>
        </w:rPr>
        <w:t>D</w:t>
      </w:r>
      <w:r w:rsidRPr="0060098B">
        <w:rPr>
          <w:color w:val="000000" w:themeColor="text1"/>
        </w:rPr>
        <w:t>irectives générales révisées concernant la forme et le contenu des rapports que les États parties doivent présenter</w:t>
      </w:r>
      <w:r>
        <w:rPr>
          <w:color w:val="000000" w:themeColor="text1"/>
        </w:rPr>
        <w:t xml:space="preserve"> au Comité des droits économiques, sociaux et culturels. </w:t>
      </w:r>
    </w:p>
  </w:footnote>
  <w:footnote w:id="6">
    <w:p w14:paraId="7D8186B9" w14:textId="4A6CAE10" w:rsidR="000C1192" w:rsidRPr="003B7D29" w:rsidRDefault="000C1192" w:rsidP="000C1192">
      <w:pPr>
        <w:pStyle w:val="Notedebasdepage"/>
        <w:rPr>
          <w:color w:val="000000" w:themeColor="text1"/>
        </w:rPr>
      </w:pPr>
      <w:r w:rsidRPr="0060098B">
        <w:rPr>
          <w:color w:val="000000" w:themeColor="text1"/>
        </w:rPr>
        <w:tab/>
      </w:r>
      <w:r w:rsidRPr="00535E17">
        <w:rPr>
          <w:rStyle w:val="Appelnotedebasdep"/>
        </w:rPr>
        <w:footnoteRef/>
      </w:r>
      <w:r w:rsidRPr="002E4119">
        <w:rPr>
          <w:rStyle w:val="Appelnotedebasdep"/>
          <w:color w:val="000000" w:themeColor="text1"/>
        </w:rPr>
        <w:tab/>
      </w:r>
      <w:r w:rsidRPr="006420ED">
        <w:rPr>
          <w:color w:val="000000" w:themeColor="text1"/>
        </w:rPr>
        <w:t>Compilation des directives générales concernant</w:t>
      </w:r>
      <w:r>
        <w:rPr>
          <w:color w:val="000000" w:themeColor="text1"/>
        </w:rPr>
        <w:t xml:space="preserve"> </w:t>
      </w:r>
      <w:r w:rsidRPr="006420ED">
        <w:rPr>
          <w:color w:val="000000" w:themeColor="text1"/>
        </w:rPr>
        <w:t>la présentation et le contenu des rapports à</w:t>
      </w:r>
      <w:r>
        <w:rPr>
          <w:color w:val="000000" w:themeColor="text1"/>
        </w:rPr>
        <w:t xml:space="preserve"> </w:t>
      </w:r>
      <w:r w:rsidRPr="006420ED">
        <w:rPr>
          <w:color w:val="000000" w:themeColor="text1"/>
        </w:rPr>
        <w:t xml:space="preserve">présenter par les </w:t>
      </w:r>
      <w:r>
        <w:rPr>
          <w:color w:val="000000" w:themeColor="text1"/>
        </w:rPr>
        <w:t xml:space="preserve">États </w:t>
      </w:r>
      <w:r w:rsidRPr="006420ED">
        <w:rPr>
          <w:color w:val="000000" w:themeColor="text1"/>
        </w:rPr>
        <w:t xml:space="preserve">parties </w:t>
      </w:r>
      <w:r>
        <w:rPr>
          <w:color w:val="000000" w:themeColor="text1"/>
        </w:rPr>
        <w:t xml:space="preserve">aux </w:t>
      </w:r>
      <w:r w:rsidRPr="006420ED">
        <w:rPr>
          <w:color w:val="000000" w:themeColor="text1"/>
        </w:rPr>
        <w:t>instruments</w:t>
      </w:r>
      <w:r>
        <w:rPr>
          <w:color w:val="000000" w:themeColor="text1"/>
        </w:rPr>
        <w:t xml:space="preserve"> </w:t>
      </w:r>
      <w:r w:rsidRPr="006420ED">
        <w:rPr>
          <w:color w:val="000000" w:themeColor="text1"/>
        </w:rPr>
        <w:t>internationaux relatifs aux droits de l</w:t>
      </w:r>
      <w:r>
        <w:rPr>
          <w:color w:val="000000" w:themeColor="text1"/>
        </w:rPr>
        <w:t>’</w:t>
      </w:r>
      <w:r w:rsidRPr="006420ED">
        <w:rPr>
          <w:color w:val="000000" w:themeColor="text1"/>
        </w:rPr>
        <w:t>homme</w:t>
      </w:r>
      <w:r>
        <w:rPr>
          <w:color w:val="000000" w:themeColor="text1"/>
        </w:rPr>
        <w:t>.</w:t>
      </w:r>
    </w:p>
  </w:footnote>
  <w:footnote w:id="7">
    <w:p w14:paraId="6D1A6BE7" w14:textId="218295AC" w:rsidR="000C1192" w:rsidRPr="008E7F4B" w:rsidRDefault="000C1192" w:rsidP="000C1192">
      <w:pPr>
        <w:pStyle w:val="Notedebasdepage"/>
        <w:rPr>
          <w:color w:val="000000" w:themeColor="text1"/>
        </w:rPr>
      </w:pPr>
      <w:r w:rsidRPr="003B7D29">
        <w:rPr>
          <w:color w:val="000000" w:themeColor="text1"/>
        </w:rPr>
        <w:tab/>
      </w:r>
      <w:r w:rsidRPr="00535E17">
        <w:rPr>
          <w:rStyle w:val="Appelnotedebasdep"/>
        </w:rPr>
        <w:footnoteRef/>
      </w:r>
      <w:r w:rsidRPr="008E7F4B">
        <w:rPr>
          <w:color w:val="000000" w:themeColor="text1"/>
        </w:rPr>
        <w:tab/>
      </w:r>
      <w:hyperlink r:id="rId2" w:history="1">
        <w:r w:rsidR="00EE6A74">
          <w:rPr>
            <w:rStyle w:val="Lienhypertexte"/>
          </w:rPr>
          <w:t>E/C.12/1/Add.73</w:t>
        </w:r>
      </w:hyperlink>
      <w:r w:rsidRPr="008E7F4B">
        <w:rPr>
          <w:color w:val="000000" w:themeColor="text1"/>
        </w:rPr>
        <w:t>.</w:t>
      </w:r>
    </w:p>
  </w:footnote>
  <w:footnote w:id="8">
    <w:p w14:paraId="29AA7122" w14:textId="77777777" w:rsidR="000C1192" w:rsidRPr="00D25D1D" w:rsidRDefault="000C1192" w:rsidP="000C1192">
      <w:pPr>
        <w:pStyle w:val="Notedebasdepage"/>
        <w:rPr>
          <w:color w:val="000000" w:themeColor="text1"/>
        </w:rPr>
      </w:pPr>
      <w:r w:rsidRPr="00950814">
        <w:rPr>
          <w:color w:val="000000" w:themeColor="text1"/>
        </w:rPr>
        <w:tab/>
      </w:r>
      <w:r w:rsidRPr="00535E17">
        <w:rPr>
          <w:rStyle w:val="Appelnotedebasdep"/>
        </w:rPr>
        <w:footnoteRef/>
      </w:r>
      <w:r w:rsidRPr="00D25D1D">
        <w:rPr>
          <w:rStyle w:val="Appelnotedebasdep"/>
          <w:color w:val="000000" w:themeColor="text1"/>
        </w:rPr>
        <w:tab/>
      </w:r>
      <w:hyperlink r:id="rId3" w:history="1">
        <w:r w:rsidRPr="00974F3E">
          <w:rPr>
            <w:rStyle w:val="Lienhypertexte"/>
          </w:rPr>
          <w:t>https://tbinternet.ohchr.org/_layouts/15/treatybodyexternal/Download.aspx?symbolno</w:t>
        </w:r>
        <w:r w:rsidRPr="00974F3E">
          <w:rPr>
            <w:rStyle w:val="Lienhypertexte"/>
          </w:rPr>
          <w:br/>
          <w:t>=CERD%2fC%2fHRV%2f9-14&amp;Lang=en</w:t>
        </w:r>
      </w:hyperlink>
      <w:r w:rsidRPr="00D25D1D">
        <w:rPr>
          <w:color w:val="000000" w:themeColor="text1"/>
        </w:rPr>
        <w:t>.</w:t>
      </w:r>
    </w:p>
  </w:footnote>
  <w:footnote w:id="9">
    <w:p w14:paraId="0AC2F4B4" w14:textId="5BC640AC" w:rsidR="000C1192" w:rsidRPr="00EE2F3E" w:rsidRDefault="000C1192" w:rsidP="000C1192">
      <w:pPr>
        <w:pStyle w:val="Notedebasdepage"/>
        <w:rPr>
          <w:color w:val="000000" w:themeColor="text1"/>
        </w:rPr>
      </w:pPr>
      <w:r w:rsidRPr="00D25D1D">
        <w:rPr>
          <w:color w:val="000000" w:themeColor="text1"/>
        </w:rPr>
        <w:tab/>
      </w:r>
      <w:r w:rsidRPr="00535E17">
        <w:rPr>
          <w:rStyle w:val="Appelnotedebasdep"/>
        </w:rPr>
        <w:footnoteRef/>
      </w:r>
      <w:r w:rsidRPr="00EE2F3E">
        <w:rPr>
          <w:rStyle w:val="Appelnotedebasdep"/>
          <w:color w:val="000000" w:themeColor="text1"/>
        </w:rPr>
        <w:tab/>
      </w:r>
      <w:r>
        <w:rPr>
          <w:color w:val="000000" w:themeColor="text1"/>
        </w:rPr>
        <w:t>Cette expression désigne les</w:t>
      </w:r>
      <w:r w:rsidRPr="00EE2F3E">
        <w:rPr>
          <w:color w:val="000000" w:themeColor="text1"/>
        </w:rPr>
        <w:t xml:space="preserve"> personnes qui ont fui la </w:t>
      </w:r>
      <w:r>
        <w:rPr>
          <w:color w:val="000000" w:themeColor="text1"/>
        </w:rPr>
        <w:t xml:space="preserve">République de Croatie dans </w:t>
      </w:r>
      <w:r w:rsidRPr="00EE2F3E">
        <w:rPr>
          <w:color w:val="000000" w:themeColor="text1"/>
        </w:rPr>
        <w:t xml:space="preserve">les années 1990, perdant ainsi </w:t>
      </w:r>
      <w:r>
        <w:rPr>
          <w:color w:val="000000" w:themeColor="text1"/>
        </w:rPr>
        <w:t xml:space="preserve">leur </w:t>
      </w:r>
      <w:r w:rsidRPr="00EE2F3E">
        <w:rPr>
          <w:color w:val="000000" w:themeColor="text1"/>
        </w:rPr>
        <w:t>droit d</w:t>
      </w:r>
      <w:r>
        <w:rPr>
          <w:color w:val="000000" w:themeColor="text1"/>
        </w:rPr>
        <w:t>’</w:t>
      </w:r>
      <w:r w:rsidRPr="00EE2F3E">
        <w:rPr>
          <w:color w:val="000000" w:themeColor="text1"/>
        </w:rPr>
        <w:t xml:space="preserve">occupation </w:t>
      </w:r>
      <w:r>
        <w:rPr>
          <w:color w:val="000000" w:themeColor="text1"/>
        </w:rPr>
        <w:t xml:space="preserve">sur le </w:t>
      </w:r>
      <w:r w:rsidRPr="00EE2F3E">
        <w:rPr>
          <w:color w:val="000000" w:themeColor="text1"/>
        </w:rPr>
        <w:t>logement socia</w:t>
      </w:r>
      <w:r>
        <w:rPr>
          <w:color w:val="000000" w:themeColor="text1"/>
        </w:rPr>
        <w:t>l qu’elles utilisaient avant de quitter le pays</w:t>
      </w:r>
      <w:r w:rsidRPr="00EE2F3E">
        <w:rPr>
          <w:color w:val="000000" w:themeColor="text1"/>
        </w:rPr>
        <w:t>.</w:t>
      </w:r>
    </w:p>
  </w:footnote>
  <w:footnote w:id="10">
    <w:p w14:paraId="74325E93" w14:textId="45B6499A" w:rsidR="000C1192" w:rsidRPr="00814C1F" w:rsidRDefault="000C1192" w:rsidP="000C1192">
      <w:pPr>
        <w:pStyle w:val="Notedebasdepage"/>
        <w:rPr>
          <w:color w:val="000000" w:themeColor="text1"/>
        </w:rPr>
      </w:pPr>
      <w:r w:rsidRPr="00EE2F3E">
        <w:rPr>
          <w:color w:val="000000" w:themeColor="text1"/>
        </w:rPr>
        <w:tab/>
      </w:r>
      <w:r w:rsidRPr="00535E17">
        <w:rPr>
          <w:rStyle w:val="Appelnotedebasdep"/>
        </w:rPr>
        <w:footnoteRef/>
      </w:r>
      <w:r w:rsidRPr="00814C1F">
        <w:rPr>
          <w:rStyle w:val="Appelnotedebasdep"/>
          <w:color w:val="000000" w:themeColor="text1"/>
        </w:rPr>
        <w:tab/>
      </w:r>
      <w:r w:rsidRPr="00814C1F">
        <w:rPr>
          <w:color w:val="000000" w:themeColor="text1"/>
        </w:rPr>
        <w:t>Voir annexe</w:t>
      </w:r>
      <w:r w:rsidR="00974F3E">
        <w:rPr>
          <w:color w:val="000000" w:themeColor="text1"/>
        </w:rPr>
        <w:t> </w:t>
      </w:r>
      <w:r w:rsidRPr="00814C1F">
        <w:rPr>
          <w:color w:val="000000" w:themeColor="text1"/>
        </w:rPr>
        <w:t xml:space="preserve">2, </w:t>
      </w:r>
      <w:r>
        <w:rPr>
          <w:color w:val="000000" w:themeColor="text1"/>
        </w:rPr>
        <w:t>feuille</w:t>
      </w:r>
      <w:r w:rsidR="00974F3E">
        <w:rPr>
          <w:color w:val="000000" w:themeColor="text1"/>
        </w:rPr>
        <w:t> </w:t>
      </w:r>
      <w:r w:rsidRPr="00814C1F">
        <w:rPr>
          <w:color w:val="000000" w:themeColor="text1"/>
        </w:rPr>
        <w:t>10.1.1.</w:t>
      </w:r>
    </w:p>
  </w:footnote>
  <w:footnote w:id="11">
    <w:p w14:paraId="4B632EA7" w14:textId="77777777" w:rsidR="000C1192" w:rsidRPr="00CD661B" w:rsidRDefault="000C1192" w:rsidP="000C1192">
      <w:pPr>
        <w:pStyle w:val="Notedebasdepage"/>
        <w:rPr>
          <w:color w:val="000000" w:themeColor="text1"/>
        </w:rPr>
      </w:pPr>
      <w:r w:rsidRPr="00814C1F">
        <w:rPr>
          <w:color w:val="000000" w:themeColor="text1"/>
        </w:rPr>
        <w:tab/>
      </w:r>
      <w:r w:rsidRPr="00535E17">
        <w:rPr>
          <w:rStyle w:val="Appelnotedebasdep"/>
        </w:rPr>
        <w:footnoteRef/>
      </w:r>
      <w:r w:rsidRPr="00CD661B">
        <w:rPr>
          <w:rStyle w:val="Appelnotedebasdep"/>
          <w:color w:val="000000" w:themeColor="text1"/>
        </w:rPr>
        <w:t xml:space="preserve"> </w:t>
      </w:r>
      <w:r w:rsidRPr="00CD661B">
        <w:rPr>
          <w:color w:val="000000" w:themeColor="text1"/>
        </w:rPr>
        <w:tab/>
      </w:r>
      <w:hyperlink r:id="rId4" w:history="1">
        <w:r w:rsidRPr="00974F3E">
          <w:rPr>
            <w:rStyle w:val="Lienhypertexte"/>
          </w:rPr>
          <w:t>https://tbinternet.ohchr.org/_layouts/15/treatybodyexternal/Download.aspx?symbolno</w:t>
        </w:r>
        <w:r w:rsidRPr="00974F3E">
          <w:rPr>
            <w:rStyle w:val="Lienhypertexte"/>
          </w:rPr>
          <w:br/>
          <w:t>=CRC%2fHRV%2f5-6&amp;Lang=en</w:t>
        </w:r>
      </w:hyperlink>
      <w:r w:rsidRPr="00CD661B">
        <w:rPr>
          <w:color w:val="000000" w:themeColor="text1"/>
        </w:rPr>
        <w:t>.</w:t>
      </w:r>
    </w:p>
  </w:footnote>
  <w:footnote w:id="12">
    <w:p w14:paraId="3701A33F" w14:textId="77777777" w:rsidR="000C1192" w:rsidRPr="00422F0E" w:rsidRDefault="000C1192" w:rsidP="000C1192">
      <w:pPr>
        <w:pStyle w:val="Notedebasdepage"/>
        <w:rPr>
          <w:color w:val="000000" w:themeColor="text1"/>
        </w:rPr>
      </w:pPr>
      <w:r w:rsidRPr="00CD661B">
        <w:rPr>
          <w:color w:val="000000" w:themeColor="text1"/>
        </w:rPr>
        <w:tab/>
      </w:r>
      <w:r w:rsidRPr="00535E17">
        <w:rPr>
          <w:rStyle w:val="Appelnotedebasdep"/>
        </w:rPr>
        <w:footnoteRef/>
      </w:r>
      <w:r w:rsidRPr="00422F0E">
        <w:rPr>
          <w:rStyle w:val="Appelnotedebasdep"/>
          <w:color w:val="000000" w:themeColor="text1"/>
        </w:rPr>
        <w:t xml:space="preserve"> </w:t>
      </w:r>
      <w:r w:rsidRPr="00422F0E">
        <w:rPr>
          <w:color w:val="000000" w:themeColor="text1"/>
        </w:rPr>
        <w:tab/>
      </w:r>
      <w:hyperlink r:id="rId5" w:history="1">
        <w:r w:rsidRPr="00974F3E">
          <w:rPr>
            <w:rStyle w:val="Lienhypertexte"/>
          </w:rPr>
          <w:t>https://www.dzs.hr/Hrv_Eng/menandwomen/men_and_women_2020.pdf</w:t>
        </w:r>
      </w:hyperlink>
      <w:r w:rsidRPr="00422F0E">
        <w:rPr>
          <w:rFonts w:eastAsia="Times New Roman"/>
          <w:color w:val="000000" w:themeColor="text1"/>
        </w:rPr>
        <w:t>.</w:t>
      </w:r>
    </w:p>
  </w:footnote>
  <w:footnote w:id="13">
    <w:p w14:paraId="54E074E9" w14:textId="60731E06" w:rsidR="000C1192" w:rsidRPr="00D11DEC" w:rsidRDefault="000C1192" w:rsidP="000C1192">
      <w:pPr>
        <w:pStyle w:val="Notedebasdepage"/>
        <w:rPr>
          <w:color w:val="000000" w:themeColor="text1"/>
        </w:rPr>
      </w:pPr>
      <w:r w:rsidRPr="00422F0E">
        <w:rPr>
          <w:color w:val="000000" w:themeColor="text1"/>
        </w:rPr>
        <w:tab/>
      </w:r>
      <w:r w:rsidRPr="00535E17">
        <w:rPr>
          <w:rStyle w:val="Appelnotedebasdep"/>
        </w:rPr>
        <w:footnoteRef/>
      </w:r>
      <w:r w:rsidRPr="00AF730D">
        <w:rPr>
          <w:rStyle w:val="Appelnotedebasdep"/>
          <w:color w:val="000000" w:themeColor="text1"/>
        </w:rPr>
        <w:tab/>
      </w:r>
      <w:r w:rsidRPr="00AF730D">
        <w:rPr>
          <w:color w:val="000000" w:themeColor="text1"/>
        </w:rPr>
        <w:t>Nombre de victimes signalées de la traite des êtres humains</w:t>
      </w:r>
      <w:r w:rsidR="00974F3E">
        <w:rPr>
          <w:color w:val="000000" w:themeColor="text1"/>
        </w:rPr>
        <w:t> </w:t>
      </w:r>
      <w:r w:rsidRPr="00AF730D">
        <w:rPr>
          <w:color w:val="000000" w:themeColor="text1"/>
        </w:rPr>
        <w:t>: 11 en 2012, 31 en 201</w:t>
      </w:r>
      <w:r>
        <w:rPr>
          <w:color w:val="000000" w:themeColor="text1"/>
        </w:rPr>
        <w:t>3</w:t>
      </w:r>
      <w:r w:rsidRPr="00AF730D">
        <w:rPr>
          <w:color w:val="000000" w:themeColor="text1"/>
        </w:rPr>
        <w:t xml:space="preserve">, 37 </w:t>
      </w:r>
      <w:r>
        <w:rPr>
          <w:color w:val="000000" w:themeColor="text1"/>
        </w:rPr>
        <w:t xml:space="preserve">en </w:t>
      </w:r>
      <w:r w:rsidRPr="00AF730D">
        <w:rPr>
          <w:color w:val="000000" w:themeColor="text1"/>
        </w:rPr>
        <w:t>2014, 38</w:t>
      </w:r>
      <w:r w:rsidR="00974F3E">
        <w:rPr>
          <w:color w:val="000000" w:themeColor="text1"/>
        </w:rPr>
        <w:t> </w:t>
      </w:r>
      <w:r>
        <w:rPr>
          <w:color w:val="000000" w:themeColor="text1"/>
        </w:rPr>
        <w:t xml:space="preserve">en </w:t>
      </w:r>
      <w:r w:rsidRPr="00AF730D">
        <w:rPr>
          <w:color w:val="000000" w:themeColor="text1"/>
        </w:rPr>
        <w:t xml:space="preserve">2015, 30 </w:t>
      </w:r>
      <w:r>
        <w:rPr>
          <w:color w:val="000000" w:themeColor="text1"/>
        </w:rPr>
        <w:t xml:space="preserve">en </w:t>
      </w:r>
      <w:r w:rsidRPr="00AF730D">
        <w:rPr>
          <w:color w:val="000000" w:themeColor="text1"/>
        </w:rPr>
        <w:t xml:space="preserve">2016, 29 </w:t>
      </w:r>
      <w:r>
        <w:rPr>
          <w:color w:val="000000" w:themeColor="text1"/>
        </w:rPr>
        <w:t xml:space="preserve">en </w:t>
      </w:r>
      <w:r w:rsidRPr="00AF730D">
        <w:rPr>
          <w:color w:val="000000" w:themeColor="text1"/>
        </w:rPr>
        <w:t xml:space="preserve">2017, 76 </w:t>
      </w:r>
      <w:r>
        <w:rPr>
          <w:color w:val="000000" w:themeColor="text1"/>
        </w:rPr>
        <w:t xml:space="preserve">en </w:t>
      </w:r>
      <w:r w:rsidRPr="00AF730D">
        <w:rPr>
          <w:color w:val="000000" w:themeColor="text1"/>
        </w:rPr>
        <w:t xml:space="preserve">2018, 27 </w:t>
      </w:r>
      <w:r>
        <w:rPr>
          <w:color w:val="000000" w:themeColor="text1"/>
        </w:rPr>
        <w:t xml:space="preserve">en </w:t>
      </w:r>
      <w:r w:rsidRPr="00AF730D">
        <w:rPr>
          <w:color w:val="000000" w:themeColor="text1"/>
        </w:rPr>
        <w:t xml:space="preserve">2019, </w:t>
      </w:r>
      <w:r>
        <w:rPr>
          <w:color w:val="000000" w:themeColor="text1"/>
        </w:rPr>
        <w:t xml:space="preserve">et 15 en </w:t>
      </w:r>
      <w:r w:rsidRPr="00AF730D">
        <w:rPr>
          <w:color w:val="000000" w:themeColor="text1"/>
        </w:rPr>
        <w:t>2020</w:t>
      </w:r>
      <w:r w:rsidRPr="00D11DEC">
        <w:rPr>
          <w:color w:val="000000" w:themeColor="text1"/>
        </w:rPr>
        <w:t>.</w:t>
      </w:r>
    </w:p>
  </w:footnote>
  <w:footnote w:id="14">
    <w:p w14:paraId="41F2045B" w14:textId="77777777" w:rsidR="000C1192" w:rsidRPr="0004385D" w:rsidRDefault="000C1192" w:rsidP="000C1192">
      <w:pPr>
        <w:pStyle w:val="Notedebasdepage"/>
        <w:rPr>
          <w:color w:val="000000" w:themeColor="text1"/>
        </w:rPr>
      </w:pPr>
      <w:r w:rsidRPr="00D11DEC">
        <w:rPr>
          <w:color w:val="000000" w:themeColor="text1"/>
        </w:rPr>
        <w:tab/>
      </w:r>
      <w:r w:rsidRPr="00535E17">
        <w:rPr>
          <w:rStyle w:val="Appelnotedebasdep"/>
        </w:rPr>
        <w:footnoteRef/>
      </w:r>
      <w:r w:rsidRPr="0004385D">
        <w:rPr>
          <w:rStyle w:val="Appelnotedebasdep"/>
          <w:color w:val="000000" w:themeColor="text1"/>
        </w:rPr>
        <w:t xml:space="preserve"> </w:t>
      </w:r>
      <w:r w:rsidRPr="0004385D">
        <w:rPr>
          <w:color w:val="000000" w:themeColor="text1"/>
        </w:rPr>
        <w:tab/>
      </w:r>
      <w:hyperlink r:id="rId6" w:history="1">
        <w:r w:rsidRPr="00974F3E">
          <w:rPr>
            <w:rStyle w:val="Lienhypertexte"/>
          </w:rPr>
          <w:t>https://tbinternet.ohchr.org/_layouts/15/treatybodyexternal/Download.aspx?symbolno</w:t>
        </w:r>
        <w:r w:rsidRPr="00974F3E">
          <w:rPr>
            <w:rStyle w:val="Lienhypertexte"/>
          </w:rPr>
          <w:br/>
          <w:t>=CRC%2fHRV%2f5-6&amp;Lang=en</w:t>
        </w:r>
      </w:hyperlink>
      <w:r w:rsidRPr="0004385D">
        <w:rPr>
          <w:color w:val="000000" w:themeColor="text1"/>
        </w:rPr>
        <w:t>.</w:t>
      </w:r>
    </w:p>
  </w:footnote>
  <w:footnote w:id="15">
    <w:p w14:paraId="7C9DFE9B" w14:textId="77777777" w:rsidR="000C1192" w:rsidRPr="008C6EF8" w:rsidRDefault="000C1192" w:rsidP="000C1192">
      <w:pPr>
        <w:pStyle w:val="Notedebasdepage"/>
        <w:rPr>
          <w:color w:val="000000" w:themeColor="text1"/>
        </w:rPr>
      </w:pPr>
      <w:r w:rsidRPr="0004385D">
        <w:rPr>
          <w:color w:val="000000" w:themeColor="text1"/>
        </w:rPr>
        <w:tab/>
      </w:r>
      <w:r w:rsidRPr="00535E17">
        <w:rPr>
          <w:rStyle w:val="Appelnotedebasdep"/>
        </w:rPr>
        <w:footnoteRef/>
      </w:r>
      <w:r w:rsidRPr="008C6EF8">
        <w:rPr>
          <w:rStyle w:val="Appelnotedebasdep"/>
          <w:color w:val="000000" w:themeColor="text1"/>
        </w:rPr>
        <w:t xml:space="preserve"> </w:t>
      </w:r>
      <w:r w:rsidRPr="008C6EF8">
        <w:rPr>
          <w:color w:val="000000" w:themeColor="text1"/>
        </w:rPr>
        <w:tab/>
      </w:r>
      <w:r w:rsidRPr="00974F3E">
        <w:rPr>
          <w:color w:val="0000FF"/>
        </w:rPr>
        <w:t>https://documents-dds-ny.un.org/doc/UNDOC/GEN/G20/050/17/PDF/G2005017.pdf?OpenElement</w:t>
      </w:r>
      <w:r w:rsidRPr="008C6EF8">
        <w:rPr>
          <w:color w:val="000000" w:themeColor="text1"/>
        </w:rPr>
        <w:t>.</w:t>
      </w:r>
    </w:p>
  </w:footnote>
  <w:footnote w:id="16">
    <w:p w14:paraId="543D818F" w14:textId="7478D748" w:rsidR="000C1192" w:rsidRPr="0041368A" w:rsidRDefault="000C1192" w:rsidP="000C1192">
      <w:pPr>
        <w:pStyle w:val="Notedebasdepage"/>
        <w:rPr>
          <w:color w:val="000000" w:themeColor="text1"/>
        </w:rPr>
      </w:pPr>
      <w:r w:rsidRPr="008C6EF8">
        <w:rPr>
          <w:color w:val="000000" w:themeColor="text1"/>
        </w:rPr>
        <w:tab/>
      </w:r>
      <w:r w:rsidRPr="00535E17">
        <w:rPr>
          <w:rStyle w:val="Appelnotedebasdep"/>
        </w:rPr>
        <w:footnoteRef/>
      </w:r>
      <w:r w:rsidRPr="0041368A">
        <w:rPr>
          <w:rStyle w:val="Appelnotedebasdep"/>
          <w:color w:val="000000" w:themeColor="text1"/>
        </w:rPr>
        <w:tab/>
      </w:r>
      <w:r w:rsidRPr="0041368A">
        <w:rPr>
          <w:color w:val="000000" w:themeColor="text1"/>
        </w:rPr>
        <w:t>Source</w:t>
      </w:r>
      <w:r w:rsidR="00974F3E">
        <w:rPr>
          <w:color w:val="000000" w:themeColor="text1"/>
        </w:rPr>
        <w:t> </w:t>
      </w:r>
      <w:r w:rsidRPr="0041368A">
        <w:rPr>
          <w:color w:val="000000" w:themeColor="text1"/>
        </w:rPr>
        <w:t xml:space="preserve">: rapport du </w:t>
      </w:r>
      <w:r>
        <w:rPr>
          <w:color w:val="000000" w:themeColor="text1"/>
        </w:rPr>
        <w:t>M</w:t>
      </w:r>
      <w:r w:rsidRPr="0041368A">
        <w:rPr>
          <w:color w:val="000000" w:themeColor="text1"/>
        </w:rPr>
        <w:t>inistère de la justice et de l</w:t>
      </w:r>
      <w:r>
        <w:rPr>
          <w:color w:val="000000" w:themeColor="text1"/>
        </w:rPr>
        <w:t>’</w:t>
      </w:r>
      <w:r w:rsidRPr="0041368A">
        <w:rPr>
          <w:color w:val="000000" w:themeColor="text1"/>
        </w:rPr>
        <w:t xml:space="preserve">administration publique </w:t>
      </w:r>
      <w:r>
        <w:rPr>
          <w:color w:val="000000" w:themeColor="text1"/>
        </w:rPr>
        <w:t xml:space="preserve">pour </w:t>
      </w:r>
      <w:r w:rsidRPr="0041368A">
        <w:rPr>
          <w:color w:val="000000" w:themeColor="text1"/>
        </w:rPr>
        <w:t xml:space="preserve">2018, </w:t>
      </w:r>
      <w:r>
        <w:rPr>
          <w:color w:val="000000" w:themeColor="text1"/>
        </w:rPr>
        <w:t xml:space="preserve">complété de </w:t>
      </w:r>
      <w:r w:rsidRPr="0041368A">
        <w:rPr>
          <w:color w:val="000000" w:themeColor="text1"/>
        </w:rPr>
        <w:t>données pour 2019.</w:t>
      </w:r>
    </w:p>
  </w:footnote>
  <w:footnote w:id="17">
    <w:p w14:paraId="56A03186" w14:textId="77777777" w:rsidR="000C1192" w:rsidRPr="00D85422" w:rsidRDefault="000C1192" w:rsidP="000C1192">
      <w:pPr>
        <w:pStyle w:val="Notedebasdepage"/>
        <w:rPr>
          <w:color w:val="000000" w:themeColor="text1"/>
        </w:rPr>
      </w:pPr>
      <w:r w:rsidRPr="0041368A">
        <w:rPr>
          <w:color w:val="000000" w:themeColor="text1"/>
        </w:rPr>
        <w:tab/>
      </w:r>
      <w:r w:rsidRPr="00535E17">
        <w:rPr>
          <w:rStyle w:val="Appelnotedebasdep"/>
        </w:rPr>
        <w:footnoteRef/>
      </w:r>
      <w:r w:rsidRPr="00D85422">
        <w:rPr>
          <w:rStyle w:val="Appelnotedebasdep"/>
          <w:color w:val="000000" w:themeColor="text1"/>
        </w:rPr>
        <w:tab/>
      </w:r>
      <w:hyperlink r:id="rId7" w:history="1">
        <w:r w:rsidRPr="00974F3E">
          <w:rPr>
            <w:rStyle w:val="Lienhypertexte"/>
          </w:rPr>
          <w:t>https://tbinternet.ohchr.org/_layouts/15/treatybodyexternal/Download.aspx?</w:t>
        </w:r>
        <w:r w:rsidRPr="00974F3E">
          <w:rPr>
            <w:rStyle w:val="Lienhypertexte"/>
          </w:rPr>
          <w:br/>
          <w:t>symbolno=CERD%2fC%2fHRV%2f9-14&amp;Lang=en</w:t>
        </w:r>
      </w:hyperlink>
      <w:r w:rsidRPr="00D85422">
        <w:rPr>
          <w:color w:val="000000" w:themeColor="text1"/>
        </w:rPr>
        <w:t>.</w:t>
      </w:r>
    </w:p>
  </w:footnote>
  <w:footnote w:id="18">
    <w:p w14:paraId="5A98D511" w14:textId="77777777" w:rsidR="000C1192" w:rsidRPr="0063744F" w:rsidRDefault="000C1192" w:rsidP="000C1192">
      <w:pPr>
        <w:pStyle w:val="Notedebasdepage"/>
        <w:rPr>
          <w:color w:val="000000" w:themeColor="text1"/>
        </w:rPr>
      </w:pPr>
      <w:r w:rsidRPr="00D85422">
        <w:rPr>
          <w:color w:val="000000" w:themeColor="text1"/>
        </w:rPr>
        <w:tab/>
      </w:r>
      <w:r w:rsidRPr="00535E17">
        <w:rPr>
          <w:rStyle w:val="Appelnotedebasdep"/>
        </w:rPr>
        <w:footnoteRef/>
      </w:r>
      <w:r w:rsidRPr="0063744F">
        <w:rPr>
          <w:rStyle w:val="Appelnotedebasdep"/>
          <w:color w:val="000000" w:themeColor="text1"/>
        </w:rPr>
        <w:t xml:space="preserve"> </w:t>
      </w:r>
      <w:r w:rsidRPr="0063744F">
        <w:rPr>
          <w:color w:val="000000" w:themeColor="text1"/>
        </w:rPr>
        <w:tab/>
      </w:r>
      <w:hyperlink r:id="rId8" w:history="1">
        <w:r w:rsidRPr="00974F3E">
          <w:rPr>
            <w:rStyle w:val="Lienhypertexte"/>
          </w:rPr>
          <w:t>https://tbinternet.ohchr.org/_layouts/15/treatybodyexternal/Download.aspx?</w:t>
        </w:r>
        <w:r w:rsidRPr="00974F3E">
          <w:rPr>
            <w:rStyle w:val="Lienhypertexte"/>
          </w:rPr>
          <w:br/>
          <w:t>symbolno=CRC%2fHRV%2f5-6&amp;Lang=en</w:t>
        </w:r>
      </w:hyperlink>
      <w:r w:rsidRPr="0063744F">
        <w:rPr>
          <w:color w:val="000000" w:themeColor="text1"/>
        </w:rPr>
        <w:t>.</w:t>
      </w:r>
    </w:p>
  </w:footnote>
  <w:footnote w:id="19">
    <w:p w14:paraId="3432E2E4" w14:textId="77777777" w:rsidR="000C1192" w:rsidRPr="00666ABA" w:rsidRDefault="000C1192" w:rsidP="000C1192">
      <w:pPr>
        <w:pStyle w:val="Notedebasdepage"/>
        <w:rPr>
          <w:color w:val="000000" w:themeColor="text1"/>
        </w:rPr>
      </w:pPr>
      <w:r w:rsidRPr="0063744F">
        <w:rPr>
          <w:color w:val="000000" w:themeColor="text1"/>
        </w:rPr>
        <w:tab/>
      </w:r>
      <w:r w:rsidRPr="00535E17">
        <w:rPr>
          <w:rStyle w:val="Appelnotedebasdep"/>
        </w:rPr>
        <w:footnoteRef/>
      </w:r>
      <w:r w:rsidRPr="00666ABA">
        <w:rPr>
          <w:rStyle w:val="Appelnotedebasdep"/>
          <w:color w:val="000000" w:themeColor="text1"/>
        </w:rPr>
        <w:tab/>
      </w:r>
      <w:hyperlink r:id="rId9" w:history="1">
        <w:r w:rsidRPr="00974F3E">
          <w:rPr>
            <w:rStyle w:val="Lienhypertexte"/>
          </w:rPr>
          <w:t>https://tbinternet.ohchr.org/_layouts/15/treatybodyexternal/Download.aspx?</w:t>
        </w:r>
        <w:r w:rsidRPr="00974F3E">
          <w:rPr>
            <w:rStyle w:val="Lienhypertexte"/>
          </w:rPr>
          <w:br/>
          <w:t>symbolno=CERD%2fC%2fHRV%2f9-14&amp;Lang=en</w:t>
        </w:r>
      </w:hyperlink>
      <w:r w:rsidRPr="00666ABA">
        <w:rPr>
          <w:color w:val="000000" w:themeColor="text1"/>
        </w:rPr>
        <w:t>.</w:t>
      </w:r>
    </w:p>
  </w:footnote>
  <w:footnote w:id="20">
    <w:p w14:paraId="1F370605" w14:textId="77777777" w:rsidR="000C1192" w:rsidRPr="002C73A2" w:rsidRDefault="000C1192" w:rsidP="000C1192">
      <w:pPr>
        <w:pStyle w:val="Notedebasdepage"/>
        <w:rPr>
          <w:color w:val="000000" w:themeColor="text1"/>
        </w:rPr>
      </w:pPr>
      <w:r w:rsidRPr="00666ABA">
        <w:rPr>
          <w:color w:val="000000" w:themeColor="text1"/>
        </w:rPr>
        <w:tab/>
      </w:r>
      <w:r w:rsidRPr="00535E17">
        <w:rPr>
          <w:rStyle w:val="Appelnotedebasdep"/>
        </w:rPr>
        <w:footnoteRef/>
      </w:r>
      <w:r w:rsidRPr="002C73A2">
        <w:rPr>
          <w:rStyle w:val="Appelnotedebasdep"/>
          <w:color w:val="000000" w:themeColor="text1"/>
        </w:rPr>
        <w:tab/>
      </w:r>
      <w:hyperlink r:id="rId10" w:history="1">
        <w:r w:rsidRPr="00974F3E">
          <w:rPr>
            <w:rStyle w:val="Lienhypertexte"/>
          </w:rPr>
          <w:t>https://tbinternet.ohchr.org/_layouts/15/treatybodyexternal/Download.aspx?</w:t>
        </w:r>
        <w:r w:rsidRPr="00974F3E">
          <w:rPr>
            <w:rStyle w:val="Lienhypertexte"/>
          </w:rPr>
          <w:br/>
          <w:t>symbolno=CCPR%2fC%2fHRV%2f3&amp;Lang=en</w:t>
        </w:r>
      </w:hyperlink>
      <w:r w:rsidRPr="002C73A2">
        <w:rPr>
          <w:color w:val="000000" w:themeColor="text1"/>
        </w:rPr>
        <w:t>.</w:t>
      </w:r>
    </w:p>
  </w:footnote>
  <w:footnote w:id="21">
    <w:p w14:paraId="1CEEA258" w14:textId="77777777" w:rsidR="000C1192" w:rsidRPr="008E7F4B" w:rsidRDefault="000C1192" w:rsidP="000C1192">
      <w:pPr>
        <w:pStyle w:val="Notedebasdepage"/>
        <w:rPr>
          <w:color w:val="000000" w:themeColor="text1"/>
        </w:rPr>
      </w:pPr>
      <w:r w:rsidRPr="002C73A2">
        <w:rPr>
          <w:color w:val="000000" w:themeColor="text1"/>
        </w:rPr>
        <w:tab/>
      </w:r>
      <w:r w:rsidRPr="00535E17">
        <w:rPr>
          <w:rStyle w:val="Appelnotedebasdep"/>
        </w:rPr>
        <w:footnoteRef/>
      </w:r>
      <w:r w:rsidRPr="008E7F4B">
        <w:rPr>
          <w:rStyle w:val="Appelnotedebasdep"/>
          <w:color w:val="000000" w:themeColor="text1"/>
        </w:rPr>
        <w:tab/>
      </w:r>
      <w:hyperlink r:id="rId11" w:history="1">
        <w:r w:rsidRPr="00974F3E">
          <w:rPr>
            <w:rStyle w:val="Lienhypertexte"/>
          </w:rPr>
          <w:t>https://tbinternet.ohchr.org/_layouts/15/treatybodyexternal/Download.aspx?symbolno</w:t>
        </w:r>
        <w:r w:rsidRPr="00974F3E">
          <w:rPr>
            <w:rStyle w:val="Lienhypertexte"/>
          </w:rPr>
          <w:br/>
          <w:t>=CERD%2fC%2fHRV%2f9-14&amp;Lang=en</w:t>
        </w:r>
      </w:hyperlink>
      <w:r w:rsidRPr="008E7F4B">
        <w:rPr>
          <w:color w:val="000000" w:themeColor="text1"/>
        </w:rPr>
        <w:t>.</w:t>
      </w:r>
    </w:p>
  </w:footnote>
  <w:footnote w:id="22">
    <w:p w14:paraId="09D6CA1C" w14:textId="77777777" w:rsidR="000C1192" w:rsidRPr="008E7F4B" w:rsidRDefault="000C1192" w:rsidP="000C1192">
      <w:pPr>
        <w:pStyle w:val="Notedebasdepage"/>
        <w:rPr>
          <w:color w:val="000000" w:themeColor="text1"/>
        </w:rPr>
      </w:pPr>
      <w:r w:rsidRPr="008E7F4B">
        <w:rPr>
          <w:color w:val="000000" w:themeColor="text1"/>
        </w:rPr>
        <w:tab/>
      </w:r>
      <w:r w:rsidRPr="00535E17">
        <w:rPr>
          <w:rStyle w:val="Appelnotedebasdep"/>
        </w:rPr>
        <w:footnoteRef/>
      </w:r>
      <w:r w:rsidRPr="008E7F4B">
        <w:rPr>
          <w:rStyle w:val="Appelnotedebasdep"/>
          <w:color w:val="000000" w:themeColor="text1"/>
        </w:rPr>
        <w:t xml:space="preserve"> </w:t>
      </w:r>
      <w:r w:rsidRPr="008E7F4B">
        <w:rPr>
          <w:color w:val="000000" w:themeColor="text1"/>
        </w:rPr>
        <w:tab/>
      </w:r>
      <w:r w:rsidRPr="00974F3E">
        <w:rPr>
          <w:color w:val="0000FF"/>
        </w:rPr>
        <w:t>https://documents-dds-ny.un.org/doc/UNDOC/GEN/G20/050/17/PDF/G2005017.pdf?OpenElement</w:t>
      </w:r>
      <w:r w:rsidRPr="008E7F4B">
        <w:rPr>
          <w:color w:val="000000" w:themeColor="text1"/>
        </w:rPr>
        <w:t>.</w:t>
      </w:r>
    </w:p>
  </w:footnote>
  <w:footnote w:id="23">
    <w:p w14:paraId="10145A3C" w14:textId="751B6F14" w:rsidR="000C1192" w:rsidRPr="008E7F4B" w:rsidRDefault="000C1192" w:rsidP="000C1192">
      <w:pPr>
        <w:pStyle w:val="Notedebasdepage"/>
        <w:rPr>
          <w:color w:val="000000" w:themeColor="text1"/>
        </w:rPr>
      </w:pPr>
      <w:r w:rsidRPr="008E7F4B">
        <w:rPr>
          <w:color w:val="000000" w:themeColor="text1"/>
        </w:rPr>
        <w:tab/>
      </w:r>
      <w:r w:rsidRPr="00535E17">
        <w:rPr>
          <w:rStyle w:val="Appelnotedebasdep"/>
        </w:rPr>
        <w:footnoteRef/>
      </w:r>
      <w:r w:rsidRPr="008E7F4B">
        <w:rPr>
          <w:rStyle w:val="Appelnotedebasdep"/>
          <w:color w:val="000000" w:themeColor="text1"/>
        </w:rPr>
        <w:t xml:space="preserve"> </w:t>
      </w:r>
      <w:r w:rsidRPr="008E7F4B">
        <w:rPr>
          <w:color w:val="000000" w:themeColor="text1"/>
        </w:rPr>
        <w:tab/>
      </w:r>
      <w:hyperlink r:id="rId12" w:history="1">
        <w:r w:rsidR="00EE6A74" w:rsidRPr="00974F3E">
          <w:rPr>
            <w:rStyle w:val="Lienhypertexte"/>
          </w:rPr>
          <w:t>https://documents-dds-ny.un.org/doc/UNDOC/GEN/G20/050/17/PDF/G2005017.pdf?OpenElement</w:t>
        </w:r>
      </w:hyperlink>
      <w:r w:rsidRPr="008E7F4B">
        <w:rPr>
          <w:color w:val="000000" w:themeColor="text1"/>
        </w:rPr>
        <w:t>.</w:t>
      </w:r>
    </w:p>
  </w:footnote>
  <w:footnote w:id="24">
    <w:p w14:paraId="75B6F117" w14:textId="038E2CAE" w:rsidR="000C1192" w:rsidRPr="00276E2B" w:rsidRDefault="00EE6A74" w:rsidP="000C1192">
      <w:pPr>
        <w:pStyle w:val="Notedebasdepage"/>
      </w:pPr>
      <w:r>
        <w:rPr>
          <w:color w:val="000000" w:themeColor="text1"/>
        </w:rPr>
        <w:tab/>
      </w:r>
      <w:r w:rsidR="000C1192" w:rsidRPr="00535E17">
        <w:rPr>
          <w:rStyle w:val="Appelnotedebasdep"/>
        </w:rPr>
        <w:footnoteRef/>
      </w:r>
      <w:r>
        <w:rPr>
          <w:color w:val="000000" w:themeColor="text1"/>
        </w:rPr>
        <w:tab/>
      </w:r>
      <w:r w:rsidR="000C1192" w:rsidRPr="00276E2B">
        <w:rPr>
          <w:color w:val="000000" w:themeColor="text1"/>
        </w:rPr>
        <w:t xml:space="preserve">Directive 2004/38/EC </w:t>
      </w:r>
      <w:r w:rsidR="000C1192">
        <w:rPr>
          <w:color w:val="000000" w:themeColor="text1"/>
        </w:rPr>
        <w:t>relative au</w:t>
      </w:r>
      <w:r w:rsidR="000C1192" w:rsidRPr="00276E2B">
        <w:rPr>
          <w:color w:val="000000" w:themeColor="text1"/>
        </w:rPr>
        <w:t xml:space="preserve"> droit des citoyens de l</w:t>
      </w:r>
      <w:r w:rsidR="000C1192">
        <w:rPr>
          <w:color w:val="000000" w:themeColor="text1"/>
        </w:rPr>
        <w:t>’</w:t>
      </w:r>
      <w:r w:rsidR="000C1192" w:rsidRPr="00276E2B">
        <w:rPr>
          <w:color w:val="000000" w:themeColor="text1"/>
        </w:rPr>
        <w:t>UE et des membr</w:t>
      </w:r>
      <w:r w:rsidR="000C1192">
        <w:rPr>
          <w:color w:val="000000" w:themeColor="text1"/>
        </w:rPr>
        <w:t>e</w:t>
      </w:r>
      <w:r w:rsidR="000C1192" w:rsidRPr="00276E2B">
        <w:rPr>
          <w:color w:val="000000" w:themeColor="text1"/>
        </w:rPr>
        <w:t>s de leur</w:t>
      </w:r>
      <w:r w:rsidR="000C1192">
        <w:rPr>
          <w:color w:val="000000" w:themeColor="text1"/>
        </w:rPr>
        <w:t>s</w:t>
      </w:r>
      <w:r w:rsidR="000C1192" w:rsidRPr="00276E2B">
        <w:rPr>
          <w:color w:val="000000" w:themeColor="text1"/>
        </w:rPr>
        <w:t xml:space="preserve"> famille</w:t>
      </w:r>
      <w:r w:rsidR="000C1192">
        <w:rPr>
          <w:color w:val="000000" w:themeColor="text1"/>
        </w:rPr>
        <w:t>s</w:t>
      </w:r>
      <w:r w:rsidR="000C1192" w:rsidRPr="00276E2B">
        <w:rPr>
          <w:color w:val="000000" w:themeColor="text1"/>
        </w:rPr>
        <w:t xml:space="preserve"> de </w:t>
      </w:r>
      <w:r w:rsidR="000C1192">
        <w:rPr>
          <w:color w:val="000000" w:themeColor="text1"/>
        </w:rPr>
        <w:t>circuler et de séjourner librement dans l’UE, Journal officiel de l’UE, L 158/77, 30</w:t>
      </w:r>
      <w:r>
        <w:rPr>
          <w:color w:val="000000" w:themeColor="text1"/>
        </w:rPr>
        <w:t> </w:t>
      </w:r>
      <w:r w:rsidR="000C1192">
        <w:rPr>
          <w:color w:val="000000" w:themeColor="text1"/>
        </w:rPr>
        <w:t>avril 2004.</w:t>
      </w:r>
    </w:p>
  </w:footnote>
  <w:footnote w:id="25">
    <w:p w14:paraId="064C0435" w14:textId="003E67F3" w:rsidR="000C1192" w:rsidRPr="001D6E69" w:rsidRDefault="000C1192" w:rsidP="000C1192">
      <w:pPr>
        <w:pStyle w:val="Notedebasdepage"/>
        <w:rPr>
          <w:color w:val="000000" w:themeColor="text1"/>
        </w:rPr>
      </w:pPr>
      <w:r w:rsidRPr="00A849DD">
        <w:rPr>
          <w:color w:val="000000" w:themeColor="text1"/>
        </w:rPr>
        <w:tab/>
      </w:r>
      <w:r w:rsidRPr="00535E17">
        <w:rPr>
          <w:rStyle w:val="Appelnotedebasdep"/>
        </w:rPr>
        <w:footnoteRef/>
      </w:r>
      <w:r w:rsidRPr="009A0C4F">
        <w:rPr>
          <w:rStyle w:val="Appelnotedebasdep"/>
          <w:color w:val="000000" w:themeColor="text1"/>
        </w:rPr>
        <w:tab/>
      </w:r>
      <w:r w:rsidRPr="009A0C4F">
        <w:rPr>
          <w:color w:val="000000" w:themeColor="text1"/>
        </w:rPr>
        <w:t>Outre l</w:t>
      </w:r>
      <w:r>
        <w:rPr>
          <w:color w:val="000000" w:themeColor="text1"/>
        </w:rPr>
        <w:t>’</w:t>
      </w:r>
      <w:r w:rsidRPr="009A0C4F">
        <w:rPr>
          <w:color w:val="000000" w:themeColor="text1"/>
        </w:rPr>
        <w:t>infraction pénale d</w:t>
      </w:r>
      <w:r>
        <w:rPr>
          <w:color w:val="000000" w:themeColor="text1"/>
        </w:rPr>
        <w:t>’</w:t>
      </w:r>
      <w:r w:rsidRPr="009A0C4F">
        <w:rPr>
          <w:color w:val="000000" w:themeColor="text1"/>
        </w:rPr>
        <w:t>incitation publique à la violence et à la haine, réprimée par l</w:t>
      </w:r>
      <w:r>
        <w:rPr>
          <w:color w:val="000000" w:themeColor="text1"/>
        </w:rPr>
        <w:t>’</w:t>
      </w:r>
      <w:r w:rsidR="00A858B3">
        <w:rPr>
          <w:color w:val="000000" w:themeColor="text1"/>
        </w:rPr>
        <w:t>article </w:t>
      </w:r>
      <w:r w:rsidRPr="001D6E69">
        <w:rPr>
          <w:color w:val="000000" w:themeColor="text1"/>
        </w:rPr>
        <w:t xml:space="preserve">325 du </w:t>
      </w:r>
      <w:r>
        <w:rPr>
          <w:color w:val="000000" w:themeColor="text1"/>
        </w:rPr>
        <w:t>Code pénal</w:t>
      </w:r>
      <w:r w:rsidRPr="001D6E69">
        <w:rPr>
          <w:color w:val="000000" w:themeColor="text1"/>
        </w:rPr>
        <w:t xml:space="preserve">, </w:t>
      </w:r>
      <w:r>
        <w:rPr>
          <w:color w:val="000000" w:themeColor="text1"/>
        </w:rPr>
        <w:t xml:space="preserve">dont </w:t>
      </w:r>
      <w:r w:rsidRPr="001D6E69">
        <w:rPr>
          <w:color w:val="000000" w:themeColor="text1"/>
        </w:rPr>
        <w:t>12</w:t>
      </w:r>
      <w:r w:rsidR="00711B54">
        <w:rPr>
          <w:color w:val="000000" w:themeColor="text1"/>
        </w:rPr>
        <w:t> </w:t>
      </w:r>
      <w:r>
        <w:rPr>
          <w:color w:val="000000" w:themeColor="text1"/>
        </w:rPr>
        <w:t xml:space="preserve">cas ont été signalés en 2019 </w:t>
      </w:r>
      <w:r w:rsidRPr="001D6E69">
        <w:rPr>
          <w:color w:val="000000" w:themeColor="text1"/>
        </w:rPr>
        <w:t xml:space="preserve">comme les années précédentes, les infractions </w:t>
      </w:r>
      <w:r>
        <w:rPr>
          <w:color w:val="000000" w:themeColor="text1"/>
        </w:rPr>
        <w:t xml:space="preserve">pénales </w:t>
      </w:r>
      <w:r w:rsidRPr="001D6E69">
        <w:rPr>
          <w:color w:val="000000" w:themeColor="text1"/>
        </w:rPr>
        <w:t>les plus courantes sont les menaces (13</w:t>
      </w:r>
      <w:r w:rsidR="00711B54">
        <w:rPr>
          <w:color w:val="000000" w:themeColor="text1"/>
        </w:rPr>
        <w:t> </w:t>
      </w:r>
      <w:r>
        <w:rPr>
          <w:color w:val="000000" w:themeColor="text1"/>
        </w:rPr>
        <w:t>cas</w:t>
      </w:r>
      <w:r w:rsidRPr="001D6E69">
        <w:rPr>
          <w:color w:val="000000" w:themeColor="text1"/>
        </w:rPr>
        <w:t xml:space="preserve">) et les </w:t>
      </w:r>
      <w:r>
        <w:rPr>
          <w:color w:val="000000" w:themeColor="text1"/>
        </w:rPr>
        <w:t xml:space="preserve">dommages aux biens </w:t>
      </w:r>
      <w:r w:rsidRPr="001D6E69">
        <w:rPr>
          <w:color w:val="000000" w:themeColor="text1"/>
        </w:rPr>
        <w:t>d</w:t>
      </w:r>
      <w:r>
        <w:rPr>
          <w:color w:val="000000" w:themeColor="text1"/>
        </w:rPr>
        <w:t>’</w:t>
      </w:r>
      <w:r w:rsidRPr="001D6E69">
        <w:rPr>
          <w:color w:val="000000" w:themeColor="text1"/>
        </w:rPr>
        <w:t>autrui (9</w:t>
      </w:r>
      <w:r w:rsidR="00711B54">
        <w:rPr>
          <w:color w:val="000000" w:themeColor="text1"/>
        </w:rPr>
        <w:t> </w:t>
      </w:r>
      <w:r>
        <w:rPr>
          <w:color w:val="000000" w:themeColor="text1"/>
        </w:rPr>
        <w:t>cas</w:t>
      </w:r>
      <w:r w:rsidRPr="001D6E69">
        <w:rPr>
          <w:color w:val="000000" w:themeColor="text1"/>
        </w:rPr>
        <w:t>), suivi</w:t>
      </w:r>
      <w:r>
        <w:rPr>
          <w:color w:val="000000" w:themeColor="text1"/>
        </w:rPr>
        <w:t>e</w:t>
      </w:r>
      <w:r w:rsidRPr="001D6E69">
        <w:rPr>
          <w:color w:val="000000" w:themeColor="text1"/>
        </w:rPr>
        <w:t>s par les comportements violents (7</w:t>
      </w:r>
      <w:r w:rsidR="00711B54">
        <w:rPr>
          <w:color w:val="000000" w:themeColor="text1"/>
        </w:rPr>
        <w:t> </w:t>
      </w:r>
      <w:r>
        <w:rPr>
          <w:color w:val="000000" w:themeColor="text1"/>
        </w:rPr>
        <w:t>cas</w:t>
      </w:r>
      <w:r w:rsidRPr="001D6E69">
        <w:rPr>
          <w:color w:val="000000" w:themeColor="text1"/>
        </w:rPr>
        <w:t xml:space="preserve">), les </w:t>
      </w:r>
      <w:r>
        <w:rPr>
          <w:color w:val="000000" w:themeColor="text1"/>
        </w:rPr>
        <w:t xml:space="preserve">coups et blessures </w:t>
      </w:r>
      <w:r w:rsidRPr="001D6E69">
        <w:rPr>
          <w:color w:val="000000" w:themeColor="text1"/>
        </w:rPr>
        <w:t xml:space="preserve">(3), </w:t>
      </w:r>
      <w:r>
        <w:rPr>
          <w:color w:val="000000" w:themeColor="text1"/>
        </w:rPr>
        <w:t xml:space="preserve">les atteintes à </w:t>
      </w:r>
      <w:r w:rsidRPr="001D6E69">
        <w:rPr>
          <w:color w:val="000000" w:themeColor="text1"/>
        </w:rPr>
        <w:t>l</w:t>
      </w:r>
      <w:r>
        <w:rPr>
          <w:color w:val="000000" w:themeColor="text1"/>
        </w:rPr>
        <w:t>’</w:t>
      </w:r>
      <w:r w:rsidRPr="001D6E69">
        <w:rPr>
          <w:color w:val="000000" w:themeColor="text1"/>
        </w:rPr>
        <w:t>égalité (2), les crimes de guerre (2)</w:t>
      </w:r>
      <w:r>
        <w:rPr>
          <w:color w:val="000000" w:themeColor="text1"/>
        </w:rPr>
        <w:t xml:space="preserve">, et </w:t>
      </w:r>
      <w:r w:rsidRPr="001D6E69">
        <w:rPr>
          <w:color w:val="000000" w:themeColor="text1"/>
        </w:rPr>
        <w:t xml:space="preserve">le vol qualifié, le </w:t>
      </w:r>
      <w:r>
        <w:rPr>
          <w:color w:val="000000" w:themeColor="text1"/>
        </w:rPr>
        <w:t xml:space="preserve">préjudice </w:t>
      </w:r>
      <w:r w:rsidRPr="001D6E69">
        <w:rPr>
          <w:color w:val="000000" w:themeColor="text1"/>
        </w:rPr>
        <w:t>corporel grave et l</w:t>
      </w:r>
      <w:r>
        <w:rPr>
          <w:color w:val="000000" w:themeColor="text1"/>
        </w:rPr>
        <w:t>’</w:t>
      </w:r>
      <w:r w:rsidRPr="001D6E69">
        <w:rPr>
          <w:color w:val="000000" w:themeColor="text1"/>
        </w:rPr>
        <w:t xml:space="preserve">atteinte à la réputation de la </w:t>
      </w:r>
      <w:r>
        <w:rPr>
          <w:color w:val="000000" w:themeColor="text1"/>
        </w:rPr>
        <w:t>République de Croatie (1</w:t>
      </w:r>
      <w:r w:rsidR="00711B54">
        <w:rPr>
          <w:color w:val="000000" w:themeColor="text1"/>
        </w:rPr>
        <w:t> </w:t>
      </w:r>
      <w:r>
        <w:rPr>
          <w:color w:val="000000" w:themeColor="text1"/>
        </w:rPr>
        <w:t xml:space="preserve">cas signalé pour chacun de ces délits). </w:t>
      </w:r>
    </w:p>
  </w:footnote>
  <w:footnote w:id="26">
    <w:p w14:paraId="2D4A1AAE" w14:textId="768137A7" w:rsidR="000C1192" w:rsidRPr="00313106" w:rsidRDefault="000C1192" w:rsidP="000C1192">
      <w:pPr>
        <w:pStyle w:val="Notedebasdepage"/>
        <w:rPr>
          <w:color w:val="000000" w:themeColor="text1"/>
        </w:rPr>
      </w:pPr>
      <w:r w:rsidRPr="001D6E69">
        <w:rPr>
          <w:color w:val="000000" w:themeColor="text1"/>
        </w:rPr>
        <w:tab/>
      </w:r>
      <w:r w:rsidRPr="00535E17">
        <w:rPr>
          <w:rStyle w:val="Appelnotedebasdep"/>
        </w:rPr>
        <w:footnoteRef/>
      </w:r>
      <w:r w:rsidRPr="00313106">
        <w:rPr>
          <w:rStyle w:val="Appelnotedebasdep"/>
          <w:color w:val="000000" w:themeColor="text1"/>
        </w:rPr>
        <w:tab/>
      </w:r>
      <w:r>
        <w:rPr>
          <w:color w:val="000000" w:themeColor="text1"/>
        </w:rPr>
        <w:t>Ces aspects sont</w:t>
      </w:r>
      <w:r w:rsidRPr="00313106">
        <w:rPr>
          <w:color w:val="000000" w:themeColor="text1"/>
        </w:rPr>
        <w:t xml:space="preserve"> </w:t>
      </w:r>
      <w:r>
        <w:rPr>
          <w:color w:val="000000" w:themeColor="text1"/>
        </w:rPr>
        <w:t>les suivants</w:t>
      </w:r>
      <w:r w:rsidR="00711B54">
        <w:rPr>
          <w:color w:val="000000" w:themeColor="text1"/>
        </w:rPr>
        <w:t> </w:t>
      </w:r>
      <w:r w:rsidRPr="00313106">
        <w:rPr>
          <w:color w:val="000000" w:themeColor="text1"/>
        </w:rPr>
        <w:t>: a)</w:t>
      </w:r>
      <w:r w:rsidR="00711B54">
        <w:rPr>
          <w:color w:val="000000" w:themeColor="text1"/>
        </w:rPr>
        <w:t> </w:t>
      </w:r>
      <w:r w:rsidRPr="00313106">
        <w:rPr>
          <w:color w:val="000000" w:themeColor="text1"/>
        </w:rPr>
        <w:t>suivi et analyse des statistiques sur la violence domestique</w:t>
      </w:r>
      <w:r w:rsidR="00711B54">
        <w:rPr>
          <w:color w:val="000000" w:themeColor="text1"/>
        </w:rPr>
        <w:t> </w:t>
      </w:r>
      <w:r w:rsidRPr="00313106">
        <w:rPr>
          <w:color w:val="000000" w:themeColor="text1"/>
        </w:rPr>
        <w:t>; b)</w:t>
      </w:r>
      <w:r w:rsidR="00711B54">
        <w:rPr>
          <w:color w:val="000000" w:themeColor="text1"/>
        </w:rPr>
        <w:t> </w:t>
      </w:r>
      <w:r w:rsidRPr="00313106">
        <w:rPr>
          <w:color w:val="000000" w:themeColor="text1"/>
        </w:rPr>
        <w:t>participation à l</w:t>
      </w:r>
      <w:r>
        <w:rPr>
          <w:color w:val="000000" w:themeColor="text1"/>
        </w:rPr>
        <w:t>’</w:t>
      </w:r>
      <w:r w:rsidRPr="00313106">
        <w:rPr>
          <w:color w:val="000000" w:themeColor="text1"/>
        </w:rPr>
        <w:t xml:space="preserve">élaboration, à </w:t>
      </w:r>
      <w:r>
        <w:rPr>
          <w:color w:val="000000" w:themeColor="text1"/>
        </w:rPr>
        <w:t xml:space="preserve">l’application </w:t>
      </w:r>
      <w:r w:rsidRPr="00313106">
        <w:rPr>
          <w:color w:val="000000" w:themeColor="text1"/>
        </w:rPr>
        <w:t xml:space="preserve">et au suivi des mesures </w:t>
      </w:r>
      <w:r>
        <w:rPr>
          <w:color w:val="000000" w:themeColor="text1"/>
        </w:rPr>
        <w:t xml:space="preserve">prévues dans </w:t>
      </w:r>
      <w:r w:rsidRPr="00313106">
        <w:rPr>
          <w:color w:val="000000" w:themeColor="text1"/>
        </w:rPr>
        <w:t xml:space="preserve">la Stratégie nationale de protection contre la violence domestique et </w:t>
      </w:r>
      <w:r>
        <w:rPr>
          <w:color w:val="000000" w:themeColor="text1"/>
        </w:rPr>
        <w:t>le</w:t>
      </w:r>
      <w:r w:rsidRPr="00313106">
        <w:rPr>
          <w:color w:val="000000" w:themeColor="text1"/>
        </w:rPr>
        <w:t xml:space="preserve"> Protocole </w:t>
      </w:r>
      <w:r>
        <w:rPr>
          <w:color w:val="000000" w:themeColor="text1"/>
        </w:rPr>
        <w:t xml:space="preserve">d’intervention </w:t>
      </w:r>
      <w:r w:rsidRPr="00313106">
        <w:rPr>
          <w:color w:val="000000" w:themeColor="text1"/>
        </w:rPr>
        <w:t>en cas de violence domestique (2005)</w:t>
      </w:r>
      <w:r w:rsidR="00711B54">
        <w:rPr>
          <w:color w:val="000000" w:themeColor="text1"/>
        </w:rPr>
        <w:t> </w:t>
      </w:r>
      <w:r w:rsidRPr="00313106">
        <w:rPr>
          <w:color w:val="000000" w:themeColor="text1"/>
        </w:rPr>
        <w:t>; c)</w:t>
      </w:r>
      <w:r w:rsidR="00711B54">
        <w:rPr>
          <w:color w:val="000000" w:themeColor="text1"/>
        </w:rPr>
        <w:t> </w:t>
      </w:r>
      <w:r>
        <w:rPr>
          <w:color w:val="000000" w:themeColor="text1"/>
        </w:rPr>
        <w:t xml:space="preserve">encourager les </w:t>
      </w:r>
      <w:r w:rsidRPr="00313106">
        <w:rPr>
          <w:color w:val="000000" w:themeColor="text1"/>
        </w:rPr>
        <w:t>acteurs locaux à agir dans le sens de la protection des victimes de la violence domestique et de sa prévention</w:t>
      </w:r>
      <w:r w:rsidR="00711B54">
        <w:rPr>
          <w:color w:val="000000" w:themeColor="text1"/>
        </w:rPr>
        <w:t> </w:t>
      </w:r>
      <w:r w:rsidRPr="00313106">
        <w:rPr>
          <w:color w:val="000000" w:themeColor="text1"/>
        </w:rPr>
        <w:t>; e)</w:t>
      </w:r>
      <w:r w:rsidR="00711B54">
        <w:rPr>
          <w:color w:val="000000" w:themeColor="text1"/>
        </w:rPr>
        <w:t> </w:t>
      </w:r>
      <w:r>
        <w:rPr>
          <w:color w:val="000000" w:themeColor="text1"/>
        </w:rPr>
        <w:t xml:space="preserve">prendre </w:t>
      </w:r>
      <w:r w:rsidRPr="00313106">
        <w:rPr>
          <w:color w:val="000000" w:themeColor="text1"/>
        </w:rPr>
        <w:t xml:space="preserve">des initiatives </w:t>
      </w:r>
      <w:r>
        <w:rPr>
          <w:color w:val="000000" w:themeColor="text1"/>
        </w:rPr>
        <w:t xml:space="preserve">légales en rapport avec </w:t>
      </w:r>
      <w:r w:rsidRPr="00313106">
        <w:rPr>
          <w:color w:val="000000" w:themeColor="text1"/>
        </w:rPr>
        <w:t>la violence domestique et la garde parentale</w:t>
      </w:r>
      <w:r w:rsidR="00711B54">
        <w:rPr>
          <w:color w:val="000000" w:themeColor="text1"/>
        </w:rPr>
        <w:t> </w:t>
      </w:r>
      <w:r w:rsidRPr="00313106">
        <w:rPr>
          <w:color w:val="000000" w:themeColor="text1"/>
        </w:rPr>
        <w:t>; f)</w:t>
      </w:r>
      <w:r w:rsidR="00711B54">
        <w:rPr>
          <w:color w:val="000000" w:themeColor="text1"/>
        </w:rPr>
        <w:t> </w:t>
      </w:r>
      <w:r>
        <w:rPr>
          <w:color w:val="000000" w:themeColor="text1"/>
        </w:rPr>
        <w:t xml:space="preserve">tenue régulière de </w:t>
      </w:r>
      <w:r w:rsidRPr="00313106">
        <w:rPr>
          <w:color w:val="000000" w:themeColor="text1"/>
        </w:rPr>
        <w:t xml:space="preserve">réunions avec des représentants de la police, des </w:t>
      </w:r>
      <w:r>
        <w:rPr>
          <w:color w:val="000000" w:themeColor="text1"/>
        </w:rPr>
        <w:t>centres de protection sociale</w:t>
      </w:r>
      <w:r w:rsidRPr="00313106">
        <w:rPr>
          <w:color w:val="000000" w:themeColor="text1"/>
        </w:rPr>
        <w:t xml:space="preserve">, des autorités de comté, </w:t>
      </w:r>
      <w:r>
        <w:rPr>
          <w:color w:val="000000" w:themeColor="text1"/>
        </w:rPr>
        <w:t xml:space="preserve">de la Commission </w:t>
      </w:r>
      <w:r w:rsidRPr="00313106">
        <w:rPr>
          <w:color w:val="000000" w:themeColor="text1"/>
        </w:rPr>
        <w:t>pour l</w:t>
      </w:r>
      <w:r>
        <w:rPr>
          <w:color w:val="000000" w:themeColor="text1"/>
        </w:rPr>
        <w:t>’</w:t>
      </w:r>
      <w:r w:rsidRPr="00313106">
        <w:rPr>
          <w:color w:val="000000" w:themeColor="text1"/>
        </w:rPr>
        <w:t>égalité des sexes du Parlement croate et des institutions internationales et nationales et des organisations de la société civile, ainsi qu</w:t>
      </w:r>
      <w:r>
        <w:rPr>
          <w:color w:val="000000" w:themeColor="text1"/>
        </w:rPr>
        <w:t>’</w:t>
      </w:r>
      <w:r w:rsidRPr="00313106">
        <w:rPr>
          <w:color w:val="000000" w:themeColor="text1"/>
        </w:rPr>
        <w:t xml:space="preserve">avec les responsables et les associés du </w:t>
      </w:r>
      <w:r>
        <w:rPr>
          <w:color w:val="000000" w:themeColor="text1"/>
        </w:rPr>
        <w:t xml:space="preserve">centre d’accueil des </w:t>
      </w:r>
      <w:r w:rsidRPr="00313106">
        <w:rPr>
          <w:color w:val="000000" w:themeColor="text1"/>
        </w:rPr>
        <w:t xml:space="preserve">femmes victimes de </w:t>
      </w:r>
      <w:r>
        <w:rPr>
          <w:color w:val="000000" w:themeColor="text1"/>
        </w:rPr>
        <w:t xml:space="preserve">la </w:t>
      </w:r>
      <w:r w:rsidRPr="00313106">
        <w:rPr>
          <w:color w:val="000000" w:themeColor="text1"/>
        </w:rPr>
        <w:t>violence domestique</w:t>
      </w:r>
      <w:r w:rsidR="00711B54">
        <w:rPr>
          <w:color w:val="000000" w:themeColor="text1"/>
        </w:rPr>
        <w:t> </w:t>
      </w:r>
      <w:r w:rsidRPr="00313106">
        <w:rPr>
          <w:color w:val="000000" w:themeColor="text1"/>
        </w:rPr>
        <w:t>; d)</w:t>
      </w:r>
      <w:r w:rsidR="00711B54">
        <w:rPr>
          <w:color w:val="000000" w:themeColor="text1"/>
        </w:rPr>
        <w:t> </w:t>
      </w:r>
      <w:r w:rsidRPr="00313106">
        <w:rPr>
          <w:color w:val="000000" w:themeColor="text1"/>
        </w:rPr>
        <w:t xml:space="preserve">mener des </w:t>
      </w:r>
      <w:r>
        <w:rPr>
          <w:color w:val="000000" w:themeColor="text1"/>
        </w:rPr>
        <w:t xml:space="preserve">travaux de </w:t>
      </w:r>
      <w:r w:rsidRPr="00313106">
        <w:rPr>
          <w:color w:val="000000" w:themeColor="text1"/>
        </w:rPr>
        <w:t>recherche</w:t>
      </w:r>
      <w:r>
        <w:rPr>
          <w:color w:val="000000" w:themeColor="text1"/>
        </w:rPr>
        <w:t>.</w:t>
      </w:r>
    </w:p>
  </w:footnote>
  <w:footnote w:id="27">
    <w:p w14:paraId="0EEE4C3F" w14:textId="6DA57582" w:rsidR="000C1192" w:rsidRPr="00F84639" w:rsidRDefault="000C1192" w:rsidP="000C1192">
      <w:pPr>
        <w:pStyle w:val="Notedebasdepage"/>
        <w:rPr>
          <w:color w:val="000000" w:themeColor="text1"/>
        </w:rPr>
      </w:pPr>
      <w:r w:rsidRPr="00313106">
        <w:rPr>
          <w:color w:val="000000" w:themeColor="text1"/>
        </w:rPr>
        <w:tab/>
      </w:r>
      <w:r w:rsidRPr="00535E17">
        <w:rPr>
          <w:rStyle w:val="Appelnotedebasdep"/>
        </w:rPr>
        <w:footnoteRef/>
      </w:r>
      <w:r w:rsidRPr="00F84639">
        <w:rPr>
          <w:rStyle w:val="Appelnotedebasdep"/>
          <w:color w:val="000000" w:themeColor="text1"/>
        </w:rPr>
        <w:tab/>
      </w:r>
      <w:r w:rsidRPr="00F84639">
        <w:rPr>
          <w:color w:val="000000" w:themeColor="text1"/>
        </w:rPr>
        <w:t>L</w:t>
      </w:r>
      <w:r>
        <w:rPr>
          <w:color w:val="000000" w:themeColor="text1"/>
        </w:rPr>
        <w:t>’</w:t>
      </w:r>
      <w:r w:rsidRPr="00F84639">
        <w:rPr>
          <w:color w:val="000000" w:themeColor="text1"/>
        </w:rPr>
        <w:t xml:space="preserve">aide </w:t>
      </w:r>
      <w:r>
        <w:rPr>
          <w:color w:val="000000" w:themeColor="text1"/>
        </w:rPr>
        <w:t xml:space="preserve">juridictionnelle </w:t>
      </w:r>
      <w:r w:rsidRPr="00F84639">
        <w:rPr>
          <w:color w:val="000000" w:themeColor="text1"/>
        </w:rPr>
        <w:t xml:space="preserve">secondaire consiste à </w:t>
      </w:r>
      <w:r>
        <w:rPr>
          <w:color w:val="000000" w:themeColor="text1"/>
        </w:rPr>
        <w:t xml:space="preserve">recruter </w:t>
      </w:r>
      <w:r w:rsidRPr="00F84639">
        <w:rPr>
          <w:color w:val="000000" w:themeColor="text1"/>
        </w:rPr>
        <w:t>un avocat</w:t>
      </w:r>
      <w:r>
        <w:rPr>
          <w:color w:val="000000" w:themeColor="text1"/>
        </w:rPr>
        <w:t>.</w:t>
      </w:r>
    </w:p>
  </w:footnote>
  <w:footnote w:id="28">
    <w:p w14:paraId="66EFC7DA" w14:textId="39EFCF75" w:rsidR="000C1192" w:rsidRPr="00B80631" w:rsidRDefault="000C1192" w:rsidP="000C1192">
      <w:pPr>
        <w:pStyle w:val="Notedebasdepage"/>
        <w:rPr>
          <w:color w:val="000000" w:themeColor="text1"/>
        </w:rPr>
      </w:pPr>
      <w:r w:rsidRPr="00F84639">
        <w:rPr>
          <w:color w:val="000000" w:themeColor="text1"/>
        </w:rPr>
        <w:tab/>
      </w:r>
      <w:r w:rsidRPr="00535E17">
        <w:rPr>
          <w:rStyle w:val="Appelnotedebasdep"/>
        </w:rPr>
        <w:footnoteRef/>
      </w:r>
      <w:r w:rsidRPr="00923D2B">
        <w:rPr>
          <w:rStyle w:val="Appelnotedebasdep"/>
          <w:color w:val="000000" w:themeColor="text1"/>
        </w:rPr>
        <w:t xml:space="preserve"> </w:t>
      </w:r>
      <w:r w:rsidRPr="00923D2B">
        <w:rPr>
          <w:color w:val="000000" w:themeColor="text1"/>
        </w:rPr>
        <w:tab/>
      </w:r>
      <w:r>
        <w:rPr>
          <w:color w:val="000000" w:themeColor="text1"/>
          <w14:textOutline w14:w="0" w14:cap="rnd" w14:cmpd="dbl" w14:algn="ctr">
            <w14:noFill/>
            <w14:prstDash w14:val="solid"/>
            <w14:bevel/>
          </w14:textOutline>
        </w:rPr>
        <w:t xml:space="preserve">Tout </w:t>
      </w:r>
      <w:r w:rsidRPr="00B80631">
        <w:rPr>
          <w:color w:val="000000" w:themeColor="text1"/>
          <w14:textOutline w14:w="0" w14:cap="rnd" w14:cmpd="dbl" w14:algn="ctr">
            <w14:noFill/>
            <w14:prstDash w14:val="solid"/>
            <w14:bevel/>
          </w14:textOutline>
        </w:rPr>
        <w:t xml:space="preserve">employeur </w:t>
      </w:r>
      <w:r>
        <w:rPr>
          <w:color w:val="000000" w:themeColor="text1"/>
          <w14:textOutline w14:w="0" w14:cap="rnd" w14:cmpd="dbl" w14:algn="ctr">
            <w14:noFill/>
            <w14:prstDash w14:val="solid"/>
            <w14:bevel/>
          </w14:textOutline>
        </w:rPr>
        <w:t xml:space="preserve">de 20 salariés et au-delà </w:t>
      </w:r>
      <w:r w:rsidRPr="00B80631">
        <w:rPr>
          <w:color w:val="000000" w:themeColor="text1"/>
          <w14:textOutline w14:w="0" w14:cap="rnd" w14:cmpd="dbl" w14:algn="ctr">
            <w14:noFill/>
            <w14:prstDash w14:val="solid"/>
            <w14:bevel/>
          </w14:textOutline>
        </w:rPr>
        <w:t xml:space="preserve">est tenu de désigner une personne qui, outre </w:t>
      </w:r>
      <w:r>
        <w:rPr>
          <w:color w:val="000000" w:themeColor="text1"/>
          <w14:textOutline w14:w="0" w14:cap="rnd" w14:cmpd="dbl" w14:algn="ctr">
            <w14:noFill/>
            <w14:prstDash w14:val="solid"/>
            <w14:bevel/>
          </w14:textOutline>
        </w:rPr>
        <w:t>l’employeur lui</w:t>
      </w:r>
      <w:r w:rsidR="00CF2C3B">
        <w:rPr>
          <w:color w:val="000000" w:themeColor="text1"/>
          <w14:textOutline w14:w="0" w14:cap="rnd" w14:cmpd="dbl" w14:algn="ctr">
            <w14:noFill/>
            <w14:prstDash w14:val="solid"/>
            <w14:bevel/>
          </w14:textOutline>
        </w:rPr>
        <w:noBreakHyphen/>
      </w:r>
      <w:r>
        <w:rPr>
          <w:color w:val="000000" w:themeColor="text1"/>
          <w14:textOutline w14:w="0" w14:cap="rnd" w14:cmpd="dbl" w14:algn="ctr">
            <w14:noFill/>
            <w14:prstDash w14:val="solid"/>
            <w14:bevel/>
          </w14:textOutline>
        </w:rPr>
        <w:t>même</w:t>
      </w:r>
      <w:r w:rsidRPr="00B80631">
        <w:rPr>
          <w:color w:val="000000" w:themeColor="text1"/>
          <w14:textOutline w14:w="0" w14:cap="rnd" w14:cmpd="dbl" w14:algn="ctr">
            <w14:noFill/>
            <w14:prstDash w14:val="solid"/>
            <w14:bevel/>
          </w14:textOutline>
        </w:rPr>
        <w:t xml:space="preserve">, est habilitée à recevoir et </w:t>
      </w:r>
      <w:r>
        <w:rPr>
          <w:color w:val="000000" w:themeColor="text1"/>
          <w14:textOutline w14:w="0" w14:cap="rnd" w14:cmpd="dbl" w14:algn="ctr">
            <w14:noFill/>
            <w14:prstDash w14:val="solid"/>
            <w14:bevel/>
          </w14:textOutline>
        </w:rPr>
        <w:t xml:space="preserve">régler </w:t>
      </w:r>
      <w:r w:rsidRPr="00B80631">
        <w:rPr>
          <w:color w:val="000000" w:themeColor="text1"/>
          <w14:textOutline w14:w="0" w14:cap="rnd" w14:cmpd="dbl" w14:algn="ctr">
            <w14:noFill/>
            <w14:prstDash w14:val="solid"/>
            <w14:bevel/>
          </w14:textOutline>
        </w:rPr>
        <w:t>les plaintes concernant la protection de la dignité des travailleurs. Dans un délai de huit jours à compter du dépôt de la plainte, l</w:t>
      </w:r>
      <w:r>
        <w:rPr>
          <w:color w:val="000000" w:themeColor="text1"/>
          <w14:textOutline w14:w="0" w14:cap="rnd" w14:cmpd="dbl" w14:algn="ctr">
            <w14:noFill/>
            <w14:prstDash w14:val="solid"/>
            <w14:bevel/>
          </w14:textOutline>
        </w:rPr>
        <w:t>’</w:t>
      </w:r>
      <w:r w:rsidRPr="00B80631">
        <w:rPr>
          <w:color w:val="000000" w:themeColor="text1"/>
          <w14:textOutline w14:w="0" w14:cap="rnd" w14:cmpd="dbl" w14:algn="ctr">
            <w14:noFill/>
            <w14:prstDash w14:val="solid"/>
            <w14:bevel/>
          </w14:textOutline>
        </w:rPr>
        <w:t xml:space="preserve">employeur ou la personne habilitée </w:t>
      </w:r>
      <w:r>
        <w:rPr>
          <w:color w:val="000000" w:themeColor="text1"/>
          <w14:textOutline w14:w="0" w14:cap="rnd" w14:cmpd="dbl" w14:algn="ctr">
            <w14:noFill/>
            <w14:prstDash w14:val="solid"/>
            <w14:bevel/>
          </w14:textOutline>
        </w:rPr>
        <w:t xml:space="preserve">doit </w:t>
      </w:r>
      <w:r w:rsidRPr="00B80631">
        <w:rPr>
          <w:color w:val="000000" w:themeColor="text1"/>
          <w14:textOutline w14:w="0" w14:cap="rnd" w14:cmpd="dbl" w14:algn="ctr">
            <w14:noFill/>
            <w14:prstDash w14:val="solid"/>
            <w14:bevel/>
          </w14:textOutline>
        </w:rPr>
        <w:t xml:space="preserve">examiner la plainte et de prendre toutes les mesures </w:t>
      </w:r>
      <w:r>
        <w:rPr>
          <w:color w:val="000000" w:themeColor="text1"/>
          <w14:textOutline w14:w="0" w14:cap="rnd" w14:cmpd="dbl" w14:algn="ctr">
            <w14:noFill/>
            <w14:prstDash w14:val="solid"/>
            <w14:bevel/>
          </w14:textOutline>
        </w:rPr>
        <w:t xml:space="preserve">qui s’imposent dans l’affaire considérée </w:t>
      </w:r>
      <w:r w:rsidRPr="00B80631">
        <w:rPr>
          <w:color w:val="000000" w:themeColor="text1"/>
          <w14:textOutline w14:w="0" w14:cap="rnd" w14:cmpd="dbl" w14:algn="ctr">
            <w14:noFill/>
            <w14:prstDash w14:val="solid"/>
            <w14:bevel/>
          </w14:textOutline>
        </w:rPr>
        <w:t xml:space="preserve">pour </w:t>
      </w:r>
      <w:r>
        <w:rPr>
          <w:color w:val="000000" w:themeColor="text1"/>
          <w14:textOutline w14:w="0" w14:cap="rnd" w14:cmpd="dbl" w14:algn="ctr">
            <w14:noFill/>
            <w14:prstDash w14:val="solid"/>
            <w14:bevel/>
          </w14:textOutline>
        </w:rPr>
        <w:t xml:space="preserve">empêcher la poursuite des actes de </w:t>
      </w:r>
      <w:r w:rsidRPr="00B80631">
        <w:rPr>
          <w:color w:val="000000" w:themeColor="text1"/>
          <w14:textOutline w14:w="0" w14:cap="rnd" w14:cmpd="dbl" w14:algn="ctr">
            <w14:noFill/>
            <w14:prstDash w14:val="solid"/>
            <w14:bevel/>
          </w14:textOutline>
        </w:rPr>
        <w:t xml:space="preserve">harcèlement ou </w:t>
      </w:r>
      <w:r>
        <w:rPr>
          <w:color w:val="000000" w:themeColor="text1"/>
          <w14:textOutline w14:w="0" w14:cap="rnd" w14:cmpd="dbl" w14:algn="ctr">
            <w14:noFill/>
            <w14:prstDash w14:val="solid"/>
            <w14:bevel/>
          </w14:textOutline>
        </w:rPr>
        <w:t xml:space="preserve">de </w:t>
      </w:r>
      <w:r w:rsidRPr="00B80631">
        <w:rPr>
          <w:color w:val="000000" w:themeColor="text1"/>
          <w14:textOutline w14:w="0" w14:cap="rnd" w14:cmpd="dbl" w14:algn="ctr">
            <w14:noFill/>
            <w14:prstDash w14:val="solid"/>
            <w14:bevel/>
          </w14:textOutline>
        </w:rPr>
        <w:t>harcèlement sexuel</w:t>
      </w:r>
      <w:r>
        <w:rPr>
          <w:color w:val="000000" w:themeColor="text1"/>
          <w14:textOutline w14:w="0" w14:cap="rnd" w14:cmpd="dbl" w14:algn="ctr">
            <w14:noFill/>
            <w14:prstDash w14:val="solid"/>
            <w14:bevel/>
          </w14:textOutline>
        </w:rPr>
        <w:t xml:space="preserve"> dont ils auraient constaté </w:t>
      </w:r>
      <w:r w:rsidRPr="00B80631">
        <w:rPr>
          <w:color w:val="000000" w:themeColor="text1"/>
          <w14:textOutline w14:w="0" w14:cap="rnd" w14:cmpd="dbl" w14:algn="ctr">
            <w14:noFill/>
            <w14:prstDash w14:val="solid"/>
            <w14:bevel/>
          </w14:textOutline>
        </w:rPr>
        <w:t>l</w:t>
      </w:r>
      <w:r>
        <w:rPr>
          <w:color w:val="000000" w:themeColor="text1"/>
          <w14:textOutline w14:w="0" w14:cap="rnd" w14:cmpd="dbl" w14:algn="ctr">
            <w14:noFill/>
            <w14:prstDash w14:val="solid"/>
            <w14:bevel/>
          </w14:textOutline>
        </w:rPr>
        <w:t>’</w:t>
      </w:r>
      <w:r w:rsidRPr="00B80631">
        <w:rPr>
          <w:color w:val="000000" w:themeColor="text1"/>
          <w14:textOutline w14:w="0" w14:cap="rnd" w14:cmpd="dbl" w14:algn="ctr">
            <w14:noFill/>
            <w14:prstDash w14:val="solid"/>
            <w14:bevel/>
          </w14:textOutline>
        </w:rPr>
        <w:t xml:space="preserve">existence. </w:t>
      </w:r>
      <w:r>
        <w:rPr>
          <w:color w:val="000000" w:themeColor="text1"/>
          <w14:textOutline w14:w="0" w14:cap="rnd" w14:cmpd="dbl" w14:algn="ctr">
            <w14:noFill/>
            <w14:prstDash w14:val="solid"/>
            <w14:bevel/>
          </w14:textOutline>
        </w:rPr>
        <w:t xml:space="preserve">Si ces </w:t>
      </w:r>
      <w:r w:rsidRPr="00B80631">
        <w:rPr>
          <w:color w:val="000000" w:themeColor="text1"/>
          <w14:textOutline w14:w="0" w14:cap="rnd" w14:cmpd="dbl" w14:algn="ctr">
            <w14:noFill/>
            <w14:prstDash w14:val="solid"/>
            <w14:bevel/>
          </w14:textOutline>
        </w:rPr>
        <w:t xml:space="preserve">mesures </w:t>
      </w:r>
      <w:r>
        <w:rPr>
          <w:color w:val="000000" w:themeColor="text1"/>
          <w14:textOutline w14:w="0" w14:cap="rnd" w14:cmpd="dbl" w14:algn="ctr">
            <w14:noFill/>
            <w14:prstDash w14:val="solid"/>
            <w14:bevel/>
          </w14:textOutline>
        </w:rPr>
        <w:t xml:space="preserve">ne sont pas prises sous huit jours, </w:t>
      </w:r>
      <w:r w:rsidRPr="00B80631">
        <w:rPr>
          <w:color w:val="000000" w:themeColor="text1"/>
          <w14:textOutline w14:w="0" w14:cap="rnd" w14:cmpd="dbl" w14:algn="ctr">
            <w14:noFill/>
            <w14:prstDash w14:val="solid"/>
            <w14:bevel/>
          </w14:textOutline>
        </w:rPr>
        <w:t xml:space="preserve">le travailleur a le droit de </w:t>
      </w:r>
      <w:r>
        <w:rPr>
          <w:color w:val="000000" w:themeColor="text1"/>
          <w14:textOutline w14:w="0" w14:cap="rnd" w14:cmpd="dbl" w14:algn="ctr">
            <w14:noFill/>
            <w14:prstDash w14:val="solid"/>
            <w14:bevel/>
          </w14:textOutline>
        </w:rPr>
        <w:t xml:space="preserve">cesser de </w:t>
      </w:r>
      <w:r w:rsidRPr="00B80631">
        <w:rPr>
          <w:color w:val="000000" w:themeColor="text1"/>
          <w14:textOutline w14:w="0" w14:cap="rnd" w14:cmpd="dbl" w14:algn="ctr">
            <w14:noFill/>
            <w14:prstDash w14:val="solid"/>
            <w14:bevel/>
          </w14:textOutline>
        </w:rPr>
        <w:t>travail</w:t>
      </w:r>
      <w:r>
        <w:rPr>
          <w:color w:val="000000" w:themeColor="text1"/>
          <w14:textOutline w14:w="0" w14:cap="rnd" w14:cmpd="dbl" w14:algn="ctr">
            <w14:noFill/>
            <w14:prstDash w14:val="solid"/>
            <w14:bevel/>
          </w14:textOutline>
        </w:rPr>
        <w:t>ler</w:t>
      </w:r>
      <w:r w:rsidRPr="00B80631">
        <w:rPr>
          <w:color w:val="000000" w:themeColor="text1"/>
          <w14:textOutline w14:w="0" w14:cap="rnd" w14:cmpd="dbl" w14:algn="ctr">
            <w14:noFill/>
            <w14:prstDash w14:val="solid"/>
            <w14:bevel/>
          </w14:textOutline>
        </w:rPr>
        <w:t xml:space="preserve"> jusqu</w:t>
      </w:r>
      <w:r>
        <w:rPr>
          <w:color w:val="000000" w:themeColor="text1"/>
          <w14:textOutline w14:w="0" w14:cap="rnd" w14:cmpd="dbl" w14:algn="ctr">
            <w14:noFill/>
            <w14:prstDash w14:val="solid"/>
            <w14:bevel/>
          </w14:textOutline>
        </w:rPr>
        <w:t>’</w:t>
      </w:r>
      <w:r w:rsidRPr="00B80631">
        <w:rPr>
          <w:color w:val="000000" w:themeColor="text1"/>
          <w14:textOutline w14:w="0" w14:cap="rnd" w14:cmpd="dbl" w14:algn="ctr">
            <w14:noFill/>
            <w14:prstDash w14:val="solid"/>
            <w14:bevel/>
          </w14:textOutline>
        </w:rPr>
        <w:t xml:space="preserve">à ce que sa protection soit assurée, </w:t>
      </w:r>
      <w:r>
        <w:rPr>
          <w:color w:val="000000" w:themeColor="text1"/>
          <w14:textOutline w14:w="0" w14:cap="rnd" w14:cmpd="dbl" w14:algn="ctr">
            <w14:noFill/>
            <w14:prstDash w14:val="solid"/>
            <w14:bevel/>
          </w14:textOutline>
        </w:rPr>
        <w:t xml:space="preserve">sous réserve d’avoir demandé une mesure de </w:t>
      </w:r>
      <w:r w:rsidRPr="00B80631">
        <w:rPr>
          <w:color w:val="000000" w:themeColor="text1"/>
          <w14:textOutline w14:w="0" w14:cap="rnd" w14:cmpd="dbl" w14:algn="ctr">
            <w14:noFill/>
            <w14:prstDash w14:val="solid"/>
            <w14:bevel/>
          </w14:textOutline>
        </w:rPr>
        <w:t xml:space="preserve">protection devant </w:t>
      </w:r>
      <w:r>
        <w:rPr>
          <w:color w:val="000000" w:themeColor="text1"/>
          <w14:textOutline w14:w="0" w14:cap="rnd" w14:cmpd="dbl" w14:algn="ctr">
            <w14:noFill/>
            <w14:prstDash w14:val="solid"/>
            <w14:bevel/>
          </w14:textOutline>
        </w:rPr>
        <w:t xml:space="preserve">la juridiction </w:t>
      </w:r>
      <w:r w:rsidRPr="00B80631">
        <w:rPr>
          <w:color w:val="000000" w:themeColor="text1"/>
          <w14:textOutline w14:w="0" w14:cap="rnd" w14:cmpd="dbl" w14:algn="ctr">
            <w14:noFill/>
            <w14:prstDash w14:val="solid"/>
            <w14:bevel/>
          </w14:textOutline>
        </w:rPr>
        <w:t>compétent</w:t>
      </w:r>
      <w:r>
        <w:rPr>
          <w:color w:val="000000" w:themeColor="text1"/>
          <w14:textOutline w14:w="0" w14:cap="rnd" w14:cmpd="dbl" w14:algn="ctr">
            <w14:noFill/>
            <w14:prstDash w14:val="solid"/>
            <w14:bevel/>
          </w14:textOutline>
        </w:rPr>
        <w:t>e</w:t>
      </w:r>
      <w:r w:rsidRPr="00B80631">
        <w:rPr>
          <w:color w:val="000000" w:themeColor="text1"/>
          <w14:textOutline w14:w="0" w14:cap="rnd" w14:cmpd="dbl" w14:algn="ctr">
            <w14:noFill/>
            <w14:prstDash w14:val="solid"/>
            <w14:bevel/>
          </w14:textOutline>
        </w:rPr>
        <w:t xml:space="preserve"> </w:t>
      </w:r>
      <w:r>
        <w:rPr>
          <w:color w:val="000000" w:themeColor="text1"/>
          <w14:textOutline w14:w="0" w14:cap="rnd" w14:cmpd="dbl" w14:algn="ctr">
            <w14:noFill/>
            <w14:prstDash w14:val="solid"/>
            <w14:bevel/>
          </w14:textOutline>
        </w:rPr>
        <w:t xml:space="preserve">sous </w:t>
      </w:r>
      <w:r w:rsidRPr="00B80631">
        <w:rPr>
          <w:color w:val="000000" w:themeColor="text1"/>
          <w14:textOutline w14:w="0" w14:cap="rnd" w14:cmpd="dbl" w14:algn="ctr">
            <w14:noFill/>
            <w14:prstDash w14:val="solid"/>
            <w14:bevel/>
          </w14:textOutline>
        </w:rPr>
        <w:t xml:space="preserve">huit jours. </w:t>
      </w:r>
      <w:r>
        <w:rPr>
          <w:color w:val="000000" w:themeColor="text1"/>
          <w14:textOutline w14:w="0" w14:cap="rnd" w14:cmpd="dbl" w14:algn="ctr">
            <w14:noFill/>
            <w14:prstDash w14:val="solid"/>
            <w14:bevel/>
          </w14:textOutline>
        </w:rPr>
        <w:t>En cas de cessation du travail</w:t>
      </w:r>
      <w:r w:rsidRPr="00B80631">
        <w:rPr>
          <w:color w:val="000000" w:themeColor="text1"/>
          <w14:textOutline w14:w="0" w14:cap="rnd" w14:cmpd="dbl" w14:algn="ctr">
            <w14:noFill/>
            <w14:prstDash w14:val="solid"/>
            <w14:bevel/>
          </w14:textOutline>
        </w:rPr>
        <w:t xml:space="preserve">, le travailleur a droit à une </w:t>
      </w:r>
      <w:r>
        <w:rPr>
          <w:color w:val="000000" w:themeColor="text1"/>
          <w14:textOutline w14:w="0" w14:cap="rnd" w14:cmpd="dbl" w14:algn="ctr">
            <w14:noFill/>
            <w14:prstDash w14:val="solid"/>
            <w14:bevel/>
          </w14:textOutline>
        </w:rPr>
        <w:t xml:space="preserve">indemnisation d’un montant équivalent à la rémunération </w:t>
      </w:r>
      <w:r w:rsidRPr="00B80631">
        <w:rPr>
          <w:color w:val="000000" w:themeColor="text1"/>
          <w14:textOutline w14:w="0" w14:cap="rnd" w14:cmpd="dbl" w14:algn="ctr">
            <w14:noFill/>
            <w14:prstDash w14:val="solid"/>
            <w14:bevel/>
          </w14:textOutline>
        </w:rPr>
        <w:t>qu</w:t>
      </w:r>
      <w:r>
        <w:rPr>
          <w:color w:val="000000" w:themeColor="text1"/>
          <w14:textOutline w14:w="0" w14:cap="rnd" w14:cmpd="dbl" w14:algn="ctr">
            <w14:noFill/>
            <w14:prstDash w14:val="solid"/>
            <w14:bevel/>
          </w14:textOutline>
        </w:rPr>
        <w:t>’</w:t>
      </w:r>
      <w:r w:rsidRPr="00B80631">
        <w:rPr>
          <w:color w:val="000000" w:themeColor="text1"/>
          <w14:textOutline w14:w="0" w14:cap="rnd" w14:cmpd="dbl" w14:algn="ctr">
            <w14:noFill/>
            <w14:prstDash w14:val="solid"/>
            <w14:bevel/>
          </w14:textOutline>
        </w:rPr>
        <w:t xml:space="preserve">il aurait </w:t>
      </w:r>
      <w:r>
        <w:rPr>
          <w:color w:val="000000" w:themeColor="text1"/>
          <w14:textOutline w14:w="0" w14:cap="rnd" w14:cmpd="dbl" w14:algn="ctr">
            <w14:noFill/>
            <w14:prstDash w14:val="solid"/>
            <w14:bevel/>
          </w14:textOutline>
        </w:rPr>
        <w:t>perçue en travaillant</w:t>
      </w:r>
      <w:r w:rsidRPr="00B80631">
        <w:rPr>
          <w:color w:val="000000" w:themeColor="text1"/>
          <w14:textOutline w14:w="0" w14:cap="rnd" w14:cmpd="dbl" w14:algn="ctr">
            <w14:noFill/>
            <w14:prstDash w14:val="solid"/>
            <w14:bevel/>
          </w14:textOutline>
        </w:rPr>
        <w:t xml:space="preserve">. </w:t>
      </w:r>
      <w:r>
        <w:rPr>
          <w:color w:val="000000" w:themeColor="text1"/>
          <w14:textOutline w14:w="0" w14:cap="rnd" w14:cmpd="dbl" w14:algn="ctr">
            <w14:noFill/>
            <w14:prstDash w14:val="solid"/>
            <w14:bevel/>
          </w14:textOutline>
        </w:rPr>
        <w:t>Le fait pour un supérieur hiérarchique de porter atteinte</w:t>
      </w:r>
      <w:r w:rsidRPr="00B80631">
        <w:rPr>
          <w:color w:val="000000" w:themeColor="text1"/>
          <w14:textOutline w14:w="0" w14:cap="rnd" w14:cmpd="dbl" w14:algn="ctr">
            <w14:noFill/>
            <w14:prstDash w14:val="solid"/>
            <w14:bevel/>
          </w14:textOutline>
        </w:rPr>
        <w:t xml:space="preserve"> à la dignité </w:t>
      </w:r>
      <w:r>
        <w:rPr>
          <w:color w:val="000000" w:themeColor="text1"/>
          <w14:textOutline w14:w="0" w14:cap="rnd" w14:cmpd="dbl" w14:algn="ctr">
            <w14:noFill/>
            <w14:prstDash w14:val="solid"/>
            <w14:bevel/>
          </w14:textOutline>
        </w:rPr>
        <w:t xml:space="preserve">de subordonnés peut constituer une </w:t>
      </w:r>
      <w:r w:rsidRPr="00B80631">
        <w:rPr>
          <w:color w:val="000000" w:themeColor="text1"/>
          <w14:textOutline w14:w="0" w14:cap="rnd" w14:cmpd="dbl" w14:algn="ctr">
            <w14:noFill/>
            <w14:prstDash w14:val="solid"/>
            <w14:bevel/>
          </w14:textOutline>
        </w:rPr>
        <w:t>faute professionnelle</w:t>
      </w:r>
      <w:r>
        <w:rPr>
          <w:color w:val="000000" w:themeColor="text1"/>
          <w14:textOutline w14:w="0" w14:cap="rnd" w14:cmpd="dbl" w14:algn="ctr">
            <w14:noFill/>
            <w14:prstDash w14:val="solid"/>
            <w14:bevel/>
          </w14:textOutline>
        </w:rPr>
        <w:t>.</w:t>
      </w:r>
    </w:p>
  </w:footnote>
  <w:footnote w:id="29">
    <w:p w14:paraId="17D2F487" w14:textId="3A56F5FC" w:rsidR="000C1192" w:rsidRPr="003457A5" w:rsidRDefault="000C1192" w:rsidP="000C1192">
      <w:pPr>
        <w:pStyle w:val="Notedebasdepage"/>
        <w:rPr>
          <w:color w:val="000000" w:themeColor="text1"/>
        </w:rPr>
      </w:pPr>
      <w:r w:rsidRPr="00B80631">
        <w:rPr>
          <w:color w:val="000000" w:themeColor="text1"/>
        </w:rPr>
        <w:tab/>
      </w:r>
      <w:r w:rsidRPr="00535E17">
        <w:rPr>
          <w:rStyle w:val="Appelnotedebasdep"/>
        </w:rPr>
        <w:footnoteRef/>
      </w:r>
      <w:r w:rsidRPr="003457A5">
        <w:rPr>
          <w:rStyle w:val="Appelnotedebasdep"/>
          <w:color w:val="000000" w:themeColor="text1"/>
        </w:rPr>
        <w:tab/>
      </w:r>
      <w:r w:rsidRPr="003457A5">
        <w:rPr>
          <w:color w:val="000000" w:themeColor="text1"/>
        </w:rPr>
        <w:t>Le conseiller évalue les possibilités d</w:t>
      </w:r>
      <w:r>
        <w:rPr>
          <w:color w:val="000000" w:themeColor="text1"/>
        </w:rPr>
        <w:t>’</w:t>
      </w:r>
      <w:r w:rsidRPr="003457A5">
        <w:rPr>
          <w:color w:val="000000" w:themeColor="text1"/>
        </w:rPr>
        <w:t xml:space="preserve">emploi </w:t>
      </w:r>
      <w:r>
        <w:rPr>
          <w:color w:val="000000" w:themeColor="text1"/>
        </w:rPr>
        <w:t xml:space="preserve">à partir </w:t>
      </w:r>
      <w:r w:rsidRPr="003457A5">
        <w:rPr>
          <w:color w:val="000000" w:themeColor="text1"/>
        </w:rPr>
        <w:t>d</w:t>
      </w:r>
      <w:r>
        <w:rPr>
          <w:color w:val="000000" w:themeColor="text1"/>
        </w:rPr>
        <w:t>’</w:t>
      </w:r>
      <w:r w:rsidRPr="003457A5">
        <w:rPr>
          <w:color w:val="000000" w:themeColor="text1"/>
        </w:rPr>
        <w:t xml:space="preserve">outils statistiques </w:t>
      </w:r>
      <w:r>
        <w:rPr>
          <w:color w:val="000000" w:themeColor="text1"/>
        </w:rPr>
        <w:t xml:space="preserve">ainsi que les </w:t>
      </w:r>
      <w:r w:rsidRPr="003457A5">
        <w:rPr>
          <w:color w:val="000000" w:themeColor="text1"/>
        </w:rPr>
        <w:t xml:space="preserve">capacités de travail et </w:t>
      </w:r>
      <w:r>
        <w:rPr>
          <w:color w:val="000000" w:themeColor="text1"/>
        </w:rPr>
        <w:t xml:space="preserve">détermine </w:t>
      </w:r>
      <w:r w:rsidRPr="003457A5">
        <w:rPr>
          <w:color w:val="000000" w:themeColor="text1"/>
        </w:rPr>
        <w:t xml:space="preserve">les activités qui permettront </w:t>
      </w:r>
      <w:r>
        <w:rPr>
          <w:color w:val="000000" w:themeColor="text1"/>
        </w:rPr>
        <w:t xml:space="preserve">au demandeur d’emploi </w:t>
      </w:r>
      <w:r w:rsidRPr="003457A5">
        <w:rPr>
          <w:color w:val="000000" w:themeColor="text1"/>
        </w:rPr>
        <w:t xml:space="preserve">de surmonter </w:t>
      </w:r>
      <w:r>
        <w:rPr>
          <w:color w:val="000000" w:themeColor="text1"/>
        </w:rPr>
        <w:t xml:space="preserve">ses </w:t>
      </w:r>
      <w:r w:rsidRPr="003457A5">
        <w:rPr>
          <w:color w:val="000000" w:themeColor="text1"/>
        </w:rPr>
        <w:t>difficultés d</w:t>
      </w:r>
      <w:r>
        <w:rPr>
          <w:color w:val="000000" w:themeColor="text1"/>
        </w:rPr>
        <w:t>’</w:t>
      </w:r>
      <w:r w:rsidRPr="003457A5">
        <w:rPr>
          <w:color w:val="000000" w:themeColor="text1"/>
        </w:rPr>
        <w:t>accès au marché du travail et d</w:t>
      </w:r>
      <w:r>
        <w:rPr>
          <w:color w:val="000000" w:themeColor="text1"/>
        </w:rPr>
        <w:t>’</w:t>
      </w:r>
      <w:r w:rsidRPr="003457A5">
        <w:rPr>
          <w:color w:val="000000" w:themeColor="text1"/>
        </w:rPr>
        <w:t xml:space="preserve">accélérer </w:t>
      </w:r>
      <w:r>
        <w:rPr>
          <w:color w:val="000000" w:themeColor="text1"/>
        </w:rPr>
        <w:t xml:space="preserve">sa </w:t>
      </w:r>
      <w:r w:rsidRPr="003457A5">
        <w:rPr>
          <w:color w:val="000000" w:themeColor="text1"/>
        </w:rPr>
        <w:t>préparation à l</w:t>
      </w:r>
      <w:r>
        <w:rPr>
          <w:color w:val="000000" w:themeColor="text1"/>
        </w:rPr>
        <w:t>’</w:t>
      </w:r>
      <w:r w:rsidRPr="003457A5">
        <w:rPr>
          <w:color w:val="000000" w:themeColor="text1"/>
        </w:rPr>
        <w:t>emploi.</w:t>
      </w:r>
    </w:p>
  </w:footnote>
  <w:footnote w:id="30">
    <w:p w14:paraId="12FB9BF6" w14:textId="69C3C982" w:rsidR="000C1192" w:rsidRPr="00852CAB" w:rsidRDefault="000C1192" w:rsidP="000C1192">
      <w:pPr>
        <w:pStyle w:val="Notedebasdepage"/>
        <w:rPr>
          <w:color w:val="000000" w:themeColor="text1"/>
        </w:rPr>
      </w:pPr>
      <w:r w:rsidRPr="003457A5">
        <w:rPr>
          <w:color w:val="000000" w:themeColor="text1"/>
        </w:rPr>
        <w:tab/>
      </w:r>
      <w:r w:rsidRPr="00535E17">
        <w:rPr>
          <w:rStyle w:val="Appelnotedebasdep"/>
        </w:rPr>
        <w:footnoteRef/>
      </w:r>
      <w:r w:rsidRPr="00620110">
        <w:rPr>
          <w:rStyle w:val="Appelnotedebasdep"/>
          <w:color w:val="000000" w:themeColor="text1"/>
        </w:rPr>
        <w:tab/>
      </w:r>
      <w:r>
        <w:t xml:space="preserve">La classification NEET regroupe, dans l’Union européenne, les jeunes âgés de </w:t>
      </w:r>
      <w:r w:rsidRPr="00620110">
        <w:rPr>
          <w:color w:val="000000" w:themeColor="text1"/>
        </w:rPr>
        <w:t xml:space="preserve">15 </w:t>
      </w:r>
      <w:r>
        <w:rPr>
          <w:color w:val="000000" w:themeColor="text1"/>
        </w:rPr>
        <w:t xml:space="preserve">à </w:t>
      </w:r>
      <w:r w:rsidRPr="00620110">
        <w:rPr>
          <w:color w:val="000000" w:themeColor="text1"/>
        </w:rPr>
        <w:t>29</w:t>
      </w:r>
      <w:r w:rsidR="00C61166">
        <w:rPr>
          <w:color w:val="000000" w:themeColor="text1"/>
        </w:rPr>
        <w:t> </w:t>
      </w:r>
      <w:r>
        <w:rPr>
          <w:color w:val="000000" w:themeColor="text1"/>
        </w:rPr>
        <w:t>ans qui sont sans emploi et ne suivent ni études ni formation, qui peuvent bénéficier d’une assistance dans le cadre des politiques de l’UE, et pour l’emploi desquels il est fait appel aux ressources du Fonds social européen</w:t>
      </w:r>
      <w:r w:rsidRPr="00620110">
        <w:rPr>
          <w:color w:val="000000" w:themeColor="text1"/>
        </w:rPr>
        <w:t>.</w:t>
      </w:r>
    </w:p>
  </w:footnote>
  <w:footnote w:id="31">
    <w:p w14:paraId="599AF9B1" w14:textId="0A198AEB" w:rsidR="000C1192" w:rsidRPr="000F2D9C" w:rsidRDefault="000C1192" w:rsidP="00EC4F58">
      <w:pPr>
        <w:pStyle w:val="Notedebasdepage"/>
        <w:tabs>
          <w:tab w:val="left" w:pos="1418"/>
        </w:tabs>
        <w:rPr>
          <w:color w:val="000000" w:themeColor="text1"/>
        </w:rPr>
      </w:pPr>
      <w:r w:rsidRPr="00852CAB">
        <w:rPr>
          <w:color w:val="000000" w:themeColor="text1"/>
        </w:rPr>
        <w:tab/>
      </w:r>
      <w:r w:rsidRPr="00535E17">
        <w:rPr>
          <w:rStyle w:val="Appelnotedebasdep"/>
        </w:rPr>
        <w:footnoteRef/>
      </w:r>
      <w:r w:rsidRPr="000F2D9C">
        <w:rPr>
          <w:rStyle w:val="Appelnotedebasdep"/>
          <w:color w:val="000000" w:themeColor="text1"/>
        </w:rPr>
        <w:tab/>
      </w:r>
      <w:r w:rsidRPr="000F2D9C">
        <w:rPr>
          <w:color w:val="000000" w:themeColor="text1"/>
        </w:rPr>
        <w:t>1)</w:t>
      </w:r>
      <w:r w:rsidRPr="000F2D9C">
        <w:rPr>
          <w:color w:val="000000" w:themeColor="text1"/>
        </w:rPr>
        <w:tab/>
        <w:t xml:space="preserve">si la nécessité </w:t>
      </w:r>
      <w:r>
        <w:rPr>
          <w:color w:val="000000" w:themeColor="text1"/>
        </w:rPr>
        <w:t xml:space="preserve">d’accomplir </w:t>
      </w:r>
      <w:r w:rsidRPr="000F2D9C">
        <w:rPr>
          <w:color w:val="000000" w:themeColor="text1"/>
        </w:rPr>
        <w:t xml:space="preserve">un certain travail cesse pour des raisons économiques, technologiques ou organisationnelles (licenciement lié à </w:t>
      </w:r>
      <w:r>
        <w:rPr>
          <w:color w:val="000000" w:themeColor="text1"/>
        </w:rPr>
        <w:t>l’activité</w:t>
      </w:r>
      <w:r w:rsidRPr="000F2D9C">
        <w:rPr>
          <w:color w:val="000000" w:themeColor="text1"/>
        </w:rPr>
        <w:t>)</w:t>
      </w:r>
      <w:r w:rsidR="00C61166">
        <w:rPr>
          <w:color w:val="000000" w:themeColor="text1"/>
        </w:rPr>
        <w:t> </w:t>
      </w:r>
      <w:r w:rsidRPr="000F2D9C">
        <w:rPr>
          <w:color w:val="000000" w:themeColor="text1"/>
        </w:rPr>
        <w:t xml:space="preserve">; </w:t>
      </w:r>
    </w:p>
    <w:p w14:paraId="2969E686" w14:textId="2E500918" w:rsidR="000C1192" w:rsidRPr="000F2D9C" w:rsidRDefault="000C1192" w:rsidP="00EC4F58">
      <w:pPr>
        <w:pStyle w:val="Notedebasdepage"/>
        <w:tabs>
          <w:tab w:val="left" w:pos="1418"/>
        </w:tabs>
        <w:rPr>
          <w:color w:val="000000" w:themeColor="text1"/>
        </w:rPr>
      </w:pPr>
      <w:r w:rsidRPr="000F2D9C">
        <w:rPr>
          <w:color w:val="000000" w:themeColor="text1"/>
        </w:rPr>
        <w:tab/>
      </w:r>
      <w:r w:rsidRPr="000F2D9C">
        <w:rPr>
          <w:color w:val="000000" w:themeColor="text1"/>
        </w:rPr>
        <w:tab/>
        <w:t>2)</w:t>
      </w:r>
      <w:r w:rsidRPr="000F2D9C">
        <w:rPr>
          <w:color w:val="000000" w:themeColor="text1"/>
        </w:rPr>
        <w:tab/>
        <w:t>si le salarié n</w:t>
      </w:r>
      <w:r>
        <w:rPr>
          <w:color w:val="000000" w:themeColor="text1"/>
        </w:rPr>
        <w:t>’</w:t>
      </w:r>
      <w:r w:rsidRPr="000F2D9C">
        <w:rPr>
          <w:color w:val="000000" w:themeColor="text1"/>
        </w:rPr>
        <w:t xml:space="preserve">est </w:t>
      </w:r>
      <w:r>
        <w:rPr>
          <w:color w:val="000000" w:themeColor="text1"/>
        </w:rPr>
        <w:t>pas capable</w:t>
      </w:r>
      <w:r w:rsidRPr="000F2D9C">
        <w:rPr>
          <w:color w:val="000000" w:themeColor="text1"/>
        </w:rPr>
        <w:t xml:space="preserve"> de remplir correctement ses obligations professionnelles </w:t>
      </w:r>
      <w:r>
        <w:rPr>
          <w:color w:val="000000" w:themeColor="text1"/>
        </w:rPr>
        <w:t xml:space="preserve">pour des raisons liées à </w:t>
      </w:r>
      <w:r w:rsidRPr="000F2D9C">
        <w:rPr>
          <w:color w:val="000000" w:themeColor="text1"/>
        </w:rPr>
        <w:t xml:space="preserve">certaines caractéristiques ou aptitudes permanentes (licenciement </w:t>
      </w:r>
      <w:r>
        <w:rPr>
          <w:color w:val="000000" w:themeColor="text1"/>
        </w:rPr>
        <w:t>pour des raisons individuelles</w:t>
      </w:r>
      <w:r w:rsidRPr="000F2D9C">
        <w:rPr>
          <w:color w:val="000000" w:themeColor="text1"/>
        </w:rPr>
        <w:t>)</w:t>
      </w:r>
      <w:r w:rsidR="00C61166">
        <w:rPr>
          <w:color w:val="000000" w:themeColor="text1"/>
        </w:rPr>
        <w:t> </w:t>
      </w:r>
      <w:r w:rsidRPr="000F2D9C">
        <w:rPr>
          <w:color w:val="000000" w:themeColor="text1"/>
        </w:rPr>
        <w:t xml:space="preserve">; </w:t>
      </w:r>
    </w:p>
    <w:p w14:paraId="5EBD79BF" w14:textId="11D85CDD" w:rsidR="000C1192" w:rsidRPr="000F2D9C" w:rsidRDefault="000C1192" w:rsidP="00EC4F58">
      <w:pPr>
        <w:pStyle w:val="Notedebasdepage"/>
        <w:tabs>
          <w:tab w:val="left" w:pos="1418"/>
        </w:tabs>
        <w:rPr>
          <w:color w:val="000000" w:themeColor="text1"/>
        </w:rPr>
      </w:pPr>
      <w:r w:rsidRPr="000F2D9C">
        <w:rPr>
          <w:color w:val="000000" w:themeColor="text1"/>
        </w:rPr>
        <w:tab/>
      </w:r>
      <w:r w:rsidRPr="000F2D9C">
        <w:rPr>
          <w:color w:val="000000" w:themeColor="text1"/>
        </w:rPr>
        <w:tab/>
        <w:t>3)</w:t>
      </w:r>
      <w:r w:rsidRPr="000F2D9C">
        <w:rPr>
          <w:color w:val="000000" w:themeColor="text1"/>
        </w:rPr>
        <w:tab/>
        <w:t>si l</w:t>
      </w:r>
      <w:r>
        <w:rPr>
          <w:color w:val="000000" w:themeColor="text1"/>
        </w:rPr>
        <w:t>’</w:t>
      </w:r>
      <w:r w:rsidRPr="000F2D9C">
        <w:rPr>
          <w:color w:val="000000" w:themeColor="text1"/>
        </w:rPr>
        <w:t xml:space="preserve">employé </w:t>
      </w:r>
      <w:r>
        <w:rPr>
          <w:color w:val="000000" w:themeColor="text1"/>
        </w:rPr>
        <w:t xml:space="preserve">ne respecte pas </w:t>
      </w:r>
      <w:r w:rsidRPr="000F2D9C">
        <w:rPr>
          <w:color w:val="000000" w:themeColor="text1"/>
        </w:rPr>
        <w:t xml:space="preserve">les obligations </w:t>
      </w:r>
      <w:r>
        <w:rPr>
          <w:color w:val="000000" w:themeColor="text1"/>
        </w:rPr>
        <w:t xml:space="preserve">du contrat de </w:t>
      </w:r>
      <w:r w:rsidRPr="000F2D9C">
        <w:rPr>
          <w:color w:val="000000" w:themeColor="text1"/>
        </w:rPr>
        <w:t xml:space="preserve">travail (licenciement pour faute </w:t>
      </w:r>
      <w:r>
        <w:rPr>
          <w:color w:val="000000" w:themeColor="text1"/>
        </w:rPr>
        <w:t>professionnelle</w:t>
      </w:r>
      <w:r w:rsidRPr="000F2D9C">
        <w:rPr>
          <w:color w:val="000000" w:themeColor="text1"/>
        </w:rPr>
        <w:t>)</w:t>
      </w:r>
      <w:r>
        <w:rPr>
          <w:color w:val="000000" w:themeColor="text1"/>
        </w:rPr>
        <w:t> ;</w:t>
      </w:r>
    </w:p>
    <w:p w14:paraId="25F470C6" w14:textId="5972C1CB" w:rsidR="000C1192" w:rsidRPr="000F2D9C" w:rsidRDefault="000C1192" w:rsidP="00EC4F58">
      <w:pPr>
        <w:pStyle w:val="Notedebasdepage"/>
        <w:tabs>
          <w:tab w:val="left" w:pos="1418"/>
        </w:tabs>
        <w:rPr>
          <w:color w:val="000000" w:themeColor="text1"/>
        </w:rPr>
      </w:pPr>
      <w:r w:rsidRPr="000F2D9C">
        <w:rPr>
          <w:color w:val="000000" w:themeColor="text1"/>
        </w:rPr>
        <w:tab/>
      </w:r>
      <w:r w:rsidRPr="000F2D9C">
        <w:rPr>
          <w:color w:val="000000" w:themeColor="text1"/>
        </w:rPr>
        <w:tab/>
        <w:t>4)</w:t>
      </w:r>
      <w:r w:rsidRPr="000F2D9C">
        <w:rPr>
          <w:color w:val="000000" w:themeColor="text1"/>
        </w:rPr>
        <w:tab/>
        <w:t>si le salarié n</w:t>
      </w:r>
      <w:r>
        <w:rPr>
          <w:color w:val="000000" w:themeColor="text1"/>
        </w:rPr>
        <w:t>’</w:t>
      </w:r>
      <w:r w:rsidRPr="000F2D9C">
        <w:rPr>
          <w:color w:val="000000" w:themeColor="text1"/>
        </w:rPr>
        <w:t>a pas donné satisfaction pendant la période d</w:t>
      </w:r>
      <w:r>
        <w:rPr>
          <w:color w:val="000000" w:themeColor="text1"/>
        </w:rPr>
        <w:t>’</w:t>
      </w:r>
      <w:r w:rsidRPr="000F2D9C">
        <w:rPr>
          <w:color w:val="000000" w:themeColor="text1"/>
        </w:rPr>
        <w:t xml:space="preserve">essai (licenciement pour </w:t>
      </w:r>
      <w:r>
        <w:rPr>
          <w:color w:val="000000" w:themeColor="text1"/>
        </w:rPr>
        <w:t xml:space="preserve">résultats insatisfaisants à l’issue de </w:t>
      </w:r>
      <w:r w:rsidRPr="000F2D9C">
        <w:rPr>
          <w:color w:val="000000" w:themeColor="text1"/>
        </w:rPr>
        <w:t>la période d</w:t>
      </w:r>
      <w:r>
        <w:rPr>
          <w:color w:val="000000" w:themeColor="text1"/>
        </w:rPr>
        <w:t>’</w:t>
      </w:r>
      <w:r w:rsidRPr="000F2D9C">
        <w:rPr>
          <w:color w:val="000000" w:themeColor="text1"/>
        </w:rPr>
        <w:t>essai)</w:t>
      </w:r>
      <w:r>
        <w:rPr>
          <w:color w:val="000000" w:themeColor="text1"/>
        </w:rPr>
        <w:t>.</w:t>
      </w:r>
    </w:p>
  </w:footnote>
  <w:footnote w:id="32">
    <w:p w14:paraId="2D973459" w14:textId="582F4C75" w:rsidR="000C1192" w:rsidRPr="00483351" w:rsidRDefault="000C1192" w:rsidP="000C1192">
      <w:pPr>
        <w:pStyle w:val="Notedebasdepage"/>
        <w:rPr>
          <w:color w:val="000000" w:themeColor="text1"/>
        </w:rPr>
      </w:pPr>
      <w:r w:rsidRPr="000F2D9C">
        <w:rPr>
          <w:color w:val="000000" w:themeColor="text1"/>
        </w:rPr>
        <w:tab/>
      </w:r>
      <w:r w:rsidRPr="00535E17">
        <w:rPr>
          <w:rStyle w:val="Appelnotedebasdep"/>
        </w:rPr>
        <w:footnoteRef/>
      </w:r>
      <w:r w:rsidRPr="00462ABF">
        <w:rPr>
          <w:rStyle w:val="Appelnotedebasdep"/>
          <w:color w:val="000000" w:themeColor="text1"/>
        </w:rPr>
        <w:tab/>
      </w:r>
      <w:r w:rsidRPr="00483351">
        <w:rPr>
          <w:color w:val="000000" w:themeColor="text1"/>
        </w:rPr>
        <w:t>Le</w:t>
      </w:r>
      <w:r>
        <w:rPr>
          <w:color w:val="000000" w:themeColor="text1"/>
        </w:rPr>
        <w:t>s</w:t>
      </w:r>
      <w:r w:rsidRPr="00483351">
        <w:rPr>
          <w:color w:val="000000" w:themeColor="text1"/>
        </w:rPr>
        <w:t xml:space="preserve"> syndicat</w:t>
      </w:r>
      <w:r>
        <w:rPr>
          <w:color w:val="000000" w:themeColor="text1"/>
        </w:rPr>
        <w:t>s ont</w:t>
      </w:r>
      <w:r w:rsidRPr="00483351">
        <w:rPr>
          <w:color w:val="000000" w:themeColor="text1"/>
        </w:rPr>
        <w:t xml:space="preserve"> le statut </w:t>
      </w:r>
      <w:r>
        <w:rPr>
          <w:color w:val="000000" w:themeColor="text1"/>
        </w:rPr>
        <w:t>d’</w:t>
      </w:r>
      <w:r w:rsidRPr="00483351">
        <w:rPr>
          <w:color w:val="000000" w:themeColor="text1"/>
        </w:rPr>
        <w:t xml:space="preserve">association de travailleurs, </w:t>
      </w:r>
      <w:r>
        <w:rPr>
          <w:color w:val="000000" w:themeColor="text1"/>
        </w:rPr>
        <w:t xml:space="preserve">et doivent disposer de </w:t>
      </w:r>
      <w:r w:rsidRPr="00483351">
        <w:rPr>
          <w:color w:val="000000" w:themeColor="text1"/>
        </w:rPr>
        <w:t>statut</w:t>
      </w:r>
      <w:r>
        <w:rPr>
          <w:color w:val="000000" w:themeColor="text1"/>
        </w:rPr>
        <w:t>s</w:t>
      </w:r>
      <w:r w:rsidRPr="00483351">
        <w:rPr>
          <w:color w:val="000000" w:themeColor="text1"/>
        </w:rPr>
        <w:t xml:space="preserve"> fondé</w:t>
      </w:r>
      <w:r>
        <w:rPr>
          <w:color w:val="000000" w:themeColor="text1"/>
        </w:rPr>
        <w:t>s</w:t>
      </w:r>
      <w:r w:rsidRPr="00483351">
        <w:rPr>
          <w:color w:val="000000" w:themeColor="text1"/>
        </w:rPr>
        <w:t xml:space="preserve"> sur les principes de la représentation démocratique et de l</w:t>
      </w:r>
      <w:r>
        <w:rPr>
          <w:color w:val="000000" w:themeColor="text1"/>
        </w:rPr>
        <w:t>’</w:t>
      </w:r>
      <w:r w:rsidRPr="00483351">
        <w:rPr>
          <w:color w:val="000000" w:themeColor="text1"/>
        </w:rPr>
        <w:t>expression démocratique de la volonté des membres</w:t>
      </w:r>
      <w:r>
        <w:rPr>
          <w:color w:val="000000" w:themeColor="text1"/>
        </w:rPr>
        <w:t>,</w:t>
      </w:r>
      <w:r w:rsidRPr="00483351">
        <w:rPr>
          <w:color w:val="000000" w:themeColor="text1"/>
        </w:rPr>
        <w:t xml:space="preserve"> et adopté</w:t>
      </w:r>
      <w:r>
        <w:rPr>
          <w:color w:val="000000" w:themeColor="text1"/>
        </w:rPr>
        <w:t>s selon ces principes</w:t>
      </w:r>
      <w:r w:rsidRPr="00483351">
        <w:rPr>
          <w:color w:val="000000" w:themeColor="text1"/>
        </w:rPr>
        <w:t xml:space="preserve">. </w:t>
      </w:r>
      <w:r>
        <w:rPr>
          <w:color w:val="000000" w:themeColor="text1"/>
        </w:rPr>
        <w:t xml:space="preserve">Des dispositions doivent figurer dans les </w:t>
      </w:r>
      <w:r w:rsidRPr="00483351">
        <w:rPr>
          <w:color w:val="000000" w:themeColor="text1"/>
        </w:rPr>
        <w:t xml:space="preserve">statuts </w:t>
      </w:r>
      <w:r>
        <w:rPr>
          <w:color w:val="000000" w:themeColor="text1"/>
        </w:rPr>
        <w:t xml:space="preserve">sur </w:t>
      </w:r>
      <w:r w:rsidRPr="00483351">
        <w:rPr>
          <w:color w:val="000000" w:themeColor="text1"/>
        </w:rPr>
        <w:t xml:space="preserve">les organes habilités à conclure une convention collective et sur les conditions </w:t>
      </w:r>
      <w:r>
        <w:rPr>
          <w:color w:val="000000" w:themeColor="text1"/>
        </w:rPr>
        <w:t>et modalités d’organisation d’une grève.</w:t>
      </w:r>
      <w:r w:rsidRPr="00483351">
        <w:rPr>
          <w:color w:val="000000" w:themeColor="text1"/>
        </w:rPr>
        <w:t xml:space="preserve"> L</w:t>
      </w:r>
      <w:r>
        <w:rPr>
          <w:color w:val="000000" w:themeColor="text1"/>
        </w:rPr>
        <w:t>’</w:t>
      </w:r>
      <w:r w:rsidRPr="00483351">
        <w:rPr>
          <w:color w:val="000000" w:themeColor="text1"/>
        </w:rPr>
        <w:t>objet de l</w:t>
      </w:r>
      <w:r>
        <w:rPr>
          <w:color w:val="000000" w:themeColor="text1"/>
        </w:rPr>
        <w:t>’</w:t>
      </w:r>
      <w:r w:rsidRPr="00483351">
        <w:rPr>
          <w:color w:val="000000" w:themeColor="text1"/>
        </w:rPr>
        <w:t xml:space="preserve">association </w:t>
      </w:r>
      <w:r>
        <w:rPr>
          <w:color w:val="000000" w:themeColor="text1"/>
        </w:rPr>
        <w:t xml:space="preserve">défini </w:t>
      </w:r>
      <w:r w:rsidRPr="00483351">
        <w:rPr>
          <w:color w:val="000000" w:themeColor="text1"/>
        </w:rPr>
        <w:t xml:space="preserve">par </w:t>
      </w:r>
      <w:r>
        <w:rPr>
          <w:color w:val="000000" w:themeColor="text1"/>
        </w:rPr>
        <w:t>s</w:t>
      </w:r>
      <w:r w:rsidRPr="00483351">
        <w:rPr>
          <w:color w:val="000000" w:themeColor="text1"/>
        </w:rPr>
        <w:t xml:space="preserve">es statuts doit être </w:t>
      </w:r>
      <w:r>
        <w:rPr>
          <w:color w:val="000000" w:themeColor="text1"/>
        </w:rPr>
        <w:t xml:space="preserve">de conclure </w:t>
      </w:r>
      <w:r w:rsidRPr="00483351">
        <w:rPr>
          <w:color w:val="000000" w:themeColor="text1"/>
        </w:rPr>
        <w:t>de</w:t>
      </w:r>
      <w:r>
        <w:rPr>
          <w:color w:val="000000" w:themeColor="text1"/>
        </w:rPr>
        <w:t>s</w:t>
      </w:r>
      <w:r w:rsidRPr="00483351">
        <w:rPr>
          <w:color w:val="000000" w:themeColor="text1"/>
        </w:rPr>
        <w:t xml:space="preserve"> conventions collectives.</w:t>
      </w:r>
    </w:p>
  </w:footnote>
  <w:footnote w:id="33">
    <w:p w14:paraId="1CBFFAB3" w14:textId="659A0C8D" w:rsidR="000C1192" w:rsidRPr="00E16B08" w:rsidRDefault="000C1192" w:rsidP="000C1192">
      <w:pPr>
        <w:pStyle w:val="Notedebasdepage"/>
        <w:rPr>
          <w:color w:val="000000" w:themeColor="text1"/>
        </w:rPr>
      </w:pPr>
      <w:r w:rsidRPr="00483351">
        <w:rPr>
          <w:color w:val="000000" w:themeColor="text1"/>
        </w:rPr>
        <w:tab/>
      </w:r>
      <w:r w:rsidRPr="00535E17">
        <w:rPr>
          <w:rStyle w:val="Appelnotedebasdep"/>
        </w:rPr>
        <w:footnoteRef/>
      </w:r>
      <w:r w:rsidRPr="00E16B08">
        <w:rPr>
          <w:rStyle w:val="Appelnotedebasdep"/>
          <w:color w:val="000000" w:themeColor="text1"/>
        </w:rPr>
        <w:tab/>
      </w:r>
      <w:r w:rsidRPr="00E16B08">
        <w:rPr>
          <w:color w:val="000000" w:themeColor="text1"/>
        </w:rPr>
        <w:t xml:space="preserve">Le montant du </w:t>
      </w:r>
      <w:r>
        <w:rPr>
          <w:color w:val="000000" w:themeColor="text1"/>
        </w:rPr>
        <w:t xml:space="preserve">revenu minimum </w:t>
      </w:r>
      <w:r w:rsidRPr="00C15C35">
        <w:rPr>
          <w:color w:val="000000" w:themeColor="text1"/>
        </w:rPr>
        <w:t>garanti</w:t>
      </w:r>
      <w:r w:rsidRPr="006D1646">
        <w:rPr>
          <w:color w:val="000000" w:themeColor="text1"/>
        </w:rPr>
        <w:t xml:space="preserve"> </w:t>
      </w:r>
      <w:r w:rsidRPr="00E16B08">
        <w:rPr>
          <w:color w:val="000000" w:themeColor="text1"/>
        </w:rPr>
        <w:t xml:space="preserve">est </w:t>
      </w:r>
      <w:r>
        <w:rPr>
          <w:color w:val="000000" w:themeColor="text1"/>
        </w:rPr>
        <w:t xml:space="preserve">calculé en </w:t>
      </w:r>
      <w:r w:rsidRPr="00E16B08">
        <w:rPr>
          <w:color w:val="000000" w:themeColor="text1"/>
        </w:rPr>
        <w:t xml:space="preserve">pourcentage </w:t>
      </w:r>
      <w:r>
        <w:rPr>
          <w:color w:val="000000" w:themeColor="text1"/>
        </w:rPr>
        <w:t xml:space="preserve">du montant de </w:t>
      </w:r>
      <w:r w:rsidRPr="00E16B08">
        <w:rPr>
          <w:color w:val="000000" w:themeColor="text1"/>
        </w:rPr>
        <w:t>base</w:t>
      </w:r>
      <w:r>
        <w:rPr>
          <w:color w:val="000000" w:themeColor="text1"/>
        </w:rPr>
        <w:t xml:space="preserve">. Il </w:t>
      </w:r>
      <w:r w:rsidRPr="00E16B08">
        <w:rPr>
          <w:color w:val="000000" w:themeColor="text1"/>
        </w:rPr>
        <w:t>s</w:t>
      </w:r>
      <w:r>
        <w:rPr>
          <w:color w:val="000000" w:themeColor="text1"/>
        </w:rPr>
        <w:t>’</w:t>
      </w:r>
      <w:r w:rsidRPr="00E16B08">
        <w:rPr>
          <w:color w:val="000000" w:themeColor="text1"/>
        </w:rPr>
        <w:t>élève</w:t>
      </w:r>
      <w:r w:rsidR="00C61166">
        <w:rPr>
          <w:color w:val="000000" w:themeColor="text1"/>
        </w:rPr>
        <w:t> </w:t>
      </w:r>
      <w:r w:rsidRPr="00E16B08">
        <w:rPr>
          <w:color w:val="000000" w:themeColor="text1"/>
        </w:rPr>
        <w:t>:</w:t>
      </w:r>
    </w:p>
    <w:p w14:paraId="0C0159A1" w14:textId="2C567E4F" w:rsidR="000C1192" w:rsidRPr="00E16B08" w:rsidRDefault="000C1192" w:rsidP="00D10EB5">
      <w:pPr>
        <w:pStyle w:val="Notedebasdepage"/>
        <w:tabs>
          <w:tab w:val="left" w:pos="1414"/>
        </w:tabs>
        <w:rPr>
          <w:color w:val="000000" w:themeColor="text1"/>
        </w:rPr>
      </w:pPr>
      <w:r w:rsidRPr="00E16B08">
        <w:rPr>
          <w:color w:val="000000" w:themeColor="text1"/>
        </w:rPr>
        <w:tab/>
      </w:r>
      <w:r w:rsidRPr="00E16B08">
        <w:rPr>
          <w:color w:val="000000" w:themeColor="text1"/>
        </w:rPr>
        <w:tab/>
        <w:t>1.</w:t>
      </w:r>
      <w:r w:rsidR="00C61166">
        <w:rPr>
          <w:color w:val="000000" w:themeColor="text1"/>
        </w:rPr>
        <w:tab/>
      </w:r>
      <w:r>
        <w:rPr>
          <w:color w:val="000000" w:themeColor="text1"/>
        </w:rPr>
        <w:t xml:space="preserve">pour une </w:t>
      </w:r>
      <w:r w:rsidRPr="00E16B08">
        <w:rPr>
          <w:color w:val="000000" w:themeColor="text1"/>
        </w:rPr>
        <w:t>personne seule valide</w:t>
      </w:r>
      <w:r>
        <w:rPr>
          <w:color w:val="000000" w:themeColor="text1"/>
        </w:rPr>
        <w:t>, à</w:t>
      </w:r>
      <w:r w:rsidRPr="00E16B08">
        <w:rPr>
          <w:color w:val="000000" w:themeColor="text1"/>
        </w:rPr>
        <w:t xml:space="preserve"> 100</w:t>
      </w:r>
      <w:r w:rsidR="00C61166">
        <w:rPr>
          <w:color w:val="000000" w:themeColor="text1"/>
        </w:rPr>
        <w:t> </w:t>
      </w:r>
      <w:r w:rsidRPr="00E16B08">
        <w:rPr>
          <w:color w:val="000000" w:themeColor="text1"/>
        </w:rPr>
        <w:t xml:space="preserve">% </w:t>
      </w:r>
      <w:r>
        <w:rPr>
          <w:color w:val="000000" w:themeColor="text1"/>
        </w:rPr>
        <w:t xml:space="preserve">du montant de </w:t>
      </w:r>
      <w:r w:rsidRPr="00E16B08">
        <w:rPr>
          <w:color w:val="000000" w:themeColor="text1"/>
        </w:rPr>
        <w:t>base (800</w:t>
      </w:r>
      <w:r w:rsidR="00C61166">
        <w:rPr>
          <w:color w:val="000000" w:themeColor="text1"/>
        </w:rPr>
        <w:t> </w:t>
      </w:r>
      <w:r w:rsidRPr="00E16B08">
        <w:rPr>
          <w:color w:val="000000" w:themeColor="text1"/>
        </w:rPr>
        <w:t>kunas)</w:t>
      </w:r>
      <w:r>
        <w:rPr>
          <w:color w:val="000000" w:themeColor="text1"/>
        </w:rPr>
        <w:t>, et pour une</w:t>
      </w:r>
      <w:r w:rsidRPr="00E16B08">
        <w:rPr>
          <w:color w:val="000000" w:themeColor="text1"/>
        </w:rPr>
        <w:t xml:space="preserve"> personne seule incapable de travailler</w:t>
      </w:r>
      <w:r>
        <w:rPr>
          <w:color w:val="000000" w:themeColor="text1"/>
        </w:rPr>
        <w:t xml:space="preserve">, à </w:t>
      </w:r>
      <w:r w:rsidRPr="00E16B08">
        <w:rPr>
          <w:color w:val="000000" w:themeColor="text1"/>
        </w:rPr>
        <w:t>115</w:t>
      </w:r>
      <w:r w:rsidR="00C61166">
        <w:rPr>
          <w:color w:val="000000" w:themeColor="text1"/>
        </w:rPr>
        <w:t> </w:t>
      </w:r>
      <w:r w:rsidRPr="00E16B08">
        <w:rPr>
          <w:color w:val="000000" w:themeColor="text1"/>
        </w:rPr>
        <w:t xml:space="preserve">% </w:t>
      </w:r>
      <w:r>
        <w:rPr>
          <w:color w:val="000000" w:themeColor="text1"/>
        </w:rPr>
        <w:t xml:space="preserve">du montant de </w:t>
      </w:r>
      <w:r w:rsidRPr="00E16B08">
        <w:rPr>
          <w:color w:val="000000" w:themeColor="text1"/>
        </w:rPr>
        <w:t>base (920</w:t>
      </w:r>
      <w:r w:rsidR="00C61166">
        <w:rPr>
          <w:color w:val="000000" w:themeColor="text1"/>
        </w:rPr>
        <w:t> </w:t>
      </w:r>
      <w:r w:rsidRPr="00E16B08">
        <w:rPr>
          <w:color w:val="000000" w:themeColor="text1"/>
        </w:rPr>
        <w:t>kunas)</w:t>
      </w:r>
      <w:r w:rsidR="00C61166">
        <w:rPr>
          <w:color w:val="000000" w:themeColor="text1"/>
        </w:rPr>
        <w:t> ;</w:t>
      </w:r>
    </w:p>
    <w:p w14:paraId="2AD83C99" w14:textId="25E0C099" w:rsidR="000C1192" w:rsidRPr="00F7207E" w:rsidRDefault="000C1192" w:rsidP="00D10EB5">
      <w:pPr>
        <w:pStyle w:val="Notedebasdepage"/>
        <w:tabs>
          <w:tab w:val="left" w:pos="1414"/>
        </w:tabs>
        <w:rPr>
          <w:color w:val="000000" w:themeColor="text1"/>
        </w:rPr>
      </w:pPr>
      <w:r w:rsidRPr="007E4D28">
        <w:rPr>
          <w:color w:val="000000" w:themeColor="text1"/>
          <w:sz w:val="16"/>
          <w:szCs w:val="16"/>
        </w:rPr>
        <w:tab/>
      </w:r>
      <w:r w:rsidRPr="007E4D28">
        <w:rPr>
          <w:color w:val="000000" w:themeColor="text1"/>
          <w:sz w:val="16"/>
          <w:szCs w:val="16"/>
        </w:rPr>
        <w:tab/>
      </w:r>
      <w:r w:rsidRPr="00F7207E">
        <w:rPr>
          <w:color w:val="000000" w:themeColor="text1"/>
          <w:sz w:val="16"/>
          <w:szCs w:val="16"/>
        </w:rPr>
        <w:t>2.</w:t>
      </w:r>
      <w:r w:rsidRPr="00F7207E">
        <w:rPr>
          <w:color w:val="000000" w:themeColor="text1"/>
          <w:sz w:val="16"/>
          <w:szCs w:val="16"/>
        </w:rPr>
        <w:tab/>
      </w:r>
      <w:r w:rsidRPr="00F7207E">
        <w:rPr>
          <w:color w:val="000000" w:themeColor="text1"/>
        </w:rPr>
        <w:t>pour un ménage, à la somme des parts des memb</w:t>
      </w:r>
      <w:r>
        <w:rPr>
          <w:color w:val="000000" w:themeColor="text1"/>
        </w:rPr>
        <w:t>res</w:t>
      </w:r>
      <w:r w:rsidRPr="00F7207E">
        <w:rPr>
          <w:color w:val="000000" w:themeColor="text1"/>
        </w:rPr>
        <w:t xml:space="preserve"> du ménage</w:t>
      </w:r>
      <w:r w:rsidR="00C61166">
        <w:rPr>
          <w:color w:val="000000" w:themeColor="text1"/>
        </w:rPr>
        <w:t> </w:t>
      </w:r>
      <w:r w:rsidRPr="00F7207E">
        <w:rPr>
          <w:color w:val="000000" w:themeColor="text1"/>
        </w:rPr>
        <w:t>:</w:t>
      </w:r>
    </w:p>
    <w:p w14:paraId="44997B85" w14:textId="657D5E56" w:rsidR="000C1192" w:rsidRPr="00DA5C1C" w:rsidRDefault="000C1192" w:rsidP="00C61166">
      <w:pPr>
        <w:pStyle w:val="Notedebasdepage"/>
        <w:ind w:left="1418" w:firstLine="0"/>
        <w:rPr>
          <w:color w:val="000000" w:themeColor="text1"/>
          <w:szCs w:val="18"/>
        </w:rPr>
      </w:pPr>
      <w:r w:rsidRPr="00DA5C1C">
        <w:rPr>
          <w:color w:val="000000" w:themeColor="text1"/>
          <w:szCs w:val="18"/>
        </w:rPr>
        <w:t>•</w:t>
      </w:r>
      <w:r w:rsidRPr="00DA5C1C">
        <w:rPr>
          <w:color w:val="000000" w:themeColor="text1"/>
          <w:szCs w:val="18"/>
        </w:rPr>
        <w:tab/>
        <w:t>dans le cas d</w:t>
      </w:r>
      <w:r>
        <w:rPr>
          <w:color w:val="000000" w:themeColor="text1"/>
          <w:szCs w:val="18"/>
        </w:rPr>
        <w:t>’</w:t>
      </w:r>
      <w:r w:rsidRPr="00DA5C1C">
        <w:rPr>
          <w:color w:val="000000" w:themeColor="text1"/>
          <w:szCs w:val="18"/>
        </w:rPr>
        <w:t>un parent seul, à 100</w:t>
      </w:r>
      <w:r w:rsidR="00D10EB5">
        <w:rPr>
          <w:color w:val="000000" w:themeColor="text1"/>
          <w:szCs w:val="18"/>
        </w:rPr>
        <w:t> </w:t>
      </w:r>
      <w:r w:rsidRPr="00DA5C1C">
        <w:rPr>
          <w:color w:val="000000" w:themeColor="text1"/>
          <w:szCs w:val="18"/>
        </w:rPr>
        <w:t xml:space="preserve">% </w:t>
      </w:r>
      <w:r>
        <w:rPr>
          <w:color w:val="000000" w:themeColor="text1"/>
          <w:szCs w:val="18"/>
        </w:rPr>
        <w:t xml:space="preserve">du montant de base </w:t>
      </w:r>
      <w:r w:rsidRPr="00DA5C1C">
        <w:rPr>
          <w:color w:val="000000" w:themeColor="text1"/>
          <w:szCs w:val="18"/>
        </w:rPr>
        <w:t>(800</w:t>
      </w:r>
      <w:r w:rsidR="00D10EB5">
        <w:rPr>
          <w:color w:val="000000" w:themeColor="text1"/>
          <w:szCs w:val="18"/>
        </w:rPr>
        <w:t> </w:t>
      </w:r>
      <w:r w:rsidRPr="00DA5C1C">
        <w:rPr>
          <w:color w:val="000000" w:themeColor="text1"/>
          <w:szCs w:val="18"/>
        </w:rPr>
        <w:t>kunas)</w:t>
      </w:r>
      <w:r w:rsidR="00D10EB5">
        <w:rPr>
          <w:color w:val="000000" w:themeColor="text1"/>
          <w:szCs w:val="18"/>
        </w:rPr>
        <w:t> ;</w:t>
      </w:r>
    </w:p>
    <w:p w14:paraId="4F247129" w14:textId="2A4B94C1" w:rsidR="000C1192" w:rsidRPr="00B411AF" w:rsidRDefault="000C1192" w:rsidP="00D10EB5">
      <w:pPr>
        <w:pStyle w:val="Notedebasdepage"/>
        <w:ind w:left="1418" w:firstLine="0"/>
        <w:rPr>
          <w:color w:val="000000" w:themeColor="text1"/>
          <w:szCs w:val="18"/>
        </w:rPr>
      </w:pPr>
      <w:r w:rsidRPr="00B411AF">
        <w:rPr>
          <w:color w:val="000000" w:themeColor="text1"/>
          <w:szCs w:val="18"/>
        </w:rPr>
        <w:t>•</w:t>
      </w:r>
      <w:r w:rsidRPr="00B411AF">
        <w:rPr>
          <w:color w:val="000000" w:themeColor="text1"/>
          <w:szCs w:val="18"/>
        </w:rPr>
        <w:tab/>
        <w:t>par membre adulte du ménage, à 60</w:t>
      </w:r>
      <w:r w:rsidR="00D10EB5">
        <w:rPr>
          <w:color w:val="000000" w:themeColor="text1"/>
          <w:szCs w:val="18"/>
        </w:rPr>
        <w:t> </w:t>
      </w:r>
      <w:r w:rsidRPr="00B411AF">
        <w:rPr>
          <w:color w:val="000000" w:themeColor="text1"/>
          <w:szCs w:val="18"/>
        </w:rPr>
        <w:t xml:space="preserve">% </w:t>
      </w:r>
      <w:r>
        <w:rPr>
          <w:color w:val="000000" w:themeColor="text1"/>
          <w:szCs w:val="18"/>
        </w:rPr>
        <w:t xml:space="preserve">du montant de base </w:t>
      </w:r>
      <w:r w:rsidRPr="00B411AF">
        <w:rPr>
          <w:color w:val="000000" w:themeColor="text1"/>
          <w:szCs w:val="18"/>
        </w:rPr>
        <w:t>(480</w:t>
      </w:r>
      <w:r w:rsidR="00D10EB5">
        <w:rPr>
          <w:color w:val="000000" w:themeColor="text1"/>
          <w:szCs w:val="18"/>
        </w:rPr>
        <w:t> </w:t>
      </w:r>
      <w:r w:rsidRPr="00B411AF">
        <w:rPr>
          <w:color w:val="000000" w:themeColor="text1"/>
          <w:szCs w:val="18"/>
        </w:rPr>
        <w:t>kunas)</w:t>
      </w:r>
      <w:r w:rsidR="00D10EB5">
        <w:rPr>
          <w:color w:val="000000" w:themeColor="text1"/>
          <w:szCs w:val="18"/>
        </w:rPr>
        <w:t> ;</w:t>
      </w:r>
    </w:p>
    <w:p w14:paraId="4416158D" w14:textId="15887D3F" w:rsidR="000C1192" w:rsidRPr="00B411AF" w:rsidRDefault="000C1192" w:rsidP="00D10EB5">
      <w:pPr>
        <w:pStyle w:val="Notedebasdepage"/>
        <w:ind w:left="1418" w:firstLine="0"/>
        <w:rPr>
          <w:color w:val="000000" w:themeColor="text1"/>
          <w:szCs w:val="18"/>
        </w:rPr>
      </w:pPr>
      <w:r w:rsidRPr="00B411AF">
        <w:rPr>
          <w:color w:val="000000" w:themeColor="text1"/>
          <w:szCs w:val="18"/>
        </w:rPr>
        <w:t>•</w:t>
      </w:r>
      <w:r w:rsidRPr="00B411AF">
        <w:rPr>
          <w:color w:val="000000" w:themeColor="text1"/>
          <w:szCs w:val="18"/>
        </w:rPr>
        <w:tab/>
        <w:t>par enfant, jusqu</w:t>
      </w:r>
      <w:r>
        <w:rPr>
          <w:color w:val="000000" w:themeColor="text1"/>
          <w:szCs w:val="18"/>
        </w:rPr>
        <w:t>’</w:t>
      </w:r>
      <w:r w:rsidRPr="00B411AF">
        <w:rPr>
          <w:color w:val="000000" w:themeColor="text1"/>
          <w:szCs w:val="18"/>
        </w:rPr>
        <w:t>à l</w:t>
      </w:r>
      <w:r>
        <w:rPr>
          <w:color w:val="000000" w:themeColor="text1"/>
          <w:szCs w:val="18"/>
        </w:rPr>
        <w:t>’</w:t>
      </w:r>
      <w:r w:rsidRPr="00B411AF">
        <w:rPr>
          <w:color w:val="000000" w:themeColor="text1"/>
          <w:szCs w:val="18"/>
        </w:rPr>
        <w:t>âge de 18</w:t>
      </w:r>
      <w:r w:rsidR="00D10EB5">
        <w:rPr>
          <w:color w:val="000000" w:themeColor="text1"/>
          <w:szCs w:val="18"/>
        </w:rPr>
        <w:t> </w:t>
      </w:r>
      <w:r w:rsidRPr="00B411AF">
        <w:rPr>
          <w:color w:val="000000" w:themeColor="text1"/>
          <w:szCs w:val="18"/>
        </w:rPr>
        <w:t>ans</w:t>
      </w:r>
      <w:r>
        <w:rPr>
          <w:color w:val="000000" w:themeColor="text1"/>
          <w:szCs w:val="18"/>
        </w:rPr>
        <w:t xml:space="preserve">, à </w:t>
      </w:r>
      <w:r w:rsidRPr="00B411AF">
        <w:rPr>
          <w:color w:val="000000" w:themeColor="text1"/>
          <w:szCs w:val="18"/>
        </w:rPr>
        <w:t>40</w:t>
      </w:r>
      <w:r w:rsidR="00D10EB5">
        <w:rPr>
          <w:color w:val="000000" w:themeColor="text1"/>
          <w:szCs w:val="18"/>
        </w:rPr>
        <w:t> </w:t>
      </w:r>
      <w:r w:rsidRPr="00B411AF">
        <w:rPr>
          <w:color w:val="000000" w:themeColor="text1"/>
          <w:szCs w:val="18"/>
        </w:rPr>
        <w:t xml:space="preserve">% </w:t>
      </w:r>
      <w:r>
        <w:rPr>
          <w:color w:val="000000" w:themeColor="text1"/>
          <w:szCs w:val="18"/>
        </w:rPr>
        <w:t xml:space="preserve">du montant de base </w:t>
      </w:r>
      <w:r w:rsidRPr="00B411AF">
        <w:rPr>
          <w:color w:val="000000" w:themeColor="text1"/>
          <w:szCs w:val="18"/>
        </w:rPr>
        <w:t>(320</w:t>
      </w:r>
      <w:r w:rsidR="00D10EB5">
        <w:rPr>
          <w:color w:val="000000" w:themeColor="text1"/>
          <w:szCs w:val="18"/>
        </w:rPr>
        <w:t> </w:t>
      </w:r>
      <w:r w:rsidRPr="00B411AF">
        <w:rPr>
          <w:color w:val="000000" w:themeColor="text1"/>
          <w:szCs w:val="18"/>
        </w:rPr>
        <w:t>kunas)</w:t>
      </w:r>
      <w:r w:rsidR="00D10EB5">
        <w:rPr>
          <w:color w:val="000000" w:themeColor="text1"/>
          <w:szCs w:val="18"/>
        </w:rPr>
        <w:t> ;</w:t>
      </w:r>
    </w:p>
    <w:p w14:paraId="1E458C08" w14:textId="368D920E" w:rsidR="000C1192" w:rsidRPr="002D3F3D" w:rsidRDefault="000C1192" w:rsidP="00D10EB5">
      <w:pPr>
        <w:pStyle w:val="Notedebasdepage"/>
        <w:ind w:left="1701" w:hanging="283"/>
        <w:rPr>
          <w:color w:val="000000" w:themeColor="text1"/>
          <w:szCs w:val="18"/>
        </w:rPr>
      </w:pPr>
      <w:r w:rsidRPr="002D3F3D">
        <w:rPr>
          <w:color w:val="000000" w:themeColor="text1"/>
          <w:szCs w:val="18"/>
        </w:rPr>
        <w:t>•</w:t>
      </w:r>
      <w:r w:rsidRPr="002D3F3D">
        <w:rPr>
          <w:color w:val="000000" w:themeColor="text1"/>
          <w:szCs w:val="18"/>
        </w:rPr>
        <w:tab/>
        <w:t>par enfant d</w:t>
      </w:r>
      <w:r>
        <w:rPr>
          <w:color w:val="000000" w:themeColor="text1"/>
          <w:szCs w:val="18"/>
        </w:rPr>
        <w:t>’</w:t>
      </w:r>
      <w:r w:rsidRPr="002D3F3D">
        <w:rPr>
          <w:color w:val="000000" w:themeColor="text1"/>
          <w:szCs w:val="18"/>
        </w:rPr>
        <w:t>un parent seul/enfant d</w:t>
      </w:r>
      <w:r>
        <w:rPr>
          <w:color w:val="000000" w:themeColor="text1"/>
          <w:szCs w:val="18"/>
        </w:rPr>
        <w:t>’</w:t>
      </w:r>
      <w:r w:rsidRPr="002D3F3D">
        <w:rPr>
          <w:color w:val="000000" w:themeColor="text1"/>
          <w:szCs w:val="18"/>
        </w:rPr>
        <w:t xml:space="preserve">un ménage monoparental, </w:t>
      </w:r>
      <w:r>
        <w:rPr>
          <w:color w:val="000000" w:themeColor="text1"/>
          <w:szCs w:val="18"/>
        </w:rPr>
        <w:t xml:space="preserve">à </w:t>
      </w:r>
      <w:r w:rsidRPr="002D3F3D">
        <w:rPr>
          <w:color w:val="000000" w:themeColor="text1"/>
          <w:szCs w:val="18"/>
        </w:rPr>
        <w:t>55</w:t>
      </w:r>
      <w:r w:rsidR="00D10EB5">
        <w:rPr>
          <w:color w:val="000000" w:themeColor="text1"/>
          <w:szCs w:val="18"/>
        </w:rPr>
        <w:t> </w:t>
      </w:r>
      <w:r w:rsidRPr="002D3F3D">
        <w:rPr>
          <w:color w:val="000000" w:themeColor="text1"/>
          <w:szCs w:val="18"/>
        </w:rPr>
        <w:t xml:space="preserve">% </w:t>
      </w:r>
      <w:r>
        <w:rPr>
          <w:color w:val="000000" w:themeColor="text1"/>
          <w:szCs w:val="18"/>
        </w:rPr>
        <w:t xml:space="preserve">du montant de base </w:t>
      </w:r>
      <w:r w:rsidRPr="00B411AF">
        <w:rPr>
          <w:color w:val="000000" w:themeColor="text1"/>
          <w:szCs w:val="18"/>
        </w:rPr>
        <w:t>(</w:t>
      </w:r>
      <w:r>
        <w:rPr>
          <w:color w:val="000000" w:themeColor="text1"/>
          <w:szCs w:val="18"/>
        </w:rPr>
        <w:t>440</w:t>
      </w:r>
      <w:r w:rsidR="00D10EB5">
        <w:rPr>
          <w:color w:val="000000" w:themeColor="text1"/>
          <w:szCs w:val="18"/>
        </w:rPr>
        <w:t> </w:t>
      </w:r>
      <w:r w:rsidRPr="00B411AF">
        <w:rPr>
          <w:color w:val="000000" w:themeColor="text1"/>
          <w:szCs w:val="18"/>
        </w:rPr>
        <w:t>kunas)</w:t>
      </w:r>
      <w:r w:rsidRPr="002D3F3D">
        <w:rPr>
          <w:color w:val="000000" w:themeColor="text1"/>
          <w:szCs w:val="18"/>
        </w:rPr>
        <w:t>.</w:t>
      </w:r>
    </w:p>
  </w:footnote>
  <w:footnote w:id="34">
    <w:p w14:paraId="6D19BF28" w14:textId="524BE02E" w:rsidR="000C1192" w:rsidRPr="003C2F4D" w:rsidRDefault="000C1192" w:rsidP="000C1192">
      <w:pPr>
        <w:pStyle w:val="Notedebasdepage"/>
        <w:rPr>
          <w:color w:val="000000" w:themeColor="text1"/>
          <w:szCs w:val="18"/>
        </w:rPr>
      </w:pPr>
      <w:r w:rsidRPr="002D3F3D">
        <w:rPr>
          <w:color w:val="000000" w:themeColor="text1"/>
        </w:rPr>
        <w:tab/>
      </w:r>
      <w:r w:rsidRPr="00535E17">
        <w:rPr>
          <w:rStyle w:val="Appelnotedebasdep"/>
        </w:rPr>
        <w:footnoteRef/>
      </w:r>
      <w:r w:rsidRPr="00E05880">
        <w:rPr>
          <w:rStyle w:val="Appelnotedebasdep"/>
          <w:color w:val="000000" w:themeColor="text1"/>
        </w:rPr>
        <w:tab/>
      </w:r>
      <w:r w:rsidRPr="003C2F4D">
        <w:rPr>
          <w:rStyle w:val="Appelnotedebasdep"/>
          <w:color w:val="000000" w:themeColor="text1"/>
          <w:szCs w:val="18"/>
          <w:vertAlign w:val="baseline"/>
        </w:rPr>
        <w:t>D</w:t>
      </w:r>
      <w:r w:rsidRPr="003C2F4D">
        <w:rPr>
          <w:color w:val="000000" w:themeColor="text1"/>
          <w:szCs w:val="18"/>
        </w:rPr>
        <w:t xml:space="preserve">onnées d’Eurostat. </w:t>
      </w:r>
      <w:r w:rsidRPr="003C2F4D">
        <w:rPr>
          <w:rStyle w:val="Appelnotedebasdep"/>
          <w:color w:val="000000" w:themeColor="text1"/>
          <w:szCs w:val="18"/>
          <w:vertAlign w:val="baseline"/>
        </w:rPr>
        <w:t>Le taux relatif médian des revenus e</w:t>
      </w:r>
      <w:r w:rsidRPr="003C2F4D">
        <w:rPr>
          <w:color w:val="000000" w:themeColor="text1"/>
          <w:szCs w:val="18"/>
        </w:rPr>
        <w:t xml:space="preserve">st un indicateur défini comme </w:t>
      </w:r>
      <w:r w:rsidRPr="003C2F4D">
        <w:rPr>
          <w:rStyle w:val="Appelnotedebasdep"/>
          <w:color w:val="000000" w:themeColor="text1"/>
          <w:szCs w:val="18"/>
          <w:vertAlign w:val="baseline"/>
        </w:rPr>
        <w:t>le rapport entre le revenu disponible équivalent médian des personnes de plus de 65</w:t>
      </w:r>
      <w:r w:rsidR="003C2F4D">
        <w:rPr>
          <w:rStyle w:val="Appelnotedebasdep"/>
          <w:color w:val="000000" w:themeColor="text1"/>
          <w:szCs w:val="18"/>
          <w:vertAlign w:val="baseline"/>
        </w:rPr>
        <w:t> </w:t>
      </w:r>
      <w:r w:rsidRPr="003C2F4D">
        <w:rPr>
          <w:rStyle w:val="Appelnotedebasdep"/>
          <w:color w:val="000000" w:themeColor="text1"/>
          <w:szCs w:val="18"/>
          <w:vertAlign w:val="baseline"/>
        </w:rPr>
        <w:t>ans et le revenu disponible équivalent médian des personnes de moins de 65</w:t>
      </w:r>
      <w:r w:rsidR="003C2F4D">
        <w:rPr>
          <w:rStyle w:val="Appelnotedebasdep"/>
          <w:color w:val="000000" w:themeColor="text1"/>
          <w:szCs w:val="18"/>
          <w:vertAlign w:val="baseline"/>
        </w:rPr>
        <w:t> </w:t>
      </w:r>
      <w:r w:rsidRPr="003C2F4D">
        <w:rPr>
          <w:rStyle w:val="Appelnotedebasdep"/>
          <w:color w:val="000000" w:themeColor="text1"/>
          <w:szCs w:val="18"/>
          <w:vertAlign w:val="baseline"/>
        </w:rPr>
        <w:t xml:space="preserve">ans. </w:t>
      </w:r>
    </w:p>
  </w:footnote>
  <w:footnote w:id="35">
    <w:p w14:paraId="0FC760D6" w14:textId="1CD6C0DC" w:rsidR="000C1192" w:rsidRPr="00E05880" w:rsidRDefault="000C1192" w:rsidP="000C1192">
      <w:pPr>
        <w:pStyle w:val="Notedebasdepage"/>
        <w:rPr>
          <w:color w:val="000000" w:themeColor="text1"/>
        </w:rPr>
      </w:pPr>
      <w:r w:rsidRPr="00B868FD">
        <w:rPr>
          <w:color w:val="000000" w:themeColor="text1"/>
        </w:rPr>
        <w:tab/>
      </w:r>
      <w:r w:rsidRPr="00535E17">
        <w:rPr>
          <w:rStyle w:val="Appelnotedebasdep"/>
        </w:rPr>
        <w:footnoteRef/>
      </w:r>
      <w:r w:rsidRPr="00E05880">
        <w:rPr>
          <w:rStyle w:val="Appelnotedebasdep"/>
          <w:color w:val="000000" w:themeColor="text1"/>
        </w:rPr>
        <w:tab/>
      </w:r>
      <w:r w:rsidRPr="00E05880">
        <w:rPr>
          <w:color w:val="000000" w:themeColor="text1"/>
        </w:rPr>
        <w:t>Valeurs du taux</w:t>
      </w:r>
      <w:r>
        <w:rPr>
          <w:color w:val="000000" w:themeColor="text1"/>
        </w:rPr>
        <w:t xml:space="preserve"> en République de Croatie</w:t>
      </w:r>
      <w:r w:rsidR="003C2F4D">
        <w:rPr>
          <w:color w:val="000000" w:themeColor="text1"/>
        </w:rPr>
        <w:t> </w:t>
      </w:r>
      <w:r w:rsidRPr="00E05880">
        <w:rPr>
          <w:color w:val="000000" w:themeColor="text1"/>
        </w:rPr>
        <w:t>: 0,85 en 2015, 0,84 en</w:t>
      </w:r>
      <w:r>
        <w:rPr>
          <w:color w:val="000000" w:themeColor="text1"/>
        </w:rPr>
        <w:t xml:space="preserve"> </w:t>
      </w:r>
      <w:r w:rsidRPr="00E05880">
        <w:rPr>
          <w:color w:val="000000" w:themeColor="text1"/>
        </w:rPr>
        <w:t>2016, 0</w:t>
      </w:r>
      <w:r>
        <w:rPr>
          <w:color w:val="000000" w:themeColor="text1"/>
        </w:rPr>
        <w:t>,</w:t>
      </w:r>
      <w:r w:rsidRPr="00E05880">
        <w:rPr>
          <w:color w:val="000000" w:themeColor="text1"/>
        </w:rPr>
        <w:t xml:space="preserve">82 </w:t>
      </w:r>
      <w:r>
        <w:rPr>
          <w:color w:val="000000" w:themeColor="text1"/>
        </w:rPr>
        <w:t xml:space="preserve">en </w:t>
      </w:r>
      <w:r w:rsidRPr="00E05880">
        <w:rPr>
          <w:color w:val="000000" w:themeColor="text1"/>
        </w:rPr>
        <w:t>2017, 0</w:t>
      </w:r>
      <w:r>
        <w:rPr>
          <w:color w:val="000000" w:themeColor="text1"/>
        </w:rPr>
        <w:t>,</w:t>
      </w:r>
      <w:r w:rsidRPr="00E05880">
        <w:rPr>
          <w:color w:val="000000" w:themeColor="text1"/>
        </w:rPr>
        <w:t xml:space="preserve">79 </w:t>
      </w:r>
      <w:r>
        <w:rPr>
          <w:color w:val="000000" w:themeColor="text1"/>
        </w:rPr>
        <w:t xml:space="preserve">en </w:t>
      </w:r>
      <w:r w:rsidRPr="00E05880">
        <w:rPr>
          <w:color w:val="000000" w:themeColor="text1"/>
        </w:rPr>
        <w:t xml:space="preserve">2018 </w:t>
      </w:r>
      <w:r>
        <w:rPr>
          <w:color w:val="000000" w:themeColor="text1"/>
        </w:rPr>
        <w:t>et</w:t>
      </w:r>
      <w:r w:rsidR="003C2F4D">
        <w:rPr>
          <w:color w:val="000000" w:themeColor="text1"/>
        </w:rPr>
        <w:t> </w:t>
      </w:r>
      <w:r w:rsidRPr="00E05880">
        <w:rPr>
          <w:color w:val="000000" w:themeColor="text1"/>
        </w:rPr>
        <w:t>0</w:t>
      </w:r>
      <w:r>
        <w:rPr>
          <w:color w:val="000000" w:themeColor="text1"/>
        </w:rPr>
        <w:t>,</w:t>
      </w:r>
      <w:r w:rsidRPr="00E05880">
        <w:rPr>
          <w:color w:val="000000" w:themeColor="text1"/>
        </w:rPr>
        <w:t xml:space="preserve">75 </w:t>
      </w:r>
      <w:r>
        <w:rPr>
          <w:color w:val="000000" w:themeColor="text1"/>
        </w:rPr>
        <w:t xml:space="preserve">en </w:t>
      </w:r>
      <w:r w:rsidRPr="00E05880">
        <w:rPr>
          <w:color w:val="000000" w:themeColor="text1"/>
        </w:rPr>
        <w:t>2019.</w:t>
      </w:r>
    </w:p>
  </w:footnote>
  <w:footnote w:id="36">
    <w:p w14:paraId="6EDABC98" w14:textId="49924910" w:rsidR="000C1192" w:rsidRPr="005B7BA8" w:rsidRDefault="000C1192" w:rsidP="000C1192">
      <w:pPr>
        <w:pStyle w:val="Notedebasdepage"/>
        <w:rPr>
          <w:color w:val="000000" w:themeColor="text1"/>
        </w:rPr>
      </w:pPr>
      <w:r w:rsidRPr="00E05880">
        <w:rPr>
          <w:color w:val="000000" w:themeColor="text1"/>
        </w:rPr>
        <w:tab/>
      </w:r>
      <w:r w:rsidRPr="00535E17">
        <w:rPr>
          <w:rStyle w:val="Appelnotedebasdep"/>
        </w:rPr>
        <w:footnoteRef/>
      </w:r>
      <w:r w:rsidRPr="00CE685B">
        <w:rPr>
          <w:rStyle w:val="Appelnotedebasdep"/>
          <w:color w:val="000000" w:themeColor="text1"/>
        </w:rPr>
        <w:tab/>
      </w:r>
      <w:r w:rsidRPr="005B7BA8">
        <w:rPr>
          <w:color w:val="000000" w:themeColor="text1"/>
        </w:rPr>
        <w:t>En 2019, le taux de privation matérielle aiguë des personnes de plus de 65</w:t>
      </w:r>
      <w:r w:rsidR="003C2F4D">
        <w:rPr>
          <w:color w:val="000000" w:themeColor="text1"/>
        </w:rPr>
        <w:t> </w:t>
      </w:r>
      <w:r w:rsidRPr="005B7BA8">
        <w:rPr>
          <w:color w:val="000000" w:themeColor="text1"/>
        </w:rPr>
        <w:t>ans (10</w:t>
      </w:r>
      <w:r w:rsidR="003C2F4D">
        <w:rPr>
          <w:color w:val="000000" w:themeColor="text1"/>
        </w:rPr>
        <w:t> </w:t>
      </w:r>
      <w:r w:rsidRPr="005B7BA8">
        <w:rPr>
          <w:color w:val="000000" w:themeColor="text1"/>
        </w:rPr>
        <w:t>%) et des personnes âgées de 18 à 64</w:t>
      </w:r>
      <w:r w:rsidR="003C2F4D">
        <w:rPr>
          <w:color w:val="000000" w:themeColor="text1"/>
        </w:rPr>
        <w:t> </w:t>
      </w:r>
      <w:r w:rsidRPr="005B7BA8">
        <w:rPr>
          <w:color w:val="000000" w:themeColor="text1"/>
        </w:rPr>
        <w:t>ans (6,8</w:t>
      </w:r>
      <w:r w:rsidR="003C2F4D">
        <w:rPr>
          <w:color w:val="000000" w:themeColor="text1"/>
        </w:rPr>
        <w:t> </w:t>
      </w:r>
      <w:r w:rsidRPr="005B7BA8">
        <w:rPr>
          <w:color w:val="000000" w:themeColor="text1"/>
        </w:rPr>
        <w:t>%) était plus élevé que celui des personnes âgées de 0 à 64</w:t>
      </w:r>
      <w:r w:rsidR="003C2F4D">
        <w:rPr>
          <w:color w:val="000000" w:themeColor="text1"/>
        </w:rPr>
        <w:t> </w:t>
      </w:r>
      <w:r w:rsidRPr="005B7BA8">
        <w:rPr>
          <w:color w:val="000000" w:themeColor="text1"/>
        </w:rPr>
        <w:t>ans (6,5</w:t>
      </w:r>
      <w:r w:rsidR="003C2F4D">
        <w:rPr>
          <w:color w:val="000000" w:themeColor="text1"/>
        </w:rPr>
        <w:t> </w:t>
      </w:r>
      <w:r w:rsidRPr="005B7BA8">
        <w:rPr>
          <w:color w:val="000000" w:themeColor="text1"/>
        </w:rPr>
        <w:t>%)</w:t>
      </w:r>
      <w:r>
        <w:rPr>
          <w:color w:val="000000" w:themeColor="text1"/>
        </w:rPr>
        <w:t xml:space="preserve">, d’après les données de l’Office croate de statistique. </w:t>
      </w:r>
    </w:p>
  </w:footnote>
  <w:footnote w:id="37">
    <w:p w14:paraId="5881FEAA" w14:textId="77777777" w:rsidR="000C1192" w:rsidRPr="00E508DA" w:rsidRDefault="000C1192" w:rsidP="000C1192">
      <w:pPr>
        <w:pStyle w:val="Notedebasdepage"/>
        <w:rPr>
          <w:color w:val="000000" w:themeColor="text1"/>
          <w:lang w:eastAsia="zh-CN"/>
        </w:rPr>
      </w:pPr>
      <w:r w:rsidRPr="005B7BA8">
        <w:rPr>
          <w:color w:val="000000" w:themeColor="text1"/>
        </w:rPr>
        <w:tab/>
      </w:r>
      <w:r w:rsidRPr="00535E17">
        <w:rPr>
          <w:rStyle w:val="Appelnotedebasdep"/>
        </w:rPr>
        <w:footnoteRef/>
      </w:r>
      <w:r w:rsidRPr="00E615FD">
        <w:rPr>
          <w:rStyle w:val="Appelnotedebasdep"/>
          <w:color w:val="000000" w:themeColor="text1"/>
        </w:rPr>
        <w:tab/>
      </w:r>
      <w:r w:rsidRPr="00E615FD">
        <w:rPr>
          <w:color w:val="000000" w:themeColor="text1"/>
          <w:lang w:eastAsia="zh-CN"/>
        </w:rPr>
        <w:t xml:space="preserve">Délivré après </w:t>
      </w:r>
      <w:r>
        <w:rPr>
          <w:color w:val="000000" w:themeColor="text1"/>
          <w:lang w:eastAsia="zh-CN"/>
        </w:rPr>
        <w:t xml:space="preserve">cinq </w:t>
      </w:r>
      <w:r w:rsidRPr="00E615FD">
        <w:rPr>
          <w:color w:val="000000" w:themeColor="text1"/>
          <w:lang w:eastAsia="zh-CN"/>
        </w:rPr>
        <w:t>ans de résidence en Croatie</w:t>
      </w:r>
      <w:r w:rsidRPr="00E508DA">
        <w:rPr>
          <w:color w:val="000000" w:themeColor="text1"/>
        </w:rPr>
        <w:t>.</w:t>
      </w:r>
    </w:p>
  </w:footnote>
  <w:footnote w:id="38">
    <w:p w14:paraId="0E13ABE2" w14:textId="25468020" w:rsidR="000C1192" w:rsidRPr="009B3EF4" w:rsidRDefault="000C1192" w:rsidP="000C1192">
      <w:pPr>
        <w:pStyle w:val="Notedebasdepage"/>
        <w:rPr>
          <w:color w:val="000000" w:themeColor="text1"/>
        </w:rPr>
      </w:pPr>
      <w:r w:rsidRPr="00E508DA">
        <w:rPr>
          <w:rFonts w:eastAsia="Times New Roman"/>
          <w:color w:val="000000" w:themeColor="text1"/>
        </w:rPr>
        <w:tab/>
      </w:r>
      <w:r w:rsidRPr="00535E17">
        <w:rPr>
          <w:rStyle w:val="Appelnotedebasdep"/>
        </w:rPr>
        <w:footnoteRef/>
      </w:r>
      <w:r w:rsidRPr="0038420C">
        <w:rPr>
          <w:rStyle w:val="Appelnotedebasdep"/>
          <w:color w:val="000000" w:themeColor="text1"/>
        </w:rPr>
        <w:tab/>
      </w:r>
      <w:r>
        <w:rPr>
          <w:rFonts w:eastAsia="Times New Roman"/>
          <w:color w:val="000000" w:themeColor="text1"/>
          <w:szCs w:val="14"/>
        </w:rPr>
        <w:t>Les besoins en question sont</w:t>
      </w:r>
      <w:r w:rsidRPr="009B3EF4">
        <w:rPr>
          <w:rFonts w:eastAsia="Times New Roman"/>
          <w:color w:val="000000" w:themeColor="text1"/>
          <w:szCs w:val="14"/>
        </w:rPr>
        <w:t xml:space="preserve"> l</w:t>
      </w:r>
      <w:r>
        <w:rPr>
          <w:rFonts w:eastAsia="Times New Roman"/>
          <w:color w:val="000000" w:themeColor="text1"/>
          <w:szCs w:val="14"/>
        </w:rPr>
        <w:t>’</w:t>
      </w:r>
      <w:r w:rsidRPr="009B3EF4">
        <w:rPr>
          <w:rFonts w:eastAsia="Times New Roman"/>
          <w:color w:val="000000" w:themeColor="text1"/>
          <w:szCs w:val="14"/>
        </w:rPr>
        <w:t>organisation de l</w:t>
      </w:r>
      <w:r>
        <w:rPr>
          <w:rFonts w:eastAsia="Times New Roman"/>
          <w:color w:val="000000" w:themeColor="text1"/>
          <w:szCs w:val="14"/>
        </w:rPr>
        <w:t>’</w:t>
      </w:r>
      <w:r w:rsidRPr="009B3EF4">
        <w:rPr>
          <w:rFonts w:eastAsia="Times New Roman"/>
          <w:color w:val="000000" w:themeColor="text1"/>
          <w:szCs w:val="14"/>
        </w:rPr>
        <w:t>alimentation, la préparation et la prise des repas, l</w:t>
      </w:r>
      <w:r>
        <w:rPr>
          <w:rFonts w:eastAsia="Times New Roman"/>
          <w:color w:val="000000" w:themeColor="text1"/>
          <w:szCs w:val="14"/>
        </w:rPr>
        <w:t>’</w:t>
      </w:r>
      <w:r w:rsidRPr="009B3EF4">
        <w:rPr>
          <w:rFonts w:eastAsia="Times New Roman"/>
          <w:color w:val="000000" w:themeColor="text1"/>
          <w:szCs w:val="14"/>
        </w:rPr>
        <w:t xml:space="preserve">achat des </w:t>
      </w:r>
      <w:r>
        <w:rPr>
          <w:rFonts w:eastAsia="Times New Roman"/>
          <w:color w:val="000000" w:themeColor="text1"/>
          <w:szCs w:val="14"/>
        </w:rPr>
        <w:t>aliments</w:t>
      </w:r>
      <w:r w:rsidRPr="009B3EF4">
        <w:rPr>
          <w:rFonts w:eastAsia="Times New Roman"/>
          <w:color w:val="000000" w:themeColor="text1"/>
          <w:szCs w:val="14"/>
        </w:rPr>
        <w:t xml:space="preserve">, </w:t>
      </w:r>
      <w:r>
        <w:rPr>
          <w:rFonts w:eastAsia="Times New Roman"/>
          <w:color w:val="000000" w:themeColor="text1"/>
          <w:szCs w:val="14"/>
        </w:rPr>
        <w:t xml:space="preserve">le </w:t>
      </w:r>
      <w:r w:rsidRPr="009B3EF4">
        <w:rPr>
          <w:rFonts w:eastAsia="Times New Roman"/>
          <w:color w:val="000000" w:themeColor="text1"/>
          <w:szCs w:val="14"/>
        </w:rPr>
        <w:t xml:space="preserve">nettoyage et </w:t>
      </w:r>
      <w:r>
        <w:rPr>
          <w:rFonts w:eastAsia="Times New Roman"/>
          <w:color w:val="000000" w:themeColor="text1"/>
          <w:szCs w:val="14"/>
        </w:rPr>
        <w:t xml:space="preserve">le </w:t>
      </w:r>
      <w:r w:rsidRPr="009B3EF4">
        <w:rPr>
          <w:rFonts w:eastAsia="Times New Roman"/>
          <w:color w:val="000000" w:themeColor="text1"/>
          <w:szCs w:val="14"/>
        </w:rPr>
        <w:t xml:space="preserve">rangement </w:t>
      </w:r>
      <w:r>
        <w:rPr>
          <w:rFonts w:eastAsia="Times New Roman"/>
          <w:color w:val="000000" w:themeColor="text1"/>
          <w:szCs w:val="14"/>
        </w:rPr>
        <w:t>du logement</w:t>
      </w:r>
      <w:r w:rsidRPr="009B3EF4">
        <w:rPr>
          <w:rFonts w:eastAsia="Times New Roman"/>
          <w:color w:val="000000" w:themeColor="text1"/>
          <w:szCs w:val="14"/>
        </w:rPr>
        <w:t>, l</w:t>
      </w:r>
      <w:r>
        <w:rPr>
          <w:rFonts w:eastAsia="Times New Roman"/>
          <w:color w:val="000000" w:themeColor="text1"/>
          <w:szCs w:val="14"/>
        </w:rPr>
        <w:t>’</w:t>
      </w:r>
      <w:r w:rsidRPr="009B3EF4">
        <w:rPr>
          <w:rFonts w:eastAsia="Times New Roman"/>
          <w:color w:val="000000" w:themeColor="text1"/>
          <w:szCs w:val="14"/>
        </w:rPr>
        <w:t xml:space="preserve">habillage et </w:t>
      </w:r>
      <w:r>
        <w:rPr>
          <w:rFonts w:eastAsia="Times New Roman"/>
          <w:color w:val="000000" w:themeColor="text1"/>
          <w:szCs w:val="14"/>
        </w:rPr>
        <w:t xml:space="preserve">le </w:t>
      </w:r>
      <w:r w:rsidRPr="009B3EF4">
        <w:rPr>
          <w:rFonts w:eastAsia="Times New Roman"/>
          <w:color w:val="000000" w:themeColor="text1"/>
          <w:szCs w:val="14"/>
        </w:rPr>
        <w:t>déshabillage</w:t>
      </w:r>
      <w:r>
        <w:rPr>
          <w:rFonts w:eastAsia="Times New Roman"/>
          <w:color w:val="000000" w:themeColor="text1"/>
          <w:szCs w:val="14"/>
        </w:rPr>
        <w:t xml:space="preserve"> et le </w:t>
      </w:r>
      <w:r w:rsidRPr="009B3EF4">
        <w:rPr>
          <w:rFonts w:eastAsia="Times New Roman"/>
          <w:color w:val="000000" w:themeColor="text1"/>
          <w:szCs w:val="14"/>
        </w:rPr>
        <w:t>maintien de l</w:t>
      </w:r>
      <w:r>
        <w:rPr>
          <w:rFonts w:eastAsia="Times New Roman"/>
          <w:color w:val="000000" w:themeColor="text1"/>
          <w:szCs w:val="14"/>
        </w:rPr>
        <w:t>’</w:t>
      </w:r>
      <w:r w:rsidRPr="009B3EF4">
        <w:rPr>
          <w:rFonts w:eastAsia="Times New Roman"/>
          <w:color w:val="000000" w:themeColor="text1"/>
          <w:szCs w:val="14"/>
        </w:rPr>
        <w:t>hygiène personnelle</w:t>
      </w:r>
      <w:r>
        <w:rPr>
          <w:rFonts w:eastAsia="Times New Roman"/>
          <w:color w:val="000000" w:themeColor="text1"/>
          <w:szCs w:val="14"/>
        </w:rPr>
        <w:t xml:space="preserve"> ainsi que tout autre </w:t>
      </w:r>
      <w:r w:rsidRPr="009B3EF4">
        <w:rPr>
          <w:rFonts w:eastAsia="Times New Roman"/>
          <w:color w:val="000000" w:themeColor="text1"/>
          <w:szCs w:val="14"/>
        </w:rPr>
        <w:t>besoin fondamenta</w:t>
      </w:r>
      <w:r>
        <w:rPr>
          <w:rFonts w:eastAsia="Times New Roman"/>
          <w:color w:val="000000" w:themeColor="text1"/>
          <w:szCs w:val="14"/>
        </w:rPr>
        <w:t xml:space="preserve">l </w:t>
      </w:r>
      <w:r w:rsidRPr="009B3EF4">
        <w:rPr>
          <w:rFonts w:eastAsia="Times New Roman"/>
          <w:color w:val="000000" w:themeColor="text1"/>
          <w:szCs w:val="14"/>
        </w:rPr>
        <w:t xml:space="preserve">de </w:t>
      </w:r>
      <w:r>
        <w:rPr>
          <w:rFonts w:eastAsia="Times New Roman"/>
          <w:color w:val="000000" w:themeColor="text1"/>
          <w:szCs w:val="14"/>
        </w:rPr>
        <w:t>l’existence.</w:t>
      </w:r>
    </w:p>
  </w:footnote>
  <w:footnote w:id="39">
    <w:p w14:paraId="23B5B4B3" w14:textId="77777777" w:rsidR="000C1192" w:rsidRPr="007E4D28" w:rsidRDefault="000C1192" w:rsidP="000C1192">
      <w:pPr>
        <w:pStyle w:val="Notedebasdepage"/>
        <w:rPr>
          <w:color w:val="000000" w:themeColor="text1"/>
        </w:rPr>
      </w:pPr>
      <w:r w:rsidRPr="009B3EF4">
        <w:rPr>
          <w:color w:val="000000" w:themeColor="text1"/>
        </w:rPr>
        <w:tab/>
      </w:r>
      <w:r w:rsidRPr="00535E17">
        <w:rPr>
          <w:rStyle w:val="Appelnotedebasdep"/>
        </w:rPr>
        <w:footnoteRef/>
      </w:r>
      <w:r w:rsidRPr="00316C08">
        <w:rPr>
          <w:rStyle w:val="Appelnotedebasdep"/>
          <w:color w:val="000000" w:themeColor="text1"/>
        </w:rPr>
        <w:tab/>
      </w:r>
      <w:r>
        <w:rPr>
          <w:color w:val="000000" w:themeColor="text1"/>
        </w:rPr>
        <w:t xml:space="preserve">Disparités </w:t>
      </w:r>
      <w:r w:rsidRPr="00316C08">
        <w:rPr>
          <w:color w:val="000000" w:themeColor="text1"/>
        </w:rPr>
        <w:t xml:space="preserve">entre les sexes en matière de pensions, </w:t>
      </w:r>
      <w:r>
        <w:rPr>
          <w:color w:val="000000" w:themeColor="text1"/>
        </w:rPr>
        <w:t xml:space="preserve">UE, </w:t>
      </w:r>
      <w:r w:rsidRPr="00316C08">
        <w:rPr>
          <w:color w:val="000000" w:themeColor="text1"/>
        </w:rPr>
        <w:t>2015 (</w:t>
      </w:r>
      <w:r>
        <w:rPr>
          <w:color w:val="000000" w:themeColor="text1"/>
        </w:rPr>
        <w:t xml:space="preserve">étude présentée </w:t>
      </w:r>
      <w:r w:rsidRPr="00316C08">
        <w:rPr>
          <w:color w:val="000000" w:themeColor="text1"/>
        </w:rPr>
        <w:t xml:space="preserve">à la </w:t>
      </w:r>
      <w:r>
        <w:rPr>
          <w:color w:val="000000" w:themeColor="text1"/>
        </w:rPr>
        <w:t>P</w:t>
      </w:r>
      <w:r w:rsidRPr="00316C08">
        <w:rPr>
          <w:color w:val="000000" w:themeColor="text1"/>
        </w:rPr>
        <w:t>résidence lettone)</w:t>
      </w:r>
      <w:r>
        <w:rPr>
          <w:color w:val="000000" w:themeColor="text1"/>
        </w:rPr>
        <w:t>.</w:t>
      </w:r>
      <w:r w:rsidRPr="00316C08">
        <w:rPr>
          <w:rStyle w:val="Lienhypertexte"/>
          <w:color w:val="000000" w:themeColor="text1"/>
        </w:rPr>
        <w:tab/>
      </w:r>
      <w:hyperlink r:id="rId13" w:history="1">
        <w:r w:rsidRPr="003C2F4D">
          <w:rPr>
            <w:rStyle w:val="Lienhypertexte"/>
          </w:rPr>
          <w:t>http://eige.europa.eu/sites/default/files/documents/MH0415087ENN_Web.pdf</w:t>
        </w:r>
      </w:hyperlink>
      <w:r w:rsidRPr="007E4D28">
        <w:rPr>
          <w:color w:val="000000" w:themeColor="text1"/>
        </w:rPr>
        <w:t>.</w:t>
      </w:r>
    </w:p>
  </w:footnote>
  <w:footnote w:id="40">
    <w:p w14:paraId="0CE20854" w14:textId="7B3E2595" w:rsidR="000C1192" w:rsidRPr="00362FE0" w:rsidRDefault="000C1192" w:rsidP="000C1192">
      <w:pPr>
        <w:pStyle w:val="Notedebasdepage"/>
        <w:rPr>
          <w:color w:val="000000" w:themeColor="text1"/>
        </w:rPr>
      </w:pPr>
      <w:r w:rsidRPr="007E4D28">
        <w:rPr>
          <w:color w:val="000000" w:themeColor="text1"/>
        </w:rPr>
        <w:tab/>
      </w:r>
      <w:r w:rsidRPr="00535E17">
        <w:rPr>
          <w:rStyle w:val="Appelnotedebasdep"/>
        </w:rPr>
        <w:footnoteRef/>
      </w:r>
      <w:r w:rsidRPr="008744D0">
        <w:rPr>
          <w:rStyle w:val="Appelnotedebasdep"/>
          <w:color w:val="000000" w:themeColor="text1"/>
        </w:rPr>
        <w:tab/>
      </w:r>
      <w:r>
        <w:rPr>
          <w:color w:val="000000" w:themeColor="text1"/>
        </w:rPr>
        <w:t>C</w:t>
      </w:r>
      <w:r w:rsidRPr="00362FE0">
        <w:rPr>
          <w:color w:val="000000" w:themeColor="text1"/>
        </w:rPr>
        <w:t>itoyen</w:t>
      </w:r>
      <w:r>
        <w:rPr>
          <w:color w:val="000000" w:themeColor="text1"/>
        </w:rPr>
        <w:t>s</w:t>
      </w:r>
      <w:r w:rsidRPr="00362FE0">
        <w:rPr>
          <w:color w:val="000000" w:themeColor="text1"/>
        </w:rPr>
        <w:t xml:space="preserve"> croate</w:t>
      </w:r>
      <w:r>
        <w:rPr>
          <w:color w:val="000000" w:themeColor="text1"/>
        </w:rPr>
        <w:t>s</w:t>
      </w:r>
      <w:r w:rsidRPr="00362FE0">
        <w:rPr>
          <w:color w:val="000000" w:themeColor="text1"/>
        </w:rPr>
        <w:t xml:space="preserve"> résidant en </w:t>
      </w:r>
      <w:r>
        <w:rPr>
          <w:color w:val="000000" w:themeColor="text1"/>
        </w:rPr>
        <w:t xml:space="preserve">République de Croatie ; </w:t>
      </w:r>
      <w:r w:rsidRPr="00362FE0">
        <w:rPr>
          <w:color w:val="000000" w:themeColor="text1"/>
        </w:rPr>
        <w:t>étranger</w:t>
      </w:r>
      <w:r>
        <w:rPr>
          <w:color w:val="000000" w:themeColor="text1"/>
        </w:rPr>
        <w:t>s</w:t>
      </w:r>
      <w:r w:rsidRPr="00362FE0">
        <w:rPr>
          <w:color w:val="000000" w:themeColor="text1"/>
        </w:rPr>
        <w:t xml:space="preserve"> et apatride</w:t>
      </w:r>
      <w:r>
        <w:rPr>
          <w:color w:val="000000" w:themeColor="text1"/>
        </w:rPr>
        <w:t>s</w:t>
      </w:r>
      <w:r w:rsidRPr="00362FE0">
        <w:rPr>
          <w:color w:val="000000" w:themeColor="text1"/>
        </w:rPr>
        <w:t xml:space="preserve"> ayant </w:t>
      </w:r>
      <w:r>
        <w:rPr>
          <w:color w:val="000000" w:themeColor="text1"/>
        </w:rPr>
        <w:t xml:space="preserve">un permis de séjour permanent </w:t>
      </w:r>
      <w:r w:rsidRPr="00362FE0">
        <w:rPr>
          <w:color w:val="000000" w:themeColor="text1"/>
        </w:rPr>
        <w:t xml:space="preserve">en </w:t>
      </w:r>
      <w:r>
        <w:rPr>
          <w:color w:val="000000" w:themeColor="text1"/>
        </w:rPr>
        <w:t xml:space="preserve">République de Croatie ; </w:t>
      </w:r>
      <w:r w:rsidRPr="00362FE0">
        <w:rPr>
          <w:color w:val="000000" w:themeColor="text1"/>
        </w:rPr>
        <w:t>étranger</w:t>
      </w:r>
      <w:r>
        <w:rPr>
          <w:color w:val="000000" w:themeColor="text1"/>
        </w:rPr>
        <w:t>s</w:t>
      </w:r>
      <w:r w:rsidRPr="00362FE0">
        <w:rPr>
          <w:color w:val="000000" w:themeColor="text1"/>
        </w:rPr>
        <w:t xml:space="preserve"> </w:t>
      </w:r>
      <w:r>
        <w:rPr>
          <w:color w:val="000000" w:themeColor="text1"/>
        </w:rPr>
        <w:t xml:space="preserve">au bénéfice </w:t>
      </w:r>
      <w:r w:rsidRPr="00362FE0">
        <w:rPr>
          <w:color w:val="000000" w:themeColor="text1"/>
        </w:rPr>
        <w:t>d</w:t>
      </w:r>
      <w:r>
        <w:rPr>
          <w:color w:val="000000" w:themeColor="text1"/>
        </w:rPr>
        <w:t>’</w:t>
      </w:r>
      <w:r w:rsidRPr="00362FE0">
        <w:rPr>
          <w:color w:val="000000" w:themeColor="text1"/>
        </w:rPr>
        <w:t>une protection subsidiaire</w:t>
      </w:r>
      <w:r>
        <w:rPr>
          <w:color w:val="000000" w:themeColor="text1"/>
        </w:rPr>
        <w:t xml:space="preserve"> ; </w:t>
      </w:r>
      <w:r w:rsidRPr="00362FE0">
        <w:rPr>
          <w:color w:val="000000" w:themeColor="text1"/>
        </w:rPr>
        <w:t>étranger</w:t>
      </w:r>
      <w:r>
        <w:rPr>
          <w:color w:val="000000" w:themeColor="text1"/>
        </w:rPr>
        <w:t xml:space="preserve">s auxquels le statut de </w:t>
      </w:r>
      <w:r w:rsidRPr="00362FE0">
        <w:rPr>
          <w:color w:val="000000" w:themeColor="text1"/>
        </w:rPr>
        <w:t>victime de la traite des êtres humains</w:t>
      </w:r>
      <w:r>
        <w:rPr>
          <w:color w:val="000000" w:themeColor="text1"/>
        </w:rPr>
        <w:t xml:space="preserve"> a été reconnu ; et </w:t>
      </w:r>
      <w:r w:rsidRPr="00362FE0">
        <w:rPr>
          <w:color w:val="000000" w:themeColor="text1"/>
        </w:rPr>
        <w:t>demandeur</w:t>
      </w:r>
      <w:r>
        <w:rPr>
          <w:color w:val="000000" w:themeColor="text1"/>
        </w:rPr>
        <w:t>s</w:t>
      </w:r>
      <w:r w:rsidRPr="00362FE0">
        <w:rPr>
          <w:color w:val="000000" w:themeColor="text1"/>
        </w:rPr>
        <w:t xml:space="preserve"> d</w:t>
      </w:r>
      <w:r>
        <w:rPr>
          <w:color w:val="000000" w:themeColor="text1"/>
        </w:rPr>
        <w:t>’</w:t>
      </w:r>
      <w:r w:rsidRPr="00362FE0">
        <w:rPr>
          <w:color w:val="000000" w:themeColor="text1"/>
        </w:rPr>
        <w:t xml:space="preserve">asile </w:t>
      </w:r>
      <w:r>
        <w:rPr>
          <w:color w:val="000000" w:themeColor="text1"/>
        </w:rPr>
        <w:t xml:space="preserve">et membres de leur famille vivant </w:t>
      </w:r>
      <w:r w:rsidRPr="00362FE0">
        <w:rPr>
          <w:color w:val="000000" w:themeColor="text1"/>
        </w:rPr>
        <w:t xml:space="preserve">légalement en </w:t>
      </w:r>
      <w:r>
        <w:rPr>
          <w:color w:val="000000" w:themeColor="text1"/>
        </w:rPr>
        <w:t>République de Croatie</w:t>
      </w:r>
      <w:r w:rsidRPr="00362FE0">
        <w:rPr>
          <w:color w:val="000000" w:themeColor="text1"/>
        </w:rPr>
        <w:t>.</w:t>
      </w:r>
      <w:r>
        <w:rPr>
          <w:color w:val="000000" w:themeColor="text1"/>
        </w:rPr>
        <w:t xml:space="preserve"> Exceptionnellement, les </w:t>
      </w:r>
      <w:r w:rsidRPr="001074E1">
        <w:rPr>
          <w:color w:val="000000" w:themeColor="text1"/>
        </w:rPr>
        <w:t>personne</w:t>
      </w:r>
      <w:r>
        <w:rPr>
          <w:color w:val="000000" w:themeColor="text1"/>
        </w:rPr>
        <w:t>s</w:t>
      </w:r>
      <w:r w:rsidRPr="001074E1">
        <w:rPr>
          <w:color w:val="000000" w:themeColor="text1"/>
        </w:rPr>
        <w:t xml:space="preserve"> non couverte</w:t>
      </w:r>
      <w:r>
        <w:rPr>
          <w:color w:val="000000" w:themeColor="text1"/>
        </w:rPr>
        <w:t>s</w:t>
      </w:r>
      <w:r w:rsidRPr="001074E1">
        <w:rPr>
          <w:color w:val="000000" w:themeColor="text1"/>
        </w:rPr>
        <w:t xml:space="preserve"> par les catégories ci-dessus </w:t>
      </w:r>
      <w:r>
        <w:rPr>
          <w:color w:val="000000" w:themeColor="text1"/>
        </w:rPr>
        <w:t xml:space="preserve">peuvent </w:t>
      </w:r>
      <w:r w:rsidRPr="001074E1">
        <w:rPr>
          <w:color w:val="000000" w:themeColor="text1"/>
        </w:rPr>
        <w:t>avoir droit à une indemni</w:t>
      </w:r>
      <w:r>
        <w:rPr>
          <w:color w:val="000000" w:themeColor="text1"/>
        </w:rPr>
        <w:t xml:space="preserve">té forfaitaire </w:t>
      </w:r>
      <w:r w:rsidRPr="001074E1">
        <w:rPr>
          <w:color w:val="000000" w:themeColor="text1"/>
        </w:rPr>
        <w:t xml:space="preserve">et à un hébergement temporaire si </w:t>
      </w:r>
      <w:r>
        <w:rPr>
          <w:color w:val="000000" w:themeColor="text1"/>
        </w:rPr>
        <w:t>leur situation l’impose</w:t>
      </w:r>
      <w:r w:rsidRPr="001074E1">
        <w:rPr>
          <w:color w:val="000000" w:themeColor="text1"/>
        </w:rPr>
        <w:t>.</w:t>
      </w:r>
    </w:p>
  </w:footnote>
  <w:footnote w:id="41">
    <w:p w14:paraId="56663510" w14:textId="06A404EB" w:rsidR="000C1192" w:rsidRPr="005C5A52" w:rsidRDefault="000C1192" w:rsidP="000C1192">
      <w:pPr>
        <w:pStyle w:val="Notedebasdepage"/>
        <w:rPr>
          <w:color w:val="000000" w:themeColor="text1"/>
        </w:rPr>
      </w:pPr>
      <w:r w:rsidRPr="007E4D28">
        <w:rPr>
          <w:color w:val="000000" w:themeColor="text1"/>
        </w:rPr>
        <w:tab/>
      </w:r>
      <w:r w:rsidRPr="00535E17">
        <w:rPr>
          <w:rStyle w:val="Appelnotedebasdep"/>
        </w:rPr>
        <w:footnoteRef/>
      </w:r>
      <w:r w:rsidRPr="005C5A52">
        <w:rPr>
          <w:rStyle w:val="Appelnotedebasdep"/>
          <w:color w:val="000000" w:themeColor="text1"/>
        </w:rPr>
        <w:tab/>
      </w:r>
      <w:r>
        <w:rPr>
          <w:color w:val="000000" w:themeColor="text1"/>
        </w:rPr>
        <w:t>S</w:t>
      </w:r>
      <w:r w:rsidRPr="00A515A2">
        <w:rPr>
          <w:color w:val="000000" w:themeColor="text1"/>
        </w:rPr>
        <w:t xml:space="preserve">ervice accordé </w:t>
      </w:r>
      <w:r>
        <w:rPr>
          <w:color w:val="000000" w:themeColor="text1"/>
        </w:rPr>
        <w:t xml:space="preserve">aux </w:t>
      </w:r>
      <w:r w:rsidRPr="00A515A2">
        <w:rPr>
          <w:color w:val="000000" w:themeColor="text1"/>
        </w:rPr>
        <w:t>personne</w:t>
      </w:r>
      <w:r>
        <w:rPr>
          <w:color w:val="000000" w:themeColor="text1"/>
        </w:rPr>
        <w:t>s</w:t>
      </w:r>
      <w:r w:rsidRPr="00A515A2">
        <w:rPr>
          <w:color w:val="000000" w:themeColor="text1"/>
        </w:rPr>
        <w:t xml:space="preserve"> âgée</w:t>
      </w:r>
      <w:r>
        <w:rPr>
          <w:color w:val="000000" w:themeColor="text1"/>
        </w:rPr>
        <w:t>s</w:t>
      </w:r>
      <w:r w:rsidRPr="00A515A2">
        <w:rPr>
          <w:color w:val="000000" w:themeColor="text1"/>
        </w:rPr>
        <w:t xml:space="preserve"> qui, de l</w:t>
      </w:r>
      <w:r>
        <w:rPr>
          <w:color w:val="000000" w:themeColor="text1"/>
        </w:rPr>
        <w:t>’</w:t>
      </w:r>
      <w:r w:rsidRPr="00A515A2">
        <w:rPr>
          <w:color w:val="000000" w:themeColor="text1"/>
        </w:rPr>
        <w:t xml:space="preserve">avis du Centre de protection sociale, </w:t>
      </w:r>
      <w:r>
        <w:rPr>
          <w:color w:val="000000" w:themeColor="text1"/>
        </w:rPr>
        <w:t xml:space="preserve">ont </w:t>
      </w:r>
      <w:r w:rsidRPr="00A515A2">
        <w:rPr>
          <w:color w:val="000000" w:themeColor="text1"/>
        </w:rPr>
        <w:t xml:space="preserve">besoin </w:t>
      </w:r>
      <w:r>
        <w:rPr>
          <w:color w:val="000000" w:themeColor="text1"/>
        </w:rPr>
        <w:t>d’une aide extérieure</w:t>
      </w:r>
      <w:r w:rsidR="005E2164">
        <w:rPr>
          <w:color w:val="000000" w:themeColor="text1"/>
        </w:rPr>
        <w:t> </w:t>
      </w:r>
      <w:r w:rsidRPr="00A515A2">
        <w:rPr>
          <w:color w:val="000000" w:themeColor="text1"/>
        </w:rPr>
        <w:t xml:space="preserve">; </w:t>
      </w:r>
      <w:r>
        <w:rPr>
          <w:color w:val="000000" w:themeColor="text1"/>
        </w:rPr>
        <w:t xml:space="preserve">aux </w:t>
      </w:r>
      <w:r w:rsidRPr="00A515A2">
        <w:rPr>
          <w:color w:val="000000" w:themeColor="text1"/>
        </w:rPr>
        <w:t>personne</w:t>
      </w:r>
      <w:r>
        <w:rPr>
          <w:color w:val="000000" w:themeColor="text1"/>
        </w:rPr>
        <w:t>s auxquelles une aide extérieure doit être apportée d’urgence en raison d’une altération permanente</w:t>
      </w:r>
      <w:r w:rsidRPr="00A515A2">
        <w:rPr>
          <w:color w:val="000000" w:themeColor="text1"/>
        </w:rPr>
        <w:t xml:space="preserve"> </w:t>
      </w:r>
      <w:r>
        <w:rPr>
          <w:color w:val="000000" w:themeColor="text1"/>
        </w:rPr>
        <w:t xml:space="preserve">de leur </w:t>
      </w:r>
      <w:r w:rsidRPr="00A515A2">
        <w:rPr>
          <w:color w:val="000000" w:themeColor="text1"/>
        </w:rPr>
        <w:t>état de santé</w:t>
      </w:r>
      <w:r w:rsidR="005E2164">
        <w:rPr>
          <w:color w:val="000000" w:themeColor="text1"/>
        </w:rPr>
        <w:t> </w:t>
      </w:r>
      <w:r w:rsidRPr="00A515A2">
        <w:rPr>
          <w:color w:val="000000" w:themeColor="text1"/>
        </w:rPr>
        <w:t xml:space="preserve">; </w:t>
      </w:r>
      <w:r>
        <w:rPr>
          <w:color w:val="000000" w:themeColor="text1"/>
        </w:rPr>
        <w:t xml:space="preserve">et aux </w:t>
      </w:r>
      <w:r w:rsidRPr="00A515A2">
        <w:rPr>
          <w:color w:val="000000" w:themeColor="text1"/>
        </w:rPr>
        <w:t>personne</w:t>
      </w:r>
      <w:r>
        <w:rPr>
          <w:color w:val="000000" w:themeColor="text1"/>
        </w:rPr>
        <w:t xml:space="preserve">s auxquelles une aide extérieure doit être apportée d’urgence en raison d’une altération temporaire de leur </w:t>
      </w:r>
      <w:r w:rsidRPr="00A515A2">
        <w:rPr>
          <w:color w:val="000000" w:themeColor="text1"/>
        </w:rPr>
        <w:t>état de santé</w:t>
      </w:r>
      <w:r>
        <w:rPr>
          <w:color w:val="000000" w:themeColor="text1"/>
        </w:rPr>
        <w:t>.</w:t>
      </w:r>
    </w:p>
  </w:footnote>
  <w:footnote w:id="42">
    <w:p w14:paraId="2A0E89A5" w14:textId="3098C693" w:rsidR="000C1192" w:rsidRPr="005D3B16" w:rsidRDefault="000C1192" w:rsidP="000C1192">
      <w:pPr>
        <w:pStyle w:val="Notedebasdepage"/>
        <w:rPr>
          <w:color w:val="000000" w:themeColor="text1"/>
        </w:rPr>
      </w:pPr>
      <w:r w:rsidRPr="00A515A2">
        <w:rPr>
          <w:color w:val="000000" w:themeColor="text1"/>
        </w:rPr>
        <w:tab/>
      </w:r>
      <w:r w:rsidRPr="00535E17">
        <w:rPr>
          <w:rStyle w:val="Appelnotedebasdep"/>
        </w:rPr>
        <w:footnoteRef/>
      </w:r>
      <w:r w:rsidRPr="007E4D28">
        <w:rPr>
          <w:rStyle w:val="Appelnotedebasdep"/>
          <w:color w:val="000000" w:themeColor="text1"/>
        </w:rPr>
        <w:tab/>
      </w:r>
      <w:r w:rsidRPr="007E4D28">
        <w:rPr>
          <w:color w:val="000000" w:themeColor="text1"/>
        </w:rPr>
        <w:tab/>
      </w:r>
      <w:r>
        <w:rPr>
          <w:color w:val="000000" w:themeColor="text1"/>
        </w:rPr>
        <w:t>S</w:t>
      </w:r>
      <w:r w:rsidRPr="004D068A">
        <w:rPr>
          <w:color w:val="000000" w:themeColor="text1"/>
        </w:rPr>
        <w:t xml:space="preserve">ervice social </w:t>
      </w:r>
      <w:r>
        <w:rPr>
          <w:color w:val="000000" w:themeColor="text1"/>
        </w:rPr>
        <w:t xml:space="preserve">consistant en un placement </w:t>
      </w:r>
      <w:r w:rsidRPr="004D068A">
        <w:rPr>
          <w:color w:val="000000" w:themeColor="text1"/>
        </w:rPr>
        <w:t>d</w:t>
      </w:r>
      <w:r>
        <w:rPr>
          <w:color w:val="000000" w:themeColor="text1"/>
        </w:rPr>
        <w:t>’</w:t>
      </w:r>
      <w:r w:rsidRPr="004D068A">
        <w:rPr>
          <w:color w:val="000000" w:themeColor="text1"/>
        </w:rPr>
        <w:t>une journée complète (de 6 à 10</w:t>
      </w:r>
      <w:r w:rsidR="003C2F4D">
        <w:rPr>
          <w:color w:val="000000" w:themeColor="text1"/>
        </w:rPr>
        <w:t> </w:t>
      </w:r>
      <w:r w:rsidRPr="004D068A">
        <w:rPr>
          <w:color w:val="000000" w:themeColor="text1"/>
        </w:rPr>
        <w:t xml:space="preserve">heures par jour) </w:t>
      </w:r>
      <w:r>
        <w:rPr>
          <w:color w:val="000000" w:themeColor="text1"/>
        </w:rPr>
        <w:t xml:space="preserve">ou </w:t>
      </w:r>
      <w:r w:rsidRPr="004D068A">
        <w:rPr>
          <w:color w:val="000000" w:themeColor="text1"/>
        </w:rPr>
        <w:t>d</w:t>
      </w:r>
      <w:r>
        <w:rPr>
          <w:color w:val="000000" w:themeColor="text1"/>
        </w:rPr>
        <w:t>’</w:t>
      </w:r>
      <w:r w:rsidRPr="004D068A">
        <w:rPr>
          <w:color w:val="000000" w:themeColor="text1"/>
        </w:rPr>
        <w:t>une demi-journée (de 4 à 6</w:t>
      </w:r>
      <w:r w:rsidR="003C2F4D">
        <w:rPr>
          <w:color w:val="000000" w:themeColor="text1"/>
        </w:rPr>
        <w:t> </w:t>
      </w:r>
      <w:r w:rsidRPr="004D068A">
        <w:rPr>
          <w:color w:val="000000" w:themeColor="text1"/>
        </w:rPr>
        <w:t xml:space="preserve">heures par jour). </w:t>
      </w:r>
      <w:r>
        <w:rPr>
          <w:color w:val="000000" w:themeColor="text1"/>
        </w:rPr>
        <w:t xml:space="preserve">Ce </w:t>
      </w:r>
      <w:r w:rsidRPr="004D068A">
        <w:rPr>
          <w:color w:val="000000" w:themeColor="text1"/>
        </w:rPr>
        <w:t xml:space="preserve">service </w:t>
      </w:r>
      <w:r>
        <w:rPr>
          <w:color w:val="000000" w:themeColor="text1"/>
        </w:rPr>
        <w:t xml:space="preserve">répond aux besoins fondamentaux </w:t>
      </w:r>
      <w:r w:rsidRPr="004D068A">
        <w:rPr>
          <w:color w:val="000000" w:themeColor="text1"/>
        </w:rPr>
        <w:t xml:space="preserve">des usagers en </w:t>
      </w:r>
      <w:r>
        <w:rPr>
          <w:color w:val="000000" w:themeColor="text1"/>
        </w:rPr>
        <w:t xml:space="preserve">assurant </w:t>
      </w:r>
      <w:r w:rsidRPr="004D068A">
        <w:rPr>
          <w:color w:val="000000" w:themeColor="text1"/>
        </w:rPr>
        <w:t>des services de nutrition, d</w:t>
      </w:r>
      <w:r>
        <w:rPr>
          <w:color w:val="000000" w:themeColor="text1"/>
        </w:rPr>
        <w:t>’</w:t>
      </w:r>
      <w:r w:rsidRPr="004D068A">
        <w:rPr>
          <w:color w:val="000000" w:themeColor="text1"/>
        </w:rPr>
        <w:t xml:space="preserve">hygiène personnelle, de soins </w:t>
      </w:r>
      <w:r>
        <w:rPr>
          <w:color w:val="000000" w:themeColor="text1"/>
        </w:rPr>
        <w:t xml:space="preserve">médicaux et </w:t>
      </w:r>
      <w:r w:rsidRPr="004D068A">
        <w:rPr>
          <w:color w:val="000000" w:themeColor="text1"/>
        </w:rPr>
        <w:t>infirmiers, d</w:t>
      </w:r>
      <w:r>
        <w:rPr>
          <w:color w:val="000000" w:themeColor="text1"/>
        </w:rPr>
        <w:t>’</w:t>
      </w:r>
      <w:r w:rsidRPr="004D068A">
        <w:rPr>
          <w:color w:val="000000" w:themeColor="text1"/>
        </w:rPr>
        <w:t xml:space="preserve">activités de travail, de </w:t>
      </w:r>
      <w:r>
        <w:rPr>
          <w:color w:val="000000" w:themeColor="text1"/>
        </w:rPr>
        <w:t xml:space="preserve">réadaptation </w:t>
      </w:r>
      <w:r w:rsidRPr="004D068A">
        <w:rPr>
          <w:color w:val="000000" w:themeColor="text1"/>
        </w:rPr>
        <w:t>psychosociale, de loisirs</w:t>
      </w:r>
      <w:r>
        <w:rPr>
          <w:color w:val="000000" w:themeColor="text1"/>
        </w:rPr>
        <w:t xml:space="preserve"> ou</w:t>
      </w:r>
      <w:r w:rsidRPr="004D068A">
        <w:rPr>
          <w:color w:val="000000" w:themeColor="text1"/>
        </w:rPr>
        <w:t xml:space="preserve"> de transport organisé, en fonction des besoins et des choix </w:t>
      </w:r>
      <w:r>
        <w:rPr>
          <w:color w:val="000000" w:themeColor="text1"/>
        </w:rPr>
        <w:t>des bénéficiaires</w:t>
      </w:r>
      <w:r w:rsidRPr="004D068A">
        <w:rPr>
          <w:color w:val="000000" w:themeColor="text1"/>
        </w:rPr>
        <w:t>.</w:t>
      </w:r>
      <w:r>
        <w:rPr>
          <w:color w:val="000000" w:themeColor="text1"/>
        </w:rPr>
        <w:t xml:space="preserve"> </w:t>
      </w:r>
    </w:p>
  </w:footnote>
  <w:footnote w:id="43">
    <w:p w14:paraId="0AC348D3" w14:textId="4BA73779" w:rsidR="000C1192" w:rsidRPr="00372034" w:rsidRDefault="000C1192" w:rsidP="000C1192">
      <w:pPr>
        <w:pStyle w:val="Notedebasdepage"/>
        <w:rPr>
          <w:color w:val="000000" w:themeColor="text1"/>
        </w:rPr>
      </w:pPr>
      <w:r w:rsidRPr="005D3B16">
        <w:rPr>
          <w:color w:val="000000" w:themeColor="text1"/>
        </w:rPr>
        <w:tab/>
      </w:r>
      <w:r w:rsidRPr="00535E17">
        <w:rPr>
          <w:rStyle w:val="Appelnotedebasdep"/>
        </w:rPr>
        <w:footnoteRef/>
      </w:r>
      <w:r w:rsidRPr="00372034">
        <w:rPr>
          <w:rStyle w:val="Appelnotedebasdep"/>
          <w:color w:val="000000" w:themeColor="text1"/>
        </w:rPr>
        <w:tab/>
      </w:r>
      <w:r w:rsidRPr="00372034">
        <w:rPr>
          <w:color w:val="000000" w:themeColor="text1"/>
        </w:rPr>
        <w:t>Les dro</w:t>
      </w:r>
      <w:r>
        <w:rPr>
          <w:color w:val="000000" w:themeColor="text1"/>
        </w:rPr>
        <w:t>i</w:t>
      </w:r>
      <w:r w:rsidRPr="00372034">
        <w:rPr>
          <w:color w:val="000000" w:themeColor="text1"/>
        </w:rPr>
        <w:t>ts suivants sont reconnus</w:t>
      </w:r>
      <w:r w:rsidR="00F32287">
        <w:rPr>
          <w:color w:val="000000" w:themeColor="text1"/>
        </w:rPr>
        <w:t> </w:t>
      </w:r>
      <w:r w:rsidRPr="00372034">
        <w:rPr>
          <w:color w:val="000000" w:themeColor="text1"/>
        </w:rPr>
        <w:t>:</w:t>
      </w:r>
    </w:p>
    <w:p w14:paraId="00CD7DE1" w14:textId="67150ED9" w:rsidR="000C1192" w:rsidRPr="00372034" w:rsidRDefault="000C1192" w:rsidP="00F32287">
      <w:pPr>
        <w:pStyle w:val="Notedebasdepage"/>
        <w:tabs>
          <w:tab w:val="left" w:pos="1400"/>
        </w:tabs>
        <w:ind w:firstLine="0"/>
        <w:rPr>
          <w:color w:val="000000" w:themeColor="text1"/>
          <w:szCs w:val="18"/>
        </w:rPr>
      </w:pPr>
      <w:r w:rsidRPr="00372034">
        <w:rPr>
          <w:color w:val="000000" w:themeColor="text1"/>
          <w:szCs w:val="18"/>
        </w:rPr>
        <w:t>•</w:t>
      </w:r>
      <w:r w:rsidRPr="00372034">
        <w:rPr>
          <w:color w:val="000000" w:themeColor="text1"/>
          <w:szCs w:val="18"/>
        </w:rPr>
        <w:tab/>
      </w:r>
      <w:r>
        <w:rPr>
          <w:color w:val="000000" w:themeColor="text1"/>
          <w:szCs w:val="18"/>
        </w:rPr>
        <w:t>D</w:t>
      </w:r>
      <w:r w:rsidRPr="00372034">
        <w:rPr>
          <w:color w:val="000000" w:themeColor="text1"/>
          <w:szCs w:val="18"/>
        </w:rPr>
        <w:t>roit à l</w:t>
      </w:r>
      <w:r>
        <w:rPr>
          <w:color w:val="000000" w:themeColor="text1"/>
          <w:szCs w:val="18"/>
        </w:rPr>
        <w:t>’</w:t>
      </w:r>
      <w:r w:rsidRPr="00372034">
        <w:rPr>
          <w:color w:val="000000" w:themeColor="text1"/>
          <w:szCs w:val="18"/>
        </w:rPr>
        <w:t>allocation personnelle d</w:t>
      </w:r>
      <w:r>
        <w:rPr>
          <w:color w:val="000000" w:themeColor="text1"/>
          <w:szCs w:val="18"/>
        </w:rPr>
        <w:t>’</w:t>
      </w:r>
      <w:r w:rsidRPr="00372034">
        <w:rPr>
          <w:color w:val="000000" w:themeColor="text1"/>
          <w:szCs w:val="18"/>
        </w:rPr>
        <w:t>invalidité</w:t>
      </w:r>
      <w:r>
        <w:rPr>
          <w:color w:val="000000" w:themeColor="text1"/>
          <w:szCs w:val="18"/>
        </w:rPr>
        <w:t> ;</w:t>
      </w:r>
    </w:p>
    <w:p w14:paraId="6662CF31" w14:textId="49B21A1D" w:rsidR="000C1192" w:rsidRPr="00372034" w:rsidRDefault="000C1192" w:rsidP="00F32287">
      <w:pPr>
        <w:pStyle w:val="Notedebasdepage"/>
        <w:tabs>
          <w:tab w:val="left" w:pos="1400"/>
        </w:tabs>
        <w:ind w:firstLine="0"/>
        <w:rPr>
          <w:color w:val="000000" w:themeColor="text1"/>
          <w:szCs w:val="18"/>
        </w:rPr>
      </w:pPr>
      <w:r w:rsidRPr="00372034">
        <w:rPr>
          <w:color w:val="000000" w:themeColor="text1"/>
          <w:szCs w:val="18"/>
        </w:rPr>
        <w:t>•</w:t>
      </w:r>
      <w:r w:rsidRPr="00372034">
        <w:rPr>
          <w:color w:val="000000" w:themeColor="text1"/>
          <w:szCs w:val="18"/>
        </w:rPr>
        <w:tab/>
      </w:r>
      <w:r>
        <w:rPr>
          <w:color w:val="000000" w:themeColor="text1"/>
          <w:szCs w:val="18"/>
        </w:rPr>
        <w:t>D</w:t>
      </w:r>
      <w:r w:rsidRPr="00372034">
        <w:rPr>
          <w:color w:val="000000" w:themeColor="text1"/>
          <w:szCs w:val="18"/>
        </w:rPr>
        <w:t xml:space="preserve">roit à </w:t>
      </w:r>
      <w:r>
        <w:rPr>
          <w:color w:val="000000" w:themeColor="text1"/>
          <w:szCs w:val="18"/>
        </w:rPr>
        <w:t>l’</w:t>
      </w:r>
      <w:r w:rsidRPr="00372034">
        <w:rPr>
          <w:color w:val="000000" w:themeColor="text1"/>
          <w:szCs w:val="18"/>
        </w:rPr>
        <w:t>allocation d</w:t>
      </w:r>
      <w:r>
        <w:rPr>
          <w:color w:val="000000" w:themeColor="text1"/>
          <w:szCs w:val="18"/>
        </w:rPr>
        <w:t>’</w:t>
      </w:r>
      <w:r w:rsidRPr="00372034">
        <w:rPr>
          <w:color w:val="000000" w:themeColor="text1"/>
          <w:szCs w:val="18"/>
        </w:rPr>
        <w:t>assistance et de soins</w:t>
      </w:r>
      <w:r>
        <w:rPr>
          <w:color w:val="000000" w:themeColor="text1"/>
          <w:szCs w:val="18"/>
        </w:rPr>
        <w:t> ;</w:t>
      </w:r>
    </w:p>
    <w:p w14:paraId="77B37C51" w14:textId="3BE05ECB" w:rsidR="000C1192" w:rsidRPr="002D78B8" w:rsidRDefault="000C1192" w:rsidP="00F32287">
      <w:pPr>
        <w:pStyle w:val="Notedebasdepage"/>
        <w:tabs>
          <w:tab w:val="left" w:pos="1400"/>
        </w:tabs>
        <w:ind w:firstLine="0"/>
        <w:rPr>
          <w:color w:val="000000" w:themeColor="text1"/>
          <w:szCs w:val="18"/>
        </w:rPr>
      </w:pPr>
      <w:r w:rsidRPr="002D78B8">
        <w:rPr>
          <w:color w:val="000000" w:themeColor="text1"/>
          <w:szCs w:val="18"/>
        </w:rPr>
        <w:t>•</w:t>
      </w:r>
      <w:r w:rsidRPr="002D78B8">
        <w:rPr>
          <w:color w:val="000000" w:themeColor="text1"/>
          <w:szCs w:val="18"/>
        </w:rPr>
        <w:tab/>
      </w:r>
      <w:r>
        <w:rPr>
          <w:color w:val="000000" w:themeColor="text1"/>
          <w:szCs w:val="18"/>
        </w:rPr>
        <w:t>D</w:t>
      </w:r>
      <w:r w:rsidRPr="002D78B8">
        <w:rPr>
          <w:color w:val="000000" w:themeColor="text1"/>
          <w:szCs w:val="18"/>
        </w:rPr>
        <w:t>roit au statut de parent nourricier ou de famille d</w:t>
      </w:r>
      <w:r>
        <w:rPr>
          <w:color w:val="000000" w:themeColor="text1"/>
          <w:szCs w:val="18"/>
        </w:rPr>
        <w:t>’</w:t>
      </w:r>
      <w:r w:rsidRPr="002D78B8">
        <w:rPr>
          <w:color w:val="000000" w:themeColor="text1"/>
          <w:szCs w:val="18"/>
        </w:rPr>
        <w:t>accueil</w:t>
      </w:r>
      <w:r>
        <w:rPr>
          <w:color w:val="000000" w:themeColor="text1"/>
          <w:szCs w:val="18"/>
        </w:rPr>
        <w:t xml:space="preserve"> ; </w:t>
      </w:r>
    </w:p>
    <w:p w14:paraId="3BB51BD9" w14:textId="2B4F1A95" w:rsidR="000C1192" w:rsidRPr="002D78B8" w:rsidRDefault="000C1192" w:rsidP="00F32287">
      <w:pPr>
        <w:pStyle w:val="Notedebasdepage"/>
        <w:tabs>
          <w:tab w:val="left" w:pos="1400"/>
        </w:tabs>
        <w:ind w:firstLine="0"/>
        <w:rPr>
          <w:color w:val="000000" w:themeColor="text1"/>
          <w:szCs w:val="18"/>
        </w:rPr>
      </w:pPr>
      <w:r w:rsidRPr="002D78B8">
        <w:rPr>
          <w:color w:val="000000" w:themeColor="text1"/>
          <w:szCs w:val="18"/>
        </w:rPr>
        <w:t>•</w:t>
      </w:r>
      <w:r w:rsidRPr="002D78B8">
        <w:rPr>
          <w:color w:val="000000" w:themeColor="text1"/>
          <w:szCs w:val="18"/>
        </w:rPr>
        <w:tab/>
      </w:r>
      <w:r>
        <w:rPr>
          <w:color w:val="000000" w:themeColor="text1"/>
          <w:szCs w:val="18"/>
        </w:rPr>
        <w:t>D</w:t>
      </w:r>
      <w:r w:rsidRPr="002D78B8">
        <w:rPr>
          <w:color w:val="000000" w:themeColor="text1"/>
          <w:szCs w:val="18"/>
        </w:rPr>
        <w:t>roit à l</w:t>
      </w:r>
      <w:r>
        <w:rPr>
          <w:color w:val="000000" w:themeColor="text1"/>
          <w:szCs w:val="18"/>
        </w:rPr>
        <w:t xml:space="preserve">’aide sociale jusqu’à temps d’avoir trouvé un </w:t>
      </w:r>
      <w:r w:rsidRPr="002D78B8">
        <w:rPr>
          <w:color w:val="000000" w:themeColor="text1"/>
          <w:szCs w:val="18"/>
        </w:rPr>
        <w:t>emploi</w:t>
      </w:r>
      <w:r>
        <w:rPr>
          <w:color w:val="000000" w:themeColor="text1"/>
          <w:szCs w:val="18"/>
        </w:rPr>
        <w:t> ;</w:t>
      </w:r>
    </w:p>
    <w:p w14:paraId="2DFA2761" w14:textId="7CE09FAB" w:rsidR="000C1192" w:rsidRPr="002D78B8" w:rsidRDefault="000C1192" w:rsidP="00F32287">
      <w:pPr>
        <w:pStyle w:val="Notedebasdepage"/>
        <w:tabs>
          <w:tab w:val="left" w:pos="1400"/>
        </w:tabs>
        <w:ind w:firstLine="0"/>
        <w:rPr>
          <w:color w:val="000000" w:themeColor="text1"/>
          <w:szCs w:val="18"/>
        </w:rPr>
      </w:pPr>
      <w:r w:rsidRPr="002D78B8">
        <w:rPr>
          <w:color w:val="000000" w:themeColor="text1"/>
          <w:szCs w:val="18"/>
        </w:rPr>
        <w:t>•</w:t>
      </w:r>
      <w:r w:rsidRPr="002D78B8">
        <w:rPr>
          <w:color w:val="000000" w:themeColor="text1"/>
          <w:szCs w:val="18"/>
        </w:rPr>
        <w:tab/>
      </w:r>
      <w:r>
        <w:rPr>
          <w:color w:val="000000" w:themeColor="text1"/>
          <w:szCs w:val="18"/>
        </w:rPr>
        <w:t>D</w:t>
      </w:r>
      <w:r w:rsidRPr="002D78B8">
        <w:rPr>
          <w:color w:val="000000" w:themeColor="text1"/>
          <w:szCs w:val="18"/>
        </w:rPr>
        <w:t>roit à un service d</w:t>
      </w:r>
      <w:r>
        <w:rPr>
          <w:color w:val="000000" w:themeColor="text1"/>
          <w:szCs w:val="18"/>
        </w:rPr>
        <w:t>’</w:t>
      </w:r>
      <w:r w:rsidRPr="002D78B8">
        <w:rPr>
          <w:color w:val="000000" w:themeColor="text1"/>
          <w:szCs w:val="18"/>
        </w:rPr>
        <w:t>aide à domicile</w:t>
      </w:r>
      <w:r>
        <w:rPr>
          <w:color w:val="000000" w:themeColor="text1"/>
          <w:szCs w:val="18"/>
        </w:rPr>
        <w:t> ;</w:t>
      </w:r>
    </w:p>
    <w:p w14:paraId="70C57C04" w14:textId="0BB08955" w:rsidR="000C1192" w:rsidRPr="004E12CD" w:rsidRDefault="000C1192" w:rsidP="00F32287">
      <w:pPr>
        <w:pStyle w:val="Notedebasdepage"/>
        <w:tabs>
          <w:tab w:val="left" w:pos="1400"/>
        </w:tabs>
        <w:ind w:left="1400" w:hanging="266"/>
        <w:rPr>
          <w:color w:val="000000" w:themeColor="text1"/>
          <w:szCs w:val="18"/>
        </w:rPr>
      </w:pPr>
      <w:r w:rsidRPr="004E12CD">
        <w:rPr>
          <w:color w:val="000000" w:themeColor="text1"/>
          <w:szCs w:val="18"/>
        </w:rPr>
        <w:t>•</w:t>
      </w:r>
      <w:r w:rsidRPr="004E12CD">
        <w:rPr>
          <w:color w:val="000000" w:themeColor="text1"/>
          <w:szCs w:val="18"/>
        </w:rPr>
        <w:tab/>
      </w:r>
      <w:r>
        <w:rPr>
          <w:color w:val="000000" w:themeColor="text1"/>
          <w:szCs w:val="18"/>
        </w:rPr>
        <w:t>D</w:t>
      </w:r>
      <w:r w:rsidRPr="004E12CD">
        <w:rPr>
          <w:color w:val="000000" w:themeColor="text1"/>
          <w:szCs w:val="18"/>
        </w:rPr>
        <w:t xml:space="preserve">roit à un service de soutien psychosocial </w:t>
      </w:r>
      <w:r w:rsidR="00F32287">
        <w:rPr>
          <w:color w:val="000000" w:themeColor="text1"/>
          <w:szCs w:val="18"/>
        </w:rPr>
        <w:t>−</w:t>
      </w:r>
      <w:r w:rsidRPr="004E12CD">
        <w:rPr>
          <w:color w:val="000000" w:themeColor="text1"/>
          <w:szCs w:val="18"/>
        </w:rPr>
        <w:t xml:space="preserve"> </w:t>
      </w:r>
      <w:r>
        <w:rPr>
          <w:color w:val="000000" w:themeColor="text1"/>
          <w:szCs w:val="18"/>
        </w:rPr>
        <w:t xml:space="preserve">ce </w:t>
      </w:r>
      <w:r w:rsidRPr="004E12CD">
        <w:rPr>
          <w:color w:val="000000" w:themeColor="text1"/>
          <w:szCs w:val="18"/>
        </w:rPr>
        <w:t>service</w:t>
      </w:r>
      <w:r>
        <w:rPr>
          <w:color w:val="000000" w:themeColor="text1"/>
          <w:szCs w:val="18"/>
        </w:rPr>
        <w:t xml:space="preserve"> offre à ses bénéficiaires une </w:t>
      </w:r>
      <w:r w:rsidRPr="004E12CD">
        <w:rPr>
          <w:color w:val="000000" w:themeColor="text1"/>
          <w:szCs w:val="18"/>
        </w:rPr>
        <w:t xml:space="preserve">réadaptation qui </w:t>
      </w:r>
      <w:r>
        <w:rPr>
          <w:color w:val="000000" w:themeColor="text1"/>
          <w:szCs w:val="18"/>
        </w:rPr>
        <w:t xml:space="preserve">les aide à développer leurs </w:t>
      </w:r>
      <w:r w:rsidRPr="004E12CD">
        <w:rPr>
          <w:color w:val="000000" w:themeColor="text1"/>
          <w:szCs w:val="18"/>
        </w:rPr>
        <w:t xml:space="preserve">compétences cognitives, fonctionnelles, </w:t>
      </w:r>
      <w:r>
        <w:rPr>
          <w:color w:val="000000" w:themeColor="text1"/>
          <w:szCs w:val="18"/>
        </w:rPr>
        <w:t xml:space="preserve">communicationnelles </w:t>
      </w:r>
      <w:r w:rsidRPr="004E12CD">
        <w:rPr>
          <w:color w:val="000000" w:themeColor="text1"/>
          <w:szCs w:val="18"/>
        </w:rPr>
        <w:t>ou sociales</w:t>
      </w:r>
      <w:r>
        <w:rPr>
          <w:color w:val="000000" w:themeColor="text1"/>
          <w:szCs w:val="18"/>
        </w:rPr>
        <w:t> ;</w:t>
      </w:r>
    </w:p>
    <w:p w14:paraId="6333A61A" w14:textId="3665A51F" w:rsidR="000C1192" w:rsidRPr="004E12CD" w:rsidRDefault="000C1192" w:rsidP="00F32287">
      <w:pPr>
        <w:pStyle w:val="Notedebasdepage"/>
        <w:tabs>
          <w:tab w:val="left" w:pos="1400"/>
        </w:tabs>
        <w:ind w:left="1400" w:hanging="266"/>
        <w:rPr>
          <w:color w:val="000000" w:themeColor="text1"/>
          <w:szCs w:val="18"/>
        </w:rPr>
      </w:pPr>
      <w:r w:rsidRPr="00592694">
        <w:rPr>
          <w:color w:val="000000" w:themeColor="text1"/>
          <w:szCs w:val="18"/>
        </w:rPr>
        <w:t>•</w:t>
      </w:r>
      <w:r w:rsidRPr="00592694">
        <w:rPr>
          <w:color w:val="000000" w:themeColor="text1"/>
          <w:szCs w:val="18"/>
        </w:rPr>
        <w:tab/>
        <w:t>Droit à un service d</w:t>
      </w:r>
      <w:r>
        <w:rPr>
          <w:color w:val="000000" w:themeColor="text1"/>
          <w:szCs w:val="18"/>
        </w:rPr>
        <w:t>’</w:t>
      </w:r>
      <w:r w:rsidRPr="00592694">
        <w:rPr>
          <w:color w:val="000000" w:themeColor="text1"/>
          <w:szCs w:val="18"/>
        </w:rPr>
        <w:t xml:space="preserve">intervention précoce </w:t>
      </w:r>
      <w:r w:rsidR="00F32287">
        <w:rPr>
          <w:color w:val="000000" w:themeColor="text1"/>
          <w:szCs w:val="18"/>
        </w:rPr>
        <w:t>−</w:t>
      </w:r>
      <w:r w:rsidRPr="00592694">
        <w:rPr>
          <w:color w:val="000000" w:themeColor="text1"/>
          <w:szCs w:val="18"/>
        </w:rPr>
        <w:t xml:space="preserve"> service social comprenant une assistance professionnelle incitative aux enfants et à leurs parents, aux autres membres de la famille ou aux parents nourriciers lorsque l</w:t>
      </w:r>
      <w:r>
        <w:rPr>
          <w:color w:val="000000" w:themeColor="text1"/>
          <w:szCs w:val="18"/>
        </w:rPr>
        <w:t>’</w:t>
      </w:r>
      <w:r w:rsidRPr="00592694">
        <w:rPr>
          <w:color w:val="000000" w:themeColor="text1"/>
          <w:szCs w:val="18"/>
        </w:rPr>
        <w:t>enfant connaît ou risque de connaître des difficulté</w:t>
      </w:r>
      <w:r>
        <w:rPr>
          <w:color w:val="000000" w:themeColor="text1"/>
          <w:szCs w:val="18"/>
        </w:rPr>
        <w:t>s</w:t>
      </w:r>
      <w:r w:rsidRPr="00592694">
        <w:rPr>
          <w:color w:val="000000" w:themeColor="text1"/>
          <w:szCs w:val="18"/>
        </w:rPr>
        <w:t xml:space="preserve"> de développement. </w:t>
      </w:r>
      <w:r w:rsidRPr="004E12CD">
        <w:rPr>
          <w:color w:val="000000" w:themeColor="text1"/>
          <w:szCs w:val="18"/>
        </w:rPr>
        <w:t xml:space="preserve">Ce service est </w:t>
      </w:r>
      <w:r>
        <w:rPr>
          <w:color w:val="000000" w:themeColor="text1"/>
          <w:szCs w:val="18"/>
        </w:rPr>
        <w:t xml:space="preserve">assuré pour l’enfant normalement </w:t>
      </w:r>
      <w:r w:rsidRPr="004E12CD">
        <w:rPr>
          <w:color w:val="000000" w:themeColor="text1"/>
          <w:szCs w:val="18"/>
        </w:rPr>
        <w:t>jusqu</w:t>
      </w:r>
      <w:r>
        <w:rPr>
          <w:color w:val="000000" w:themeColor="text1"/>
          <w:szCs w:val="18"/>
        </w:rPr>
        <w:t>’</w:t>
      </w:r>
      <w:r w:rsidRPr="004E12CD">
        <w:rPr>
          <w:color w:val="000000" w:themeColor="text1"/>
          <w:szCs w:val="18"/>
        </w:rPr>
        <w:t>à l</w:t>
      </w:r>
      <w:r>
        <w:rPr>
          <w:color w:val="000000" w:themeColor="text1"/>
          <w:szCs w:val="18"/>
        </w:rPr>
        <w:t>’</w:t>
      </w:r>
      <w:r w:rsidRPr="004E12CD">
        <w:rPr>
          <w:color w:val="000000" w:themeColor="text1"/>
          <w:szCs w:val="18"/>
        </w:rPr>
        <w:t>âge de 3</w:t>
      </w:r>
      <w:r w:rsidR="00F32287">
        <w:rPr>
          <w:color w:val="000000" w:themeColor="text1"/>
          <w:szCs w:val="18"/>
        </w:rPr>
        <w:t> </w:t>
      </w:r>
      <w:r w:rsidRPr="004E12CD">
        <w:rPr>
          <w:color w:val="000000" w:themeColor="text1"/>
          <w:szCs w:val="18"/>
        </w:rPr>
        <w:t xml:space="preserve">ans, au </w:t>
      </w:r>
      <w:r>
        <w:rPr>
          <w:color w:val="000000" w:themeColor="text1"/>
          <w:szCs w:val="18"/>
        </w:rPr>
        <w:t xml:space="preserve">plus tard </w:t>
      </w:r>
      <w:r w:rsidRPr="004E12CD">
        <w:rPr>
          <w:color w:val="000000" w:themeColor="text1"/>
          <w:szCs w:val="18"/>
        </w:rPr>
        <w:t>jusqu</w:t>
      </w:r>
      <w:r>
        <w:rPr>
          <w:color w:val="000000" w:themeColor="text1"/>
          <w:szCs w:val="18"/>
        </w:rPr>
        <w:t>’</w:t>
      </w:r>
      <w:r w:rsidRPr="004E12CD">
        <w:rPr>
          <w:color w:val="000000" w:themeColor="text1"/>
          <w:szCs w:val="18"/>
        </w:rPr>
        <w:t>à l</w:t>
      </w:r>
      <w:r>
        <w:rPr>
          <w:color w:val="000000" w:themeColor="text1"/>
          <w:szCs w:val="18"/>
        </w:rPr>
        <w:t>’</w:t>
      </w:r>
      <w:r w:rsidRPr="004E12CD">
        <w:rPr>
          <w:color w:val="000000" w:themeColor="text1"/>
          <w:szCs w:val="18"/>
        </w:rPr>
        <w:t>âge de 7</w:t>
      </w:r>
      <w:r w:rsidR="00F32287">
        <w:rPr>
          <w:color w:val="000000" w:themeColor="text1"/>
          <w:szCs w:val="18"/>
        </w:rPr>
        <w:t> </w:t>
      </w:r>
      <w:r w:rsidRPr="004E12CD">
        <w:rPr>
          <w:color w:val="000000" w:themeColor="text1"/>
          <w:szCs w:val="18"/>
        </w:rPr>
        <w:t xml:space="preserve">ans, ainsi </w:t>
      </w:r>
      <w:r>
        <w:rPr>
          <w:color w:val="000000" w:themeColor="text1"/>
          <w:szCs w:val="18"/>
        </w:rPr>
        <w:t>que pour</w:t>
      </w:r>
      <w:r w:rsidRPr="004E12CD">
        <w:rPr>
          <w:color w:val="000000" w:themeColor="text1"/>
          <w:szCs w:val="18"/>
        </w:rPr>
        <w:t xml:space="preserve"> ses parents ou ses parents nourriciers </w:t>
      </w:r>
      <w:r>
        <w:rPr>
          <w:color w:val="000000" w:themeColor="text1"/>
          <w:szCs w:val="18"/>
        </w:rPr>
        <w:t xml:space="preserve">pour afin de les aider à placer l’enfant dans le </w:t>
      </w:r>
      <w:r w:rsidRPr="004E12CD">
        <w:rPr>
          <w:color w:val="000000" w:themeColor="text1"/>
          <w:szCs w:val="18"/>
        </w:rPr>
        <w:t xml:space="preserve">réseau </w:t>
      </w:r>
      <w:r>
        <w:rPr>
          <w:color w:val="000000" w:themeColor="text1"/>
          <w:szCs w:val="18"/>
        </w:rPr>
        <w:t xml:space="preserve">étendu de protection sociale si le </w:t>
      </w:r>
      <w:r w:rsidRPr="004E12CD">
        <w:rPr>
          <w:color w:val="000000" w:themeColor="text1"/>
          <w:szCs w:val="18"/>
        </w:rPr>
        <w:t>service n</w:t>
      </w:r>
      <w:r>
        <w:rPr>
          <w:color w:val="000000" w:themeColor="text1"/>
          <w:szCs w:val="18"/>
        </w:rPr>
        <w:t>’</w:t>
      </w:r>
      <w:r w:rsidRPr="004E12CD">
        <w:rPr>
          <w:color w:val="000000" w:themeColor="text1"/>
          <w:szCs w:val="18"/>
        </w:rPr>
        <w:t xml:space="preserve">est pas </w:t>
      </w:r>
      <w:r>
        <w:rPr>
          <w:color w:val="000000" w:themeColor="text1"/>
          <w:szCs w:val="18"/>
        </w:rPr>
        <w:t xml:space="preserve">proposé </w:t>
      </w:r>
      <w:r w:rsidRPr="004E12CD">
        <w:rPr>
          <w:color w:val="000000" w:themeColor="text1"/>
          <w:szCs w:val="18"/>
        </w:rPr>
        <w:t xml:space="preserve">par le système de </w:t>
      </w:r>
      <w:r>
        <w:rPr>
          <w:color w:val="000000" w:themeColor="text1"/>
          <w:szCs w:val="18"/>
        </w:rPr>
        <w:t>santé publique ;</w:t>
      </w:r>
    </w:p>
    <w:p w14:paraId="4F782F00" w14:textId="0C376FC9" w:rsidR="000C1192" w:rsidRPr="004E12CD" w:rsidRDefault="000C1192" w:rsidP="00F32287">
      <w:pPr>
        <w:pStyle w:val="Notedebasdepage"/>
        <w:tabs>
          <w:tab w:val="left" w:pos="1400"/>
        </w:tabs>
        <w:ind w:left="1400" w:hanging="266"/>
        <w:rPr>
          <w:color w:val="000000" w:themeColor="text1"/>
          <w:szCs w:val="18"/>
        </w:rPr>
      </w:pPr>
      <w:r w:rsidRPr="004E12CD">
        <w:rPr>
          <w:color w:val="000000" w:themeColor="text1"/>
          <w:szCs w:val="18"/>
        </w:rPr>
        <w:t>•</w:t>
      </w:r>
      <w:r w:rsidRPr="004E12CD">
        <w:rPr>
          <w:color w:val="000000" w:themeColor="text1"/>
          <w:szCs w:val="18"/>
        </w:rPr>
        <w:tab/>
      </w:r>
      <w:r>
        <w:rPr>
          <w:color w:val="000000" w:themeColor="text1"/>
          <w:szCs w:val="18"/>
        </w:rPr>
        <w:t>D</w:t>
      </w:r>
      <w:r w:rsidRPr="004E12CD">
        <w:rPr>
          <w:color w:val="000000" w:themeColor="text1"/>
          <w:szCs w:val="18"/>
        </w:rPr>
        <w:t>roit à l</w:t>
      </w:r>
      <w:r>
        <w:rPr>
          <w:color w:val="000000" w:themeColor="text1"/>
          <w:szCs w:val="18"/>
        </w:rPr>
        <w:t>’</w:t>
      </w:r>
      <w:r w:rsidRPr="004E12CD">
        <w:rPr>
          <w:color w:val="000000" w:themeColor="text1"/>
          <w:szCs w:val="18"/>
        </w:rPr>
        <w:t>aide à l</w:t>
      </w:r>
      <w:r>
        <w:rPr>
          <w:color w:val="000000" w:themeColor="text1"/>
          <w:szCs w:val="18"/>
        </w:rPr>
        <w:t>’</w:t>
      </w:r>
      <w:r w:rsidRPr="004E12CD">
        <w:rPr>
          <w:color w:val="000000" w:themeColor="text1"/>
          <w:szCs w:val="18"/>
        </w:rPr>
        <w:t xml:space="preserve">inclusion </w:t>
      </w:r>
      <w:r>
        <w:rPr>
          <w:color w:val="000000" w:themeColor="text1"/>
          <w:szCs w:val="18"/>
        </w:rPr>
        <w:t xml:space="preserve">dans des programmes du système éducatif général </w:t>
      </w:r>
      <w:r w:rsidRPr="004E12CD">
        <w:rPr>
          <w:color w:val="000000" w:themeColor="text1"/>
          <w:szCs w:val="18"/>
        </w:rPr>
        <w:t xml:space="preserve">(intégration) </w:t>
      </w:r>
      <w:r w:rsidR="00F32287">
        <w:rPr>
          <w:color w:val="000000" w:themeColor="text1"/>
          <w:szCs w:val="18"/>
        </w:rPr>
        <w:t>−</w:t>
      </w:r>
      <w:r w:rsidRPr="004E12CD">
        <w:rPr>
          <w:color w:val="000000" w:themeColor="text1"/>
          <w:szCs w:val="18"/>
        </w:rPr>
        <w:t xml:space="preserve"> </w:t>
      </w:r>
      <w:r>
        <w:rPr>
          <w:color w:val="000000" w:themeColor="text1"/>
          <w:szCs w:val="18"/>
        </w:rPr>
        <w:t xml:space="preserve">vise à permettre aux </w:t>
      </w:r>
      <w:r w:rsidRPr="004E12CD">
        <w:rPr>
          <w:color w:val="000000" w:themeColor="text1"/>
          <w:szCs w:val="18"/>
        </w:rPr>
        <w:t>éducateurs</w:t>
      </w:r>
      <w:r>
        <w:rPr>
          <w:color w:val="000000" w:themeColor="text1"/>
          <w:szCs w:val="18"/>
        </w:rPr>
        <w:t xml:space="preserve"> et</w:t>
      </w:r>
      <w:r w:rsidRPr="004E12CD">
        <w:rPr>
          <w:color w:val="000000" w:themeColor="text1"/>
          <w:szCs w:val="18"/>
        </w:rPr>
        <w:t xml:space="preserve"> enseignants des établissements préscolaires et scolaires </w:t>
      </w:r>
      <w:r>
        <w:rPr>
          <w:color w:val="000000" w:themeColor="text1"/>
          <w:szCs w:val="18"/>
        </w:rPr>
        <w:t xml:space="preserve">d’intégrer des </w:t>
      </w:r>
      <w:r w:rsidRPr="004E12CD">
        <w:rPr>
          <w:color w:val="000000" w:themeColor="text1"/>
          <w:szCs w:val="18"/>
        </w:rPr>
        <w:t>enfant</w:t>
      </w:r>
      <w:r>
        <w:rPr>
          <w:color w:val="000000" w:themeColor="text1"/>
          <w:szCs w:val="18"/>
        </w:rPr>
        <w:t>s</w:t>
      </w:r>
      <w:r w:rsidRPr="004E12CD">
        <w:rPr>
          <w:color w:val="000000" w:themeColor="text1"/>
          <w:szCs w:val="18"/>
        </w:rPr>
        <w:t xml:space="preserve"> </w:t>
      </w:r>
      <w:r>
        <w:rPr>
          <w:color w:val="000000" w:themeColor="text1"/>
          <w:szCs w:val="18"/>
        </w:rPr>
        <w:t xml:space="preserve">et </w:t>
      </w:r>
      <w:r w:rsidRPr="004E12CD">
        <w:rPr>
          <w:color w:val="000000" w:themeColor="text1"/>
          <w:szCs w:val="18"/>
        </w:rPr>
        <w:t xml:space="preserve">jeunes adultes handicapés dans </w:t>
      </w:r>
      <w:r>
        <w:rPr>
          <w:color w:val="000000" w:themeColor="text1"/>
          <w:szCs w:val="18"/>
        </w:rPr>
        <w:t xml:space="preserve">des </w:t>
      </w:r>
      <w:r w:rsidRPr="004E12CD">
        <w:rPr>
          <w:color w:val="000000" w:themeColor="text1"/>
          <w:szCs w:val="18"/>
        </w:rPr>
        <w:t>programmes d</w:t>
      </w:r>
      <w:r>
        <w:rPr>
          <w:color w:val="000000" w:themeColor="text1"/>
          <w:szCs w:val="18"/>
        </w:rPr>
        <w:t>’</w:t>
      </w:r>
      <w:r w:rsidRPr="004E12CD">
        <w:rPr>
          <w:color w:val="000000" w:themeColor="text1"/>
          <w:szCs w:val="18"/>
        </w:rPr>
        <w:t xml:space="preserve">intégration </w:t>
      </w:r>
      <w:r>
        <w:rPr>
          <w:color w:val="000000" w:themeColor="text1"/>
          <w:szCs w:val="18"/>
        </w:rPr>
        <w:t>au sein de leur établissement</w:t>
      </w:r>
      <w:r w:rsidR="005E2164">
        <w:rPr>
          <w:color w:val="000000" w:themeColor="text1"/>
          <w:szCs w:val="18"/>
        </w:rPr>
        <w:t> ;</w:t>
      </w:r>
    </w:p>
    <w:p w14:paraId="50B000FE" w14:textId="77777777" w:rsidR="000C1192" w:rsidRPr="00ED567A" w:rsidRDefault="000C1192" w:rsidP="00F32287">
      <w:pPr>
        <w:pStyle w:val="Notedebasdepage"/>
        <w:tabs>
          <w:tab w:val="left" w:pos="1400"/>
        </w:tabs>
        <w:ind w:left="1400" w:hanging="266"/>
        <w:rPr>
          <w:color w:val="000000" w:themeColor="text1"/>
          <w:szCs w:val="18"/>
        </w:rPr>
      </w:pPr>
      <w:r w:rsidRPr="007D3E15">
        <w:rPr>
          <w:color w:val="000000" w:themeColor="text1"/>
          <w:szCs w:val="18"/>
        </w:rPr>
        <w:t>•</w:t>
      </w:r>
      <w:r w:rsidRPr="007D3E15">
        <w:rPr>
          <w:color w:val="000000" w:themeColor="text1"/>
          <w:szCs w:val="18"/>
        </w:rPr>
        <w:tab/>
        <w:t>D</w:t>
      </w:r>
      <w:r w:rsidRPr="00ED567A">
        <w:rPr>
          <w:color w:val="000000" w:themeColor="text1"/>
          <w:szCs w:val="18"/>
        </w:rPr>
        <w:t xml:space="preserve">roit </w:t>
      </w:r>
      <w:r>
        <w:rPr>
          <w:color w:val="000000" w:themeColor="text1"/>
          <w:szCs w:val="18"/>
        </w:rPr>
        <w:t>au service résidentiel.</w:t>
      </w:r>
    </w:p>
  </w:footnote>
  <w:footnote w:id="44">
    <w:p w14:paraId="0B2302FE" w14:textId="7B9EE546" w:rsidR="000C1192" w:rsidRPr="00ED567A" w:rsidRDefault="000C1192" w:rsidP="000C1192">
      <w:pPr>
        <w:pStyle w:val="Notedebasdepage"/>
        <w:rPr>
          <w:color w:val="000000" w:themeColor="text1"/>
          <w:szCs w:val="18"/>
        </w:rPr>
      </w:pPr>
      <w:r w:rsidRPr="00ED567A">
        <w:rPr>
          <w:color w:val="000000" w:themeColor="text1"/>
        </w:rPr>
        <w:tab/>
      </w:r>
      <w:r w:rsidRPr="00535E17">
        <w:rPr>
          <w:rStyle w:val="Appelnotedebasdep"/>
        </w:rPr>
        <w:footnoteRef/>
      </w:r>
      <w:r w:rsidRPr="00ED567A">
        <w:rPr>
          <w:rStyle w:val="Appelnotedebasdep"/>
          <w:color w:val="000000" w:themeColor="text1"/>
        </w:rPr>
        <w:tab/>
      </w:r>
      <w:r w:rsidRPr="00F32287">
        <w:rPr>
          <w:rFonts w:ascii="Wingdings" w:hAnsi="Wingdings"/>
          <w:color w:val="000000" w:themeColor="text1"/>
          <w:sz w:val="16"/>
          <w:szCs w:val="18"/>
        </w:rPr>
        <w:sym w:font="Wingdings" w:char="F09F"/>
      </w:r>
      <w:r w:rsidRPr="00F57DC1">
        <w:rPr>
          <w:rFonts w:ascii="Wingdings" w:hAnsi="Wingdings"/>
          <w:color w:val="000000" w:themeColor="text1"/>
        </w:rPr>
        <w:t></w:t>
      </w:r>
      <w:r>
        <w:rPr>
          <w:color w:val="000000" w:themeColor="text1"/>
          <w:szCs w:val="18"/>
        </w:rPr>
        <w:t>D</w:t>
      </w:r>
      <w:r w:rsidRPr="00ED567A">
        <w:rPr>
          <w:color w:val="000000" w:themeColor="text1"/>
          <w:szCs w:val="18"/>
        </w:rPr>
        <w:t xml:space="preserve">roit de travailler à temps partiel </w:t>
      </w:r>
      <w:r>
        <w:rPr>
          <w:color w:val="000000" w:themeColor="text1"/>
          <w:szCs w:val="18"/>
        </w:rPr>
        <w:t xml:space="preserve">pour charges accrues liées à </w:t>
      </w:r>
      <w:r w:rsidRPr="00ED567A">
        <w:rPr>
          <w:color w:val="000000" w:themeColor="text1"/>
          <w:szCs w:val="18"/>
        </w:rPr>
        <w:t xml:space="preserve">la garde </w:t>
      </w:r>
      <w:r>
        <w:rPr>
          <w:color w:val="000000" w:themeColor="text1"/>
          <w:szCs w:val="18"/>
        </w:rPr>
        <w:t xml:space="preserve">d’un </w:t>
      </w:r>
      <w:r w:rsidRPr="00ED567A">
        <w:rPr>
          <w:color w:val="000000" w:themeColor="text1"/>
          <w:szCs w:val="18"/>
        </w:rPr>
        <w:t>enfant</w:t>
      </w:r>
      <w:r>
        <w:rPr>
          <w:color w:val="000000" w:themeColor="text1"/>
          <w:szCs w:val="18"/>
        </w:rPr>
        <w:t> ;</w:t>
      </w:r>
    </w:p>
    <w:p w14:paraId="59368145" w14:textId="2B0F1D09" w:rsidR="000C1192" w:rsidRPr="00ED567A" w:rsidRDefault="000C1192" w:rsidP="00F32287">
      <w:pPr>
        <w:pStyle w:val="Notedebasdepage"/>
        <w:tabs>
          <w:tab w:val="left" w:pos="1400"/>
        </w:tabs>
        <w:ind w:left="1400" w:hanging="266"/>
        <w:rPr>
          <w:color w:val="000000" w:themeColor="text1"/>
          <w:szCs w:val="18"/>
        </w:rPr>
      </w:pPr>
      <w:r w:rsidRPr="00ED567A">
        <w:rPr>
          <w:color w:val="000000" w:themeColor="text1"/>
          <w:szCs w:val="18"/>
        </w:rPr>
        <w:t>•</w:t>
      </w:r>
      <w:r w:rsidRPr="00ED567A">
        <w:rPr>
          <w:color w:val="000000" w:themeColor="text1"/>
          <w:szCs w:val="18"/>
        </w:rPr>
        <w:tab/>
      </w:r>
      <w:r>
        <w:rPr>
          <w:color w:val="000000" w:themeColor="text1"/>
          <w:szCs w:val="18"/>
        </w:rPr>
        <w:t>D</w:t>
      </w:r>
      <w:r w:rsidRPr="00ED567A">
        <w:rPr>
          <w:color w:val="000000" w:themeColor="text1"/>
          <w:szCs w:val="18"/>
        </w:rPr>
        <w:t xml:space="preserve">roit </w:t>
      </w:r>
      <w:r>
        <w:rPr>
          <w:color w:val="000000" w:themeColor="text1"/>
          <w:szCs w:val="18"/>
        </w:rPr>
        <w:t xml:space="preserve">de prendre </w:t>
      </w:r>
      <w:r w:rsidRPr="00ED567A">
        <w:rPr>
          <w:color w:val="000000" w:themeColor="text1"/>
          <w:szCs w:val="18"/>
        </w:rPr>
        <w:t xml:space="preserve">congé pour </w:t>
      </w:r>
      <w:r>
        <w:rPr>
          <w:color w:val="000000" w:themeColor="text1"/>
          <w:szCs w:val="18"/>
        </w:rPr>
        <w:t xml:space="preserve">s’occuper d’un </w:t>
      </w:r>
      <w:r w:rsidRPr="00ED567A">
        <w:rPr>
          <w:color w:val="000000" w:themeColor="text1"/>
          <w:szCs w:val="18"/>
        </w:rPr>
        <w:t xml:space="preserve">enfant </w:t>
      </w:r>
      <w:r>
        <w:rPr>
          <w:color w:val="000000" w:themeColor="text1"/>
          <w:szCs w:val="18"/>
        </w:rPr>
        <w:t xml:space="preserve">atteint </w:t>
      </w:r>
      <w:r w:rsidRPr="00ED567A">
        <w:rPr>
          <w:color w:val="000000" w:themeColor="text1"/>
          <w:szCs w:val="18"/>
        </w:rPr>
        <w:t>de troubles graves du développement</w:t>
      </w:r>
      <w:r>
        <w:rPr>
          <w:color w:val="000000" w:themeColor="text1"/>
          <w:szCs w:val="18"/>
        </w:rPr>
        <w:t> ;</w:t>
      </w:r>
    </w:p>
    <w:p w14:paraId="1B0A1A59" w14:textId="2562B756" w:rsidR="000C1192" w:rsidRPr="00FF2E17" w:rsidRDefault="000C1192" w:rsidP="00F32287">
      <w:pPr>
        <w:pStyle w:val="Notedebasdepage"/>
        <w:tabs>
          <w:tab w:val="left" w:pos="1400"/>
        </w:tabs>
        <w:ind w:left="1400" w:hanging="266"/>
        <w:rPr>
          <w:color w:val="000000" w:themeColor="text1"/>
        </w:rPr>
      </w:pPr>
      <w:r w:rsidRPr="00A6640E">
        <w:rPr>
          <w:color w:val="000000" w:themeColor="text1"/>
        </w:rPr>
        <w:t>•</w:t>
      </w:r>
      <w:r w:rsidRPr="00A6640E">
        <w:rPr>
          <w:color w:val="000000" w:themeColor="text1"/>
        </w:rPr>
        <w:tab/>
      </w:r>
      <w:r>
        <w:rPr>
          <w:color w:val="000000" w:themeColor="text1"/>
          <w:szCs w:val="18"/>
        </w:rPr>
        <w:t xml:space="preserve">Droit de travailler </w:t>
      </w:r>
      <w:r w:rsidRPr="00FF2E17">
        <w:rPr>
          <w:color w:val="000000" w:themeColor="text1"/>
          <w:szCs w:val="18"/>
        </w:rPr>
        <w:t>à temps partiel pour s</w:t>
      </w:r>
      <w:r>
        <w:rPr>
          <w:color w:val="000000" w:themeColor="text1"/>
          <w:szCs w:val="18"/>
        </w:rPr>
        <w:t>’</w:t>
      </w:r>
      <w:r w:rsidRPr="00FF2E17">
        <w:rPr>
          <w:color w:val="000000" w:themeColor="text1"/>
          <w:szCs w:val="18"/>
        </w:rPr>
        <w:t>occuper d</w:t>
      </w:r>
      <w:r>
        <w:rPr>
          <w:color w:val="000000" w:themeColor="text1"/>
          <w:szCs w:val="18"/>
        </w:rPr>
        <w:t>’</w:t>
      </w:r>
      <w:r w:rsidRPr="00FF2E17">
        <w:rPr>
          <w:color w:val="000000" w:themeColor="text1"/>
          <w:szCs w:val="18"/>
        </w:rPr>
        <w:t xml:space="preserve">un enfant </w:t>
      </w:r>
      <w:r>
        <w:rPr>
          <w:color w:val="000000" w:themeColor="text1"/>
          <w:szCs w:val="18"/>
        </w:rPr>
        <w:t xml:space="preserve">présentant un </w:t>
      </w:r>
      <w:r w:rsidRPr="00FF2E17">
        <w:rPr>
          <w:color w:val="000000" w:themeColor="text1"/>
          <w:szCs w:val="18"/>
        </w:rPr>
        <w:t>handicap grave</w:t>
      </w:r>
      <w:r>
        <w:rPr>
          <w:color w:val="000000" w:themeColor="text1"/>
          <w:szCs w:val="18"/>
        </w:rPr>
        <w:t>.</w:t>
      </w:r>
    </w:p>
  </w:footnote>
  <w:footnote w:id="45">
    <w:p w14:paraId="6DA1797C" w14:textId="451C05B2" w:rsidR="000C1192" w:rsidRPr="007E4D28" w:rsidRDefault="000C1192" w:rsidP="000C1192">
      <w:pPr>
        <w:pStyle w:val="Notedebasdepage"/>
        <w:rPr>
          <w:color w:val="000000" w:themeColor="text1"/>
        </w:rPr>
      </w:pPr>
      <w:r w:rsidRPr="00FF2E17">
        <w:rPr>
          <w:color w:val="000000" w:themeColor="text1"/>
        </w:rPr>
        <w:tab/>
      </w:r>
      <w:r w:rsidRPr="00535E17">
        <w:rPr>
          <w:rStyle w:val="Appelnotedebasdep"/>
        </w:rPr>
        <w:footnoteRef/>
      </w:r>
      <w:hyperlink r:id="rId14" w:history="1">
        <w:r w:rsidR="00F32287" w:rsidRPr="00D41423">
          <w:rPr>
            <w:rStyle w:val="Lienhypertexte"/>
            <w:vertAlign w:val="superscript"/>
          </w:rPr>
          <w:tab/>
        </w:r>
        <w:r w:rsidR="00F32287" w:rsidRPr="00D41423">
          <w:rPr>
            <w:rStyle w:val="Lienhypertexte"/>
          </w:rPr>
          <w:t>http://tbinternet.ohchr.org/_layouts/treatybodyexternal/Download.aspx?symbolno=</w:t>
        </w:r>
        <w:r w:rsidR="00F32287" w:rsidRPr="00D41423">
          <w:rPr>
            <w:rStyle w:val="Lienhypertexte"/>
          </w:rPr>
          <w:br/>
          <w:t>CRPD%2fC%2fHRV%2f1&amp;Lang=en</w:t>
        </w:r>
      </w:hyperlink>
      <w:r w:rsidRPr="007E4D28">
        <w:rPr>
          <w:color w:val="000000" w:themeColor="text1"/>
        </w:rPr>
        <w:t>.</w:t>
      </w:r>
    </w:p>
  </w:footnote>
  <w:footnote w:id="46">
    <w:p w14:paraId="66BE69E1" w14:textId="3BE167CC" w:rsidR="000C1192" w:rsidRPr="007E4D28" w:rsidRDefault="000C1192" w:rsidP="000C1192">
      <w:pPr>
        <w:pStyle w:val="Notedebasdepage"/>
        <w:rPr>
          <w:color w:val="000000" w:themeColor="text1"/>
        </w:rPr>
      </w:pPr>
      <w:r w:rsidRPr="007E4D28">
        <w:rPr>
          <w:color w:val="000000" w:themeColor="text1"/>
        </w:rPr>
        <w:tab/>
      </w:r>
      <w:r w:rsidRPr="00535E17">
        <w:rPr>
          <w:rStyle w:val="Appelnotedebasdep"/>
        </w:rPr>
        <w:footnoteRef/>
      </w:r>
      <w:r w:rsidRPr="00F32287">
        <w:rPr>
          <w:rStyle w:val="Appelnotedebasdep"/>
          <w:color w:val="0000FF"/>
        </w:rPr>
        <w:tab/>
      </w:r>
      <w:hyperlink r:id="rId15" w:history="1">
        <w:r w:rsidR="00F32287" w:rsidRPr="00D41423">
          <w:rPr>
            <w:rStyle w:val="Lienhypertexte"/>
          </w:rPr>
          <w:t>https://tbinternet.ohchr.org/_layouts/15/treatybodyexternal/Download.aspx?symbolno=</w:t>
        </w:r>
        <w:r w:rsidR="00F32287" w:rsidRPr="00D41423">
          <w:rPr>
            <w:rStyle w:val="Lienhypertexte"/>
          </w:rPr>
          <w:br/>
          <w:t>CRPD%2fC%2fHRV%2fQ.1%2fAdd.1&amp;Lang=en</w:t>
        </w:r>
      </w:hyperlink>
      <w:r w:rsidRPr="007E4D28">
        <w:rPr>
          <w:color w:val="000000" w:themeColor="text1"/>
        </w:rPr>
        <w:t>.</w:t>
      </w:r>
    </w:p>
  </w:footnote>
  <w:footnote w:id="47">
    <w:p w14:paraId="31F0C2DE" w14:textId="3840AB36" w:rsidR="000C1192" w:rsidRPr="006A2784" w:rsidRDefault="000C1192" w:rsidP="000C1192">
      <w:pPr>
        <w:pStyle w:val="Notedebasdepage"/>
        <w:rPr>
          <w:color w:val="000000" w:themeColor="text1"/>
        </w:rPr>
      </w:pPr>
      <w:r w:rsidRPr="007E4D28">
        <w:rPr>
          <w:rFonts w:eastAsia="Times New Roman"/>
          <w:color w:val="000000" w:themeColor="text1"/>
        </w:rPr>
        <w:tab/>
      </w:r>
      <w:r w:rsidRPr="00535E17">
        <w:rPr>
          <w:rStyle w:val="Appelnotedebasdep"/>
        </w:rPr>
        <w:footnoteRef/>
      </w:r>
      <w:r w:rsidRPr="006A2784">
        <w:rPr>
          <w:rStyle w:val="Appelnotedebasdep"/>
          <w:color w:val="000000" w:themeColor="text1"/>
        </w:rPr>
        <w:tab/>
      </w:r>
      <w:r w:rsidRPr="006A2784">
        <w:rPr>
          <w:rFonts w:eastAsia="Times New Roman"/>
          <w:color w:val="000000" w:themeColor="text1"/>
        </w:rPr>
        <w:t>L</w:t>
      </w:r>
      <w:r>
        <w:rPr>
          <w:rFonts w:eastAsia="Times New Roman"/>
          <w:color w:val="000000" w:themeColor="text1"/>
        </w:rPr>
        <w:t>e congé</w:t>
      </w:r>
      <w:r w:rsidRPr="006A2784">
        <w:rPr>
          <w:rFonts w:eastAsia="Times New Roman"/>
          <w:color w:val="000000" w:themeColor="text1"/>
        </w:rPr>
        <w:t xml:space="preserve"> parental</w:t>
      </w:r>
      <w:r>
        <w:rPr>
          <w:rFonts w:eastAsia="Times New Roman"/>
          <w:color w:val="000000" w:themeColor="text1"/>
        </w:rPr>
        <w:t xml:space="preserve"> débute quand </w:t>
      </w:r>
      <w:r w:rsidRPr="006A2784">
        <w:rPr>
          <w:rFonts w:eastAsia="Times New Roman"/>
          <w:color w:val="000000" w:themeColor="text1"/>
        </w:rPr>
        <w:t>l</w:t>
      </w:r>
      <w:r>
        <w:rPr>
          <w:rFonts w:eastAsia="Times New Roman"/>
          <w:color w:val="000000" w:themeColor="text1"/>
        </w:rPr>
        <w:t>’</w:t>
      </w:r>
      <w:r w:rsidRPr="006A2784">
        <w:rPr>
          <w:rFonts w:eastAsia="Times New Roman"/>
          <w:color w:val="000000" w:themeColor="text1"/>
        </w:rPr>
        <w:t>enfant atteint 6</w:t>
      </w:r>
      <w:r w:rsidR="00676F11">
        <w:rPr>
          <w:rFonts w:eastAsia="Times New Roman"/>
          <w:color w:val="000000" w:themeColor="text1"/>
        </w:rPr>
        <w:t> </w:t>
      </w:r>
      <w:r w:rsidRPr="006A2784">
        <w:rPr>
          <w:rFonts w:eastAsia="Times New Roman"/>
          <w:color w:val="000000" w:themeColor="text1"/>
        </w:rPr>
        <w:t xml:space="preserve">mois </w:t>
      </w:r>
      <w:r>
        <w:rPr>
          <w:rFonts w:eastAsia="Times New Roman"/>
          <w:color w:val="000000" w:themeColor="text1"/>
        </w:rPr>
        <w:t xml:space="preserve">et prend fin, soit quand il a atteint </w:t>
      </w:r>
      <w:r w:rsidRPr="006A2784">
        <w:rPr>
          <w:rFonts w:eastAsia="Times New Roman"/>
          <w:color w:val="000000" w:themeColor="text1"/>
        </w:rPr>
        <w:t>12</w:t>
      </w:r>
      <w:r w:rsidR="00676F11">
        <w:rPr>
          <w:rFonts w:eastAsia="Times New Roman"/>
          <w:color w:val="000000" w:themeColor="text1"/>
        </w:rPr>
        <w:t> </w:t>
      </w:r>
      <w:r w:rsidRPr="006A2784">
        <w:rPr>
          <w:rFonts w:eastAsia="Times New Roman"/>
          <w:color w:val="000000" w:themeColor="text1"/>
        </w:rPr>
        <w:t>mois</w:t>
      </w:r>
      <w:r>
        <w:rPr>
          <w:rFonts w:eastAsia="Times New Roman"/>
          <w:color w:val="000000" w:themeColor="text1"/>
        </w:rPr>
        <w:t>,</w:t>
      </w:r>
      <w:r w:rsidRPr="006A2784">
        <w:rPr>
          <w:rFonts w:eastAsia="Times New Roman"/>
          <w:color w:val="000000" w:themeColor="text1"/>
        </w:rPr>
        <w:t xml:space="preserve"> pour le</w:t>
      </w:r>
      <w:r>
        <w:rPr>
          <w:rFonts w:eastAsia="Times New Roman"/>
          <w:color w:val="000000" w:themeColor="text1"/>
        </w:rPr>
        <w:t>s</w:t>
      </w:r>
      <w:r w:rsidRPr="006A2784">
        <w:rPr>
          <w:rFonts w:eastAsia="Times New Roman"/>
          <w:color w:val="000000" w:themeColor="text1"/>
        </w:rPr>
        <w:t xml:space="preserve"> premier et deuxième enfant</w:t>
      </w:r>
      <w:r>
        <w:rPr>
          <w:rFonts w:eastAsia="Times New Roman"/>
          <w:color w:val="000000" w:themeColor="text1"/>
        </w:rPr>
        <w:t>s</w:t>
      </w:r>
      <w:r w:rsidRPr="006A2784">
        <w:rPr>
          <w:rFonts w:eastAsia="Times New Roman"/>
          <w:color w:val="000000" w:themeColor="text1"/>
        </w:rPr>
        <w:t xml:space="preserve">, </w:t>
      </w:r>
      <w:r>
        <w:rPr>
          <w:rFonts w:eastAsia="Times New Roman"/>
          <w:color w:val="000000" w:themeColor="text1"/>
        </w:rPr>
        <w:t xml:space="preserve">soit quand il a atteint </w:t>
      </w:r>
      <w:r w:rsidRPr="006A2784">
        <w:rPr>
          <w:rFonts w:eastAsia="Times New Roman"/>
          <w:color w:val="000000" w:themeColor="text1"/>
        </w:rPr>
        <w:t>3</w:t>
      </w:r>
      <w:r w:rsidR="00676F11">
        <w:rPr>
          <w:rFonts w:eastAsia="Times New Roman"/>
          <w:color w:val="000000" w:themeColor="text1"/>
        </w:rPr>
        <w:t> </w:t>
      </w:r>
      <w:r w:rsidRPr="006A2784">
        <w:rPr>
          <w:rFonts w:eastAsia="Times New Roman"/>
          <w:color w:val="000000" w:themeColor="text1"/>
        </w:rPr>
        <w:t>ans</w:t>
      </w:r>
      <w:r>
        <w:rPr>
          <w:rFonts w:eastAsia="Times New Roman"/>
          <w:color w:val="000000" w:themeColor="text1"/>
        </w:rPr>
        <w:t>,</w:t>
      </w:r>
      <w:r w:rsidRPr="006A2784">
        <w:rPr>
          <w:rFonts w:eastAsia="Times New Roman"/>
          <w:color w:val="000000" w:themeColor="text1"/>
        </w:rPr>
        <w:t xml:space="preserve"> </w:t>
      </w:r>
      <w:r>
        <w:rPr>
          <w:rFonts w:eastAsia="Times New Roman"/>
          <w:color w:val="000000" w:themeColor="text1"/>
        </w:rPr>
        <w:t xml:space="preserve">dans le cas de </w:t>
      </w:r>
      <w:r w:rsidRPr="006A2784">
        <w:rPr>
          <w:rFonts w:eastAsia="Times New Roman"/>
          <w:color w:val="000000" w:themeColor="text1"/>
        </w:rPr>
        <w:t>jumeaux</w:t>
      </w:r>
      <w:r>
        <w:rPr>
          <w:rFonts w:eastAsia="Times New Roman"/>
          <w:color w:val="000000" w:themeColor="text1"/>
        </w:rPr>
        <w:t xml:space="preserve">, et pour le </w:t>
      </w:r>
      <w:r w:rsidRPr="006A2784">
        <w:rPr>
          <w:rFonts w:eastAsia="Times New Roman"/>
          <w:color w:val="000000" w:themeColor="text1"/>
        </w:rPr>
        <w:t xml:space="preserve">troisième enfant et chaque enfant </w:t>
      </w:r>
      <w:r>
        <w:rPr>
          <w:rFonts w:eastAsia="Times New Roman"/>
          <w:color w:val="000000" w:themeColor="text1"/>
        </w:rPr>
        <w:t>suivant.</w:t>
      </w:r>
    </w:p>
  </w:footnote>
  <w:footnote w:id="48">
    <w:p w14:paraId="7C70883A" w14:textId="77777777" w:rsidR="000C1192" w:rsidRPr="007E4D28" w:rsidRDefault="000C1192" w:rsidP="000C1192">
      <w:pPr>
        <w:pStyle w:val="Notedebasdepage"/>
        <w:rPr>
          <w:color w:val="000000" w:themeColor="text1"/>
        </w:rPr>
      </w:pPr>
      <w:r w:rsidRPr="006A2784">
        <w:rPr>
          <w:color w:val="000000" w:themeColor="text1"/>
        </w:rPr>
        <w:tab/>
      </w:r>
      <w:r w:rsidRPr="00535E17">
        <w:rPr>
          <w:rStyle w:val="Appelnotedebasdep"/>
        </w:rPr>
        <w:footnoteRef/>
      </w:r>
      <w:r w:rsidRPr="007E4D28">
        <w:rPr>
          <w:rStyle w:val="Appelnotedebasdep"/>
          <w:color w:val="000000" w:themeColor="text1"/>
        </w:rPr>
        <w:t xml:space="preserve"> </w:t>
      </w:r>
      <w:r w:rsidRPr="007E4D28">
        <w:rPr>
          <w:color w:val="000000" w:themeColor="text1"/>
        </w:rPr>
        <w:tab/>
      </w:r>
      <w:hyperlink r:id="rId16" w:history="1">
        <w:r w:rsidRPr="00E9221E">
          <w:rPr>
            <w:rStyle w:val="Lienhypertexte"/>
          </w:rPr>
          <w:t>https://tbinternet.ohchr.org/_layouts/15/treatybodyexternal/Download.aspx?</w:t>
        </w:r>
        <w:r w:rsidRPr="00E9221E">
          <w:rPr>
            <w:rStyle w:val="Lienhypertexte"/>
          </w:rPr>
          <w:br/>
          <w:t>symbolno=CRC%2fHRV%2f5-6&amp;Lang=en</w:t>
        </w:r>
      </w:hyperlink>
      <w:r w:rsidRPr="007E4D28">
        <w:rPr>
          <w:color w:val="000000" w:themeColor="text1"/>
        </w:rPr>
        <w:t>.</w:t>
      </w:r>
    </w:p>
  </w:footnote>
  <w:footnote w:id="49">
    <w:p w14:paraId="04270126" w14:textId="648325D8" w:rsidR="000C1192" w:rsidRPr="00A9689E" w:rsidRDefault="000C1192" w:rsidP="000C1192">
      <w:pPr>
        <w:pStyle w:val="Notedebasdepage"/>
        <w:rPr>
          <w:color w:val="000000" w:themeColor="text1"/>
        </w:rPr>
      </w:pPr>
      <w:r w:rsidRPr="007E4D28">
        <w:rPr>
          <w:color w:val="000000" w:themeColor="text1"/>
        </w:rPr>
        <w:tab/>
      </w:r>
      <w:r w:rsidRPr="00535E17">
        <w:rPr>
          <w:rStyle w:val="Appelnotedebasdep"/>
        </w:rPr>
        <w:footnoteRef/>
      </w:r>
      <w:r w:rsidRPr="00A9689E">
        <w:rPr>
          <w:rStyle w:val="Appelnotedebasdep"/>
          <w:color w:val="000000" w:themeColor="text1"/>
        </w:rPr>
        <w:tab/>
      </w:r>
      <w:r w:rsidRPr="00A9689E">
        <w:rPr>
          <w:color w:val="000000" w:themeColor="text1"/>
        </w:rPr>
        <w:t>Les membres de la famille sont définis comme suit</w:t>
      </w:r>
      <w:r w:rsidR="00E9221E">
        <w:rPr>
          <w:color w:val="000000" w:themeColor="text1"/>
        </w:rPr>
        <w:t> </w:t>
      </w:r>
      <w:r w:rsidRPr="00A9689E">
        <w:rPr>
          <w:color w:val="000000" w:themeColor="text1"/>
        </w:rPr>
        <w:t>: conjoint ou concubin, partenaire de vie ou partenaire de vie informel, leurs enfants communs et les enfants de chacun d</w:t>
      </w:r>
      <w:r>
        <w:rPr>
          <w:color w:val="000000" w:themeColor="text1"/>
        </w:rPr>
        <w:t>’</w:t>
      </w:r>
      <w:r w:rsidRPr="00A9689E">
        <w:rPr>
          <w:color w:val="000000" w:themeColor="text1"/>
        </w:rPr>
        <w:t>eux, les parents en ligne directe par le sang, les parents en ligne collatérale jusqu</w:t>
      </w:r>
      <w:r>
        <w:rPr>
          <w:color w:val="000000" w:themeColor="text1"/>
        </w:rPr>
        <w:t>’</w:t>
      </w:r>
      <w:r w:rsidRPr="00A9689E">
        <w:rPr>
          <w:color w:val="000000" w:themeColor="text1"/>
        </w:rPr>
        <w:t>au troisième degré de parenté, les parents par alliance jusqu</w:t>
      </w:r>
      <w:r>
        <w:rPr>
          <w:color w:val="000000" w:themeColor="text1"/>
        </w:rPr>
        <w:t>’</w:t>
      </w:r>
      <w:r w:rsidRPr="00A9689E">
        <w:rPr>
          <w:color w:val="000000" w:themeColor="text1"/>
        </w:rPr>
        <w:t xml:space="preserve">au deuxième degré de parenté, les parents adoptifs et les </w:t>
      </w:r>
      <w:r>
        <w:rPr>
          <w:color w:val="000000" w:themeColor="text1"/>
        </w:rPr>
        <w:t xml:space="preserve">enfants </w:t>
      </w:r>
      <w:r w:rsidRPr="00A9689E">
        <w:rPr>
          <w:color w:val="000000" w:themeColor="text1"/>
        </w:rPr>
        <w:t>adoptés.</w:t>
      </w:r>
    </w:p>
  </w:footnote>
  <w:footnote w:id="50">
    <w:p w14:paraId="6763CDD1" w14:textId="2A2E0BC8" w:rsidR="000C1192" w:rsidRPr="00CA27D8" w:rsidRDefault="000C1192" w:rsidP="000C1192">
      <w:pPr>
        <w:pStyle w:val="Notedebasdepage"/>
        <w:rPr>
          <w:color w:val="000000" w:themeColor="text1"/>
        </w:rPr>
      </w:pPr>
      <w:r w:rsidRPr="00A9689E">
        <w:rPr>
          <w:color w:val="000000" w:themeColor="text1"/>
        </w:rPr>
        <w:tab/>
      </w:r>
      <w:r w:rsidRPr="00535E17">
        <w:rPr>
          <w:rStyle w:val="Appelnotedebasdep"/>
        </w:rPr>
        <w:footnoteRef/>
      </w:r>
      <w:r w:rsidRPr="00CA27D8">
        <w:rPr>
          <w:rStyle w:val="Appelnotedebasdep"/>
          <w:color w:val="000000" w:themeColor="text1"/>
        </w:rPr>
        <w:t xml:space="preserve"> </w:t>
      </w:r>
      <w:r w:rsidRPr="00CA27D8">
        <w:rPr>
          <w:color w:val="000000" w:themeColor="text1"/>
        </w:rPr>
        <w:tab/>
      </w:r>
      <w:hyperlink r:id="rId17" w:history="1">
        <w:r w:rsidR="00EE6A74" w:rsidRPr="003C1DE9">
          <w:rPr>
            <w:rStyle w:val="Lienhypertexte"/>
          </w:rPr>
          <w:t>https://documents-dds-ny.un.org/doc/UNDOC/GEN/G20/050/17/PDF/G2005017.pdf?OpenElement</w:t>
        </w:r>
      </w:hyperlink>
      <w:r w:rsidRPr="00CA27D8">
        <w:rPr>
          <w:color w:val="000000" w:themeColor="text1"/>
        </w:rPr>
        <w:t>.</w:t>
      </w:r>
    </w:p>
  </w:footnote>
  <w:footnote w:id="51">
    <w:p w14:paraId="7ADBC1E9" w14:textId="62E31B5C" w:rsidR="000C1192" w:rsidRPr="00C77E68" w:rsidRDefault="000C1192" w:rsidP="000C1192">
      <w:pPr>
        <w:pStyle w:val="Notedebasdepage"/>
        <w:rPr>
          <w:color w:val="000000" w:themeColor="text1"/>
        </w:rPr>
      </w:pPr>
      <w:r w:rsidRPr="00CA27D8">
        <w:rPr>
          <w:color w:val="000000" w:themeColor="text1"/>
          <w14:textOutline w14:w="0" w14:cap="flat" w14:cmpd="sng" w14:algn="ctr">
            <w14:noFill/>
            <w14:prstDash w14:val="solid"/>
            <w14:round/>
          </w14:textOutline>
        </w:rPr>
        <w:tab/>
      </w:r>
      <w:r w:rsidRPr="00535E17">
        <w:rPr>
          <w:rStyle w:val="Appelnotedebasdep"/>
        </w:rPr>
        <w:footnoteRef/>
      </w:r>
      <w:r w:rsidRPr="00E01C3B">
        <w:rPr>
          <w:rStyle w:val="Appelnotedebasdep"/>
          <w:color w:val="000000" w:themeColor="text1"/>
        </w:rPr>
        <w:tab/>
      </w:r>
      <w:r w:rsidRPr="00C77E68">
        <w:rPr>
          <w:color w:val="000000" w:themeColor="text1"/>
          <w14:textOutline w14:w="0" w14:cap="flat" w14:cmpd="sng" w14:algn="ctr">
            <w14:noFill/>
            <w14:prstDash w14:val="solid"/>
            <w14:round/>
          </w14:textOutline>
        </w:rPr>
        <w:t xml:space="preserve">Ce projet a </w:t>
      </w:r>
      <w:r>
        <w:rPr>
          <w:color w:val="000000" w:themeColor="text1"/>
          <w14:textOutline w14:w="0" w14:cap="flat" w14:cmpd="sng" w14:algn="ctr">
            <w14:noFill/>
            <w14:prstDash w14:val="solid"/>
            <w14:round/>
          </w14:textOutline>
        </w:rPr>
        <w:t>aussi</w:t>
      </w:r>
      <w:r w:rsidRPr="00C77E68">
        <w:rPr>
          <w:color w:val="000000" w:themeColor="text1"/>
          <w14:textOutline w14:w="0" w14:cap="flat" w14:cmpd="sng" w14:algn="ctr">
            <w14:noFill/>
            <w14:prstDash w14:val="solid"/>
            <w14:round/>
          </w14:textOutline>
        </w:rPr>
        <w:t xml:space="preserve"> été </w:t>
      </w:r>
      <w:r>
        <w:rPr>
          <w:color w:val="000000" w:themeColor="text1"/>
          <w14:textOutline w14:w="0" w14:cap="flat" w14:cmpd="sng" w14:algn="ctr">
            <w14:noFill/>
            <w14:prstDash w14:val="solid"/>
            <w14:round/>
          </w14:textOutline>
        </w:rPr>
        <w:t xml:space="preserve">appliqué pendant </w:t>
      </w:r>
      <w:r w:rsidRPr="00C77E68">
        <w:rPr>
          <w:color w:val="000000" w:themeColor="text1"/>
          <w14:textOutline w14:w="0" w14:cap="flat" w14:cmpd="sng" w14:algn="ctr">
            <w14:noFill/>
            <w14:prstDash w14:val="solid"/>
            <w14:round/>
          </w14:textOutline>
        </w:rPr>
        <w:t>l</w:t>
      </w:r>
      <w:r>
        <w:rPr>
          <w:color w:val="000000" w:themeColor="text1"/>
          <w14:textOutline w14:w="0" w14:cap="flat" w14:cmpd="sng" w14:algn="ctr">
            <w14:noFill/>
            <w14:prstDash w14:val="solid"/>
            <w14:round/>
          </w14:textOutline>
        </w:rPr>
        <w:t>’</w:t>
      </w:r>
      <w:r w:rsidRPr="00C77E68">
        <w:rPr>
          <w:color w:val="000000" w:themeColor="text1"/>
          <w14:textOutline w14:w="0" w14:cap="flat" w14:cmpd="sng" w14:algn="ctr">
            <w14:noFill/>
            <w14:prstDash w14:val="solid"/>
            <w14:round/>
          </w14:textOutline>
        </w:rPr>
        <w:t xml:space="preserve">année scolaire 2019/20 </w:t>
      </w:r>
      <w:r>
        <w:rPr>
          <w:color w:val="000000" w:themeColor="text1"/>
          <w14:textOutline w14:w="0" w14:cap="flat" w14:cmpd="sng" w14:algn="ctr">
            <w14:noFill/>
            <w14:prstDash w14:val="solid"/>
            <w14:round/>
          </w14:textOutline>
        </w:rPr>
        <w:t>auprès d’</w:t>
      </w:r>
      <w:r w:rsidRPr="00C77E68">
        <w:rPr>
          <w:color w:val="000000" w:themeColor="text1"/>
          <w14:textOutline w14:w="0" w14:cap="flat" w14:cmpd="sng" w14:algn="ctr">
            <w14:noFill/>
            <w14:prstDash w14:val="solid"/>
            <w14:round/>
          </w14:textOutline>
        </w:rPr>
        <w:t>établissements d</w:t>
      </w:r>
      <w:r>
        <w:rPr>
          <w:color w:val="000000" w:themeColor="text1"/>
          <w14:textOutline w14:w="0" w14:cap="flat" w14:cmpd="sng" w14:algn="ctr">
            <w14:noFill/>
            <w14:prstDash w14:val="solid"/>
            <w14:round/>
          </w14:textOutline>
        </w:rPr>
        <w:t>’</w:t>
      </w:r>
      <w:r w:rsidRPr="00C77E68">
        <w:rPr>
          <w:color w:val="000000" w:themeColor="text1"/>
          <w14:textOutline w14:w="0" w14:cap="flat" w14:cmpd="sng" w14:algn="ctr">
            <w14:noFill/>
            <w14:prstDash w14:val="solid"/>
            <w14:round/>
          </w14:textOutline>
        </w:rPr>
        <w:t>enseignement des comtés d</w:t>
      </w:r>
      <w:r>
        <w:rPr>
          <w:color w:val="000000" w:themeColor="text1"/>
          <w14:textOutline w14:w="0" w14:cap="flat" w14:cmpd="sng" w14:algn="ctr">
            <w14:noFill/>
            <w14:prstDash w14:val="solid"/>
            <w14:round/>
          </w14:textOutline>
        </w:rPr>
        <w:t>’</w:t>
      </w:r>
      <w:r w:rsidRPr="00C77E68">
        <w:rPr>
          <w:color w:val="000000" w:themeColor="text1"/>
          <w14:textOutline w14:w="0" w14:cap="flat" w14:cmpd="sng" w14:algn="ctr">
            <w14:noFill/>
            <w14:prstDash w14:val="solid"/>
            <w14:round/>
          </w14:textOutline>
        </w:rPr>
        <w:t xml:space="preserve">Osijek-Baranja et de Međimurje, </w:t>
      </w:r>
      <w:r>
        <w:rPr>
          <w:color w:val="000000" w:themeColor="text1"/>
          <w14:textOutline w14:w="0" w14:cap="flat" w14:cmpd="sng" w14:algn="ctr">
            <w14:noFill/>
            <w14:prstDash w14:val="solid"/>
            <w14:round/>
          </w14:textOutline>
        </w:rPr>
        <w:t xml:space="preserve">en </w:t>
      </w:r>
      <w:r w:rsidRPr="00C77E68">
        <w:rPr>
          <w:color w:val="000000" w:themeColor="text1"/>
          <w14:textOutline w14:w="0" w14:cap="flat" w14:cmpd="sng" w14:algn="ctr">
            <w14:noFill/>
            <w14:prstDash w14:val="solid"/>
            <w14:round/>
          </w14:textOutline>
        </w:rPr>
        <w:t xml:space="preserve">coordination </w:t>
      </w:r>
      <w:r>
        <w:rPr>
          <w:color w:val="000000" w:themeColor="text1"/>
          <w14:textOutline w14:w="0" w14:cap="flat" w14:cmpd="sng" w14:algn="ctr">
            <w14:noFill/>
            <w14:prstDash w14:val="solid"/>
            <w14:round/>
          </w14:textOutline>
        </w:rPr>
        <w:t xml:space="preserve">avec la </w:t>
      </w:r>
      <w:r w:rsidRPr="00C77E68">
        <w:rPr>
          <w:color w:val="000000" w:themeColor="text1"/>
          <w14:textOutline w14:w="0" w14:cap="flat" w14:cmpd="sng" w14:algn="ctr">
            <w14:noFill/>
            <w14:prstDash w14:val="solid"/>
            <w14:round/>
          </w14:textOutline>
        </w:rPr>
        <w:t xml:space="preserve">Direction </w:t>
      </w:r>
      <w:r>
        <w:rPr>
          <w:color w:val="000000" w:themeColor="text1"/>
          <w14:textOutline w14:w="0" w14:cap="flat" w14:cmpd="sng" w14:algn="ctr">
            <w14:noFill/>
            <w14:prstDash w14:val="solid"/>
            <w14:round/>
          </w14:textOutline>
        </w:rPr>
        <w:t xml:space="preserve">générale </w:t>
      </w:r>
      <w:r w:rsidRPr="00C77E68">
        <w:rPr>
          <w:color w:val="000000" w:themeColor="text1"/>
          <w14:textOutline w14:w="0" w14:cap="flat" w14:cmpd="sng" w14:algn="ctr">
            <w14:noFill/>
            <w14:prstDash w14:val="solid"/>
            <w14:round/>
          </w14:textOutline>
        </w:rPr>
        <w:t xml:space="preserve">de la police. </w:t>
      </w:r>
      <w:r>
        <w:rPr>
          <w:color w:val="000000" w:themeColor="text1"/>
          <w14:textOutline w14:w="0" w14:cap="flat" w14:cmpd="sng" w14:algn="ctr">
            <w14:noFill/>
            <w14:prstDash w14:val="solid"/>
            <w14:round/>
          </w14:textOutline>
        </w:rPr>
        <w:t xml:space="preserve">Le </w:t>
      </w:r>
      <w:r w:rsidRPr="00C77E68">
        <w:rPr>
          <w:color w:val="000000" w:themeColor="text1"/>
          <w14:textOutline w14:w="0" w14:cap="flat" w14:cmpd="sng" w14:algn="ctr">
            <w14:noFill/>
            <w14:prstDash w14:val="solid"/>
            <w14:round/>
          </w14:textOutline>
        </w:rPr>
        <w:t xml:space="preserve">projet </w:t>
      </w:r>
      <w:r>
        <w:rPr>
          <w:color w:val="000000" w:themeColor="text1"/>
          <w14:textOutline w14:w="0" w14:cap="flat" w14:cmpd="sng" w14:algn="ctr">
            <w14:noFill/>
            <w14:prstDash w14:val="solid"/>
            <w14:round/>
          </w14:textOutline>
        </w:rPr>
        <w:t xml:space="preserve">en question </w:t>
      </w:r>
      <w:r w:rsidRPr="00C77E68">
        <w:rPr>
          <w:color w:val="000000" w:themeColor="text1"/>
          <w14:textOutline w14:w="0" w14:cap="flat" w14:cmpd="sng" w14:algn="ctr">
            <w14:noFill/>
            <w14:prstDash w14:val="solid"/>
            <w14:round/>
          </w14:textOutline>
        </w:rPr>
        <w:t>vise à réduire le risque de traite et de trafic d</w:t>
      </w:r>
      <w:r>
        <w:rPr>
          <w:color w:val="000000" w:themeColor="text1"/>
          <w14:textOutline w14:w="0" w14:cap="flat" w14:cmpd="sng" w14:algn="ctr">
            <w14:noFill/>
            <w14:prstDash w14:val="solid"/>
            <w14:round/>
          </w14:textOutline>
        </w:rPr>
        <w:t>’</w:t>
      </w:r>
      <w:r w:rsidRPr="00C77E68">
        <w:rPr>
          <w:color w:val="000000" w:themeColor="text1"/>
          <w14:textOutline w14:w="0" w14:cap="flat" w14:cmpd="sng" w14:algn="ctr">
            <w14:noFill/>
            <w14:prstDash w14:val="solid"/>
            <w14:round/>
          </w14:textOutline>
        </w:rPr>
        <w:t>êtres humains</w:t>
      </w:r>
      <w:r>
        <w:rPr>
          <w:color w:val="000000" w:themeColor="text1"/>
          <w14:textOutline w14:w="0" w14:cap="flat" w14:cmpd="sng" w14:algn="ctr">
            <w14:noFill/>
            <w14:prstDash w14:val="solid"/>
            <w14:round/>
          </w14:textOutline>
        </w:rPr>
        <w:t>.</w:t>
      </w:r>
    </w:p>
  </w:footnote>
  <w:footnote w:id="52">
    <w:p w14:paraId="5BAAF291" w14:textId="77777777" w:rsidR="000C1192" w:rsidRPr="002B3941" w:rsidRDefault="000C1192" w:rsidP="000C1192">
      <w:pPr>
        <w:pStyle w:val="Notedebasdepage"/>
        <w:rPr>
          <w:color w:val="000000" w:themeColor="text1"/>
        </w:rPr>
      </w:pPr>
      <w:r w:rsidRPr="00C77E68">
        <w:rPr>
          <w:color w:val="000000" w:themeColor="text1"/>
          <w:sz w:val="22"/>
        </w:rPr>
        <w:tab/>
      </w:r>
      <w:r w:rsidRPr="00535E17">
        <w:rPr>
          <w:rStyle w:val="Appelnotedebasdep"/>
        </w:rPr>
        <w:footnoteRef/>
      </w:r>
      <w:r w:rsidRPr="00A03616">
        <w:rPr>
          <w:rStyle w:val="Appelnotedebasdep"/>
          <w:color w:val="000000" w:themeColor="text1"/>
        </w:rPr>
        <w:t xml:space="preserve"> </w:t>
      </w:r>
      <w:r w:rsidRPr="00A03616">
        <w:rPr>
          <w:color w:val="000000" w:themeColor="text1"/>
          <w:sz w:val="22"/>
        </w:rPr>
        <w:tab/>
      </w:r>
      <w:r w:rsidRPr="002B3941">
        <w:rPr>
          <w:color w:val="000000" w:themeColor="text1"/>
        </w:rPr>
        <w:t xml:space="preserve">Les projets humanitaires sont soutenus en </w:t>
      </w:r>
      <w:r>
        <w:rPr>
          <w:color w:val="000000" w:themeColor="text1"/>
        </w:rPr>
        <w:t xml:space="preserve">prêtant </w:t>
      </w:r>
      <w:r w:rsidRPr="002B3941">
        <w:rPr>
          <w:color w:val="000000" w:themeColor="text1"/>
        </w:rPr>
        <w:t xml:space="preserve">assistance aux </w:t>
      </w:r>
      <w:r>
        <w:rPr>
          <w:color w:val="000000" w:themeColor="text1"/>
        </w:rPr>
        <w:t>démunis</w:t>
      </w:r>
      <w:r w:rsidRPr="002B3941">
        <w:rPr>
          <w:color w:val="000000" w:themeColor="text1"/>
        </w:rPr>
        <w:t xml:space="preserve">, </w:t>
      </w:r>
      <w:r>
        <w:rPr>
          <w:color w:val="000000" w:themeColor="text1"/>
        </w:rPr>
        <w:t xml:space="preserve">par une aide alimentaire </w:t>
      </w:r>
      <w:r w:rsidRPr="002B3941">
        <w:rPr>
          <w:color w:val="000000" w:themeColor="text1"/>
        </w:rPr>
        <w:t>et/ou une aide matérielle de base.</w:t>
      </w:r>
    </w:p>
  </w:footnote>
  <w:footnote w:id="53">
    <w:p w14:paraId="4828864F" w14:textId="77777777" w:rsidR="000C1192" w:rsidRPr="00A03616" w:rsidRDefault="000C1192" w:rsidP="000C1192">
      <w:pPr>
        <w:pStyle w:val="Notedebasdepage"/>
        <w:rPr>
          <w:color w:val="000000" w:themeColor="text1"/>
        </w:rPr>
      </w:pPr>
      <w:r w:rsidRPr="002B3941">
        <w:rPr>
          <w:color w:val="000000" w:themeColor="text1"/>
        </w:rPr>
        <w:tab/>
      </w:r>
      <w:r w:rsidRPr="00535E17">
        <w:rPr>
          <w:rStyle w:val="Appelnotedebasdep"/>
        </w:rPr>
        <w:footnoteRef/>
      </w:r>
      <w:r w:rsidRPr="00D37E61">
        <w:rPr>
          <w:rStyle w:val="Appelnotedebasdep"/>
          <w:color w:val="000000" w:themeColor="text1"/>
        </w:rPr>
        <w:tab/>
      </w:r>
      <w:r w:rsidRPr="00A03616">
        <w:rPr>
          <w:color w:val="000000" w:themeColor="text1"/>
        </w:rPr>
        <w:t xml:space="preserve">Une </w:t>
      </w:r>
      <w:r>
        <w:rPr>
          <w:color w:val="000000" w:themeColor="text1"/>
        </w:rPr>
        <w:t>assistance</w:t>
      </w:r>
      <w:r w:rsidRPr="00A03616">
        <w:rPr>
          <w:color w:val="000000" w:themeColor="text1"/>
        </w:rPr>
        <w:t xml:space="preserve"> est </w:t>
      </w:r>
      <w:r>
        <w:rPr>
          <w:color w:val="000000" w:themeColor="text1"/>
        </w:rPr>
        <w:t xml:space="preserve">apportée </w:t>
      </w:r>
      <w:r w:rsidRPr="00A03616">
        <w:rPr>
          <w:color w:val="000000" w:themeColor="text1"/>
        </w:rPr>
        <w:t xml:space="preserve">aux enfants sous </w:t>
      </w:r>
      <w:r>
        <w:rPr>
          <w:color w:val="000000" w:themeColor="text1"/>
        </w:rPr>
        <w:t xml:space="preserve">la </w:t>
      </w:r>
      <w:r w:rsidRPr="00A03616">
        <w:rPr>
          <w:color w:val="000000" w:themeColor="text1"/>
        </w:rPr>
        <w:t>forme de repas gratuits dans les écoles primaires.</w:t>
      </w:r>
    </w:p>
  </w:footnote>
  <w:footnote w:id="54">
    <w:p w14:paraId="55B5522D" w14:textId="1E88DA4E" w:rsidR="000C1192" w:rsidRPr="00D37E61" w:rsidRDefault="000C1192" w:rsidP="000C1192">
      <w:pPr>
        <w:pStyle w:val="Notedebasdepage"/>
        <w:rPr>
          <w:color w:val="000000" w:themeColor="text1"/>
        </w:rPr>
      </w:pPr>
      <w:r w:rsidRPr="00A03616">
        <w:rPr>
          <w:color w:val="000000" w:themeColor="text1"/>
        </w:rPr>
        <w:tab/>
      </w:r>
      <w:r w:rsidRPr="00535E17">
        <w:rPr>
          <w:rStyle w:val="Appelnotedebasdep"/>
        </w:rPr>
        <w:footnoteRef/>
      </w:r>
      <w:r w:rsidRPr="00D37E61">
        <w:rPr>
          <w:rStyle w:val="Appelnotedebasdep"/>
          <w:color w:val="000000" w:themeColor="text1"/>
        </w:rPr>
        <w:tab/>
      </w:r>
      <w:r>
        <w:rPr>
          <w:color w:val="000000" w:themeColor="text1"/>
        </w:rPr>
        <w:t xml:space="preserve">Cette politique est motivée </w:t>
      </w:r>
      <w:r w:rsidRPr="00D37E61">
        <w:rPr>
          <w:color w:val="000000" w:themeColor="text1"/>
        </w:rPr>
        <w:t xml:space="preserve">par la mondialisation et la libéralisation des marchés, </w:t>
      </w:r>
      <w:r>
        <w:rPr>
          <w:color w:val="000000" w:themeColor="text1"/>
        </w:rPr>
        <w:t xml:space="preserve">les </w:t>
      </w:r>
      <w:r w:rsidRPr="00D37E61">
        <w:rPr>
          <w:color w:val="000000" w:themeColor="text1"/>
        </w:rPr>
        <w:t>choix alimentaires</w:t>
      </w:r>
      <w:r>
        <w:rPr>
          <w:color w:val="000000" w:themeColor="text1"/>
        </w:rPr>
        <w:t xml:space="preserve"> de plus en plus nombreux</w:t>
      </w:r>
      <w:r w:rsidRPr="00D37E61">
        <w:rPr>
          <w:color w:val="000000" w:themeColor="text1"/>
        </w:rPr>
        <w:t xml:space="preserve">, </w:t>
      </w:r>
      <w:r>
        <w:rPr>
          <w:color w:val="000000" w:themeColor="text1"/>
        </w:rPr>
        <w:t xml:space="preserve">l’augmentation </w:t>
      </w:r>
      <w:r w:rsidRPr="00D37E61">
        <w:rPr>
          <w:color w:val="000000" w:themeColor="text1"/>
        </w:rPr>
        <w:t xml:space="preserve">des incidents dans le domaine de la sécurité </w:t>
      </w:r>
      <w:r>
        <w:rPr>
          <w:color w:val="000000" w:themeColor="text1"/>
        </w:rPr>
        <w:t xml:space="preserve">sanitaire </w:t>
      </w:r>
      <w:r w:rsidRPr="00D37E61">
        <w:rPr>
          <w:color w:val="000000" w:themeColor="text1"/>
        </w:rPr>
        <w:t xml:space="preserve">des denrées alimentaires et </w:t>
      </w:r>
      <w:r>
        <w:rPr>
          <w:color w:val="000000" w:themeColor="text1"/>
        </w:rPr>
        <w:t>de l’alimentation animale</w:t>
      </w:r>
      <w:r w:rsidRPr="00D37E61">
        <w:rPr>
          <w:color w:val="000000" w:themeColor="text1"/>
        </w:rPr>
        <w:t xml:space="preserve">, </w:t>
      </w:r>
      <w:r>
        <w:rPr>
          <w:color w:val="000000" w:themeColor="text1"/>
        </w:rPr>
        <w:t xml:space="preserve">et </w:t>
      </w:r>
      <w:r w:rsidRPr="00D37E61">
        <w:rPr>
          <w:color w:val="000000" w:themeColor="text1"/>
        </w:rPr>
        <w:t xml:space="preserve">la nécessité de </w:t>
      </w:r>
      <w:r>
        <w:rPr>
          <w:color w:val="000000" w:themeColor="text1"/>
        </w:rPr>
        <w:t xml:space="preserve">protéger </w:t>
      </w:r>
      <w:r w:rsidRPr="00D37E61">
        <w:rPr>
          <w:color w:val="000000" w:themeColor="text1"/>
        </w:rPr>
        <w:t>la santé humaine et animale</w:t>
      </w:r>
      <w:r>
        <w:rPr>
          <w:color w:val="000000" w:themeColor="text1"/>
        </w:rPr>
        <w:t>,</w:t>
      </w:r>
      <w:r w:rsidRPr="00D37E61">
        <w:rPr>
          <w:color w:val="000000" w:themeColor="text1"/>
        </w:rPr>
        <w:t xml:space="preserve"> et</w:t>
      </w:r>
      <w:r>
        <w:rPr>
          <w:color w:val="000000" w:themeColor="text1"/>
        </w:rPr>
        <w:t xml:space="preserve"> répond en outre à une </w:t>
      </w:r>
      <w:r w:rsidRPr="00D37E61">
        <w:rPr>
          <w:color w:val="000000" w:themeColor="text1"/>
        </w:rPr>
        <w:t>demande croissante des consommateurs.</w:t>
      </w:r>
    </w:p>
  </w:footnote>
  <w:footnote w:id="55">
    <w:p w14:paraId="281E5B25" w14:textId="5AEBA524" w:rsidR="000C1192" w:rsidRPr="00BA5FCE" w:rsidRDefault="000C1192" w:rsidP="000C1192">
      <w:pPr>
        <w:pStyle w:val="Notedebasdepage"/>
        <w:rPr>
          <w:color w:val="000000" w:themeColor="text1"/>
          <w:sz w:val="16"/>
        </w:rPr>
      </w:pPr>
      <w:r w:rsidRPr="00D37E61">
        <w:rPr>
          <w:color w:val="000000" w:themeColor="text1"/>
          <w:sz w:val="20"/>
        </w:rPr>
        <w:tab/>
      </w:r>
      <w:r w:rsidRPr="00535E17">
        <w:rPr>
          <w:rStyle w:val="Appelnotedebasdep"/>
        </w:rPr>
        <w:footnoteRef/>
      </w:r>
      <w:r w:rsidRPr="00BA5FCE">
        <w:rPr>
          <w:rStyle w:val="Appelnotedebasdep"/>
          <w:color w:val="000000" w:themeColor="text1"/>
        </w:rPr>
        <w:tab/>
      </w:r>
      <w:r w:rsidRPr="00BA5FCE">
        <w:rPr>
          <w:color w:val="000000" w:themeColor="text1"/>
        </w:rPr>
        <w:t>L</w:t>
      </w:r>
      <w:r>
        <w:rPr>
          <w:color w:val="000000" w:themeColor="text1"/>
        </w:rPr>
        <w:t xml:space="preserve">a responsabilité principale </w:t>
      </w:r>
      <w:r w:rsidRPr="00D37E61">
        <w:rPr>
          <w:color w:val="000000" w:themeColor="text1"/>
        </w:rPr>
        <w:t xml:space="preserve">de la sécurité </w:t>
      </w:r>
      <w:r>
        <w:rPr>
          <w:color w:val="000000" w:themeColor="text1"/>
        </w:rPr>
        <w:t xml:space="preserve">sanitaire </w:t>
      </w:r>
      <w:r w:rsidRPr="00D37E61">
        <w:rPr>
          <w:color w:val="000000" w:themeColor="text1"/>
        </w:rPr>
        <w:t xml:space="preserve">des denrées alimentaires et </w:t>
      </w:r>
      <w:r>
        <w:rPr>
          <w:color w:val="000000" w:themeColor="text1"/>
        </w:rPr>
        <w:t xml:space="preserve">de l’alimentation animale incombe aux entreprises </w:t>
      </w:r>
      <w:r w:rsidRPr="00BA5FCE">
        <w:rPr>
          <w:color w:val="000000" w:themeColor="text1"/>
        </w:rPr>
        <w:t>du secteur à tou</w:t>
      </w:r>
      <w:r w:rsidR="007B15F4">
        <w:rPr>
          <w:color w:val="000000" w:themeColor="text1"/>
        </w:rPr>
        <w:t>te</w:t>
      </w:r>
      <w:r w:rsidRPr="00BA5FCE">
        <w:rPr>
          <w:color w:val="000000" w:themeColor="text1"/>
        </w:rPr>
        <w:t xml:space="preserve">s les </w:t>
      </w:r>
      <w:r>
        <w:rPr>
          <w:color w:val="000000" w:themeColor="text1"/>
        </w:rPr>
        <w:t>étapes</w:t>
      </w:r>
      <w:r w:rsidRPr="00BA5FCE">
        <w:rPr>
          <w:color w:val="000000" w:themeColor="text1"/>
        </w:rPr>
        <w:t xml:space="preserve"> de la production, de la transformation et de la distribution.</w:t>
      </w:r>
    </w:p>
  </w:footnote>
  <w:footnote w:id="56">
    <w:p w14:paraId="2F9B6944" w14:textId="7E25D18F" w:rsidR="000C1192" w:rsidRPr="002B3C05" w:rsidRDefault="000C1192" w:rsidP="000C1192">
      <w:pPr>
        <w:pStyle w:val="Notedebasdepage"/>
        <w:rPr>
          <w:color w:val="000000" w:themeColor="text1"/>
        </w:rPr>
      </w:pPr>
      <w:r w:rsidRPr="00BA5FCE">
        <w:rPr>
          <w:color w:val="000000" w:themeColor="text1"/>
        </w:rPr>
        <w:tab/>
      </w:r>
      <w:r w:rsidRPr="00535E17">
        <w:rPr>
          <w:rStyle w:val="Appelnotedebasdep"/>
        </w:rPr>
        <w:footnoteRef/>
      </w:r>
      <w:r w:rsidRPr="002B3C05">
        <w:rPr>
          <w:rStyle w:val="Appelnotedebasdep"/>
          <w:color w:val="000000" w:themeColor="text1"/>
        </w:rPr>
        <w:tab/>
      </w:r>
      <w:r w:rsidRPr="002B3C05">
        <w:rPr>
          <w:color w:val="000000" w:themeColor="text1"/>
        </w:rPr>
        <w:t xml:space="preserve">Les contrôles officiels </w:t>
      </w:r>
      <w:r>
        <w:rPr>
          <w:color w:val="000000" w:themeColor="text1"/>
        </w:rPr>
        <w:t xml:space="preserve">font appel à </w:t>
      </w:r>
      <w:r w:rsidRPr="002B3C05">
        <w:rPr>
          <w:color w:val="000000" w:themeColor="text1"/>
        </w:rPr>
        <w:t>un certain nombre d</w:t>
      </w:r>
      <w:r>
        <w:rPr>
          <w:color w:val="000000" w:themeColor="text1"/>
        </w:rPr>
        <w:t>’</w:t>
      </w:r>
      <w:r w:rsidRPr="002B3C05">
        <w:rPr>
          <w:color w:val="000000" w:themeColor="text1"/>
        </w:rPr>
        <w:t xml:space="preserve">outils, </w:t>
      </w:r>
      <w:r>
        <w:rPr>
          <w:color w:val="000000" w:themeColor="text1"/>
        </w:rPr>
        <w:t xml:space="preserve">dont </w:t>
      </w:r>
      <w:r w:rsidRPr="002B3C05">
        <w:rPr>
          <w:color w:val="000000" w:themeColor="text1"/>
        </w:rPr>
        <w:t xml:space="preserve">la vérification </w:t>
      </w:r>
      <w:r>
        <w:rPr>
          <w:color w:val="000000" w:themeColor="text1"/>
        </w:rPr>
        <w:t>d’</w:t>
      </w:r>
      <w:r w:rsidRPr="002B3C05">
        <w:rPr>
          <w:color w:val="000000" w:themeColor="text1"/>
        </w:rPr>
        <w:t>échantillon</w:t>
      </w:r>
      <w:r>
        <w:rPr>
          <w:color w:val="000000" w:themeColor="text1"/>
        </w:rPr>
        <w:t>s</w:t>
      </w:r>
      <w:r w:rsidRPr="002B3C05">
        <w:rPr>
          <w:color w:val="000000" w:themeColor="text1"/>
        </w:rPr>
        <w:t xml:space="preserve"> </w:t>
      </w:r>
      <w:r>
        <w:rPr>
          <w:color w:val="000000" w:themeColor="text1"/>
        </w:rPr>
        <w:t xml:space="preserve">précis </w:t>
      </w:r>
      <w:r w:rsidRPr="002B3C05">
        <w:rPr>
          <w:color w:val="000000" w:themeColor="text1"/>
        </w:rPr>
        <w:t xml:space="preserve">pour </w:t>
      </w:r>
      <w:r>
        <w:rPr>
          <w:color w:val="000000" w:themeColor="text1"/>
        </w:rPr>
        <w:t xml:space="preserve">vérifier </w:t>
      </w:r>
      <w:r w:rsidRPr="002B3C05">
        <w:rPr>
          <w:color w:val="000000" w:themeColor="text1"/>
        </w:rPr>
        <w:t xml:space="preserve">la situation dans </w:t>
      </w:r>
      <w:r>
        <w:rPr>
          <w:color w:val="000000" w:themeColor="text1"/>
        </w:rPr>
        <w:t>tel ou tel domaine.</w:t>
      </w:r>
    </w:p>
  </w:footnote>
  <w:footnote w:id="57">
    <w:p w14:paraId="782232D6" w14:textId="762D98F6" w:rsidR="000C1192" w:rsidRPr="00093DD5" w:rsidRDefault="000C1192" w:rsidP="000C1192">
      <w:pPr>
        <w:pStyle w:val="Notedebasdepage"/>
        <w:rPr>
          <w:color w:val="000000" w:themeColor="text1"/>
        </w:rPr>
      </w:pPr>
      <w:r w:rsidRPr="002B3C05">
        <w:rPr>
          <w:color w:val="000000" w:themeColor="text1"/>
        </w:rPr>
        <w:tab/>
      </w:r>
      <w:r w:rsidRPr="00535E17">
        <w:rPr>
          <w:rStyle w:val="Appelnotedebasdep"/>
        </w:rPr>
        <w:footnoteRef/>
      </w:r>
      <w:r w:rsidRPr="00093DD5">
        <w:rPr>
          <w:rStyle w:val="Appelnotedebasdep"/>
          <w:color w:val="000000" w:themeColor="text1"/>
        </w:rPr>
        <w:tab/>
      </w:r>
      <w:r w:rsidRPr="00093DD5">
        <w:rPr>
          <w:color w:val="000000" w:themeColor="text1"/>
        </w:rPr>
        <w:t xml:space="preserve">Le </w:t>
      </w:r>
      <w:r>
        <w:rPr>
          <w:color w:val="000000" w:themeColor="text1"/>
        </w:rPr>
        <w:t>M</w:t>
      </w:r>
      <w:r w:rsidRPr="00093DD5">
        <w:rPr>
          <w:color w:val="000000" w:themeColor="text1"/>
        </w:rPr>
        <w:t>inistère de l</w:t>
      </w:r>
      <w:r>
        <w:rPr>
          <w:color w:val="000000" w:themeColor="text1"/>
        </w:rPr>
        <w:t>’</w:t>
      </w:r>
      <w:r w:rsidRPr="00093DD5">
        <w:rPr>
          <w:color w:val="000000" w:themeColor="text1"/>
        </w:rPr>
        <w:t>agriculture est l</w:t>
      </w:r>
      <w:r>
        <w:rPr>
          <w:color w:val="000000" w:themeColor="text1"/>
        </w:rPr>
        <w:t>’instance</w:t>
      </w:r>
      <w:r w:rsidRPr="00093DD5">
        <w:rPr>
          <w:color w:val="000000" w:themeColor="text1"/>
        </w:rPr>
        <w:t xml:space="preserve"> national</w:t>
      </w:r>
      <w:r>
        <w:rPr>
          <w:color w:val="000000" w:themeColor="text1"/>
        </w:rPr>
        <w:t>e</w:t>
      </w:r>
      <w:r w:rsidRPr="00093DD5">
        <w:rPr>
          <w:color w:val="000000" w:themeColor="text1"/>
        </w:rPr>
        <w:t xml:space="preserve"> central</w:t>
      </w:r>
      <w:r>
        <w:rPr>
          <w:color w:val="000000" w:themeColor="text1"/>
        </w:rPr>
        <w:t>e</w:t>
      </w:r>
      <w:r w:rsidRPr="00093DD5">
        <w:rPr>
          <w:color w:val="000000" w:themeColor="text1"/>
        </w:rPr>
        <w:t xml:space="preserve"> de coordination </w:t>
      </w:r>
      <w:r>
        <w:rPr>
          <w:color w:val="000000" w:themeColor="text1"/>
        </w:rPr>
        <w:t xml:space="preserve">pour le </w:t>
      </w:r>
      <w:r w:rsidRPr="00093DD5">
        <w:rPr>
          <w:color w:val="000000" w:themeColor="text1"/>
        </w:rPr>
        <w:t xml:space="preserve">Codex Alimentarius, </w:t>
      </w:r>
      <w:r>
        <w:rPr>
          <w:color w:val="000000" w:themeColor="text1"/>
        </w:rPr>
        <w:t xml:space="preserve">principal organisme </w:t>
      </w:r>
      <w:r w:rsidRPr="00093DD5">
        <w:rPr>
          <w:color w:val="000000" w:themeColor="text1"/>
        </w:rPr>
        <w:t>international pour l</w:t>
      </w:r>
      <w:r>
        <w:rPr>
          <w:color w:val="000000" w:themeColor="text1"/>
        </w:rPr>
        <w:t>’</w:t>
      </w:r>
      <w:r w:rsidRPr="00093DD5">
        <w:rPr>
          <w:color w:val="000000" w:themeColor="text1"/>
        </w:rPr>
        <w:t xml:space="preserve">établissement de normes alimentaires internationales harmonisées, </w:t>
      </w:r>
      <w:r>
        <w:rPr>
          <w:color w:val="000000" w:themeColor="text1"/>
        </w:rPr>
        <w:t>avec pour mission</w:t>
      </w:r>
      <w:r w:rsidRPr="00093DD5">
        <w:rPr>
          <w:color w:val="000000" w:themeColor="text1"/>
        </w:rPr>
        <w:t xml:space="preserve"> de protéger les consommateurs et de promouvoir des pratiques équitables dans le commerce </w:t>
      </w:r>
      <w:r>
        <w:rPr>
          <w:color w:val="000000" w:themeColor="text1"/>
        </w:rPr>
        <w:t xml:space="preserve">de produits alimentaires </w:t>
      </w:r>
      <w:r w:rsidRPr="00093DD5">
        <w:rPr>
          <w:color w:val="000000" w:themeColor="text1"/>
        </w:rPr>
        <w:t>sûrs et de qualité.</w:t>
      </w:r>
    </w:p>
  </w:footnote>
  <w:footnote w:id="58">
    <w:p w14:paraId="5305337A" w14:textId="0CD0B725" w:rsidR="000C1192" w:rsidRPr="00AF4EB5" w:rsidRDefault="000C1192" w:rsidP="000C1192">
      <w:pPr>
        <w:pStyle w:val="Notedebasdepage"/>
        <w:rPr>
          <w:color w:val="000000" w:themeColor="text1"/>
        </w:rPr>
      </w:pPr>
      <w:r w:rsidRPr="00093DD5">
        <w:rPr>
          <w:color w:val="000000" w:themeColor="text1"/>
        </w:rPr>
        <w:tab/>
      </w:r>
      <w:r w:rsidRPr="00535E17">
        <w:rPr>
          <w:rStyle w:val="Appelnotedebasdep"/>
        </w:rPr>
        <w:footnoteRef/>
      </w:r>
      <w:r w:rsidRPr="00AF4EB5">
        <w:rPr>
          <w:rStyle w:val="Appelnotedebasdep"/>
          <w:color w:val="000000" w:themeColor="text1"/>
        </w:rPr>
        <w:t xml:space="preserve"> </w:t>
      </w:r>
      <w:r w:rsidRPr="00AF4EB5">
        <w:rPr>
          <w:color w:val="000000" w:themeColor="text1"/>
        </w:rPr>
        <w:tab/>
        <w:t>Directives volontaires de l</w:t>
      </w:r>
      <w:r>
        <w:rPr>
          <w:color w:val="000000" w:themeColor="text1"/>
        </w:rPr>
        <w:t>’</w:t>
      </w:r>
      <w:r w:rsidRPr="00AF4EB5">
        <w:rPr>
          <w:color w:val="000000" w:themeColor="text1"/>
        </w:rPr>
        <w:t>Organisation des Nations Unies pour l</w:t>
      </w:r>
      <w:r>
        <w:rPr>
          <w:color w:val="000000" w:themeColor="text1"/>
        </w:rPr>
        <w:t>’</w:t>
      </w:r>
      <w:r w:rsidRPr="00AF4EB5">
        <w:rPr>
          <w:color w:val="000000" w:themeColor="text1"/>
        </w:rPr>
        <w:t>alimentation et l</w:t>
      </w:r>
      <w:r>
        <w:rPr>
          <w:color w:val="000000" w:themeColor="text1"/>
        </w:rPr>
        <w:t>’</w:t>
      </w:r>
      <w:r w:rsidRPr="00AF4EB5">
        <w:rPr>
          <w:color w:val="000000" w:themeColor="text1"/>
        </w:rPr>
        <w:t xml:space="preserve">agriculture </w:t>
      </w:r>
      <w:r>
        <w:rPr>
          <w:color w:val="000000" w:themeColor="text1"/>
        </w:rPr>
        <w:t xml:space="preserve">(FAO) </w:t>
      </w:r>
      <w:r w:rsidRPr="00AF4EB5">
        <w:rPr>
          <w:color w:val="000000" w:themeColor="text1"/>
        </w:rPr>
        <w:t>à l</w:t>
      </w:r>
      <w:r>
        <w:rPr>
          <w:color w:val="000000" w:themeColor="text1"/>
        </w:rPr>
        <w:t>’</w:t>
      </w:r>
      <w:r w:rsidRPr="00AF4EB5">
        <w:rPr>
          <w:color w:val="000000" w:themeColor="text1"/>
        </w:rPr>
        <w:t>appui de la concrétisation progressive du droit à une alimentation adéquate dans le contexte de la sécurité alimentaire nationale.</w:t>
      </w:r>
    </w:p>
  </w:footnote>
  <w:footnote w:id="59">
    <w:p w14:paraId="0994B35A" w14:textId="72B31F57" w:rsidR="000C1192" w:rsidRPr="005E5BBB" w:rsidRDefault="000C1192" w:rsidP="000C1192">
      <w:pPr>
        <w:pStyle w:val="Notedebasdepage"/>
        <w:rPr>
          <w:color w:val="000000" w:themeColor="text1"/>
        </w:rPr>
      </w:pPr>
      <w:r w:rsidRPr="00AF4EB5">
        <w:rPr>
          <w:color w:val="000000" w:themeColor="text1"/>
        </w:rPr>
        <w:tab/>
      </w:r>
      <w:r w:rsidRPr="00535E17">
        <w:rPr>
          <w:rStyle w:val="Appelnotedebasdep"/>
        </w:rPr>
        <w:footnoteRef/>
      </w:r>
      <w:r w:rsidRPr="005E5BBB">
        <w:rPr>
          <w:rStyle w:val="Appelnotedebasdep"/>
          <w:color w:val="000000" w:themeColor="text1"/>
        </w:rPr>
        <w:t xml:space="preserve"> </w:t>
      </w:r>
      <w:r w:rsidRPr="005E5BBB">
        <w:rPr>
          <w:color w:val="000000" w:themeColor="text1"/>
        </w:rPr>
        <w:tab/>
      </w:r>
      <w:hyperlink r:id="rId18" w:history="1">
        <w:r w:rsidRPr="003C1DE9">
          <w:rPr>
            <w:rStyle w:val="Lienhypertexte"/>
          </w:rPr>
          <w:t>https://documents-dds-ny.un.org/doc/UNDOC/GEN/G20/050/17/PDF/G2005017.pdf?OpenElement</w:t>
        </w:r>
      </w:hyperlink>
      <w:r w:rsidRPr="005E5BBB">
        <w:rPr>
          <w:color w:val="000000" w:themeColor="text1"/>
        </w:rPr>
        <w:t>.</w:t>
      </w:r>
    </w:p>
  </w:footnote>
  <w:footnote w:id="60">
    <w:p w14:paraId="28B149FB" w14:textId="77777777" w:rsidR="000C1192" w:rsidRPr="00CA1869" w:rsidRDefault="000C1192" w:rsidP="000C1192">
      <w:pPr>
        <w:pStyle w:val="Notedebasdepage"/>
        <w:rPr>
          <w:color w:val="000000" w:themeColor="text1"/>
        </w:rPr>
      </w:pPr>
      <w:bookmarkStart w:id="6" w:name="_Hlk109207147"/>
      <w:r w:rsidRPr="005E5BBB">
        <w:rPr>
          <w:color w:val="000000" w:themeColor="text1"/>
        </w:rPr>
        <w:tab/>
      </w:r>
      <w:r w:rsidRPr="00535E17">
        <w:rPr>
          <w:rStyle w:val="Appelnotedebasdep"/>
        </w:rPr>
        <w:footnoteRef/>
      </w:r>
      <w:r w:rsidRPr="0015267D">
        <w:rPr>
          <w:rStyle w:val="Appelnotedebasdep"/>
          <w:color w:val="000000" w:themeColor="text1"/>
        </w:rPr>
        <w:tab/>
      </w:r>
      <w:r>
        <w:rPr>
          <w:color w:val="000000" w:themeColor="text1"/>
        </w:rPr>
        <w:t xml:space="preserve">Dont </w:t>
      </w:r>
      <w:r w:rsidRPr="00CA1869">
        <w:rPr>
          <w:color w:val="000000" w:themeColor="text1"/>
        </w:rPr>
        <w:t xml:space="preserve">les programmes </w:t>
      </w:r>
      <w:r>
        <w:rPr>
          <w:color w:val="000000" w:themeColor="text1"/>
        </w:rPr>
        <w:t xml:space="preserve">suivants : </w:t>
      </w:r>
      <w:r w:rsidRPr="00CA1869">
        <w:rPr>
          <w:color w:val="000000" w:themeColor="text1"/>
        </w:rPr>
        <w:t>logement et logement social, intégration des personnes handicapées et renouve</w:t>
      </w:r>
      <w:r>
        <w:rPr>
          <w:color w:val="000000" w:themeColor="text1"/>
        </w:rPr>
        <w:t xml:space="preserve">au </w:t>
      </w:r>
      <w:r w:rsidRPr="00CA1869">
        <w:rPr>
          <w:color w:val="000000" w:themeColor="text1"/>
        </w:rPr>
        <w:t>démographique</w:t>
      </w:r>
      <w:r>
        <w:rPr>
          <w:color w:val="000000" w:themeColor="text1"/>
        </w:rPr>
        <w:t> ; et</w:t>
      </w:r>
      <w:r w:rsidRPr="00CA1869">
        <w:rPr>
          <w:color w:val="000000" w:themeColor="text1"/>
        </w:rPr>
        <w:t xml:space="preserve"> programmes opérationnels pour les minorités nationales.</w:t>
      </w:r>
    </w:p>
    <w:bookmarkEnd w:id="6"/>
  </w:footnote>
  <w:footnote w:id="61">
    <w:p w14:paraId="346FE432" w14:textId="2E92B8D5" w:rsidR="000C1192" w:rsidRPr="00CF1BDB" w:rsidRDefault="000C1192" w:rsidP="000C1192">
      <w:pPr>
        <w:pStyle w:val="Notedebasdepage"/>
        <w:rPr>
          <w:color w:val="000000" w:themeColor="text1"/>
        </w:rPr>
      </w:pPr>
      <w:r w:rsidRPr="00CA1869">
        <w:rPr>
          <w:color w:val="000000" w:themeColor="text1"/>
        </w:rPr>
        <w:tab/>
      </w:r>
      <w:r w:rsidRPr="00535E17">
        <w:rPr>
          <w:rStyle w:val="Appelnotedebasdep"/>
        </w:rPr>
        <w:footnoteRef/>
      </w:r>
      <w:r w:rsidRPr="005B30DF">
        <w:rPr>
          <w:rStyle w:val="Appelnotedebasdep"/>
          <w:color w:val="000000" w:themeColor="text1"/>
        </w:rPr>
        <w:tab/>
      </w:r>
      <w:r w:rsidRPr="005B30DF">
        <w:rPr>
          <w:color w:val="000000" w:themeColor="text1"/>
        </w:rPr>
        <w:tab/>
      </w:r>
      <w:r w:rsidRPr="00CF1BDB">
        <w:rPr>
          <w:color w:val="000000" w:themeColor="text1"/>
        </w:rPr>
        <w:t>Ce seuil a été relevé par l</w:t>
      </w:r>
      <w:r>
        <w:rPr>
          <w:color w:val="000000" w:themeColor="text1"/>
        </w:rPr>
        <w:t xml:space="preserve">a dernière modification de la loi sur l’exécution des décisions de justice, entrée </w:t>
      </w:r>
      <w:r w:rsidRPr="00CF1BDB">
        <w:rPr>
          <w:color w:val="000000" w:themeColor="text1"/>
        </w:rPr>
        <w:t>en vigueur en novembre 2020</w:t>
      </w:r>
      <w:r>
        <w:rPr>
          <w:color w:val="000000" w:themeColor="text1"/>
        </w:rPr>
        <w:t xml:space="preserve"> ; le montant était fixé auparavant à </w:t>
      </w:r>
      <w:r w:rsidRPr="00CF1BDB">
        <w:rPr>
          <w:color w:val="000000" w:themeColor="text1"/>
        </w:rPr>
        <w:t>20</w:t>
      </w:r>
      <w:r w:rsidR="000E2C32">
        <w:rPr>
          <w:color w:val="000000" w:themeColor="text1"/>
        </w:rPr>
        <w:t> </w:t>
      </w:r>
      <w:r w:rsidRPr="00CF1BDB">
        <w:rPr>
          <w:color w:val="000000" w:themeColor="text1"/>
        </w:rPr>
        <w:t>000</w:t>
      </w:r>
      <w:r w:rsidR="000E2C32">
        <w:rPr>
          <w:color w:val="000000" w:themeColor="text1"/>
        </w:rPr>
        <w:t> </w:t>
      </w:r>
      <w:r>
        <w:rPr>
          <w:color w:val="000000" w:themeColor="text1"/>
        </w:rPr>
        <w:t>kunas</w:t>
      </w:r>
      <w:r w:rsidRPr="00CF1BDB">
        <w:rPr>
          <w:color w:val="000000" w:themeColor="text1"/>
        </w:rPr>
        <w:t>.</w:t>
      </w:r>
    </w:p>
  </w:footnote>
  <w:footnote w:id="62">
    <w:p w14:paraId="43922CFA" w14:textId="5A221700" w:rsidR="000C1192" w:rsidRPr="009817C2" w:rsidRDefault="000C1192" w:rsidP="000C1192">
      <w:pPr>
        <w:pStyle w:val="Notedebasdepage"/>
        <w:rPr>
          <w:color w:val="000000" w:themeColor="text1"/>
        </w:rPr>
      </w:pPr>
      <w:r w:rsidRPr="00CF1BDB">
        <w:rPr>
          <w:color w:val="000000" w:themeColor="text1"/>
        </w:rPr>
        <w:tab/>
      </w:r>
      <w:r w:rsidRPr="00535E17">
        <w:rPr>
          <w:rStyle w:val="Appelnotedebasdep"/>
        </w:rPr>
        <w:footnoteRef/>
      </w:r>
      <w:r w:rsidRPr="009817C2">
        <w:rPr>
          <w:rStyle w:val="Appelnotedebasdep"/>
          <w:color w:val="000000" w:themeColor="text1"/>
        </w:rPr>
        <w:tab/>
      </w:r>
      <w:r w:rsidRPr="009817C2">
        <w:rPr>
          <w:rFonts w:eastAsia="SimSun"/>
          <w:color w:val="000000" w:themeColor="text1"/>
          <w:lang w:eastAsia="zh-CN"/>
        </w:rPr>
        <w:t>Journal officiel, Accords internationaux, n</w:t>
      </w:r>
      <w:r w:rsidR="000E2C32" w:rsidRPr="000E2C32">
        <w:rPr>
          <w:rFonts w:eastAsia="SimSun"/>
          <w:color w:val="000000" w:themeColor="text1"/>
          <w:vertAlign w:val="superscript"/>
          <w:lang w:eastAsia="zh-CN"/>
        </w:rPr>
        <w:t>o</w:t>
      </w:r>
      <w:r w:rsidR="000E2C32">
        <w:rPr>
          <w:rFonts w:eastAsia="SimSun"/>
          <w:color w:val="000000" w:themeColor="text1"/>
          <w:lang w:eastAsia="zh-CN"/>
        </w:rPr>
        <w:t> </w:t>
      </w:r>
      <w:r w:rsidRPr="009817C2">
        <w:rPr>
          <w:rFonts w:eastAsia="SimSun"/>
          <w:color w:val="000000" w:themeColor="text1"/>
          <w:lang w:eastAsia="zh-CN"/>
        </w:rPr>
        <w:t>13/03</w:t>
      </w:r>
      <w:r w:rsidRPr="009817C2">
        <w:rPr>
          <w:color w:val="000000" w:themeColor="text1"/>
        </w:rPr>
        <w:t>.</w:t>
      </w:r>
    </w:p>
  </w:footnote>
  <w:footnote w:id="63">
    <w:p w14:paraId="59D4525A" w14:textId="34D2BFBF" w:rsidR="000C1192" w:rsidRPr="00C34218" w:rsidRDefault="000C1192" w:rsidP="000C1192">
      <w:pPr>
        <w:pStyle w:val="Notedebasdepage"/>
        <w:rPr>
          <w:color w:val="000000" w:themeColor="text1"/>
        </w:rPr>
      </w:pPr>
      <w:r w:rsidRPr="009817C2">
        <w:rPr>
          <w:color w:val="000000" w:themeColor="text1"/>
        </w:rPr>
        <w:tab/>
      </w:r>
      <w:r w:rsidRPr="00535E17">
        <w:rPr>
          <w:rStyle w:val="Appelnotedebasdep"/>
        </w:rPr>
        <w:footnoteRef/>
      </w:r>
      <w:r w:rsidRPr="00C34218">
        <w:rPr>
          <w:rStyle w:val="Appelnotedebasdep"/>
          <w:color w:val="000000" w:themeColor="text1"/>
        </w:rPr>
        <w:tab/>
      </w:r>
      <w:r w:rsidRPr="00C34218">
        <w:rPr>
          <w:color w:val="000000" w:themeColor="text1"/>
        </w:rPr>
        <w:t xml:space="preserve">Les soins de santé obligatoires sont financés </w:t>
      </w:r>
      <w:r>
        <w:rPr>
          <w:color w:val="000000" w:themeColor="text1"/>
        </w:rPr>
        <w:t xml:space="preserve">au moyen des </w:t>
      </w:r>
      <w:r w:rsidRPr="00C34218">
        <w:rPr>
          <w:color w:val="000000" w:themeColor="text1"/>
        </w:rPr>
        <w:t xml:space="preserve">cotisations des assurés, </w:t>
      </w:r>
      <w:r>
        <w:rPr>
          <w:color w:val="000000" w:themeColor="text1"/>
        </w:rPr>
        <w:t xml:space="preserve">des </w:t>
      </w:r>
      <w:r w:rsidRPr="00C34218">
        <w:rPr>
          <w:color w:val="000000" w:themeColor="text1"/>
        </w:rPr>
        <w:t xml:space="preserve">cotisations des employeurs, </w:t>
      </w:r>
      <w:r>
        <w:rPr>
          <w:color w:val="000000" w:themeColor="text1"/>
        </w:rPr>
        <w:t xml:space="preserve">des </w:t>
      </w:r>
      <w:r w:rsidRPr="00C34218">
        <w:rPr>
          <w:color w:val="000000" w:themeColor="text1"/>
        </w:rPr>
        <w:t>cotisations d</w:t>
      </w:r>
      <w:r>
        <w:rPr>
          <w:color w:val="000000" w:themeColor="text1"/>
        </w:rPr>
        <w:t>’</w:t>
      </w:r>
      <w:r w:rsidRPr="00C34218">
        <w:rPr>
          <w:color w:val="000000" w:themeColor="text1"/>
        </w:rPr>
        <w:t xml:space="preserve">autres contribuables </w:t>
      </w:r>
      <w:r>
        <w:rPr>
          <w:color w:val="000000" w:themeColor="text1"/>
        </w:rPr>
        <w:t xml:space="preserve">désignés par la </w:t>
      </w:r>
      <w:r w:rsidRPr="00C34218">
        <w:rPr>
          <w:color w:val="000000" w:themeColor="text1"/>
        </w:rPr>
        <w:t xml:space="preserve">loi </w:t>
      </w:r>
      <w:r>
        <w:rPr>
          <w:color w:val="000000" w:themeColor="text1"/>
        </w:rPr>
        <w:t xml:space="preserve">sur la santé publique </w:t>
      </w:r>
      <w:r w:rsidRPr="00C34218">
        <w:rPr>
          <w:color w:val="000000" w:themeColor="text1"/>
        </w:rPr>
        <w:t>et d</w:t>
      </w:r>
      <w:r>
        <w:rPr>
          <w:color w:val="000000" w:themeColor="text1"/>
        </w:rPr>
        <w:t>’</w:t>
      </w:r>
      <w:r w:rsidRPr="00C34218">
        <w:rPr>
          <w:color w:val="000000" w:themeColor="text1"/>
        </w:rPr>
        <w:t xml:space="preserve">autres lois, </w:t>
      </w:r>
      <w:r>
        <w:rPr>
          <w:color w:val="000000" w:themeColor="text1"/>
        </w:rPr>
        <w:t xml:space="preserve">des </w:t>
      </w:r>
      <w:r w:rsidRPr="00C34218">
        <w:rPr>
          <w:color w:val="000000" w:themeColor="text1"/>
        </w:rPr>
        <w:t xml:space="preserve">cotisations spéciales pour </w:t>
      </w:r>
      <w:r>
        <w:rPr>
          <w:color w:val="000000" w:themeColor="text1"/>
        </w:rPr>
        <w:t xml:space="preserve">le recours aux </w:t>
      </w:r>
      <w:r w:rsidRPr="00C34218">
        <w:rPr>
          <w:color w:val="000000" w:themeColor="text1"/>
        </w:rPr>
        <w:t>soins de santé à l</w:t>
      </w:r>
      <w:r>
        <w:rPr>
          <w:color w:val="000000" w:themeColor="text1"/>
        </w:rPr>
        <w:t>’</w:t>
      </w:r>
      <w:r w:rsidRPr="00C34218">
        <w:rPr>
          <w:color w:val="000000" w:themeColor="text1"/>
        </w:rPr>
        <w:t xml:space="preserve">étranger, </w:t>
      </w:r>
      <w:r>
        <w:rPr>
          <w:color w:val="000000" w:themeColor="text1"/>
        </w:rPr>
        <w:t xml:space="preserve">des </w:t>
      </w:r>
      <w:r w:rsidRPr="00C34218">
        <w:rPr>
          <w:color w:val="000000" w:themeColor="text1"/>
        </w:rPr>
        <w:t>cotisations spéciales en cas d</w:t>
      </w:r>
      <w:r>
        <w:rPr>
          <w:color w:val="000000" w:themeColor="text1"/>
        </w:rPr>
        <w:t>’</w:t>
      </w:r>
      <w:r w:rsidRPr="00C34218">
        <w:rPr>
          <w:color w:val="000000" w:themeColor="text1"/>
        </w:rPr>
        <w:t xml:space="preserve">accident du travail, </w:t>
      </w:r>
      <w:r>
        <w:rPr>
          <w:color w:val="000000" w:themeColor="text1"/>
        </w:rPr>
        <w:t xml:space="preserve">des </w:t>
      </w:r>
      <w:r w:rsidRPr="00C34218">
        <w:rPr>
          <w:color w:val="000000" w:themeColor="text1"/>
        </w:rPr>
        <w:t>recettes du budget de l</w:t>
      </w:r>
      <w:r>
        <w:rPr>
          <w:color w:val="000000" w:themeColor="text1"/>
        </w:rPr>
        <w:t>’</w:t>
      </w:r>
      <w:r w:rsidRPr="00C34218">
        <w:rPr>
          <w:color w:val="000000" w:themeColor="text1"/>
        </w:rPr>
        <w:t xml:space="preserve">État et </w:t>
      </w:r>
      <w:r>
        <w:rPr>
          <w:color w:val="000000" w:themeColor="text1"/>
        </w:rPr>
        <w:t xml:space="preserve">des </w:t>
      </w:r>
      <w:r w:rsidRPr="00C34218">
        <w:rPr>
          <w:color w:val="000000" w:themeColor="text1"/>
        </w:rPr>
        <w:t>intérêts, dividendes et recettes</w:t>
      </w:r>
      <w:r>
        <w:rPr>
          <w:color w:val="000000" w:themeColor="text1"/>
        </w:rPr>
        <w:t xml:space="preserve"> diverses.</w:t>
      </w:r>
    </w:p>
  </w:footnote>
  <w:footnote w:id="64">
    <w:p w14:paraId="4168373D" w14:textId="0265BA4A" w:rsidR="000C1192" w:rsidRPr="000D4E4D" w:rsidRDefault="000C1192" w:rsidP="000C1192">
      <w:pPr>
        <w:pStyle w:val="Notedebasdepage"/>
        <w:rPr>
          <w:color w:val="000000" w:themeColor="text1"/>
        </w:rPr>
      </w:pPr>
      <w:r w:rsidRPr="00C34218">
        <w:rPr>
          <w:color w:val="000000" w:themeColor="text1"/>
        </w:rPr>
        <w:tab/>
      </w:r>
      <w:r w:rsidRPr="00535E17">
        <w:rPr>
          <w:rStyle w:val="Appelnotedebasdep"/>
        </w:rPr>
        <w:footnoteRef/>
      </w:r>
      <w:r w:rsidRPr="005B30DF">
        <w:rPr>
          <w:rStyle w:val="Appelnotedebasdep"/>
          <w:color w:val="000000" w:themeColor="text1"/>
        </w:rPr>
        <w:tab/>
      </w:r>
      <w:r w:rsidRPr="000D4E4D">
        <w:rPr>
          <w:color w:val="000000" w:themeColor="text1"/>
        </w:rPr>
        <w:t xml:space="preserve">Les professionnels de la santé sont formés </w:t>
      </w:r>
      <w:r>
        <w:rPr>
          <w:color w:val="000000" w:themeColor="text1"/>
        </w:rPr>
        <w:t xml:space="preserve">dans les </w:t>
      </w:r>
      <w:r w:rsidRPr="000D4E4D">
        <w:rPr>
          <w:color w:val="000000" w:themeColor="text1"/>
        </w:rPr>
        <w:t>faculté</w:t>
      </w:r>
      <w:r>
        <w:rPr>
          <w:color w:val="000000" w:themeColor="text1"/>
        </w:rPr>
        <w:t>s</w:t>
      </w:r>
      <w:r w:rsidRPr="000D4E4D">
        <w:rPr>
          <w:color w:val="000000" w:themeColor="text1"/>
        </w:rPr>
        <w:t xml:space="preserve"> de médecine, de médecine dentaire, de pharmacie et de biochimie, </w:t>
      </w:r>
      <w:r>
        <w:rPr>
          <w:color w:val="000000" w:themeColor="text1"/>
        </w:rPr>
        <w:t xml:space="preserve">au département d’études en </w:t>
      </w:r>
      <w:r w:rsidRPr="000D4E4D">
        <w:rPr>
          <w:color w:val="000000" w:themeColor="text1"/>
        </w:rPr>
        <w:t xml:space="preserve">orthophonie et </w:t>
      </w:r>
      <w:r>
        <w:rPr>
          <w:color w:val="000000" w:themeColor="text1"/>
        </w:rPr>
        <w:t>dans</w:t>
      </w:r>
      <w:r w:rsidRPr="000D4E4D">
        <w:rPr>
          <w:color w:val="000000" w:themeColor="text1"/>
        </w:rPr>
        <w:t xml:space="preserve"> d</w:t>
      </w:r>
      <w:r>
        <w:rPr>
          <w:color w:val="000000" w:themeColor="text1"/>
        </w:rPr>
        <w:t>’</w:t>
      </w:r>
      <w:r w:rsidRPr="000D4E4D">
        <w:rPr>
          <w:color w:val="000000" w:themeColor="text1"/>
        </w:rPr>
        <w:t>autres établissements d</w:t>
      </w:r>
      <w:r>
        <w:rPr>
          <w:color w:val="000000" w:themeColor="text1"/>
        </w:rPr>
        <w:t>’</w:t>
      </w:r>
      <w:r w:rsidRPr="000D4E4D">
        <w:rPr>
          <w:color w:val="000000" w:themeColor="text1"/>
        </w:rPr>
        <w:t xml:space="preserve">enseignement supérieur </w:t>
      </w:r>
      <w:r>
        <w:rPr>
          <w:color w:val="000000" w:themeColor="text1"/>
        </w:rPr>
        <w:t>orientés vers la santé</w:t>
      </w:r>
      <w:r w:rsidRPr="000D4E4D">
        <w:rPr>
          <w:color w:val="000000" w:themeColor="text1"/>
        </w:rPr>
        <w:t xml:space="preserve">, ainsi que dans </w:t>
      </w:r>
      <w:r>
        <w:rPr>
          <w:color w:val="000000" w:themeColor="text1"/>
        </w:rPr>
        <w:t xml:space="preserve">des établissements </w:t>
      </w:r>
      <w:r w:rsidRPr="000D4E4D">
        <w:rPr>
          <w:color w:val="000000" w:themeColor="text1"/>
        </w:rPr>
        <w:t xml:space="preserve">secondaires </w:t>
      </w:r>
      <w:r>
        <w:rPr>
          <w:color w:val="000000" w:themeColor="text1"/>
        </w:rPr>
        <w:t>orientés vers la santé</w:t>
      </w:r>
      <w:r w:rsidRPr="000D4E4D">
        <w:rPr>
          <w:color w:val="000000" w:themeColor="text1"/>
        </w:rPr>
        <w:t>.</w:t>
      </w:r>
    </w:p>
  </w:footnote>
  <w:footnote w:id="65">
    <w:p w14:paraId="561BF241" w14:textId="5D816DD0" w:rsidR="000C1192" w:rsidRPr="00720365" w:rsidRDefault="000C1192" w:rsidP="000C1192">
      <w:pPr>
        <w:pStyle w:val="Notedebasdepage"/>
        <w:rPr>
          <w:color w:val="000000" w:themeColor="text1"/>
        </w:rPr>
      </w:pPr>
      <w:r w:rsidRPr="000D4E4D">
        <w:rPr>
          <w:color w:val="000000" w:themeColor="text1"/>
        </w:rPr>
        <w:tab/>
      </w:r>
      <w:r w:rsidRPr="00535E17">
        <w:rPr>
          <w:rStyle w:val="Appelnotedebasdep"/>
        </w:rPr>
        <w:footnoteRef/>
      </w:r>
      <w:r w:rsidRPr="00720365">
        <w:rPr>
          <w:color w:val="000000" w:themeColor="text1"/>
        </w:rPr>
        <w:tab/>
        <w:t xml:space="preserve">Les </w:t>
      </w:r>
      <w:r>
        <w:rPr>
          <w:color w:val="000000" w:themeColor="text1"/>
        </w:rPr>
        <w:t xml:space="preserve">aspects suivants </w:t>
      </w:r>
      <w:r w:rsidRPr="00720365">
        <w:rPr>
          <w:color w:val="000000" w:themeColor="text1"/>
        </w:rPr>
        <w:t xml:space="preserve">sont </w:t>
      </w:r>
      <w:r>
        <w:rPr>
          <w:color w:val="000000" w:themeColor="text1"/>
        </w:rPr>
        <w:t>couverts</w:t>
      </w:r>
      <w:r w:rsidR="000E2C32">
        <w:rPr>
          <w:color w:val="000000" w:themeColor="text1"/>
        </w:rPr>
        <w:t> </w:t>
      </w:r>
      <w:r w:rsidRPr="00720365">
        <w:rPr>
          <w:color w:val="000000" w:themeColor="text1"/>
        </w:rPr>
        <w:t>:</w:t>
      </w:r>
    </w:p>
    <w:p w14:paraId="09299251" w14:textId="266440AB" w:rsidR="000C1192" w:rsidRPr="005C2F39" w:rsidRDefault="000C1192" w:rsidP="000E2C32">
      <w:pPr>
        <w:pStyle w:val="Notedebasdepage"/>
        <w:ind w:left="1418" w:hanging="284"/>
        <w:rPr>
          <w:color w:val="000000" w:themeColor="text1"/>
          <w:szCs w:val="18"/>
        </w:rPr>
      </w:pPr>
      <w:r w:rsidRPr="005C2F39">
        <w:rPr>
          <w:color w:val="000000" w:themeColor="text1"/>
          <w:szCs w:val="18"/>
        </w:rPr>
        <w:t>•</w:t>
      </w:r>
      <w:r w:rsidRPr="005C2F39">
        <w:rPr>
          <w:color w:val="000000" w:themeColor="text1"/>
          <w:szCs w:val="18"/>
        </w:rPr>
        <w:tab/>
      </w:r>
      <w:r>
        <w:rPr>
          <w:color w:val="000000" w:themeColor="text1"/>
          <w:szCs w:val="18"/>
        </w:rPr>
        <w:t xml:space="preserve">Création d’organismes régionaux pour la santé périnatale </w:t>
      </w:r>
      <w:r w:rsidRPr="005C2F39">
        <w:rPr>
          <w:color w:val="000000" w:themeColor="text1"/>
          <w:szCs w:val="18"/>
        </w:rPr>
        <w:t>dans lesquels les soins à la mère et à l</w:t>
      </w:r>
      <w:r>
        <w:rPr>
          <w:color w:val="000000" w:themeColor="text1"/>
          <w:szCs w:val="18"/>
        </w:rPr>
        <w:t>’</w:t>
      </w:r>
      <w:r w:rsidRPr="005C2F39">
        <w:rPr>
          <w:color w:val="000000" w:themeColor="text1"/>
          <w:szCs w:val="18"/>
        </w:rPr>
        <w:t>enfant sont divisés en trois étapes (</w:t>
      </w:r>
      <w:r>
        <w:rPr>
          <w:color w:val="000000" w:themeColor="text1"/>
          <w:szCs w:val="18"/>
        </w:rPr>
        <w:t xml:space="preserve">des </w:t>
      </w:r>
      <w:r w:rsidRPr="005C2F39">
        <w:rPr>
          <w:color w:val="000000" w:themeColor="text1"/>
          <w:szCs w:val="18"/>
        </w:rPr>
        <w:t>soins aux femmes enceintes et aux enfants jusqu</w:t>
      </w:r>
      <w:r>
        <w:rPr>
          <w:color w:val="000000" w:themeColor="text1"/>
          <w:szCs w:val="18"/>
        </w:rPr>
        <w:t>’</w:t>
      </w:r>
      <w:r w:rsidRPr="005C2F39">
        <w:rPr>
          <w:color w:val="000000" w:themeColor="text1"/>
          <w:szCs w:val="18"/>
        </w:rPr>
        <w:t xml:space="preserve">aux </w:t>
      </w:r>
      <w:r>
        <w:rPr>
          <w:color w:val="000000" w:themeColor="text1"/>
          <w:szCs w:val="18"/>
        </w:rPr>
        <w:t xml:space="preserve">cas de </w:t>
      </w:r>
      <w:r w:rsidRPr="005C2F39">
        <w:rPr>
          <w:color w:val="000000" w:themeColor="text1"/>
          <w:szCs w:val="18"/>
        </w:rPr>
        <w:t>grossesse à risque, en fonction du degré de risque)</w:t>
      </w:r>
      <w:r>
        <w:rPr>
          <w:color w:val="000000" w:themeColor="text1"/>
          <w:szCs w:val="18"/>
        </w:rPr>
        <w:t> ;</w:t>
      </w:r>
    </w:p>
    <w:p w14:paraId="1ADED3B7" w14:textId="77777777" w:rsidR="000C1192" w:rsidRPr="009803D5" w:rsidRDefault="000C1192" w:rsidP="000E2C32">
      <w:pPr>
        <w:pStyle w:val="Notedebasdepage"/>
        <w:ind w:left="1418" w:hanging="284"/>
        <w:rPr>
          <w:color w:val="000000" w:themeColor="text1"/>
          <w:szCs w:val="18"/>
        </w:rPr>
      </w:pPr>
      <w:r w:rsidRPr="009803D5">
        <w:rPr>
          <w:color w:val="000000" w:themeColor="text1"/>
          <w:szCs w:val="18"/>
        </w:rPr>
        <w:t>•</w:t>
      </w:r>
      <w:r w:rsidRPr="009803D5">
        <w:rPr>
          <w:color w:val="000000" w:themeColor="text1"/>
          <w:szCs w:val="18"/>
        </w:rPr>
        <w:tab/>
      </w:r>
      <w:r>
        <w:rPr>
          <w:color w:val="000000" w:themeColor="text1"/>
          <w:szCs w:val="18"/>
        </w:rPr>
        <w:t xml:space="preserve">Mise en place </w:t>
      </w:r>
      <w:r w:rsidRPr="009803D5">
        <w:rPr>
          <w:color w:val="000000" w:themeColor="text1"/>
          <w:szCs w:val="18"/>
        </w:rPr>
        <w:t xml:space="preserve">de services spéciaux, </w:t>
      </w:r>
      <w:r>
        <w:rPr>
          <w:color w:val="000000" w:themeColor="text1"/>
          <w:szCs w:val="18"/>
        </w:rPr>
        <w:t xml:space="preserve">en particulier </w:t>
      </w:r>
      <w:r w:rsidRPr="009803D5">
        <w:rPr>
          <w:color w:val="000000" w:themeColor="text1"/>
          <w:szCs w:val="18"/>
        </w:rPr>
        <w:t>de néonatologie</w:t>
      </w:r>
      <w:r>
        <w:rPr>
          <w:color w:val="000000" w:themeColor="text1"/>
          <w:szCs w:val="18"/>
        </w:rPr>
        <w:t> ;</w:t>
      </w:r>
    </w:p>
    <w:p w14:paraId="716CE659" w14:textId="06F081EE" w:rsidR="000C1192" w:rsidRPr="007B0A98" w:rsidRDefault="000C1192" w:rsidP="000E2C32">
      <w:pPr>
        <w:pStyle w:val="Notedebasdepage"/>
        <w:ind w:left="1418" w:hanging="284"/>
        <w:rPr>
          <w:color w:val="000000" w:themeColor="text1"/>
          <w:szCs w:val="18"/>
        </w:rPr>
      </w:pPr>
      <w:r w:rsidRPr="007B0A98">
        <w:rPr>
          <w:color w:val="000000" w:themeColor="text1"/>
          <w:szCs w:val="18"/>
        </w:rPr>
        <w:t>•</w:t>
      </w:r>
      <w:r w:rsidRPr="007B0A98">
        <w:rPr>
          <w:color w:val="000000" w:themeColor="text1"/>
          <w:szCs w:val="18"/>
        </w:rPr>
        <w:tab/>
        <w:t>Développement d</w:t>
      </w:r>
      <w:r>
        <w:rPr>
          <w:color w:val="000000" w:themeColor="text1"/>
          <w:szCs w:val="18"/>
        </w:rPr>
        <w:t>’</w:t>
      </w:r>
      <w:r w:rsidRPr="007B0A98">
        <w:rPr>
          <w:color w:val="000000" w:themeColor="text1"/>
          <w:szCs w:val="18"/>
        </w:rPr>
        <w:t>un système d</w:t>
      </w:r>
      <w:r>
        <w:rPr>
          <w:color w:val="000000" w:themeColor="text1"/>
          <w:szCs w:val="18"/>
        </w:rPr>
        <w:t>’</w:t>
      </w:r>
      <w:r w:rsidRPr="007B0A98">
        <w:rPr>
          <w:color w:val="000000" w:themeColor="text1"/>
          <w:szCs w:val="18"/>
        </w:rPr>
        <w:t xml:space="preserve">information sur la grossesse </w:t>
      </w:r>
      <w:r>
        <w:rPr>
          <w:color w:val="000000" w:themeColor="text1"/>
          <w:szCs w:val="18"/>
        </w:rPr>
        <w:t xml:space="preserve">le suivi des </w:t>
      </w:r>
      <w:r w:rsidRPr="007B0A98">
        <w:rPr>
          <w:color w:val="000000" w:themeColor="text1"/>
          <w:szCs w:val="18"/>
        </w:rPr>
        <w:t>résultats</w:t>
      </w:r>
      <w:r w:rsidR="000E2C32">
        <w:rPr>
          <w:color w:val="000000" w:themeColor="text1"/>
          <w:szCs w:val="18"/>
        </w:rPr>
        <w:t> </w:t>
      </w:r>
      <w:r>
        <w:rPr>
          <w:color w:val="000000" w:themeColor="text1"/>
          <w:szCs w:val="18"/>
        </w:rPr>
        <w:t>;</w:t>
      </w:r>
    </w:p>
    <w:p w14:paraId="79CDE07C" w14:textId="692A4BCD" w:rsidR="000C1192" w:rsidRPr="00C641DB" w:rsidRDefault="000C1192" w:rsidP="000E2C32">
      <w:pPr>
        <w:pStyle w:val="Notedebasdepage"/>
        <w:ind w:left="1418" w:hanging="284"/>
        <w:rPr>
          <w:color w:val="000000" w:themeColor="text1"/>
          <w:szCs w:val="18"/>
        </w:rPr>
      </w:pPr>
      <w:r w:rsidRPr="00C641DB">
        <w:rPr>
          <w:color w:val="000000" w:themeColor="text1"/>
          <w:szCs w:val="18"/>
        </w:rPr>
        <w:t>•</w:t>
      </w:r>
      <w:r w:rsidRPr="00C641DB">
        <w:rPr>
          <w:color w:val="000000" w:themeColor="text1"/>
          <w:szCs w:val="18"/>
        </w:rPr>
        <w:tab/>
        <w:t>Observation et évaluation appropriées des soins à chaque étape</w:t>
      </w:r>
      <w:r w:rsidR="000E2C32">
        <w:rPr>
          <w:color w:val="000000" w:themeColor="text1"/>
          <w:szCs w:val="18"/>
        </w:rPr>
        <w:t> </w:t>
      </w:r>
      <w:r w:rsidRPr="00C641DB">
        <w:rPr>
          <w:color w:val="000000" w:themeColor="text1"/>
          <w:szCs w:val="18"/>
        </w:rPr>
        <w:t>;</w:t>
      </w:r>
    </w:p>
    <w:p w14:paraId="6A29F47F" w14:textId="0A6989B2" w:rsidR="000C1192" w:rsidRPr="007D6C42" w:rsidRDefault="000C1192" w:rsidP="000E2C32">
      <w:pPr>
        <w:pStyle w:val="Notedebasdepage"/>
        <w:ind w:left="1418" w:hanging="284"/>
        <w:rPr>
          <w:color w:val="000000" w:themeColor="text1"/>
          <w:szCs w:val="18"/>
        </w:rPr>
      </w:pPr>
      <w:r w:rsidRPr="007D6C42">
        <w:rPr>
          <w:color w:val="000000" w:themeColor="text1"/>
          <w:szCs w:val="18"/>
        </w:rPr>
        <w:t>•</w:t>
      </w:r>
      <w:r w:rsidRPr="007D6C42">
        <w:rPr>
          <w:color w:val="000000" w:themeColor="text1"/>
          <w:szCs w:val="18"/>
        </w:rPr>
        <w:tab/>
        <w:t xml:space="preserve">Coopération </w:t>
      </w:r>
      <w:r>
        <w:rPr>
          <w:color w:val="000000" w:themeColor="text1"/>
          <w:szCs w:val="18"/>
        </w:rPr>
        <w:t>transversale</w:t>
      </w:r>
      <w:r w:rsidRPr="007D6C42">
        <w:rPr>
          <w:color w:val="000000" w:themeColor="text1"/>
          <w:szCs w:val="18"/>
        </w:rPr>
        <w:t xml:space="preserve"> pour la définition </w:t>
      </w:r>
      <w:r>
        <w:rPr>
          <w:color w:val="000000" w:themeColor="text1"/>
          <w:szCs w:val="18"/>
        </w:rPr>
        <w:t>d’une</w:t>
      </w:r>
      <w:r w:rsidRPr="007D6C42">
        <w:rPr>
          <w:color w:val="000000" w:themeColor="text1"/>
          <w:szCs w:val="18"/>
        </w:rPr>
        <w:t xml:space="preserve"> réglementation </w:t>
      </w:r>
      <w:r>
        <w:rPr>
          <w:color w:val="000000" w:themeColor="text1"/>
          <w:szCs w:val="18"/>
        </w:rPr>
        <w:t xml:space="preserve">visant à promouvoir </w:t>
      </w:r>
      <w:r w:rsidRPr="007D6C42">
        <w:rPr>
          <w:color w:val="000000" w:themeColor="text1"/>
          <w:szCs w:val="18"/>
        </w:rPr>
        <w:t>les droits à la protection de la maternité et à la santé de l</w:t>
      </w:r>
      <w:r>
        <w:rPr>
          <w:color w:val="000000" w:themeColor="text1"/>
          <w:szCs w:val="18"/>
        </w:rPr>
        <w:t>’</w:t>
      </w:r>
      <w:r w:rsidRPr="007D6C42">
        <w:rPr>
          <w:color w:val="000000" w:themeColor="text1"/>
          <w:szCs w:val="18"/>
        </w:rPr>
        <w:t>enfant</w:t>
      </w:r>
      <w:r>
        <w:rPr>
          <w:color w:val="000000" w:themeColor="text1"/>
          <w:szCs w:val="18"/>
        </w:rPr>
        <w:t> ;</w:t>
      </w:r>
    </w:p>
    <w:p w14:paraId="6695AB4A" w14:textId="1C5A2201" w:rsidR="000C1192" w:rsidRPr="00660441" w:rsidRDefault="000C1192" w:rsidP="000E2C32">
      <w:pPr>
        <w:pStyle w:val="Notedebasdepage"/>
        <w:ind w:left="1418" w:hanging="284"/>
        <w:rPr>
          <w:color w:val="000000" w:themeColor="text1"/>
          <w:szCs w:val="18"/>
        </w:rPr>
      </w:pPr>
      <w:r w:rsidRPr="00660441">
        <w:rPr>
          <w:color w:val="000000" w:themeColor="text1"/>
          <w:szCs w:val="18"/>
        </w:rPr>
        <w:t>•</w:t>
      </w:r>
      <w:r w:rsidRPr="00660441">
        <w:rPr>
          <w:color w:val="000000" w:themeColor="text1"/>
          <w:szCs w:val="18"/>
        </w:rPr>
        <w:tab/>
      </w:r>
      <w:r>
        <w:rPr>
          <w:color w:val="000000" w:themeColor="text1"/>
          <w:szCs w:val="18"/>
        </w:rPr>
        <w:t xml:space="preserve">Réalisation des </w:t>
      </w:r>
      <w:r w:rsidRPr="00660441">
        <w:rPr>
          <w:color w:val="000000" w:themeColor="text1"/>
          <w:szCs w:val="18"/>
        </w:rPr>
        <w:t xml:space="preserve">ODD </w:t>
      </w:r>
      <w:r>
        <w:rPr>
          <w:color w:val="000000" w:themeColor="text1"/>
          <w:szCs w:val="18"/>
        </w:rPr>
        <w:t xml:space="preserve">relatifs à la mère et à l’enfant ; </w:t>
      </w:r>
    </w:p>
    <w:p w14:paraId="16D91917" w14:textId="6F69B953" w:rsidR="000C1192" w:rsidRPr="005A6FDF" w:rsidRDefault="000C1192" w:rsidP="000E2C32">
      <w:pPr>
        <w:pStyle w:val="Notedebasdepage"/>
        <w:ind w:left="1418" w:hanging="284"/>
        <w:rPr>
          <w:color w:val="000000" w:themeColor="text1"/>
          <w:szCs w:val="18"/>
        </w:rPr>
      </w:pPr>
      <w:r w:rsidRPr="005A6FDF">
        <w:rPr>
          <w:color w:val="000000" w:themeColor="text1"/>
          <w:szCs w:val="18"/>
        </w:rPr>
        <w:t>•</w:t>
      </w:r>
      <w:r w:rsidRPr="005A6FDF">
        <w:rPr>
          <w:color w:val="000000" w:themeColor="text1"/>
          <w:szCs w:val="18"/>
        </w:rPr>
        <w:tab/>
        <w:t>Coopér</w:t>
      </w:r>
      <w:r>
        <w:rPr>
          <w:color w:val="000000" w:themeColor="text1"/>
          <w:szCs w:val="18"/>
        </w:rPr>
        <w:t>ation</w:t>
      </w:r>
      <w:r w:rsidRPr="005A6FDF">
        <w:rPr>
          <w:color w:val="000000" w:themeColor="text1"/>
          <w:szCs w:val="18"/>
        </w:rPr>
        <w:t xml:space="preserve"> avec les ONG sur </w:t>
      </w:r>
      <w:r>
        <w:rPr>
          <w:color w:val="000000" w:themeColor="text1"/>
          <w:szCs w:val="18"/>
        </w:rPr>
        <w:t xml:space="preserve">l’évolution future </w:t>
      </w:r>
      <w:r w:rsidRPr="005A6FDF">
        <w:rPr>
          <w:color w:val="000000" w:themeColor="text1"/>
          <w:szCs w:val="18"/>
        </w:rPr>
        <w:t>et l</w:t>
      </w:r>
      <w:r>
        <w:rPr>
          <w:color w:val="000000" w:themeColor="text1"/>
          <w:szCs w:val="18"/>
        </w:rPr>
        <w:t>’</w:t>
      </w:r>
      <w:r w:rsidRPr="005A6FDF">
        <w:rPr>
          <w:color w:val="000000" w:themeColor="text1"/>
          <w:szCs w:val="18"/>
        </w:rPr>
        <w:t>humanisation des soins</w:t>
      </w:r>
      <w:r>
        <w:rPr>
          <w:color w:val="000000" w:themeColor="text1"/>
          <w:szCs w:val="18"/>
        </w:rPr>
        <w:t xml:space="preserve"> de santé.</w:t>
      </w:r>
    </w:p>
  </w:footnote>
  <w:footnote w:id="66">
    <w:p w14:paraId="21A44DB7" w14:textId="3285D7BA" w:rsidR="000C1192" w:rsidRPr="008C4FA3" w:rsidRDefault="000C1192" w:rsidP="000C1192">
      <w:pPr>
        <w:pStyle w:val="Notedebasdepage"/>
        <w:rPr>
          <w:color w:val="000000" w:themeColor="text1"/>
        </w:rPr>
      </w:pPr>
      <w:r w:rsidRPr="005A6FDF">
        <w:rPr>
          <w:color w:val="000000" w:themeColor="text1"/>
        </w:rPr>
        <w:tab/>
      </w:r>
      <w:r w:rsidRPr="00535E17">
        <w:rPr>
          <w:rStyle w:val="Appelnotedebasdep"/>
        </w:rPr>
        <w:footnoteRef/>
      </w:r>
      <w:r w:rsidRPr="008C4FA3">
        <w:rPr>
          <w:color w:val="000000" w:themeColor="text1"/>
        </w:rPr>
        <w:tab/>
      </w:r>
      <w:r w:rsidRPr="00720365">
        <w:rPr>
          <w:color w:val="000000" w:themeColor="text1"/>
        </w:rPr>
        <w:t xml:space="preserve">Les </w:t>
      </w:r>
      <w:r>
        <w:rPr>
          <w:color w:val="000000" w:themeColor="text1"/>
        </w:rPr>
        <w:t xml:space="preserve">aspects suivants </w:t>
      </w:r>
      <w:r w:rsidRPr="00720365">
        <w:rPr>
          <w:color w:val="000000" w:themeColor="text1"/>
        </w:rPr>
        <w:t xml:space="preserve">sont </w:t>
      </w:r>
      <w:r>
        <w:rPr>
          <w:color w:val="000000" w:themeColor="text1"/>
        </w:rPr>
        <w:t>couverts</w:t>
      </w:r>
      <w:r w:rsidR="000E2C32">
        <w:rPr>
          <w:color w:val="000000" w:themeColor="text1"/>
        </w:rPr>
        <w:t> </w:t>
      </w:r>
      <w:r w:rsidRPr="00720365">
        <w:rPr>
          <w:color w:val="000000" w:themeColor="text1"/>
        </w:rPr>
        <w:t>:</w:t>
      </w:r>
    </w:p>
    <w:p w14:paraId="37462E76" w14:textId="156FCD71" w:rsidR="000C1192" w:rsidRPr="00CE5768" w:rsidRDefault="000E2C32" w:rsidP="000E2C32">
      <w:pPr>
        <w:pStyle w:val="Notedebasdepage"/>
        <w:ind w:left="1418" w:hanging="284"/>
        <w:rPr>
          <w:color w:val="000000" w:themeColor="text1"/>
          <w:szCs w:val="18"/>
        </w:rPr>
      </w:pPr>
      <w:r w:rsidRPr="00660441">
        <w:rPr>
          <w:color w:val="000000" w:themeColor="text1"/>
          <w:szCs w:val="18"/>
        </w:rPr>
        <w:t>•</w:t>
      </w:r>
      <w:r w:rsidRPr="00660441">
        <w:rPr>
          <w:color w:val="000000" w:themeColor="text1"/>
          <w:szCs w:val="18"/>
        </w:rPr>
        <w:tab/>
      </w:r>
      <w:r w:rsidR="000C1192" w:rsidRPr="00CE5768">
        <w:rPr>
          <w:color w:val="000000" w:themeColor="text1"/>
          <w:szCs w:val="18"/>
        </w:rPr>
        <w:t xml:space="preserve">Pour </w:t>
      </w:r>
      <w:r w:rsidR="000C1192">
        <w:rPr>
          <w:color w:val="000000" w:themeColor="text1"/>
          <w:szCs w:val="18"/>
        </w:rPr>
        <w:t xml:space="preserve">la planification </w:t>
      </w:r>
      <w:r w:rsidR="000C1192" w:rsidRPr="00CE5768">
        <w:rPr>
          <w:color w:val="000000" w:themeColor="text1"/>
          <w:szCs w:val="18"/>
        </w:rPr>
        <w:t>familial</w:t>
      </w:r>
      <w:r w:rsidR="000C1192">
        <w:rPr>
          <w:color w:val="000000" w:themeColor="text1"/>
          <w:szCs w:val="18"/>
        </w:rPr>
        <w:t>e</w:t>
      </w:r>
      <w:r>
        <w:rPr>
          <w:color w:val="000000" w:themeColor="text1"/>
          <w:szCs w:val="18"/>
        </w:rPr>
        <w:t> </w:t>
      </w:r>
      <w:r w:rsidR="000C1192" w:rsidRPr="00CE5768">
        <w:rPr>
          <w:color w:val="000000" w:themeColor="text1"/>
          <w:szCs w:val="18"/>
        </w:rPr>
        <w:t xml:space="preserve">: promotion de la santé </w:t>
      </w:r>
      <w:r w:rsidR="000C1192">
        <w:rPr>
          <w:color w:val="000000" w:themeColor="text1"/>
          <w:szCs w:val="18"/>
        </w:rPr>
        <w:t>procréative</w:t>
      </w:r>
      <w:r w:rsidR="000C1192" w:rsidRPr="00CE5768">
        <w:rPr>
          <w:color w:val="000000" w:themeColor="text1"/>
          <w:szCs w:val="18"/>
        </w:rPr>
        <w:t xml:space="preserve">, éducation et sensibilisation à la santé, choix </w:t>
      </w:r>
      <w:r w:rsidR="000C1192">
        <w:rPr>
          <w:color w:val="000000" w:themeColor="text1"/>
          <w:szCs w:val="18"/>
        </w:rPr>
        <w:t xml:space="preserve">du moyen de </w:t>
      </w:r>
      <w:r w:rsidR="000C1192" w:rsidRPr="00CE5768">
        <w:rPr>
          <w:color w:val="000000" w:themeColor="text1"/>
          <w:szCs w:val="18"/>
        </w:rPr>
        <w:t xml:space="preserve">contraception </w:t>
      </w:r>
      <w:r w:rsidR="000C1192">
        <w:rPr>
          <w:color w:val="000000" w:themeColor="text1"/>
          <w:szCs w:val="18"/>
        </w:rPr>
        <w:t xml:space="preserve">le mieux </w:t>
      </w:r>
      <w:r w:rsidR="000C1192" w:rsidRPr="00CE5768">
        <w:rPr>
          <w:color w:val="000000" w:themeColor="text1"/>
          <w:szCs w:val="18"/>
        </w:rPr>
        <w:t>approprié</w:t>
      </w:r>
      <w:r w:rsidR="000C1192">
        <w:rPr>
          <w:color w:val="000000" w:themeColor="text1"/>
          <w:szCs w:val="18"/>
        </w:rPr>
        <w:t>,</w:t>
      </w:r>
      <w:r w:rsidR="000C1192" w:rsidRPr="00CE5768">
        <w:rPr>
          <w:color w:val="000000" w:themeColor="text1"/>
          <w:szCs w:val="18"/>
        </w:rPr>
        <w:t xml:space="preserve"> contrôle et </w:t>
      </w:r>
      <w:r w:rsidR="000C1192">
        <w:rPr>
          <w:color w:val="000000" w:themeColor="text1"/>
          <w:szCs w:val="18"/>
        </w:rPr>
        <w:t xml:space="preserve">traitement </w:t>
      </w:r>
      <w:r w:rsidR="000C1192" w:rsidRPr="00CE5768">
        <w:rPr>
          <w:color w:val="000000" w:themeColor="text1"/>
          <w:szCs w:val="18"/>
        </w:rPr>
        <w:t>de l</w:t>
      </w:r>
      <w:r w:rsidR="000C1192">
        <w:rPr>
          <w:color w:val="000000" w:themeColor="text1"/>
          <w:szCs w:val="18"/>
        </w:rPr>
        <w:t>’</w:t>
      </w:r>
      <w:r w:rsidR="000C1192" w:rsidRPr="00CE5768">
        <w:rPr>
          <w:color w:val="000000" w:themeColor="text1"/>
          <w:szCs w:val="18"/>
        </w:rPr>
        <w:t xml:space="preserve">infertilité, et </w:t>
      </w:r>
      <w:r w:rsidR="000C1192">
        <w:rPr>
          <w:color w:val="000000" w:themeColor="text1"/>
          <w:szCs w:val="18"/>
        </w:rPr>
        <w:t xml:space="preserve">divers </w:t>
      </w:r>
      <w:r w:rsidR="000C1192" w:rsidRPr="00CE5768">
        <w:rPr>
          <w:color w:val="000000" w:themeColor="text1"/>
          <w:szCs w:val="18"/>
        </w:rPr>
        <w:t>contrôles</w:t>
      </w:r>
      <w:r>
        <w:rPr>
          <w:color w:val="000000" w:themeColor="text1"/>
          <w:szCs w:val="18"/>
        </w:rPr>
        <w:t> </w:t>
      </w:r>
      <w:r w:rsidR="000C1192" w:rsidRPr="00CE5768">
        <w:rPr>
          <w:color w:val="000000" w:themeColor="text1"/>
          <w:szCs w:val="18"/>
        </w:rPr>
        <w:t>;</w:t>
      </w:r>
    </w:p>
    <w:p w14:paraId="1A713B90" w14:textId="2FA9C925" w:rsidR="000C1192" w:rsidRPr="00CE5768" w:rsidRDefault="000E2C32" w:rsidP="000E2C32">
      <w:pPr>
        <w:pStyle w:val="Notedebasdepage"/>
        <w:ind w:left="1418" w:hanging="284"/>
        <w:rPr>
          <w:color w:val="000000" w:themeColor="text1"/>
          <w:szCs w:val="18"/>
        </w:rPr>
      </w:pPr>
      <w:r w:rsidRPr="00660441">
        <w:rPr>
          <w:color w:val="000000" w:themeColor="text1"/>
          <w:szCs w:val="18"/>
        </w:rPr>
        <w:t>•</w:t>
      </w:r>
      <w:r w:rsidRPr="00660441">
        <w:rPr>
          <w:color w:val="000000" w:themeColor="text1"/>
          <w:szCs w:val="18"/>
        </w:rPr>
        <w:tab/>
      </w:r>
      <w:r w:rsidR="000C1192" w:rsidRPr="00CE5768">
        <w:rPr>
          <w:color w:val="000000" w:themeColor="text1"/>
          <w:szCs w:val="18"/>
        </w:rPr>
        <w:t>Pour les soins périnata</w:t>
      </w:r>
      <w:r w:rsidR="000C1192">
        <w:rPr>
          <w:color w:val="000000" w:themeColor="text1"/>
          <w:szCs w:val="18"/>
        </w:rPr>
        <w:t>ls</w:t>
      </w:r>
      <w:r>
        <w:rPr>
          <w:color w:val="000000" w:themeColor="text1"/>
          <w:szCs w:val="18"/>
        </w:rPr>
        <w:t> </w:t>
      </w:r>
      <w:r w:rsidR="000C1192" w:rsidRPr="00CE5768">
        <w:rPr>
          <w:color w:val="000000" w:themeColor="text1"/>
          <w:szCs w:val="18"/>
        </w:rPr>
        <w:t xml:space="preserve">: </w:t>
      </w:r>
      <w:r w:rsidR="000C1192">
        <w:rPr>
          <w:color w:val="000000" w:themeColor="text1"/>
          <w:szCs w:val="18"/>
        </w:rPr>
        <w:t xml:space="preserve">diverses </w:t>
      </w:r>
      <w:r w:rsidR="000C1192" w:rsidRPr="00CE5768">
        <w:rPr>
          <w:color w:val="000000" w:themeColor="text1"/>
          <w:szCs w:val="18"/>
        </w:rPr>
        <w:t xml:space="preserve">mesures préventives, </w:t>
      </w:r>
      <w:r w:rsidR="000C1192">
        <w:rPr>
          <w:color w:val="000000" w:themeColor="text1"/>
          <w:szCs w:val="18"/>
        </w:rPr>
        <w:t xml:space="preserve">et </w:t>
      </w:r>
      <w:r w:rsidR="000C1192" w:rsidRPr="00CE5768">
        <w:rPr>
          <w:color w:val="000000" w:themeColor="text1"/>
          <w:szCs w:val="18"/>
        </w:rPr>
        <w:t xml:space="preserve">procédures et contrôles pendant la grossesse, </w:t>
      </w:r>
      <w:r w:rsidR="000C1192">
        <w:rPr>
          <w:color w:val="000000" w:themeColor="text1"/>
          <w:szCs w:val="18"/>
        </w:rPr>
        <w:t xml:space="preserve">à </w:t>
      </w:r>
      <w:r w:rsidR="000C1192" w:rsidRPr="00CE5768">
        <w:rPr>
          <w:color w:val="000000" w:themeColor="text1"/>
          <w:szCs w:val="18"/>
        </w:rPr>
        <w:t>l</w:t>
      </w:r>
      <w:r w:rsidR="000C1192">
        <w:rPr>
          <w:color w:val="000000" w:themeColor="text1"/>
          <w:szCs w:val="18"/>
        </w:rPr>
        <w:t>’</w:t>
      </w:r>
      <w:r w:rsidR="000C1192" w:rsidRPr="00CE5768">
        <w:rPr>
          <w:color w:val="000000" w:themeColor="text1"/>
          <w:szCs w:val="18"/>
        </w:rPr>
        <w:t>accouchement et après l</w:t>
      </w:r>
      <w:r w:rsidR="000C1192">
        <w:rPr>
          <w:color w:val="000000" w:themeColor="text1"/>
          <w:szCs w:val="18"/>
        </w:rPr>
        <w:t>’</w:t>
      </w:r>
      <w:r w:rsidR="000C1192" w:rsidRPr="00CE5768">
        <w:rPr>
          <w:color w:val="000000" w:themeColor="text1"/>
          <w:szCs w:val="18"/>
        </w:rPr>
        <w:t>accouchement</w:t>
      </w:r>
      <w:r>
        <w:rPr>
          <w:color w:val="000000" w:themeColor="text1"/>
          <w:szCs w:val="18"/>
        </w:rPr>
        <w:t> </w:t>
      </w:r>
      <w:r w:rsidR="000C1192" w:rsidRPr="00CE5768">
        <w:rPr>
          <w:color w:val="000000" w:themeColor="text1"/>
          <w:szCs w:val="18"/>
        </w:rPr>
        <w:t>;</w:t>
      </w:r>
    </w:p>
    <w:p w14:paraId="0506BCDD" w14:textId="2D902587" w:rsidR="000C1192" w:rsidRPr="00CE5768" w:rsidRDefault="000E2C32" w:rsidP="000E2C32">
      <w:pPr>
        <w:pStyle w:val="Notedebasdepage"/>
        <w:ind w:left="1418" w:hanging="284"/>
        <w:rPr>
          <w:color w:val="000000" w:themeColor="text1"/>
          <w:szCs w:val="18"/>
        </w:rPr>
      </w:pPr>
      <w:r w:rsidRPr="00660441">
        <w:rPr>
          <w:color w:val="000000" w:themeColor="text1"/>
          <w:szCs w:val="18"/>
        </w:rPr>
        <w:t>•</w:t>
      </w:r>
      <w:r w:rsidRPr="00660441">
        <w:rPr>
          <w:color w:val="000000" w:themeColor="text1"/>
          <w:szCs w:val="18"/>
        </w:rPr>
        <w:tab/>
      </w:r>
      <w:r w:rsidR="000C1192" w:rsidRPr="00CE5768">
        <w:rPr>
          <w:color w:val="000000" w:themeColor="text1"/>
          <w:szCs w:val="18"/>
        </w:rPr>
        <w:t xml:space="preserve">Autres mesures, </w:t>
      </w:r>
      <w:r w:rsidR="000C1192">
        <w:rPr>
          <w:color w:val="000000" w:themeColor="text1"/>
          <w:szCs w:val="18"/>
        </w:rPr>
        <w:t xml:space="preserve">en particulier de </w:t>
      </w:r>
      <w:r w:rsidR="000C1192" w:rsidRPr="00CE5768">
        <w:rPr>
          <w:color w:val="000000" w:themeColor="text1"/>
          <w:szCs w:val="18"/>
        </w:rPr>
        <w:t xml:space="preserve">prévention des maladies sexuellement transmissibles, ainsi que promotion </w:t>
      </w:r>
      <w:r w:rsidR="000C1192">
        <w:rPr>
          <w:color w:val="000000" w:themeColor="text1"/>
          <w:szCs w:val="18"/>
        </w:rPr>
        <w:t xml:space="preserve">de la santé </w:t>
      </w:r>
      <w:r w:rsidR="000C1192" w:rsidRPr="00CE5768">
        <w:rPr>
          <w:color w:val="000000" w:themeColor="text1"/>
          <w:szCs w:val="18"/>
        </w:rPr>
        <w:t xml:space="preserve">et éducation </w:t>
      </w:r>
      <w:r w:rsidR="000C1192">
        <w:rPr>
          <w:color w:val="000000" w:themeColor="text1"/>
          <w:szCs w:val="18"/>
        </w:rPr>
        <w:t>dans ce domaine</w:t>
      </w:r>
      <w:r w:rsidR="000C1192" w:rsidRPr="00CE5768">
        <w:rPr>
          <w:color w:val="000000" w:themeColor="text1"/>
          <w:szCs w:val="18"/>
        </w:rPr>
        <w:t>.</w:t>
      </w:r>
    </w:p>
  </w:footnote>
  <w:footnote w:id="67">
    <w:p w14:paraId="6E880A94" w14:textId="77777777" w:rsidR="000C1192" w:rsidRPr="00E9013F" w:rsidRDefault="000C1192" w:rsidP="000C1192">
      <w:pPr>
        <w:pStyle w:val="Notedebasdepage"/>
        <w:rPr>
          <w:color w:val="000000" w:themeColor="text1"/>
        </w:rPr>
      </w:pPr>
      <w:r w:rsidRPr="00CE5768">
        <w:rPr>
          <w:color w:val="000000" w:themeColor="text1"/>
        </w:rPr>
        <w:tab/>
      </w:r>
      <w:r w:rsidRPr="00535E17">
        <w:rPr>
          <w:rStyle w:val="Appelnotedebasdep"/>
        </w:rPr>
        <w:footnoteRef/>
      </w:r>
      <w:r w:rsidRPr="00E9013F">
        <w:rPr>
          <w:rStyle w:val="Appelnotedebasdep"/>
          <w:color w:val="000000" w:themeColor="text1"/>
        </w:rPr>
        <w:tab/>
      </w:r>
      <w:r>
        <w:rPr>
          <w:color w:val="000000" w:themeColor="text1"/>
        </w:rPr>
        <w:t>D</w:t>
      </w:r>
      <w:r w:rsidRPr="00E9013F">
        <w:rPr>
          <w:color w:val="000000" w:themeColor="text1"/>
        </w:rPr>
        <w:t>onnées de 2019.</w:t>
      </w:r>
    </w:p>
  </w:footnote>
  <w:footnote w:id="68">
    <w:p w14:paraId="740AB49E" w14:textId="77777777" w:rsidR="000C1192" w:rsidRPr="00B059AD" w:rsidRDefault="000C1192" w:rsidP="000C1192">
      <w:pPr>
        <w:pStyle w:val="Notedebasdepage"/>
        <w:rPr>
          <w:color w:val="000000" w:themeColor="text1"/>
        </w:rPr>
      </w:pPr>
      <w:r w:rsidRPr="00E9013F">
        <w:rPr>
          <w:color w:val="000000" w:themeColor="text1"/>
        </w:rPr>
        <w:tab/>
      </w:r>
      <w:r w:rsidRPr="00535E17">
        <w:rPr>
          <w:rStyle w:val="Appelnotedebasdep"/>
        </w:rPr>
        <w:footnoteRef/>
      </w:r>
      <w:r w:rsidRPr="00B059AD">
        <w:rPr>
          <w:rStyle w:val="Appelnotedebasdep"/>
          <w:color w:val="000000" w:themeColor="text1"/>
        </w:rPr>
        <w:t xml:space="preserve"> </w:t>
      </w:r>
      <w:r w:rsidRPr="00B059AD">
        <w:rPr>
          <w:color w:val="000000" w:themeColor="text1"/>
        </w:rPr>
        <w:tab/>
      </w:r>
      <w:hyperlink r:id="rId19" w:tgtFrame="_blank" w:history="1">
        <w:r w:rsidRPr="002E7CBE">
          <w:rPr>
            <w:rStyle w:val="Lienhypertexte"/>
          </w:rPr>
          <w:t>eldd.emcdda.europa.eu/html.cfm/index5029EN.html</w:t>
        </w:r>
      </w:hyperlink>
      <w:r w:rsidRPr="00B059AD">
        <w:rPr>
          <w:color w:val="000000" w:themeColor="text1"/>
        </w:rPr>
        <w:t>.</w:t>
      </w:r>
    </w:p>
  </w:footnote>
  <w:footnote w:id="69">
    <w:p w14:paraId="59BFFE1E" w14:textId="5C1A5EDC" w:rsidR="000C1192" w:rsidRPr="00F95C85" w:rsidRDefault="000C1192" w:rsidP="000C1192">
      <w:pPr>
        <w:pStyle w:val="Notedebasdepage"/>
        <w:rPr>
          <w:color w:val="000000" w:themeColor="text1"/>
        </w:rPr>
      </w:pPr>
      <w:r w:rsidRPr="00B059AD">
        <w:rPr>
          <w:color w:val="000000" w:themeColor="text1"/>
        </w:rPr>
        <w:tab/>
      </w:r>
      <w:r w:rsidRPr="00535E17">
        <w:rPr>
          <w:rStyle w:val="Appelnotedebasdep"/>
        </w:rPr>
        <w:footnoteRef/>
      </w:r>
      <w:r w:rsidRPr="00F95C85">
        <w:rPr>
          <w:rStyle w:val="Appelnotedebasdep"/>
          <w:color w:val="000000" w:themeColor="text1"/>
        </w:rPr>
        <w:tab/>
      </w:r>
      <w:r w:rsidRPr="00F95C85">
        <w:rPr>
          <w:color w:val="000000" w:themeColor="text1"/>
        </w:rPr>
        <w:t xml:space="preserve">Stratégie nationale </w:t>
      </w:r>
      <w:r>
        <w:rPr>
          <w:color w:val="000000" w:themeColor="text1"/>
        </w:rPr>
        <w:t xml:space="preserve">de répression de </w:t>
      </w:r>
      <w:r w:rsidRPr="00F95C85">
        <w:rPr>
          <w:color w:val="000000" w:themeColor="text1"/>
        </w:rPr>
        <w:t>l</w:t>
      </w:r>
      <w:r>
        <w:rPr>
          <w:color w:val="000000" w:themeColor="text1"/>
        </w:rPr>
        <w:t>’</w:t>
      </w:r>
      <w:r w:rsidRPr="00F95C85">
        <w:rPr>
          <w:color w:val="000000" w:themeColor="text1"/>
        </w:rPr>
        <w:t xml:space="preserve">abus de drogues </w:t>
      </w:r>
      <w:r>
        <w:rPr>
          <w:color w:val="000000" w:themeColor="text1"/>
        </w:rPr>
        <w:t>(</w:t>
      </w:r>
      <w:r w:rsidRPr="00F95C85">
        <w:rPr>
          <w:color w:val="000000" w:themeColor="text1"/>
        </w:rPr>
        <w:t>2012-2017</w:t>
      </w:r>
      <w:r>
        <w:rPr>
          <w:color w:val="000000" w:themeColor="text1"/>
        </w:rPr>
        <w:t>)</w:t>
      </w:r>
      <w:r w:rsidRPr="00F95C85">
        <w:rPr>
          <w:color w:val="000000" w:themeColor="text1"/>
        </w:rPr>
        <w:t xml:space="preserve">, le </w:t>
      </w:r>
      <w:r>
        <w:rPr>
          <w:color w:val="000000" w:themeColor="text1"/>
        </w:rPr>
        <w:t>G</w:t>
      </w:r>
      <w:r w:rsidRPr="00F95C85">
        <w:rPr>
          <w:color w:val="000000" w:themeColor="text1"/>
        </w:rPr>
        <w:t xml:space="preserve">ouvernement de la </w:t>
      </w:r>
      <w:r>
        <w:rPr>
          <w:color w:val="000000" w:themeColor="text1"/>
        </w:rPr>
        <w:t>République de Croatie</w:t>
      </w:r>
      <w:r w:rsidRPr="00F95C85">
        <w:rPr>
          <w:color w:val="000000" w:themeColor="text1"/>
        </w:rPr>
        <w:t>, novembre 2012.</w:t>
      </w:r>
    </w:p>
  </w:footnote>
  <w:footnote w:id="70">
    <w:p w14:paraId="3584B451" w14:textId="35D9F861" w:rsidR="000C1192" w:rsidRPr="0068126E" w:rsidRDefault="000C1192" w:rsidP="000C1192">
      <w:pPr>
        <w:pStyle w:val="Notedebasdepage"/>
        <w:rPr>
          <w:color w:val="000000" w:themeColor="text1"/>
        </w:rPr>
      </w:pPr>
      <w:r w:rsidRPr="00F95C85">
        <w:rPr>
          <w:color w:val="000000" w:themeColor="text1"/>
        </w:rPr>
        <w:tab/>
      </w:r>
      <w:r w:rsidRPr="00535E17">
        <w:rPr>
          <w:rStyle w:val="Appelnotedebasdep"/>
        </w:rPr>
        <w:footnoteRef/>
      </w:r>
      <w:r w:rsidRPr="006E3C8C">
        <w:rPr>
          <w:rStyle w:val="Appelnotedebasdep"/>
          <w:color w:val="000000" w:themeColor="text1"/>
        </w:rPr>
        <w:tab/>
      </w:r>
      <w:r w:rsidRPr="0068126E">
        <w:rPr>
          <w:color w:val="000000" w:themeColor="text1"/>
        </w:rPr>
        <w:t xml:space="preserve">Dans les </w:t>
      </w:r>
      <w:r>
        <w:rPr>
          <w:color w:val="000000" w:themeColor="text1"/>
        </w:rPr>
        <w:t xml:space="preserve">régions mieux dotées en </w:t>
      </w:r>
      <w:r w:rsidRPr="0068126E">
        <w:rPr>
          <w:color w:val="000000" w:themeColor="text1"/>
        </w:rPr>
        <w:t xml:space="preserve">ressources humaines et financières, des services supplémentaires sont </w:t>
      </w:r>
      <w:r>
        <w:rPr>
          <w:color w:val="000000" w:themeColor="text1"/>
        </w:rPr>
        <w:t xml:space="preserve">mis en place </w:t>
      </w:r>
      <w:r w:rsidRPr="0068126E">
        <w:rPr>
          <w:color w:val="000000" w:themeColor="text1"/>
        </w:rPr>
        <w:t xml:space="preserve">pour </w:t>
      </w:r>
      <w:r>
        <w:rPr>
          <w:color w:val="000000" w:themeColor="text1"/>
        </w:rPr>
        <w:t xml:space="preserve">détecter précocement l’évolution des relations </w:t>
      </w:r>
      <w:r w:rsidRPr="0068126E">
        <w:rPr>
          <w:color w:val="000000" w:themeColor="text1"/>
        </w:rPr>
        <w:t xml:space="preserve">entre parents et enfants, </w:t>
      </w:r>
      <w:r>
        <w:rPr>
          <w:color w:val="000000" w:themeColor="text1"/>
        </w:rPr>
        <w:t xml:space="preserve">et proposer des </w:t>
      </w:r>
      <w:r w:rsidRPr="0068126E">
        <w:rPr>
          <w:color w:val="000000" w:themeColor="text1"/>
        </w:rPr>
        <w:t xml:space="preserve">soins de santé mentale </w:t>
      </w:r>
      <w:r>
        <w:rPr>
          <w:color w:val="000000" w:themeColor="text1"/>
        </w:rPr>
        <w:t xml:space="preserve">au niveau des </w:t>
      </w:r>
      <w:r w:rsidRPr="0068126E">
        <w:rPr>
          <w:color w:val="000000" w:themeColor="text1"/>
        </w:rPr>
        <w:t>centres de santé</w:t>
      </w:r>
      <w:r>
        <w:rPr>
          <w:color w:val="000000" w:themeColor="text1"/>
        </w:rPr>
        <w:t>, et pour</w:t>
      </w:r>
      <w:r w:rsidRPr="0068126E">
        <w:rPr>
          <w:color w:val="000000" w:themeColor="text1"/>
        </w:rPr>
        <w:t xml:space="preserve"> </w:t>
      </w:r>
      <w:r>
        <w:rPr>
          <w:color w:val="000000" w:themeColor="text1"/>
        </w:rPr>
        <w:t xml:space="preserve">les </w:t>
      </w:r>
      <w:r w:rsidRPr="0068126E">
        <w:rPr>
          <w:color w:val="000000" w:themeColor="text1"/>
        </w:rPr>
        <w:t>enfants victimes de violence (Centre de santé de Zagreb, Centre de santé de Zagreb</w:t>
      </w:r>
      <w:r>
        <w:rPr>
          <w:color w:val="000000" w:themeColor="text1"/>
        </w:rPr>
        <w:t>-</w:t>
      </w:r>
      <w:r w:rsidRPr="0068126E">
        <w:rPr>
          <w:color w:val="000000" w:themeColor="text1"/>
        </w:rPr>
        <w:t>Ouest, Polycliniques spécialisées de Zagreb et de Split).</w:t>
      </w:r>
    </w:p>
  </w:footnote>
  <w:footnote w:id="71">
    <w:p w14:paraId="3F066516" w14:textId="38A189CD" w:rsidR="000C1192" w:rsidRPr="00FC6D8C" w:rsidRDefault="000C1192" w:rsidP="000C1192">
      <w:pPr>
        <w:pStyle w:val="Notedebasdepage"/>
        <w:rPr>
          <w:color w:val="000000" w:themeColor="text1"/>
        </w:rPr>
      </w:pPr>
      <w:r w:rsidRPr="0068126E">
        <w:rPr>
          <w:color w:val="000000" w:themeColor="text1"/>
        </w:rPr>
        <w:tab/>
      </w:r>
      <w:r w:rsidRPr="00535E17">
        <w:rPr>
          <w:rStyle w:val="Appelnotedebasdep"/>
        </w:rPr>
        <w:footnoteRef/>
      </w:r>
      <w:r w:rsidRPr="00FC6D8C">
        <w:rPr>
          <w:rStyle w:val="Appelnotedebasdep"/>
          <w:color w:val="000000" w:themeColor="text1"/>
        </w:rPr>
        <w:tab/>
      </w:r>
      <w:r w:rsidRPr="00FC6D8C">
        <w:rPr>
          <w:color w:val="000000" w:themeColor="text1"/>
        </w:rPr>
        <w:t>Journal officiel, Accords internationaux, n</w:t>
      </w:r>
      <w:r w:rsidR="002E7CBE" w:rsidRPr="002E7CBE">
        <w:rPr>
          <w:color w:val="000000" w:themeColor="text1"/>
          <w:vertAlign w:val="superscript"/>
        </w:rPr>
        <w:t>o</w:t>
      </w:r>
      <w:r w:rsidR="002E7CBE">
        <w:rPr>
          <w:color w:val="000000" w:themeColor="text1"/>
        </w:rPr>
        <w:t> </w:t>
      </w:r>
      <w:r w:rsidRPr="00FC6D8C">
        <w:rPr>
          <w:color w:val="000000" w:themeColor="text1"/>
        </w:rPr>
        <w:t>2/97</w:t>
      </w:r>
      <w:r w:rsidR="002E7CBE">
        <w:rPr>
          <w:color w:val="000000" w:themeColor="text1"/>
        </w:rPr>
        <w:t>.</w:t>
      </w:r>
    </w:p>
  </w:footnote>
  <w:footnote w:id="72">
    <w:p w14:paraId="7360D8C7" w14:textId="14BD728B" w:rsidR="000C1192" w:rsidRPr="007874FA" w:rsidRDefault="000C1192" w:rsidP="000C1192">
      <w:pPr>
        <w:pStyle w:val="Notedebasdepage"/>
        <w:rPr>
          <w:color w:val="000000" w:themeColor="text1"/>
        </w:rPr>
      </w:pPr>
      <w:r w:rsidRPr="00FC6D8C">
        <w:rPr>
          <w:color w:val="000000" w:themeColor="text1"/>
        </w:rPr>
        <w:tab/>
      </w:r>
      <w:r w:rsidRPr="00535E17">
        <w:rPr>
          <w:rStyle w:val="Appelnotedebasdep"/>
        </w:rPr>
        <w:footnoteRef/>
      </w:r>
      <w:r w:rsidRPr="007874FA">
        <w:rPr>
          <w:color w:val="000000" w:themeColor="text1"/>
        </w:rPr>
        <w:tab/>
        <w:t>Leur objet est le suivant</w:t>
      </w:r>
      <w:r w:rsidR="002E7CBE">
        <w:rPr>
          <w:color w:val="000000" w:themeColor="text1"/>
        </w:rPr>
        <w:t> </w:t>
      </w:r>
      <w:r w:rsidRPr="007874FA">
        <w:rPr>
          <w:color w:val="000000" w:themeColor="text1"/>
        </w:rPr>
        <w:t>:</w:t>
      </w:r>
    </w:p>
    <w:p w14:paraId="656937B0" w14:textId="35E0F485" w:rsidR="000C1192" w:rsidRPr="007874FA" w:rsidRDefault="002E7CBE" w:rsidP="002E7CBE">
      <w:pPr>
        <w:pStyle w:val="Notedebasdepage"/>
        <w:tabs>
          <w:tab w:val="left" w:pos="1418"/>
        </w:tabs>
        <w:ind w:left="1418" w:hanging="284"/>
        <w:rPr>
          <w:color w:val="000000" w:themeColor="text1"/>
          <w:szCs w:val="18"/>
        </w:rPr>
      </w:pPr>
      <w:r w:rsidRPr="00660441">
        <w:rPr>
          <w:color w:val="000000" w:themeColor="text1"/>
          <w:szCs w:val="18"/>
        </w:rPr>
        <w:t>•</w:t>
      </w:r>
      <w:r w:rsidRPr="00660441">
        <w:rPr>
          <w:color w:val="000000" w:themeColor="text1"/>
          <w:szCs w:val="18"/>
        </w:rPr>
        <w:tab/>
      </w:r>
      <w:r w:rsidR="000C1192">
        <w:rPr>
          <w:color w:val="000000" w:themeColor="text1"/>
          <w:szCs w:val="18"/>
        </w:rPr>
        <w:t xml:space="preserve">Garantir </w:t>
      </w:r>
      <w:r w:rsidR="000C1192" w:rsidRPr="007874FA">
        <w:rPr>
          <w:color w:val="000000" w:themeColor="text1"/>
          <w:szCs w:val="18"/>
        </w:rPr>
        <w:t>l</w:t>
      </w:r>
      <w:r w:rsidR="000C1192">
        <w:rPr>
          <w:color w:val="000000" w:themeColor="text1"/>
          <w:szCs w:val="18"/>
        </w:rPr>
        <w:t>’</w:t>
      </w:r>
      <w:r w:rsidR="000C1192" w:rsidRPr="007874FA">
        <w:rPr>
          <w:color w:val="000000" w:themeColor="text1"/>
          <w:szCs w:val="18"/>
        </w:rPr>
        <w:t>apprentissage de la langue, de l</w:t>
      </w:r>
      <w:r w:rsidR="000C1192">
        <w:rPr>
          <w:color w:val="000000" w:themeColor="text1"/>
          <w:szCs w:val="18"/>
        </w:rPr>
        <w:t>’</w:t>
      </w:r>
      <w:r w:rsidR="000C1192" w:rsidRPr="007874FA">
        <w:rPr>
          <w:color w:val="000000" w:themeColor="text1"/>
          <w:szCs w:val="18"/>
        </w:rPr>
        <w:t xml:space="preserve">histoire et de la culture croates dans toutes les villes où </w:t>
      </w:r>
      <w:r w:rsidR="000C1192">
        <w:rPr>
          <w:color w:val="000000" w:themeColor="text1"/>
          <w:szCs w:val="18"/>
        </w:rPr>
        <w:t xml:space="preserve">des </w:t>
      </w:r>
      <w:r w:rsidR="000C1192" w:rsidRPr="007874FA">
        <w:rPr>
          <w:color w:val="000000" w:themeColor="text1"/>
          <w:szCs w:val="18"/>
        </w:rPr>
        <w:t>personnes bénéficiant d</w:t>
      </w:r>
      <w:r w:rsidR="000C1192">
        <w:rPr>
          <w:color w:val="000000" w:themeColor="text1"/>
          <w:szCs w:val="18"/>
        </w:rPr>
        <w:t>’</w:t>
      </w:r>
      <w:r w:rsidR="000C1192" w:rsidRPr="007874FA">
        <w:rPr>
          <w:color w:val="000000" w:themeColor="text1"/>
          <w:szCs w:val="18"/>
        </w:rPr>
        <w:t xml:space="preserve">une protection internationale </w:t>
      </w:r>
      <w:r w:rsidR="000C1192">
        <w:rPr>
          <w:color w:val="000000" w:themeColor="text1"/>
          <w:szCs w:val="18"/>
        </w:rPr>
        <w:t>sont accueillies</w:t>
      </w:r>
      <w:r>
        <w:rPr>
          <w:color w:val="000000" w:themeColor="text1"/>
          <w:szCs w:val="18"/>
        </w:rPr>
        <w:t> </w:t>
      </w:r>
      <w:r w:rsidR="000C1192" w:rsidRPr="007874FA">
        <w:rPr>
          <w:color w:val="000000" w:themeColor="text1"/>
          <w:szCs w:val="18"/>
        </w:rPr>
        <w:t>;</w:t>
      </w:r>
    </w:p>
    <w:p w14:paraId="108A3C46" w14:textId="4204857A" w:rsidR="000C1192" w:rsidRDefault="002E7CBE" w:rsidP="002E7CBE">
      <w:pPr>
        <w:pStyle w:val="Notedebasdepage"/>
        <w:tabs>
          <w:tab w:val="left" w:pos="1418"/>
        </w:tabs>
        <w:ind w:left="1418" w:hanging="284"/>
        <w:rPr>
          <w:color w:val="000000" w:themeColor="text1"/>
          <w:szCs w:val="18"/>
        </w:rPr>
      </w:pPr>
      <w:r w:rsidRPr="00660441">
        <w:rPr>
          <w:color w:val="000000" w:themeColor="text1"/>
          <w:szCs w:val="18"/>
        </w:rPr>
        <w:t>•</w:t>
      </w:r>
      <w:r w:rsidRPr="00660441">
        <w:rPr>
          <w:color w:val="000000" w:themeColor="text1"/>
          <w:szCs w:val="18"/>
        </w:rPr>
        <w:tab/>
      </w:r>
      <w:r w:rsidR="000C1192">
        <w:rPr>
          <w:color w:val="000000" w:themeColor="text1"/>
          <w:szCs w:val="18"/>
        </w:rPr>
        <w:t xml:space="preserve">Garantir </w:t>
      </w:r>
      <w:r w:rsidR="000C1192" w:rsidRPr="007874FA">
        <w:rPr>
          <w:color w:val="000000" w:themeColor="text1"/>
          <w:szCs w:val="18"/>
        </w:rPr>
        <w:t>la mise en place de classes préparatoires et complémentaires pour les élèves du primaire et du secondaire qui ne connaissent pas ou pas suffisamment la langue croate</w:t>
      </w:r>
      <w:r>
        <w:rPr>
          <w:color w:val="000000" w:themeColor="text1"/>
          <w:szCs w:val="18"/>
        </w:rPr>
        <w:t> </w:t>
      </w:r>
      <w:r w:rsidR="000C1192" w:rsidRPr="007874FA">
        <w:rPr>
          <w:color w:val="000000" w:themeColor="text1"/>
          <w:szCs w:val="18"/>
        </w:rPr>
        <w:t>;</w:t>
      </w:r>
    </w:p>
    <w:p w14:paraId="2236FB09" w14:textId="7138B0CB" w:rsidR="000C1192" w:rsidRPr="00BE2CA2" w:rsidRDefault="002E7CBE" w:rsidP="002E7CBE">
      <w:pPr>
        <w:pStyle w:val="Notedebasdepage"/>
        <w:tabs>
          <w:tab w:val="left" w:pos="1418"/>
        </w:tabs>
        <w:ind w:left="1418" w:hanging="284"/>
        <w:rPr>
          <w:color w:val="000000" w:themeColor="text1"/>
          <w:szCs w:val="18"/>
        </w:rPr>
      </w:pPr>
      <w:r w:rsidRPr="00660441">
        <w:rPr>
          <w:color w:val="000000" w:themeColor="text1"/>
          <w:szCs w:val="18"/>
        </w:rPr>
        <w:t>•</w:t>
      </w:r>
      <w:r w:rsidRPr="00660441">
        <w:rPr>
          <w:color w:val="000000" w:themeColor="text1"/>
          <w:szCs w:val="18"/>
        </w:rPr>
        <w:tab/>
      </w:r>
      <w:r w:rsidR="000C1192">
        <w:rPr>
          <w:color w:val="000000" w:themeColor="text1"/>
          <w:szCs w:val="18"/>
        </w:rPr>
        <w:t xml:space="preserve">Permettre aux </w:t>
      </w:r>
      <w:r w:rsidR="000C1192" w:rsidRPr="00BE2CA2">
        <w:rPr>
          <w:color w:val="000000" w:themeColor="text1"/>
          <w:szCs w:val="18"/>
        </w:rPr>
        <w:t xml:space="preserve">enfants et </w:t>
      </w:r>
      <w:r w:rsidR="000C1192">
        <w:rPr>
          <w:color w:val="000000" w:themeColor="text1"/>
          <w:szCs w:val="18"/>
        </w:rPr>
        <w:t xml:space="preserve">aux </w:t>
      </w:r>
      <w:r w:rsidR="000C1192" w:rsidRPr="00BE2CA2">
        <w:rPr>
          <w:color w:val="000000" w:themeColor="text1"/>
          <w:szCs w:val="18"/>
        </w:rPr>
        <w:t xml:space="preserve">étudiants </w:t>
      </w:r>
      <w:r w:rsidR="000C1192">
        <w:rPr>
          <w:color w:val="000000" w:themeColor="text1"/>
          <w:szCs w:val="18"/>
        </w:rPr>
        <w:t xml:space="preserve">d’intégrer </w:t>
      </w:r>
      <w:r w:rsidR="000C1192" w:rsidRPr="00BE2CA2">
        <w:rPr>
          <w:color w:val="000000" w:themeColor="text1"/>
          <w:szCs w:val="18"/>
        </w:rPr>
        <w:t>le système éducatif à tous les niveaux</w:t>
      </w:r>
      <w:r w:rsidR="000C1192">
        <w:rPr>
          <w:color w:val="000000" w:themeColor="text1"/>
          <w:szCs w:val="18"/>
        </w:rPr>
        <w:t> ;</w:t>
      </w:r>
      <w:r w:rsidR="000C1192" w:rsidRPr="00BE2CA2">
        <w:rPr>
          <w:color w:val="000000" w:themeColor="text1"/>
          <w:szCs w:val="18"/>
        </w:rPr>
        <w:t xml:space="preserve"> et</w:t>
      </w:r>
    </w:p>
    <w:p w14:paraId="32494530" w14:textId="7D7BE2EC" w:rsidR="000C1192" w:rsidRPr="007874FA" w:rsidRDefault="002E7CBE" w:rsidP="002E7CBE">
      <w:pPr>
        <w:pStyle w:val="Notedebasdepage"/>
        <w:tabs>
          <w:tab w:val="left" w:pos="1418"/>
        </w:tabs>
        <w:ind w:left="1418" w:hanging="284"/>
        <w:rPr>
          <w:color w:val="000000" w:themeColor="text1"/>
          <w:szCs w:val="18"/>
        </w:rPr>
      </w:pPr>
      <w:r w:rsidRPr="00660441">
        <w:rPr>
          <w:color w:val="000000" w:themeColor="text1"/>
          <w:szCs w:val="18"/>
        </w:rPr>
        <w:t>•</w:t>
      </w:r>
      <w:r w:rsidRPr="00660441">
        <w:rPr>
          <w:color w:val="000000" w:themeColor="text1"/>
          <w:szCs w:val="18"/>
        </w:rPr>
        <w:tab/>
      </w:r>
      <w:r w:rsidR="000C1192">
        <w:rPr>
          <w:color w:val="000000" w:themeColor="text1"/>
          <w:szCs w:val="18"/>
        </w:rPr>
        <w:t xml:space="preserve">Offrir aux </w:t>
      </w:r>
      <w:r w:rsidR="000C1192" w:rsidRPr="007874FA">
        <w:rPr>
          <w:color w:val="000000" w:themeColor="text1"/>
          <w:szCs w:val="18"/>
        </w:rPr>
        <w:t>plus de 15</w:t>
      </w:r>
      <w:r>
        <w:rPr>
          <w:color w:val="000000" w:themeColor="text1"/>
          <w:szCs w:val="18"/>
        </w:rPr>
        <w:t> </w:t>
      </w:r>
      <w:r w:rsidR="000C1192" w:rsidRPr="007874FA">
        <w:rPr>
          <w:color w:val="000000" w:themeColor="text1"/>
          <w:szCs w:val="18"/>
        </w:rPr>
        <w:t>ans qui n</w:t>
      </w:r>
      <w:r w:rsidR="000C1192">
        <w:rPr>
          <w:color w:val="000000" w:themeColor="text1"/>
          <w:szCs w:val="18"/>
        </w:rPr>
        <w:t>’</w:t>
      </w:r>
      <w:r w:rsidR="000C1192" w:rsidRPr="007874FA">
        <w:rPr>
          <w:color w:val="000000" w:themeColor="text1"/>
          <w:szCs w:val="18"/>
        </w:rPr>
        <w:t xml:space="preserve">ont </w:t>
      </w:r>
      <w:r w:rsidR="000C1192">
        <w:rPr>
          <w:color w:val="000000" w:themeColor="text1"/>
          <w:szCs w:val="18"/>
        </w:rPr>
        <w:t xml:space="preserve">pu achever </w:t>
      </w:r>
      <w:r w:rsidR="000C1192" w:rsidRPr="007874FA">
        <w:rPr>
          <w:color w:val="000000" w:themeColor="text1"/>
          <w:szCs w:val="18"/>
        </w:rPr>
        <w:t xml:space="preserve">leur </w:t>
      </w:r>
      <w:r w:rsidR="000C1192">
        <w:rPr>
          <w:color w:val="000000" w:themeColor="text1"/>
          <w:szCs w:val="18"/>
        </w:rPr>
        <w:t xml:space="preserve">scolarité </w:t>
      </w:r>
      <w:r w:rsidR="000C1192" w:rsidRPr="007874FA">
        <w:rPr>
          <w:color w:val="000000" w:themeColor="text1"/>
          <w:szCs w:val="18"/>
        </w:rPr>
        <w:t xml:space="preserve">la possibilité </w:t>
      </w:r>
      <w:r w:rsidR="000C1192">
        <w:rPr>
          <w:color w:val="000000" w:themeColor="text1"/>
          <w:szCs w:val="18"/>
        </w:rPr>
        <w:t xml:space="preserve">d’achever le </w:t>
      </w:r>
      <w:r w:rsidR="000C1192" w:rsidRPr="007874FA">
        <w:rPr>
          <w:color w:val="000000" w:themeColor="text1"/>
          <w:szCs w:val="18"/>
        </w:rPr>
        <w:t xml:space="preserve">primaire ou </w:t>
      </w:r>
      <w:r w:rsidR="000C1192">
        <w:rPr>
          <w:color w:val="000000" w:themeColor="text1"/>
          <w:szCs w:val="18"/>
        </w:rPr>
        <w:t xml:space="preserve">le </w:t>
      </w:r>
      <w:r w:rsidR="000C1192" w:rsidRPr="007874FA">
        <w:rPr>
          <w:color w:val="000000" w:themeColor="text1"/>
          <w:szCs w:val="18"/>
        </w:rPr>
        <w:t xml:space="preserve">secondaire dans le système </w:t>
      </w:r>
      <w:r w:rsidR="000C1192">
        <w:rPr>
          <w:color w:val="000000" w:themeColor="text1"/>
          <w:szCs w:val="18"/>
        </w:rPr>
        <w:t xml:space="preserve">d’enseignement pour </w:t>
      </w:r>
      <w:r w:rsidR="000C1192" w:rsidRPr="007874FA">
        <w:rPr>
          <w:color w:val="000000" w:themeColor="text1"/>
          <w:szCs w:val="18"/>
        </w:rPr>
        <w:t>adultes</w:t>
      </w:r>
      <w:r w:rsidR="000C1192">
        <w:rPr>
          <w:color w:val="000000" w:themeColor="text1"/>
          <w:szCs w:val="18"/>
        </w:rPr>
        <w:t>.</w:t>
      </w:r>
    </w:p>
  </w:footnote>
  <w:footnote w:id="73">
    <w:p w14:paraId="3FF00FC4" w14:textId="6726B934" w:rsidR="000C1192" w:rsidRPr="006A6832" w:rsidRDefault="000C1192" w:rsidP="000C1192">
      <w:pPr>
        <w:pStyle w:val="Notedebasdepage"/>
        <w:rPr>
          <w:color w:val="000000" w:themeColor="text1"/>
        </w:rPr>
      </w:pPr>
      <w:r w:rsidRPr="007874FA">
        <w:rPr>
          <w:color w:val="000000" w:themeColor="text1"/>
        </w:rPr>
        <w:tab/>
      </w:r>
      <w:r w:rsidRPr="00535E17">
        <w:rPr>
          <w:rStyle w:val="Appelnotedebasdep"/>
        </w:rPr>
        <w:footnoteRef/>
      </w:r>
      <w:r w:rsidRPr="006A6832">
        <w:rPr>
          <w:rStyle w:val="Appelnotedebasdep"/>
          <w:color w:val="000000" w:themeColor="text1"/>
        </w:rPr>
        <w:tab/>
      </w:r>
      <w:r w:rsidRPr="006A6832">
        <w:rPr>
          <w:color w:val="000000" w:themeColor="text1"/>
        </w:rPr>
        <w:t xml:space="preserve">Tous les étudiants à temps </w:t>
      </w:r>
      <w:r>
        <w:rPr>
          <w:color w:val="000000" w:themeColor="text1"/>
        </w:rPr>
        <w:t>complet</w:t>
      </w:r>
      <w:r w:rsidRPr="006A6832">
        <w:rPr>
          <w:color w:val="000000" w:themeColor="text1"/>
        </w:rPr>
        <w:t xml:space="preserve">, </w:t>
      </w:r>
      <w:r>
        <w:rPr>
          <w:color w:val="000000" w:themeColor="text1"/>
        </w:rPr>
        <w:t xml:space="preserve">indépendamment du </w:t>
      </w:r>
      <w:r w:rsidRPr="006A6832">
        <w:rPr>
          <w:color w:val="000000" w:themeColor="text1"/>
        </w:rPr>
        <w:t>type d</w:t>
      </w:r>
      <w:r>
        <w:rPr>
          <w:color w:val="000000" w:themeColor="text1"/>
        </w:rPr>
        <w:t>’</w:t>
      </w:r>
      <w:r w:rsidRPr="006A6832">
        <w:rPr>
          <w:color w:val="000000" w:themeColor="text1"/>
        </w:rPr>
        <w:t xml:space="preserve">établissement supérieur (public ou privé), bénéficient des droits </w:t>
      </w:r>
      <w:r>
        <w:rPr>
          <w:color w:val="000000" w:themeColor="text1"/>
        </w:rPr>
        <w:t>reconnus aux étudiants par la norme correspondante</w:t>
      </w:r>
      <w:r w:rsidRPr="006A6832">
        <w:rPr>
          <w:color w:val="000000" w:themeColor="text1"/>
        </w:rPr>
        <w:t xml:space="preserve">, </w:t>
      </w:r>
      <w:r>
        <w:rPr>
          <w:color w:val="000000" w:themeColor="text1"/>
        </w:rPr>
        <w:t xml:space="preserve">à savoir une aide couvrant l’alimentation, </w:t>
      </w:r>
      <w:r w:rsidRPr="006A6832">
        <w:rPr>
          <w:color w:val="000000" w:themeColor="text1"/>
        </w:rPr>
        <w:t xml:space="preserve">le logement, </w:t>
      </w:r>
      <w:r>
        <w:rPr>
          <w:color w:val="000000" w:themeColor="text1"/>
        </w:rPr>
        <w:t xml:space="preserve">l’emploi </w:t>
      </w:r>
      <w:r w:rsidRPr="006A6832">
        <w:rPr>
          <w:color w:val="000000" w:themeColor="text1"/>
        </w:rPr>
        <w:t>et le</w:t>
      </w:r>
      <w:r>
        <w:rPr>
          <w:color w:val="000000" w:themeColor="text1"/>
        </w:rPr>
        <w:t>s</w:t>
      </w:r>
      <w:r w:rsidRPr="006A6832">
        <w:rPr>
          <w:color w:val="000000" w:themeColor="text1"/>
        </w:rPr>
        <w:t xml:space="preserve"> transport</w:t>
      </w:r>
      <w:r>
        <w:rPr>
          <w:color w:val="000000" w:themeColor="text1"/>
        </w:rPr>
        <w:t>s</w:t>
      </w:r>
      <w:r w:rsidRPr="006A6832">
        <w:rPr>
          <w:color w:val="000000" w:themeColor="text1"/>
        </w:rPr>
        <w:t xml:space="preserve">, </w:t>
      </w:r>
      <w:r>
        <w:rPr>
          <w:color w:val="000000" w:themeColor="text1"/>
        </w:rPr>
        <w:t xml:space="preserve">et le droit à d’autres mesures d’aide directe </w:t>
      </w:r>
      <w:r w:rsidRPr="006A6832">
        <w:rPr>
          <w:color w:val="000000" w:themeColor="text1"/>
        </w:rPr>
        <w:t xml:space="preserve">(droit de demander </w:t>
      </w:r>
      <w:r>
        <w:rPr>
          <w:color w:val="000000" w:themeColor="text1"/>
        </w:rPr>
        <w:t xml:space="preserve">une </w:t>
      </w:r>
      <w:r w:rsidRPr="006A6832">
        <w:rPr>
          <w:color w:val="000000" w:themeColor="text1"/>
        </w:rPr>
        <w:t>bourse) et indirecte (assurance maladie).</w:t>
      </w:r>
    </w:p>
  </w:footnote>
  <w:footnote w:id="74">
    <w:p w14:paraId="7799970F" w14:textId="262AE20F" w:rsidR="000C1192" w:rsidRPr="002162D5" w:rsidRDefault="000C1192" w:rsidP="000C1192">
      <w:pPr>
        <w:pStyle w:val="Notedebasdepage"/>
        <w:rPr>
          <w:color w:val="000000" w:themeColor="text1"/>
        </w:rPr>
      </w:pPr>
      <w:r w:rsidRPr="006A6832">
        <w:rPr>
          <w:color w:val="000000" w:themeColor="text1"/>
        </w:rPr>
        <w:tab/>
      </w:r>
      <w:r w:rsidRPr="00535E17">
        <w:rPr>
          <w:rStyle w:val="Appelnotedebasdep"/>
        </w:rPr>
        <w:footnoteRef/>
      </w:r>
      <w:r w:rsidRPr="0037522E">
        <w:rPr>
          <w:rStyle w:val="Appelnotedebasdep"/>
          <w:color w:val="000000" w:themeColor="text1"/>
        </w:rPr>
        <w:tab/>
      </w:r>
      <w:r>
        <w:rPr>
          <w:color w:val="000000" w:themeColor="text1"/>
        </w:rPr>
        <w:t>L’inscription en première année de deuxième cycle du secondaire est possible exceptionnellement pour les élèves ayant atteint l’âge de 18</w:t>
      </w:r>
      <w:r w:rsidR="00DA2080">
        <w:rPr>
          <w:color w:val="000000" w:themeColor="text1"/>
        </w:rPr>
        <w:t> </w:t>
      </w:r>
      <w:r>
        <w:rPr>
          <w:color w:val="000000" w:themeColor="text1"/>
        </w:rPr>
        <w:t xml:space="preserve">ans, </w:t>
      </w:r>
      <w:r w:rsidRPr="002162D5">
        <w:rPr>
          <w:color w:val="000000" w:themeColor="text1"/>
        </w:rPr>
        <w:t xml:space="preserve">avec </w:t>
      </w:r>
      <w:r>
        <w:rPr>
          <w:color w:val="000000" w:themeColor="text1"/>
        </w:rPr>
        <w:t xml:space="preserve">l’accord </w:t>
      </w:r>
      <w:r w:rsidRPr="002162D5">
        <w:rPr>
          <w:color w:val="000000" w:themeColor="text1"/>
        </w:rPr>
        <w:t>d</w:t>
      </w:r>
      <w:r>
        <w:rPr>
          <w:color w:val="000000" w:themeColor="text1"/>
        </w:rPr>
        <w:t>u conseil d’établissement</w:t>
      </w:r>
      <w:r w:rsidRPr="002162D5">
        <w:rPr>
          <w:color w:val="000000" w:themeColor="text1"/>
        </w:rPr>
        <w:t xml:space="preserve">, </w:t>
      </w:r>
      <w:r>
        <w:rPr>
          <w:color w:val="000000" w:themeColor="text1"/>
        </w:rPr>
        <w:t xml:space="preserve">et les élèves plus âgés, </w:t>
      </w:r>
      <w:r w:rsidRPr="002162D5">
        <w:rPr>
          <w:color w:val="000000" w:themeColor="text1"/>
        </w:rPr>
        <w:t xml:space="preserve">avec </w:t>
      </w:r>
      <w:r>
        <w:rPr>
          <w:color w:val="000000" w:themeColor="text1"/>
        </w:rPr>
        <w:t>l’accord du Ministère.</w:t>
      </w:r>
    </w:p>
  </w:footnote>
  <w:footnote w:id="75">
    <w:p w14:paraId="5A4517E1" w14:textId="3642B7DF" w:rsidR="000C1192" w:rsidRPr="005A0FA7" w:rsidRDefault="000C1192" w:rsidP="000C1192">
      <w:pPr>
        <w:pStyle w:val="Notedebasdepage"/>
        <w:rPr>
          <w:color w:val="000000" w:themeColor="text1"/>
        </w:rPr>
      </w:pPr>
      <w:r w:rsidRPr="002162D5">
        <w:rPr>
          <w:color w:val="000000" w:themeColor="text1"/>
        </w:rPr>
        <w:tab/>
      </w:r>
      <w:r w:rsidRPr="00535E17">
        <w:rPr>
          <w:rStyle w:val="Appelnotedebasdep"/>
        </w:rPr>
        <w:footnoteRef/>
      </w:r>
      <w:r w:rsidRPr="00342571">
        <w:rPr>
          <w:rStyle w:val="Appelnotedebasdep"/>
          <w:color w:val="000000" w:themeColor="text1"/>
        </w:rPr>
        <w:tab/>
      </w:r>
      <w:r>
        <w:rPr>
          <w:color w:val="000000" w:themeColor="text1"/>
        </w:rPr>
        <w:t xml:space="preserve">Des fonds sont inscrits au budget de l’État pour l’action </w:t>
      </w:r>
      <w:r w:rsidRPr="005A0FA7">
        <w:rPr>
          <w:color w:val="000000" w:themeColor="text1"/>
        </w:rPr>
        <w:t>de la Bibliothèque croate pour les aveugles.</w:t>
      </w:r>
    </w:p>
  </w:footnote>
  <w:footnote w:id="76">
    <w:p w14:paraId="27B1EF47" w14:textId="6128D31A" w:rsidR="000C1192" w:rsidRPr="005A0FA7" w:rsidRDefault="000C1192" w:rsidP="000C1192">
      <w:pPr>
        <w:pStyle w:val="Notedebasdepage"/>
        <w:rPr>
          <w:color w:val="000000" w:themeColor="text1"/>
        </w:rPr>
      </w:pPr>
      <w:r w:rsidRPr="005A0FA7">
        <w:rPr>
          <w:color w:val="000000" w:themeColor="text1"/>
        </w:rPr>
        <w:tab/>
      </w:r>
      <w:r w:rsidRPr="00535E17">
        <w:rPr>
          <w:rStyle w:val="Appelnotedebasdep"/>
        </w:rPr>
        <w:footnoteRef/>
      </w:r>
      <w:r w:rsidRPr="005A0FA7">
        <w:rPr>
          <w:rStyle w:val="Appelnotedebasdep"/>
          <w:color w:val="000000" w:themeColor="text1"/>
        </w:rPr>
        <w:tab/>
      </w:r>
      <w:r w:rsidRPr="005A0FA7">
        <w:rPr>
          <w:color w:val="000000" w:themeColor="text1"/>
        </w:rPr>
        <w:t>Les concerts gratuits garantissent l</w:t>
      </w:r>
      <w:r>
        <w:rPr>
          <w:color w:val="000000" w:themeColor="text1"/>
        </w:rPr>
        <w:t>’</w:t>
      </w:r>
      <w:r w:rsidRPr="005A0FA7">
        <w:rPr>
          <w:color w:val="000000" w:themeColor="text1"/>
        </w:rPr>
        <w:t xml:space="preserve">accessibilité </w:t>
      </w:r>
      <w:r>
        <w:rPr>
          <w:color w:val="000000" w:themeColor="text1"/>
        </w:rPr>
        <w:t xml:space="preserve">de </w:t>
      </w:r>
      <w:r w:rsidRPr="005A0FA7">
        <w:rPr>
          <w:color w:val="000000" w:themeColor="text1"/>
        </w:rPr>
        <w:t xml:space="preserve">contenus culturels dans des </w:t>
      </w:r>
      <w:r>
        <w:rPr>
          <w:color w:val="000000" w:themeColor="text1"/>
        </w:rPr>
        <w:t xml:space="preserve">milieux où ils sont plutôt rares, pour un </w:t>
      </w:r>
      <w:r w:rsidRPr="005A0FA7">
        <w:rPr>
          <w:color w:val="000000" w:themeColor="text1"/>
        </w:rPr>
        <w:t xml:space="preserve">public </w:t>
      </w:r>
      <w:r>
        <w:rPr>
          <w:color w:val="000000" w:themeColor="text1"/>
        </w:rPr>
        <w:t xml:space="preserve">constitué </w:t>
      </w:r>
      <w:r w:rsidRPr="005A0FA7">
        <w:rPr>
          <w:color w:val="000000" w:themeColor="text1"/>
        </w:rPr>
        <w:t>en grande partie d</w:t>
      </w:r>
      <w:r>
        <w:rPr>
          <w:color w:val="000000" w:themeColor="text1"/>
        </w:rPr>
        <w:t>’</w:t>
      </w:r>
      <w:r w:rsidRPr="005A0FA7">
        <w:rPr>
          <w:color w:val="000000" w:themeColor="text1"/>
        </w:rPr>
        <w:t xml:space="preserve">enfants, de jeunes et de personnes âgées de différents statuts </w:t>
      </w:r>
      <w:r>
        <w:rPr>
          <w:color w:val="000000" w:themeColor="text1"/>
        </w:rPr>
        <w:t>socioéconomiques</w:t>
      </w:r>
      <w:r w:rsidRPr="005A0FA7">
        <w:rPr>
          <w:color w:val="000000" w:themeColor="text1"/>
        </w:rPr>
        <w:t>.</w:t>
      </w:r>
    </w:p>
  </w:footnote>
  <w:footnote w:id="77">
    <w:p w14:paraId="703536C7" w14:textId="695246D2" w:rsidR="000C1192" w:rsidRPr="009D6FF9" w:rsidRDefault="000C1192" w:rsidP="000C1192">
      <w:pPr>
        <w:pStyle w:val="Notedebasdepage"/>
        <w:rPr>
          <w:color w:val="000000" w:themeColor="text1"/>
        </w:rPr>
      </w:pPr>
      <w:r w:rsidRPr="005A0FA7">
        <w:rPr>
          <w:color w:val="000000" w:themeColor="text1"/>
        </w:rPr>
        <w:tab/>
      </w:r>
      <w:r w:rsidRPr="00535E17">
        <w:rPr>
          <w:rStyle w:val="Appelnotedebasdep"/>
        </w:rPr>
        <w:footnoteRef/>
      </w:r>
      <w:r w:rsidRPr="003361B2">
        <w:rPr>
          <w:rStyle w:val="Appelnotedebasdep"/>
          <w:color w:val="000000" w:themeColor="text1"/>
        </w:rPr>
        <w:tab/>
      </w:r>
      <w:r w:rsidRPr="009D6FF9">
        <w:rPr>
          <w:color w:val="000000" w:themeColor="text1"/>
        </w:rPr>
        <w:t xml:space="preserve">Le réseau de représentations théâtrales invitées, encouragé par le cofinancement </w:t>
      </w:r>
      <w:r>
        <w:rPr>
          <w:color w:val="000000" w:themeColor="text1"/>
        </w:rPr>
        <w:t xml:space="preserve">de </w:t>
      </w:r>
      <w:r w:rsidRPr="009D6FF9">
        <w:rPr>
          <w:color w:val="000000" w:themeColor="text1"/>
        </w:rPr>
        <w:t>théâtres, de</w:t>
      </w:r>
      <w:r>
        <w:rPr>
          <w:color w:val="000000" w:themeColor="text1"/>
        </w:rPr>
        <w:t xml:space="preserve"> troupes </w:t>
      </w:r>
      <w:r w:rsidRPr="009D6FF9">
        <w:rPr>
          <w:color w:val="000000" w:themeColor="text1"/>
        </w:rPr>
        <w:t>théâtr</w:t>
      </w:r>
      <w:r>
        <w:rPr>
          <w:color w:val="000000" w:themeColor="text1"/>
        </w:rPr>
        <w:t>ales</w:t>
      </w:r>
      <w:r w:rsidRPr="009D6FF9">
        <w:rPr>
          <w:color w:val="000000" w:themeColor="text1"/>
        </w:rPr>
        <w:t xml:space="preserve"> et </w:t>
      </w:r>
      <w:r>
        <w:rPr>
          <w:color w:val="000000" w:themeColor="text1"/>
        </w:rPr>
        <w:t>d’</w:t>
      </w:r>
      <w:r w:rsidRPr="009D6FF9">
        <w:rPr>
          <w:color w:val="000000" w:themeColor="text1"/>
        </w:rPr>
        <w:t xml:space="preserve">organisateurs de tournées locales, est particulièrement important pour </w:t>
      </w:r>
      <w:r>
        <w:rPr>
          <w:color w:val="000000" w:themeColor="text1"/>
        </w:rPr>
        <w:t xml:space="preserve">redynamiser </w:t>
      </w:r>
      <w:r w:rsidRPr="009D6FF9">
        <w:rPr>
          <w:color w:val="000000" w:themeColor="text1"/>
        </w:rPr>
        <w:t xml:space="preserve">la vie culturelle dans toute la </w:t>
      </w:r>
      <w:r>
        <w:rPr>
          <w:color w:val="000000" w:themeColor="text1"/>
        </w:rPr>
        <w:t>République de Croatie</w:t>
      </w:r>
      <w:r w:rsidRPr="009D6FF9">
        <w:rPr>
          <w:color w:val="000000" w:themeColor="text1"/>
        </w:rPr>
        <w:t xml:space="preserve">. Le modèle </w:t>
      </w:r>
      <w:r>
        <w:rPr>
          <w:color w:val="000000" w:themeColor="text1"/>
        </w:rPr>
        <w:t xml:space="preserve">de la gratuité </w:t>
      </w:r>
      <w:r w:rsidRPr="009D6FF9">
        <w:rPr>
          <w:color w:val="000000" w:themeColor="text1"/>
        </w:rPr>
        <w:t xml:space="preserve">soutient les centres qui ne sont pas en mesure de financer des représentations théâtrales, </w:t>
      </w:r>
      <w:r>
        <w:rPr>
          <w:color w:val="000000" w:themeColor="text1"/>
        </w:rPr>
        <w:t xml:space="preserve">tout en donnant </w:t>
      </w:r>
      <w:r w:rsidRPr="009D6FF9">
        <w:rPr>
          <w:color w:val="000000" w:themeColor="text1"/>
        </w:rPr>
        <w:t xml:space="preserve">la possibilité </w:t>
      </w:r>
      <w:r>
        <w:rPr>
          <w:color w:val="000000" w:themeColor="text1"/>
        </w:rPr>
        <w:t xml:space="preserve">aux autres </w:t>
      </w:r>
      <w:r w:rsidRPr="009D6FF9">
        <w:rPr>
          <w:color w:val="000000" w:themeColor="text1"/>
        </w:rPr>
        <w:t>d</w:t>
      </w:r>
      <w:r>
        <w:rPr>
          <w:color w:val="000000" w:themeColor="text1"/>
        </w:rPr>
        <w:t>’</w:t>
      </w:r>
      <w:r w:rsidRPr="009D6FF9">
        <w:rPr>
          <w:color w:val="000000" w:themeColor="text1"/>
        </w:rPr>
        <w:t xml:space="preserve">organiser des représentations </w:t>
      </w:r>
      <w:r>
        <w:rPr>
          <w:color w:val="000000" w:themeColor="text1"/>
        </w:rPr>
        <w:t xml:space="preserve">à des conditions </w:t>
      </w:r>
      <w:r w:rsidRPr="009D6FF9">
        <w:rPr>
          <w:color w:val="000000" w:themeColor="text1"/>
        </w:rPr>
        <w:t xml:space="preserve">plus favorables. Le </w:t>
      </w:r>
      <w:r>
        <w:rPr>
          <w:color w:val="000000" w:themeColor="text1"/>
        </w:rPr>
        <w:t xml:space="preserve">Ministère de la culture et des médias </w:t>
      </w:r>
      <w:r w:rsidRPr="009D6FF9">
        <w:rPr>
          <w:color w:val="000000" w:themeColor="text1"/>
        </w:rPr>
        <w:t xml:space="preserve">alloue </w:t>
      </w:r>
      <w:r>
        <w:rPr>
          <w:color w:val="000000" w:themeColor="text1"/>
        </w:rPr>
        <w:t>aussi directement</w:t>
      </w:r>
      <w:r w:rsidRPr="009D6FF9">
        <w:rPr>
          <w:color w:val="000000" w:themeColor="text1"/>
        </w:rPr>
        <w:t xml:space="preserve"> des fonds directement aux organisateurs locaux de </w:t>
      </w:r>
      <w:r>
        <w:rPr>
          <w:color w:val="000000" w:themeColor="text1"/>
        </w:rPr>
        <w:t xml:space="preserve">représentations </w:t>
      </w:r>
      <w:r w:rsidRPr="009D6FF9">
        <w:rPr>
          <w:color w:val="000000" w:themeColor="text1"/>
        </w:rPr>
        <w:t>théâtr</w:t>
      </w:r>
      <w:r>
        <w:rPr>
          <w:color w:val="000000" w:themeColor="text1"/>
        </w:rPr>
        <w:t>ales</w:t>
      </w:r>
      <w:r w:rsidRPr="009D6FF9">
        <w:rPr>
          <w:color w:val="000000" w:themeColor="text1"/>
        </w:rPr>
        <w:t>.</w:t>
      </w:r>
    </w:p>
  </w:footnote>
  <w:footnote w:id="78">
    <w:p w14:paraId="44837524" w14:textId="15AEFF87" w:rsidR="000C1192" w:rsidRPr="007962C9" w:rsidRDefault="000C1192" w:rsidP="000C1192">
      <w:pPr>
        <w:pStyle w:val="Notedebasdepage"/>
        <w:rPr>
          <w:color w:val="000000" w:themeColor="text1"/>
        </w:rPr>
      </w:pPr>
      <w:r w:rsidRPr="009D6FF9">
        <w:rPr>
          <w:color w:val="000000" w:themeColor="text1"/>
        </w:rPr>
        <w:tab/>
      </w:r>
      <w:r w:rsidRPr="00535E17">
        <w:rPr>
          <w:rStyle w:val="Appelnotedebasdep"/>
        </w:rPr>
        <w:footnoteRef/>
      </w:r>
      <w:r w:rsidRPr="00937FD8">
        <w:rPr>
          <w:rStyle w:val="Appelnotedebasdep"/>
          <w:color w:val="000000" w:themeColor="text1"/>
        </w:rPr>
        <w:tab/>
      </w:r>
      <w:r>
        <w:rPr>
          <w:color w:val="000000" w:themeColor="text1"/>
        </w:rPr>
        <w:t xml:space="preserve">Tous </w:t>
      </w:r>
      <w:r w:rsidRPr="007962C9">
        <w:rPr>
          <w:color w:val="000000" w:themeColor="text1"/>
        </w:rPr>
        <w:t>le</w:t>
      </w:r>
      <w:r>
        <w:rPr>
          <w:color w:val="000000" w:themeColor="text1"/>
        </w:rPr>
        <w:t>s</w:t>
      </w:r>
      <w:r w:rsidRPr="007962C9">
        <w:rPr>
          <w:color w:val="000000" w:themeColor="text1"/>
        </w:rPr>
        <w:t xml:space="preserve"> site</w:t>
      </w:r>
      <w:r>
        <w:rPr>
          <w:color w:val="000000" w:themeColor="text1"/>
        </w:rPr>
        <w:t>s</w:t>
      </w:r>
      <w:r w:rsidRPr="007962C9">
        <w:rPr>
          <w:color w:val="000000" w:themeColor="text1"/>
        </w:rPr>
        <w:t xml:space="preserve"> </w:t>
      </w:r>
      <w:r>
        <w:rPr>
          <w:color w:val="000000" w:themeColor="text1"/>
        </w:rPr>
        <w:t>Web</w:t>
      </w:r>
      <w:r w:rsidRPr="007962C9">
        <w:rPr>
          <w:color w:val="000000" w:themeColor="text1"/>
        </w:rPr>
        <w:t xml:space="preserve"> </w:t>
      </w:r>
      <w:r>
        <w:rPr>
          <w:color w:val="000000" w:themeColor="text1"/>
        </w:rPr>
        <w:t xml:space="preserve">donnent des </w:t>
      </w:r>
      <w:r w:rsidRPr="007962C9">
        <w:rPr>
          <w:color w:val="000000" w:themeColor="text1"/>
        </w:rPr>
        <w:t xml:space="preserve">informations sur les archives et les collections </w:t>
      </w:r>
      <w:r>
        <w:rPr>
          <w:color w:val="000000" w:themeColor="text1"/>
        </w:rPr>
        <w:t>de l’établissement</w:t>
      </w:r>
      <w:r w:rsidRPr="007962C9">
        <w:rPr>
          <w:color w:val="000000" w:themeColor="text1"/>
        </w:rPr>
        <w:t xml:space="preserve">. </w:t>
      </w:r>
      <w:r w:rsidR="00DA2080">
        <w:rPr>
          <w:color w:val="000000" w:themeColor="text1"/>
        </w:rPr>
        <w:t>Sept</w:t>
      </w:r>
      <w:r w:rsidRPr="007962C9">
        <w:rPr>
          <w:color w:val="000000" w:themeColor="text1"/>
        </w:rPr>
        <w:t xml:space="preserve"> </w:t>
      </w:r>
      <w:r>
        <w:rPr>
          <w:color w:val="000000" w:themeColor="text1"/>
        </w:rPr>
        <w:t xml:space="preserve">des </w:t>
      </w:r>
      <w:r w:rsidRPr="007962C9">
        <w:rPr>
          <w:color w:val="000000" w:themeColor="text1"/>
        </w:rPr>
        <w:t>19</w:t>
      </w:r>
      <w:r w:rsidR="00DA2080">
        <w:rPr>
          <w:color w:val="000000" w:themeColor="text1"/>
        </w:rPr>
        <w:t> </w:t>
      </w:r>
      <w:r>
        <w:rPr>
          <w:color w:val="000000" w:themeColor="text1"/>
        </w:rPr>
        <w:t xml:space="preserve">sites </w:t>
      </w:r>
      <w:r w:rsidRPr="007962C9">
        <w:rPr>
          <w:color w:val="000000" w:themeColor="text1"/>
        </w:rPr>
        <w:t xml:space="preserve">donnent accès </w:t>
      </w:r>
      <w:r>
        <w:rPr>
          <w:color w:val="000000" w:themeColor="text1"/>
        </w:rPr>
        <w:t>aux documents eux-mêmes par des pages W</w:t>
      </w:r>
      <w:r w:rsidRPr="007962C9">
        <w:rPr>
          <w:color w:val="000000" w:themeColor="text1"/>
        </w:rPr>
        <w:t xml:space="preserve">eb, mais en raison de la faible quantité de </w:t>
      </w:r>
      <w:r>
        <w:rPr>
          <w:color w:val="000000" w:themeColor="text1"/>
        </w:rPr>
        <w:t xml:space="preserve">documents </w:t>
      </w:r>
      <w:r w:rsidRPr="007962C9">
        <w:rPr>
          <w:color w:val="000000" w:themeColor="text1"/>
        </w:rPr>
        <w:t>numérisé</w:t>
      </w:r>
      <w:r>
        <w:rPr>
          <w:color w:val="000000" w:themeColor="text1"/>
        </w:rPr>
        <w:t>s</w:t>
      </w:r>
      <w:r w:rsidRPr="007962C9">
        <w:rPr>
          <w:color w:val="000000" w:themeColor="text1"/>
        </w:rPr>
        <w:t>, seulement 2</w:t>
      </w:r>
      <w:r w:rsidR="00DA2080">
        <w:rPr>
          <w:color w:val="000000" w:themeColor="text1"/>
        </w:rPr>
        <w:t> </w:t>
      </w:r>
      <w:r w:rsidRPr="007962C9">
        <w:rPr>
          <w:color w:val="000000" w:themeColor="text1"/>
        </w:rPr>
        <w:t xml:space="preserve">% </w:t>
      </w:r>
      <w:r>
        <w:rPr>
          <w:color w:val="000000" w:themeColor="text1"/>
        </w:rPr>
        <w:t xml:space="preserve">de l’ensemble des documents archivés </w:t>
      </w:r>
      <w:r w:rsidRPr="007962C9">
        <w:rPr>
          <w:color w:val="000000" w:themeColor="text1"/>
        </w:rPr>
        <w:t xml:space="preserve">est </w:t>
      </w:r>
      <w:r>
        <w:rPr>
          <w:color w:val="000000" w:themeColor="text1"/>
        </w:rPr>
        <w:t xml:space="preserve">accessible </w:t>
      </w:r>
      <w:r w:rsidRPr="007962C9">
        <w:rPr>
          <w:color w:val="000000" w:themeColor="text1"/>
        </w:rPr>
        <w:t>en ligne.</w:t>
      </w:r>
    </w:p>
  </w:footnote>
  <w:footnote w:id="79">
    <w:p w14:paraId="6D2ACFA9" w14:textId="77777777" w:rsidR="00DA2080" w:rsidRPr="00105B30" w:rsidRDefault="00DA2080" w:rsidP="00DA2080">
      <w:pPr>
        <w:pStyle w:val="Notedebasdepage"/>
        <w:rPr>
          <w:rFonts w:eastAsia="Calibri"/>
          <w:color w:val="000000" w:themeColor="text1"/>
        </w:rPr>
      </w:pPr>
      <w:r w:rsidRPr="007962C9">
        <w:rPr>
          <w:rFonts w:eastAsia="Calibri"/>
          <w:color w:val="000000" w:themeColor="text1"/>
        </w:rPr>
        <w:tab/>
      </w:r>
      <w:r w:rsidRPr="00535E17">
        <w:rPr>
          <w:rStyle w:val="Appelnotedebasdep"/>
        </w:rPr>
        <w:footnoteRef/>
      </w:r>
      <w:r w:rsidRPr="00132D35">
        <w:rPr>
          <w:rStyle w:val="Appelnotedebasdep"/>
          <w:color w:val="000000" w:themeColor="text1"/>
        </w:rPr>
        <w:tab/>
      </w:r>
      <w:r>
        <w:rPr>
          <w:rFonts w:eastAsia="Calibri"/>
          <w:color w:val="000000" w:themeColor="text1"/>
        </w:rPr>
        <w:t xml:space="preserve">Ce </w:t>
      </w:r>
      <w:r w:rsidRPr="00105B30">
        <w:rPr>
          <w:rFonts w:eastAsia="Calibri"/>
          <w:color w:val="000000" w:themeColor="text1"/>
        </w:rPr>
        <w:t>programme</w:t>
      </w:r>
      <w:r>
        <w:rPr>
          <w:rFonts w:eastAsia="Calibri"/>
          <w:color w:val="000000" w:themeColor="text1"/>
        </w:rPr>
        <w:t>, intitulé « Un s</w:t>
      </w:r>
      <w:r w:rsidRPr="00105B30">
        <w:rPr>
          <w:rFonts w:eastAsia="Calibri"/>
          <w:color w:val="000000" w:themeColor="text1"/>
        </w:rPr>
        <w:t>ac à dos (</w:t>
      </w:r>
      <w:r>
        <w:rPr>
          <w:rFonts w:eastAsia="Calibri"/>
          <w:color w:val="000000" w:themeColor="text1"/>
        </w:rPr>
        <w:t>bien rempli</w:t>
      </w:r>
      <w:r w:rsidRPr="00105B30">
        <w:rPr>
          <w:rFonts w:eastAsia="Calibri"/>
          <w:color w:val="000000" w:themeColor="text1"/>
        </w:rPr>
        <w:t>) de culture</w:t>
      </w:r>
      <w:r>
        <w:rPr>
          <w:rFonts w:eastAsia="Calibri"/>
          <w:color w:val="000000" w:themeColor="text1"/>
        </w:rPr>
        <w:t> »,</w:t>
      </w:r>
      <w:r w:rsidRPr="00105B30">
        <w:rPr>
          <w:rFonts w:eastAsia="Calibri"/>
          <w:color w:val="000000" w:themeColor="text1"/>
        </w:rPr>
        <w:t xml:space="preserve"> </w:t>
      </w:r>
      <w:r>
        <w:rPr>
          <w:rFonts w:eastAsia="Calibri"/>
          <w:color w:val="000000" w:themeColor="text1"/>
        </w:rPr>
        <w:t xml:space="preserve">qui </w:t>
      </w:r>
      <w:r w:rsidRPr="00105B30">
        <w:rPr>
          <w:rFonts w:eastAsia="Calibri"/>
          <w:color w:val="000000" w:themeColor="text1"/>
        </w:rPr>
        <w:t>rend l</w:t>
      </w:r>
      <w:r>
        <w:rPr>
          <w:rFonts w:eastAsia="Calibri"/>
          <w:color w:val="000000" w:themeColor="text1"/>
        </w:rPr>
        <w:t>’</w:t>
      </w:r>
      <w:r w:rsidRPr="00105B30">
        <w:rPr>
          <w:rFonts w:eastAsia="Calibri"/>
          <w:color w:val="000000" w:themeColor="text1"/>
        </w:rPr>
        <w:t xml:space="preserve">art et la culture accessibles aux enfants et aux jeunes, est </w:t>
      </w:r>
      <w:r>
        <w:rPr>
          <w:rFonts w:eastAsia="Calibri"/>
          <w:color w:val="000000" w:themeColor="text1"/>
        </w:rPr>
        <w:t xml:space="preserve">appliqué par des spécialistes au niveau des </w:t>
      </w:r>
      <w:r w:rsidRPr="00105B30">
        <w:rPr>
          <w:rFonts w:eastAsia="Calibri"/>
          <w:color w:val="000000" w:themeColor="text1"/>
        </w:rPr>
        <w:t xml:space="preserve">écoles et </w:t>
      </w:r>
      <w:r>
        <w:rPr>
          <w:rFonts w:eastAsia="Calibri"/>
          <w:color w:val="000000" w:themeColor="text1"/>
        </w:rPr>
        <w:t xml:space="preserve">des </w:t>
      </w:r>
      <w:r w:rsidRPr="00105B30">
        <w:rPr>
          <w:rFonts w:eastAsia="Calibri"/>
          <w:color w:val="000000" w:themeColor="text1"/>
        </w:rPr>
        <w:t>jardins d</w:t>
      </w:r>
      <w:r>
        <w:rPr>
          <w:rFonts w:eastAsia="Calibri"/>
          <w:color w:val="000000" w:themeColor="text1"/>
        </w:rPr>
        <w:t>’</w:t>
      </w:r>
      <w:r w:rsidRPr="00105B30">
        <w:rPr>
          <w:rFonts w:eastAsia="Calibri"/>
          <w:color w:val="000000" w:themeColor="text1"/>
        </w:rPr>
        <w:t xml:space="preserve">enfants. Le </w:t>
      </w:r>
      <w:r>
        <w:rPr>
          <w:rFonts w:eastAsia="Calibri"/>
          <w:color w:val="000000" w:themeColor="text1"/>
        </w:rPr>
        <w:t xml:space="preserve">« Sac à dos » est décliné en </w:t>
      </w:r>
      <w:r w:rsidRPr="00105B30">
        <w:rPr>
          <w:rFonts w:eastAsia="Calibri"/>
          <w:color w:val="000000" w:themeColor="text1"/>
        </w:rPr>
        <w:t>huit activités (théâtre, art, cinéma, musique</w:t>
      </w:r>
      <w:r>
        <w:rPr>
          <w:rFonts w:eastAsia="Calibri"/>
          <w:color w:val="000000" w:themeColor="text1"/>
        </w:rPr>
        <w:t xml:space="preserve">, </w:t>
      </w:r>
      <w:r w:rsidRPr="00105B30">
        <w:rPr>
          <w:rFonts w:eastAsia="Calibri"/>
          <w:color w:val="000000" w:themeColor="text1"/>
        </w:rPr>
        <w:t xml:space="preserve">danse, patrimoine culturel et programmes </w:t>
      </w:r>
      <w:r>
        <w:rPr>
          <w:rFonts w:eastAsia="Calibri"/>
          <w:color w:val="000000" w:themeColor="text1"/>
        </w:rPr>
        <w:t xml:space="preserve">des écoles </w:t>
      </w:r>
      <w:r w:rsidRPr="00105B30">
        <w:rPr>
          <w:rFonts w:eastAsia="Calibri"/>
          <w:color w:val="000000" w:themeColor="text1"/>
        </w:rPr>
        <w:t>d</w:t>
      </w:r>
      <w:r>
        <w:rPr>
          <w:rFonts w:eastAsia="Calibri"/>
          <w:color w:val="000000" w:themeColor="text1"/>
        </w:rPr>
        <w:t>’</w:t>
      </w:r>
      <w:r w:rsidRPr="00105B30">
        <w:rPr>
          <w:rFonts w:eastAsia="Calibri"/>
          <w:color w:val="000000" w:themeColor="text1"/>
        </w:rPr>
        <w:t>art auxquels les élèves participent)</w:t>
      </w:r>
      <w:r>
        <w:rPr>
          <w:rFonts w:eastAsia="Calibri"/>
          <w:color w:val="000000" w:themeColor="text1"/>
        </w:rPr>
        <w:t>.</w:t>
      </w:r>
    </w:p>
    <w:p w14:paraId="1E6D88C6" w14:textId="191DA5BC" w:rsidR="00DA2080" w:rsidRPr="00132D35" w:rsidRDefault="00DA2080" w:rsidP="00DA2080">
      <w:pPr>
        <w:pStyle w:val="Notedebasdepage"/>
        <w:rPr>
          <w:color w:val="000000" w:themeColor="text1"/>
        </w:rPr>
      </w:pPr>
      <w:r w:rsidRPr="00105B30">
        <w:rPr>
          <w:color w:val="000000" w:themeColor="text1"/>
        </w:rPr>
        <w:tab/>
      </w:r>
      <w:r w:rsidRPr="00105B30">
        <w:rPr>
          <w:color w:val="000000" w:themeColor="text1"/>
        </w:rPr>
        <w:tab/>
      </w:r>
      <w:r w:rsidRPr="00132D35">
        <w:rPr>
          <w:color w:val="000000" w:themeColor="text1"/>
        </w:rPr>
        <w:t>D</w:t>
      </w:r>
      <w:r>
        <w:rPr>
          <w:color w:val="000000" w:themeColor="text1"/>
        </w:rPr>
        <w:t>’</w:t>
      </w:r>
      <w:r w:rsidRPr="00132D35">
        <w:rPr>
          <w:color w:val="000000" w:themeColor="text1"/>
        </w:rPr>
        <w:t>avril 2013 à décembre 2019, près de 34</w:t>
      </w:r>
      <w:r w:rsidR="00391095">
        <w:rPr>
          <w:color w:val="000000" w:themeColor="text1"/>
        </w:rPr>
        <w:t> </w:t>
      </w:r>
      <w:r w:rsidRPr="00132D35">
        <w:rPr>
          <w:color w:val="000000" w:themeColor="text1"/>
        </w:rPr>
        <w:t>000</w:t>
      </w:r>
      <w:r w:rsidR="00391095">
        <w:rPr>
          <w:color w:val="000000" w:themeColor="text1"/>
        </w:rPr>
        <w:t> </w:t>
      </w:r>
      <w:r w:rsidRPr="00132D35">
        <w:rPr>
          <w:color w:val="000000" w:themeColor="text1"/>
        </w:rPr>
        <w:t>enfants et jeunes ont participé au programme dans plus de 250</w:t>
      </w:r>
      <w:r w:rsidR="00391095">
        <w:rPr>
          <w:color w:val="000000" w:themeColor="text1"/>
        </w:rPr>
        <w:t> </w:t>
      </w:r>
      <w:r w:rsidRPr="00132D35">
        <w:rPr>
          <w:color w:val="000000" w:themeColor="text1"/>
        </w:rPr>
        <w:t xml:space="preserve">villes et municipalités </w:t>
      </w:r>
      <w:r>
        <w:rPr>
          <w:color w:val="000000" w:themeColor="text1"/>
        </w:rPr>
        <w:t xml:space="preserve">situées dans les </w:t>
      </w:r>
      <w:r w:rsidRPr="00132D35">
        <w:rPr>
          <w:color w:val="000000" w:themeColor="text1"/>
        </w:rPr>
        <w:t>zones dites assistées</w:t>
      </w:r>
      <w:r>
        <w:rPr>
          <w:color w:val="000000" w:themeColor="text1"/>
        </w:rPr>
        <w:t xml:space="preserve"> (à faible </w:t>
      </w:r>
      <w:r w:rsidRPr="00132D35">
        <w:rPr>
          <w:color w:val="000000" w:themeColor="text1"/>
        </w:rPr>
        <w:t>indice de développement</w:t>
      </w:r>
      <w:r>
        <w:rPr>
          <w:color w:val="000000" w:themeColor="text1"/>
        </w:rPr>
        <w:t>)</w:t>
      </w:r>
      <w:r w:rsidRPr="00132D35">
        <w:rPr>
          <w:color w:val="000000" w:themeColor="text1"/>
        </w:rPr>
        <w:t>.</w:t>
      </w:r>
    </w:p>
  </w:footnote>
  <w:footnote w:id="80">
    <w:p w14:paraId="44107C8C" w14:textId="128C2151" w:rsidR="000C1192" w:rsidRPr="00963AD6" w:rsidRDefault="000C1192" w:rsidP="000C1192">
      <w:pPr>
        <w:pStyle w:val="Notedebasdepage"/>
        <w:rPr>
          <w:color w:val="000000" w:themeColor="text1"/>
        </w:rPr>
      </w:pPr>
      <w:r w:rsidRPr="00132D35">
        <w:rPr>
          <w:color w:val="000000" w:themeColor="text1"/>
        </w:rPr>
        <w:tab/>
      </w:r>
      <w:r w:rsidRPr="00535E17">
        <w:rPr>
          <w:rStyle w:val="Appelnotedebasdep"/>
        </w:rPr>
        <w:footnoteRef/>
      </w:r>
      <w:r w:rsidRPr="000726C0">
        <w:rPr>
          <w:rStyle w:val="Appelnotedebasdep"/>
          <w:color w:val="000000" w:themeColor="text1"/>
        </w:rPr>
        <w:tab/>
      </w:r>
      <w:r>
        <w:rPr>
          <w:color w:val="000000" w:themeColor="text1"/>
        </w:rPr>
        <w:t>L’</w:t>
      </w:r>
      <w:r w:rsidRPr="00963AD6">
        <w:rPr>
          <w:color w:val="000000" w:themeColor="text1"/>
        </w:rPr>
        <w:t xml:space="preserve">enseignement artistique </w:t>
      </w:r>
      <w:r>
        <w:rPr>
          <w:color w:val="000000" w:themeColor="text1"/>
        </w:rPr>
        <w:t xml:space="preserve">dispensé dans le </w:t>
      </w:r>
      <w:r w:rsidRPr="00963AD6">
        <w:rPr>
          <w:color w:val="000000" w:themeColor="text1"/>
        </w:rPr>
        <w:t xml:space="preserve">primaire et </w:t>
      </w:r>
      <w:r>
        <w:rPr>
          <w:color w:val="000000" w:themeColor="text1"/>
        </w:rPr>
        <w:t xml:space="preserve">le </w:t>
      </w:r>
      <w:r w:rsidRPr="00963AD6">
        <w:rPr>
          <w:color w:val="000000" w:themeColor="text1"/>
        </w:rPr>
        <w:t>secondaire</w:t>
      </w:r>
      <w:r>
        <w:rPr>
          <w:color w:val="000000" w:themeColor="text1"/>
        </w:rPr>
        <w:t xml:space="preserve"> permet l’acquisition par les élèves </w:t>
      </w:r>
      <w:r w:rsidRPr="00963AD6">
        <w:rPr>
          <w:color w:val="000000" w:themeColor="text1"/>
        </w:rPr>
        <w:t xml:space="preserve">des connaissances et des compétences </w:t>
      </w:r>
      <w:r>
        <w:rPr>
          <w:color w:val="000000" w:themeColor="text1"/>
        </w:rPr>
        <w:t>nécessaires pour poursuivre leur apprentissage</w:t>
      </w:r>
      <w:r w:rsidRPr="00963AD6">
        <w:rPr>
          <w:color w:val="000000" w:themeColor="text1"/>
        </w:rPr>
        <w:t>.</w:t>
      </w:r>
    </w:p>
  </w:footnote>
  <w:footnote w:id="81">
    <w:p w14:paraId="4786CF77" w14:textId="77DAF0EC" w:rsidR="000C1192" w:rsidRPr="0040639D" w:rsidRDefault="000C1192" w:rsidP="000C1192">
      <w:pPr>
        <w:pStyle w:val="Notedebasdepage"/>
        <w:rPr>
          <w:color w:val="000000" w:themeColor="text1"/>
        </w:rPr>
      </w:pPr>
      <w:r w:rsidRPr="00963AD6">
        <w:rPr>
          <w:color w:val="000000" w:themeColor="text1"/>
        </w:rPr>
        <w:tab/>
      </w:r>
      <w:r w:rsidRPr="00535E17">
        <w:rPr>
          <w:rStyle w:val="Appelnotedebasdep"/>
        </w:rPr>
        <w:footnoteRef/>
      </w:r>
      <w:r w:rsidRPr="0040639D">
        <w:rPr>
          <w:rStyle w:val="Appelnotedebasdep"/>
          <w:color w:val="000000" w:themeColor="text1"/>
        </w:rPr>
        <w:tab/>
      </w:r>
      <w:r w:rsidRPr="0040639D">
        <w:rPr>
          <w:color w:val="000000" w:themeColor="text1"/>
        </w:rPr>
        <w:t>L</w:t>
      </w:r>
      <w:r>
        <w:rPr>
          <w:color w:val="000000" w:themeColor="text1"/>
        </w:rPr>
        <w:t xml:space="preserve">a </w:t>
      </w:r>
      <w:bookmarkStart w:id="9" w:name="_Hlk107221198"/>
      <w:r>
        <w:rPr>
          <w:color w:val="000000" w:themeColor="text1"/>
        </w:rPr>
        <w:t>Commission de l’</w:t>
      </w:r>
      <w:r w:rsidRPr="0040639D">
        <w:rPr>
          <w:color w:val="000000" w:themeColor="text1"/>
        </w:rPr>
        <w:t xml:space="preserve">éthique </w:t>
      </w:r>
      <w:r>
        <w:rPr>
          <w:color w:val="000000" w:themeColor="text1"/>
        </w:rPr>
        <w:t xml:space="preserve">dans les </w:t>
      </w:r>
      <w:r w:rsidRPr="0040639D">
        <w:rPr>
          <w:color w:val="000000" w:themeColor="text1"/>
        </w:rPr>
        <w:t>science</w:t>
      </w:r>
      <w:r>
        <w:rPr>
          <w:color w:val="000000" w:themeColor="text1"/>
        </w:rPr>
        <w:t>s</w:t>
      </w:r>
      <w:r w:rsidRPr="0040639D">
        <w:rPr>
          <w:color w:val="000000" w:themeColor="text1"/>
        </w:rPr>
        <w:t xml:space="preserve"> et l</w:t>
      </w:r>
      <w:r>
        <w:rPr>
          <w:color w:val="000000" w:themeColor="text1"/>
        </w:rPr>
        <w:t>’</w:t>
      </w:r>
      <w:r w:rsidRPr="0040639D">
        <w:rPr>
          <w:color w:val="000000" w:themeColor="text1"/>
        </w:rPr>
        <w:t xml:space="preserve">enseignement supérieur </w:t>
      </w:r>
      <w:bookmarkEnd w:id="9"/>
      <w:r w:rsidRPr="0040639D">
        <w:rPr>
          <w:color w:val="000000" w:themeColor="text1"/>
        </w:rPr>
        <w:t xml:space="preserve">est </w:t>
      </w:r>
      <w:r>
        <w:rPr>
          <w:color w:val="000000" w:themeColor="text1"/>
        </w:rPr>
        <w:t xml:space="preserve">l’instance consultative et spécialisée suprême </w:t>
      </w:r>
      <w:r w:rsidRPr="0040639D">
        <w:rPr>
          <w:color w:val="000000" w:themeColor="text1"/>
        </w:rPr>
        <w:t xml:space="preserve">pour la promotion des principes et </w:t>
      </w:r>
      <w:r>
        <w:rPr>
          <w:color w:val="000000" w:themeColor="text1"/>
        </w:rPr>
        <w:t xml:space="preserve">des </w:t>
      </w:r>
      <w:r w:rsidRPr="0040639D">
        <w:rPr>
          <w:color w:val="000000" w:themeColor="text1"/>
        </w:rPr>
        <w:t xml:space="preserve">valeurs </w:t>
      </w:r>
      <w:r>
        <w:rPr>
          <w:color w:val="000000" w:themeColor="text1"/>
        </w:rPr>
        <w:t>de l’</w:t>
      </w:r>
      <w:r w:rsidRPr="0040639D">
        <w:rPr>
          <w:color w:val="000000" w:themeColor="text1"/>
        </w:rPr>
        <w:t xml:space="preserve">éthique dans </w:t>
      </w:r>
      <w:r>
        <w:rPr>
          <w:color w:val="000000" w:themeColor="text1"/>
        </w:rPr>
        <w:t xml:space="preserve">les </w:t>
      </w:r>
      <w:r w:rsidRPr="0040639D">
        <w:rPr>
          <w:color w:val="000000" w:themeColor="text1"/>
        </w:rPr>
        <w:t>science</w:t>
      </w:r>
      <w:r>
        <w:rPr>
          <w:color w:val="000000" w:themeColor="text1"/>
        </w:rPr>
        <w:t>s</w:t>
      </w:r>
      <w:r w:rsidRPr="0040639D">
        <w:rPr>
          <w:color w:val="000000" w:themeColor="text1"/>
        </w:rPr>
        <w:t xml:space="preserve"> et l</w:t>
      </w:r>
      <w:r>
        <w:rPr>
          <w:color w:val="000000" w:themeColor="text1"/>
        </w:rPr>
        <w:t>’</w:t>
      </w:r>
      <w:r w:rsidRPr="0040639D">
        <w:rPr>
          <w:color w:val="000000" w:themeColor="text1"/>
        </w:rPr>
        <w:t xml:space="preserve">enseignement supérieur, les affaires </w:t>
      </w:r>
      <w:r>
        <w:rPr>
          <w:color w:val="000000" w:themeColor="text1"/>
        </w:rPr>
        <w:t xml:space="preserve">économiques </w:t>
      </w:r>
      <w:r w:rsidRPr="0040639D">
        <w:rPr>
          <w:color w:val="000000" w:themeColor="text1"/>
        </w:rPr>
        <w:t xml:space="preserve">et les relations publiques, </w:t>
      </w:r>
      <w:r>
        <w:rPr>
          <w:color w:val="000000" w:themeColor="text1"/>
        </w:rPr>
        <w:t xml:space="preserve">et </w:t>
      </w:r>
      <w:r w:rsidRPr="0040639D">
        <w:rPr>
          <w:color w:val="000000" w:themeColor="text1"/>
        </w:rPr>
        <w:t>l</w:t>
      </w:r>
      <w:r>
        <w:rPr>
          <w:color w:val="000000" w:themeColor="text1"/>
        </w:rPr>
        <w:t>’</w:t>
      </w:r>
      <w:r w:rsidRPr="0040639D">
        <w:rPr>
          <w:color w:val="000000" w:themeColor="text1"/>
        </w:rPr>
        <w:t>application des technologies modernes et la protection de l</w:t>
      </w:r>
      <w:r>
        <w:rPr>
          <w:color w:val="000000" w:themeColor="text1"/>
        </w:rPr>
        <w:t>’</w:t>
      </w:r>
      <w:r w:rsidRPr="0040639D">
        <w:rPr>
          <w:color w:val="000000" w:themeColor="text1"/>
        </w:rPr>
        <w:t>environnement</w:t>
      </w:r>
      <w:r>
        <w:rPr>
          <w:color w:val="000000" w:themeColor="text1"/>
        </w:rPr>
        <w:t>.</w:t>
      </w:r>
    </w:p>
  </w:footnote>
  <w:footnote w:id="82">
    <w:p w14:paraId="19D1E272" w14:textId="122CC8E7" w:rsidR="000C1192" w:rsidRPr="00A90816" w:rsidRDefault="000C1192" w:rsidP="000C1192">
      <w:pPr>
        <w:pStyle w:val="Notedebasdepage"/>
        <w:rPr>
          <w:color w:val="000000" w:themeColor="text1"/>
        </w:rPr>
      </w:pPr>
      <w:r w:rsidRPr="0040639D">
        <w:rPr>
          <w:color w:val="000000" w:themeColor="text1"/>
        </w:rPr>
        <w:tab/>
      </w:r>
      <w:r w:rsidRPr="00535E17">
        <w:rPr>
          <w:rStyle w:val="Appelnotedebasdep"/>
        </w:rPr>
        <w:footnoteRef/>
      </w:r>
      <w:r w:rsidRPr="00A90816">
        <w:rPr>
          <w:rStyle w:val="Appelnotedebasdep"/>
          <w:color w:val="000000" w:themeColor="text1"/>
        </w:rPr>
        <w:tab/>
      </w:r>
      <w:r>
        <w:rPr>
          <w:color w:val="000000" w:themeColor="text1"/>
        </w:rPr>
        <w:t xml:space="preserve">Les activités du programme ont été les suivantes : </w:t>
      </w:r>
      <w:r w:rsidRPr="00A90816">
        <w:rPr>
          <w:color w:val="000000" w:themeColor="text1"/>
        </w:rPr>
        <w:t xml:space="preserve">production et à distribution de </w:t>
      </w:r>
      <w:r>
        <w:rPr>
          <w:color w:val="000000" w:themeColor="text1"/>
        </w:rPr>
        <w:t xml:space="preserve">supports </w:t>
      </w:r>
      <w:r w:rsidRPr="00A90816">
        <w:rPr>
          <w:color w:val="000000" w:themeColor="text1"/>
        </w:rPr>
        <w:t>d</w:t>
      </w:r>
      <w:r>
        <w:rPr>
          <w:color w:val="000000" w:themeColor="text1"/>
        </w:rPr>
        <w:t>’</w:t>
      </w:r>
      <w:r w:rsidRPr="00A90816">
        <w:rPr>
          <w:color w:val="000000" w:themeColor="text1"/>
        </w:rPr>
        <w:t>information et de promotion</w:t>
      </w:r>
      <w:r>
        <w:rPr>
          <w:color w:val="000000" w:themeColor="text1"/>
        </w:rPr>
        <w:t xml:space="preserve"> ; </w:t>
      </w:r>
      <w:r w:rsidRPr="00A90816">
        <w:rPr>
          <w:color w:val="000000" w:themeColor="text1"/>
        </w:rPr>
        <w:t xml:space="preserve">organisation de séminaires nationaux, régionaux et locaux </w:t>
      </w:r>
      <w:r>
        <w:rPr>
          <w:color w:val="000000" w:themeColor="text1"/>
        </w:rPr>
        <w:t xml:space="preserve">à l’intention des </w:t>
      </w:r>
      <w:r w:rsidRPr="00A90816">
        <w:rPr>
          <w:color w:val="000000" w:themeColor="text1"/>
        </w:rPr>
        <w:t>bénéficiaires potentiels</w:t>
      </w:r>
      <w:r>
        <w:rPr>
          <w:color w:val="000000" w:themeColor="text1"/>
        </w:rPr>
        <w:t xml:space="preserve"> ; </w:t>
      </w:r>
      <w:r w:rsidRPr="00A90816">
        <w:rPr>
          <w:color w:val="000000" w:themeColor="text1"/>
        </w:rPr>
        <w:t>gestion d</w:t>
      </w:r>
      <w:r>
        <w:rPr>
          <w:color w:val="000000" w:themeColor="text1"/>
        </w:rPr>
        <w:t>’</w:t>
      </w:r>
      <w:r w:rsidRPr="00A90816">
        <w:rPr>
          <w:color w:val="000000" w:themeColor="text1"/>
        </w:rPr>
        <w:t>une base de données permettant de proposer des idées de projets et de rechercher des partenaires (culturenet.hr)</w:t>
      </w:r>
      <w:r>
        <w:rPr>
          <w:color w:val="000000" w:themeColor="text1"/>
        </w:rPr>
        <w:t xml:space="preserve"> ; </w:t>
      </w:r>
      <w:r w:rsidRPr="00A90816">
        <w:rPr>
          <w:color w:val="000000" w:themeColor="text1"/>
        </w:rPr>
        <w:t xml:space="preserve">assistance technique et financière </w:t>
      </w:r>
      <w:r>
        <w:rPr>
          <w:color w:val="000000" w:themeColor="text1"/>
        </w:rPr>
        <w:t xml:space="preserve">à des </w:t>
      </w:r>
      <w:r w:rsidRPr="00A90816">
        <w:rPr>
          <w:color w:val="000000" w:themeColor="text1"/>
        </w:rPr>
        <w:t>projets soutenus par l</w:t>
      </w:r>
      <w:r>
        <w:rPr>
          <w:color w:val="000000" w:themeColor="text1"/>
        </w:rPr>
        <w:t>’</w:t>
      </w:r>
      <w:r w:rsidRPr="00A90816">
        <w:rPr>
          <w:color w:val="000000" w:themeColor="text1"/>
        </w:rPr>
        <w:t>UE</w:t>
      </w:r>
      <w:r>
        <w:rPr>
          <w:color w:val="000000" w:themeColor="text1"/>
        </w:rPr>
        <w:t xml:space="preserve"> ; et </w:t>
      </w:r>
      <w:r w:rsidRPr="00A90816">
        <w:rPr>
          <w:color w:val="000000" w:themeColor="text1"/>
        </w:rPr>
        <w:t xml:space="preserve">coopération </w:t>
      </w:r>
      <w:r>
        <w:rPr>
          <w:color w:val="000000" w:themeColor="text1"/>
        </w:rPr>
        <w:t xml:space="preserve">suivie </w:t>
      </w:r>
      <w:r w:rsidRPr="00A90816">
        <w:rPr>
          <w:color w:val="000000" w:themeColor="text1"/>
        </w:rPr>
        <w:t xml:space="preserve">avec </w:t>
      </w:r>
      <w:r>
        <w:rPr>
          <w:color w:val="000000" w:themeColor="text1"/>
        </w:rPr>
        <w:t xml:space="preserve">des </w:t>
      </w:r>
      <w:r w:rsidRPr="00A90816">
        <w:rPr>
          <w:color w:val="000000" w:themeColor="text1"/>
        </w:rPr>
        <w:t xml:space="preserve">partenaires de projet de la </w:t>
      </w:r>
      <w:r>
        <w:rPr>
          <w:color w:val="000000" w:themeColor="text1"/>
        </w:rPr>
        <w:t>République de Croatie et de pays de l’UE, par l’intermédiaire des guichets d’information d’autres pays membres et de l’</w:t>
      </w:r>
      <w:r w:rsidRPr="006E1DEC">
        <w:rPr>
          <w:color w:val="000000" w:themeColor="text1"/>
        </w:rPr>
        <w:t>Agence exécutive «</w:t>
      </w:r>
      <w:r w:rsidR="00391095">
        <w:rPr>
          <w:color w:val="000000" w:themeColor="text1"/>
        </w:rPr>
        <w:t> </w:t>
      </w:r>
      <w:r w:rsidRPr="006E1DEC">
        <w:rPr>
          <w:color w:val="000000" w:themeColor="text1"/>
        </w:rPr>
        <w:t>Éducation, audiovisuel et culture</w:t>
      </w:r>
      <w:r w:rsidR="00391095">
        <w:rPr>
          <w:color w:val="000000" w:themeColor="text1"/>
        </w:rPr>
        <w:t> </w:t>
      </w:r>
      <w:r w:rsidRPr="006E1DEC">
        <w:rPr>
          <w:color w:val="000000" w:themeColor="text1"/>
        </w:rPr>
        <w:t>»</w:t>
      </w:r>
      <w:r>
        <w:rPr>
          <w:color w:val="000000" w:themeColor="text1"/>
        </w:rPr>
        <w:t xml:space="preserve"> à Bruxelles</w:t>
      </w:r>
      <w:r w:rsidRPr="00A90816">
        <w:rPr>
          <w:color w:val="000000" w:themeColor="text1"/>
        </w:rPr>
        <w:t>.</w:t>
      </w:r>
    </w:p>
  </w:footnote>
  <w:footnote w:id="83">
    <w:p w14:paraId="23E8FD91" w14:textId="1D2B4DAB" w:rsidR="000C1192" w:rsidRPr="001F5B59" w:rsidRDefault="000C1192" w:rsidP="000C1192">
      <w:pPr>
        <w:pStyle w:val="Notedebasdepage"/>
        <w:rPr>
          <w:color w:val="000000" w:themeColor="text1"/>
        </w:rPr>
      </w:pPr>
      <w:r w:rsidRPr="00A90816">
        <w:rPr>
          <w:color w:val="000000" w:themeColor="text1"/>
        </w:rPr>
        <w:tab/>
      </w:r>
      <w:r w:rsidRPr="00535E17">
        <w:rPr>
          <w:rStyle w:val="Appelnotedebasdep"/>
        </w:rPr>
        <w:footnoteRef/>
      </w:r>
      <w:r w:rsidRPr="001F5B59">
        <w:rPr>
          <w:rStyle w:val="Appelnotedebasdep"/>
          <w:color w:val="000000" w:themeColor="text1"/>
        </w:rPr>
        <w:tab/>
      </w:r>
      <w:r w:rsidRPr="001F5B59">
        <w:rPr>
          <w:color w:val="000000" w:themeColor="text1"/>
        </w:rPr>
        <w:t>La catégorie des autres droits d</w:t>
      </w:r>
      <w:r>
        <w:rPr>
          <w:color w:val="000000" w:themeColor="text1"/>
        </w:rPr>
        <w:t>’</w:t>
      </w:r>
      <w:r w:rsidRPr="001F5B59">
        <w:rPr>
          <w:color w:val="000000" w:themeColor="text1"/>
        </w:rPr>
        <w:t xml:space="preserve">auteur comprend, par exemple, le droit à une </w:t>
      </w:r>
      <w:r>
        <w:rPr>
          <w:color w:val="000000" w:themeColor="text1"/>
        </w:rPr>
        <w:t>rémunération au titre de</w:t>
      </w:r>
      <w:r w:rsidRPr="001F5B59">
        <w:rPr>
          <w:color w:val="000000" w:themeColor="text1"/>
        </w:rPr>
        <w:t xml:space="preserve"> la reproduction d</w:t>
      </w:r>
      <w:r>
        <w:rPr>
          <w:color w:val="000000" w:themeColor="text1"/>
        </w:rPr>
        <w:t>’</w:t>
      </w:r>
      <w:r w:rsidRPr="001F5B59">
        <w:rPr>
          <w:color w:val="000000" w:themeColor="text1"/>
        </w:rPr>
        <w:t xml:space="preserve">une œuvre </w:t>
      </w:r>
      <w:r>
        <w:rPr>
          <w:color w:val="000000" w:themeColor="text1"/>
        </w:rPr>
        <w:t xml:space="preserve">pour </w:t>
      </w:r>
      <w:r w:rsidRPr="001F5B59">
        <w:rPr>
          <w:color w:val="000000" w:themeColor="text1"/>
        </w:rPr>
        <w:t xml:space="preserve">un usage privé ou </w:t>
      </w:r>
      <w:r>
        <w:rPr>
          <w:color w:val="000000" w:themeColor="text1"/>
        </w:rPr>
        <w:t xml:space="preserve">un </w:t>
      </w:r>
      <w:r w:rsidRPr="001F5B59">
        <w:rPr>
          <w:color w:val="000000" w:themeColor="text1"/>
        </w:rPr>
        <w:t xml:space="preserve">autre usage personnel, le droit à une </w:t>
      </w:r>
      <w:r>
        <w:rPr>
          <w:color w:val="000000" w:themeColor="text1"/>
        </w:rPr>
        <w:t xml:space="preserve">rémunération au titre d’un </w:t>
      </w:r>
      <w:r w:rsidRPr="001F5B59">
        <w:rPr>
          <w:color w:val="000000" w:themeColor="text1"/>
        </w:rPr>
        <w:t xml:space="preserve">prêt </w:t>
      </w:r>
      <w:r>
        <w:rPr>
          <w:color w:val="000000" w:themeColor="text1"/>
        </w:rPr>
        <w:t>à l’État</w:t>
      </w:r>
      <w:r w:rsidRPr="001F5B59">
        <w:rPr>
          <w:color w:val="000000" w:themeColor="text1"/>
        </w:rPr>
        <w:t>, etc.</w:t>
      </w:r>
    </w:p>
  </w:footnote>
  <w:footnote w:id="84">
    <w:p w14:paraId="3C546876" w14:textId="2C967C53" w:rsidR="000C1192" w:rsidRPr="001F5B59" w:rsidRDefault="000C1192" w:rsidP="000C1192">
      <w:pPr>
        <w:pStyle w:val="Notedebasdepage"/>
        <w:rPr>
          <w:color w:val="000000" w:themeColor="text1"/>
        </w:rPr>
      </w:pPr>
      <w:r w:rsidRPr="001F5B59">
        <w:rPr>
          <w:color w:val="000000" w:themeColor="text1"/>
        </w:rPr>
        <w:tab/>
      </w:r>
      <w:r w:rsidRPr="00535E17">
        <w:rPr>
          <w:rStyle w:val="Appelnotedebasdep"/>
        </w:rPr>
        <w:footnoteRef/>
      </w:r>
      <w:r w:rsidRPr="002318CD">
        <w:rPr>
          <w:rStyle w:val="Appelnotedebasdep"/>
          <w:color w:val="000000" w:themeColor="text1"/>
        </w:rPr>
        <w:tab/>
      </w:r>
      <w:r w:rsidRPr="001F5B59">
        <w:rPr>
          <w:color w:val="000000" w:themeColor="text1"/>
        </w:rPr>
        <w:t xml:space="preserve">Entre autres choses, la </w:t>
      </w:r>
      <w:r>
        <w:rPr>
          <w:color w:val="000000" w:themeColor="text1"/>
        </w:rPr>
        <w:t xml:space="preserve">loi sur le droit d’auteur et les droits voisins </w:t>
      </w:r>
      <w:r w:rsidRPr="001F5B59">
        <w:rPr>
          <w:color w:val="000000" w:themeColor="text1"/>
        </w:rPr>
        <w:t xml:space="preserve">prescrit une exception générale </w:t>
      </w:r>
      <w:r>
        <w:rPr>
          <w:color w:val="000000" w:themeColor="text1"/>
        </w:rPr>
        <w:t xml:space="preserve">qui autorise à utiliser des </w:t>
      </w:r>
      <w:r w:rsidRPr="001F5B59">
        <w:rPr>
          <w:color w:val="000000" w:themeColor="text1"/>
        </w:rPr>
        <w:t>œuvres protégées par le droit d</w:t>
      </w:r>
      <w:r>
        <w:rPr>
          <w:color w:val="000000" w:themeColor="text1"/>
        </w:rPr>
        <w:t>’</w:t>
      </w:r>
      <w:r w:rsidRPr="001F5B59">
        <w:rPr>
          <w:color w:val="000000" w:themeColor="text1"/>
        </w:rPr>
        <w:t xml:space="preserve">auteur </w:t>
      </w:r>
      <w:r>
        <w:rPr>
          <w:color w:val="000000" w:themeColor="text1"/>
        </w:rPr>
        <w:t xml:space="preserve">dans le contexte des </w:t>
      </w:r>
      <w:r w:rsidRPr="001F5B59">
        <w:rPr>
          <w:color w:val="000000" w:themeColor="text1"/>
        </w:rPr>
        <w:t xml:space="preserve">besoins </w:t>
      </w:r>
      <w:r>
        <w:rPr>
          <w:color w:val="000000" w:themeColor="text1"/>
        </w:rPr>
        <w:t xml:space="preserve">des </w:t>
      </w:r>
      <w:r w:rsidRPr="001F5B59">
        <w:rPr>
          <w:color w:val="000000" w:themeColor="text1"/>
        </w:rPr>
        <w:t xml:space="preserve">personnes handicapées </w:t>
      </w:r>
      <w:r>
        <w:rPr>
          <w:color w:val="000000" w:themeColor="text1"/>
        </w:rPr>
        <w:t xml:space="preserve">si l’utilisation est </w:t>
      </w:r>
      <w:r w:rsidRPr="001F5B59">
        <w:rPr>
          <w:color w:val="000000" w:themeColor="text1"/>
        </w:rPr>
        <w:t xml:space="preserve">directement liée au handicap </w:t>
      </w:r>
      <w:r>
        <w:rPr>
          <w:color w:val="000000" w:themeColor="text1"/>
        </w:rPr>
        <w:t xml:space="preserve">des </w:t>
      </w:r>
      <w:r w:rsidRPr="001F5B59">
        <w:rPr>
          <w:color w:val="000000" w:themeColor="text1"/>
        </w:rPr>
        <w:t xml:space="preserve">personnes </w:t>
      </w:r>
      <w:r>
        <w:rPr>
          <w:color w:val="000000" w:themeColor="text1"/>
        </w:rPr>
        <w:t xml:space="preserve">concernées, n’a pas de caractère commercial et se limite à ce qui est nécessaire par rapport au </w:t>
      </w:r>
      <w:r w:rsidRPr="001F5B59">
        <w:rPr>
          <w:color w:val="000000" w:themeColor="text1"/>
        </w:rPr>
        <w:t xml:space="preserve">handicap. Il existe </w:t>
      </w:r>
      <w:r>
        <w:rPr>
          <w:color w:val="000000" w:themeColor="text1"/>
        </w:rPr>
        <w:t xml:space="preserve">aussi </w:t>
      </w:r>
      <w:r w:rsidRPr="001F5B59">
        <w:rPr>
          <w:color w:val="000000" w:themeColor="text1"/>
        </w:rPr>
        <w:t>une disposition spécifique qui facil</w:t>
      </w:r>
      <w:r>
        <w:rPr>
          <w:color w:val="000000" w:themeColor="text1"/>
        </w:rPr>
        <w:t>i</w:t>
      </w:r>
      <w:r w:rsidRPr="001F5B59">
        <w:rPr>
          <w:color w:val="000000" w:themeColor="text1"/>
        </w:rPr>
        <w:t>t</w:t>
      </w:r>
      <w:r>
        <w:rPr>
          <w:color w:val="000000" w:themeColor="text1"/>
        </w:rPr>
        <w:t>e l’adaptation</w:t>
      </w:r>
      <w:r w:rsidRPr="001F5B59">
        <w:rPr>
          <w:color w:val="000000" w:themeColor="text1"/>
        </w:rPr>
        <w:t xml:space="preserve"> </w:t>
      </w:r>
      <w:r>
        <w:rPr>
          <w:color w:val="000000" w:themeColor="text1"/>
        </w:rPr>
        <w:t xml:space="preserve">des </w:t>
      </w:r>
      <w:r w:rsidRPr="001F5B59">
        <w:rPr>
          <w:color w:val="000000" w:themeColor="text1"/>
        </w:rPr>
        <w:t>œuvres imprimées et autres contenus protégés par le droit d</w:t>
      </w:r>
      <w:r>
        <w:rPr>
          <w:color w:val="000000" w:themeColor="text1"/>
        </w:rPr>
        <w:t>’</w:t>
      </w:r>
      <w:r w:rsidRPr="001F5B59">
        <w:rPr>
          <w:color w:val="000000" w:themeColor="text1"/>
        </w:rPr>
        <w:t xml:space="preserve">auteur et les droits voisins </w:t>
      </w:r>
      <w:r>
        <w:rPr>
          <w:color w:val="000000" w:themeColor="text1"/>
        </w:rPr>
        <w:t xml:space="preserve">sous </w:t>
      </w:r>
      <w:r w:rsidRPr="001F5B59">
        <w:rPr>
          <w:color w:val="000000" w:themeColor="text1"/>
        </w:rPr>
        <w:t xml:space="preserve">des </w:t>
      </w:r>
      <w:r>
        <w:rPr>
          <w:color w:val="000000" w:themeColor="text1"/>
        </w:rPr>
        <w:t>formes</w:t>
      </w:r>
      <w:r w:rsidRPr="001F5B59">
        <w:rPr>
          <w:color w:val="000000" w:themeColor="text1"/>
        </w:rPr>
        <w:t xml:space="preserve"> adapté</w:t>
      </w:r>
      <w:r>
        <w:rPr>
          <w:color w:val="000000" w:themeColor="text1"/>
        </w:rPr>
        <w:t>e</w:t>
      </w:r>
      <w:r w:rsidRPr="001F5B59">
        <w:rPr>
          <w:color w:val="000000" w:themeColor="text1"/>
        </w:rPr>
        <w:t xml:space="preserve">s aux besoins des </w:t>
      </w:r>
      <w:r>
        <w:rPr>
          <w:color w:val="000000" w:themeColor="text1"/>
        </w:rPr>
        <w:t xml:space="preserve">personnes </w:t>
      </w:r>
      <w:r w:rsidRPr="001F5B59">
        <w:rPr>
          <w:color w:val="000000" w:themeColor="text1"/>
        </w:rPr>
        <w:t>aveugles</w:t>
      </w:r>
      <w:r>
        <w:rPr>
          <w:color w:val="000000" w:themeColor="text1"/>
        </w:rPr>
        <w:t xml:space="preserve"> ou malvoyantes ou souffrant </w:t>
      </w:r>
      <w:r w:rsidRPr="001F5B59">
        <w:rPr>
          <w:color w:val="000000" w:themeColor="text1"/>
        </w:rPr>
        <w:t>d</w:t>
      </w:r>
      <w:r>
        <w:rPr>
          <w:color w:val="000000" w:themeColor="text1"/>
        </w:rPr>
        <w:t>’</w:t>
      </w:r>
      <w:r w:rsidRPr="001F5B59">
        <w:rPr>
          <w:color w:val="000000" w:themeColor="text1"/>
        </w:rPr>
        <w:t>autres difficultés qui les empêchent d</w:t>
      </w:r>
      <w:r>
        <w:rPr>
          <w:color w:val="000000" w:themeColor="text1"/>
        </w:rPr>
        <w:t>’</w:t>
      </w:r>
      <w:r w:rsidRPr="001F5B59">
        <w:rPr>
          <w:color w:val="000000" w:themeColor="text1"/>
        </w:rPr>
        <w:t xml:space="preserve">utiliser </w:t>
      </w:r>
      <w:r>
        <w:rPr>
          <w:color w:val="000000" w:themeColor="text1"/>
        </w:rPr>
        <w:t>les œuvres écrites</w:t>
      </w:r>
      <w:r w:rsidRPr="001F5B59">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13D" w14:textId="55FCC0BA" w:rsidR="000C1192" w:rsidRPr="000C1192" w:rsidRDefault="004671ED">
    <w:pPr>
      <w:pStyle w:val="En-tte"/>
    </w:pPr>
    <w:r>
      <w:fldChar w:fldCharType="begin"/>
    </w:r>
    <w:r>
      <w:instrText xml:space="preserve"> TITLE  \* MERGEFORMAT </w:instrText>
    </w:r>
    <w:r>
      <w:fldChar w:fldCharType="separate"/>
    </w:r>
    <w:r w:rsidR="00FB2770">
      <w:t>E/C.12/HRV/2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6121" w14:textId="61BE80BF" w:rsidR="000C1192" w:rsidRPr="000C1192" w:rsidRDefault="004671ED" w:rsidP="000C1192">
    <w:pPr>
      <w:pStyle w:val="En-tte"/>
      <w:jc w:val="right"/>
    </w:pPr>
    <w:r>
      <w:fldChar w:fldCharType="begin"/>
    </w:r>
    <w:r>
      <w:instrText xml:space="preserve"> TITLE  \* MERGEFORMAT </w:instrText>
    </w:r>
    <w:r>
      <w:fldChar w:fldCharType="separate"/>
    </w:r>
    <w:r w:rsidR="00FB2770">
      <w:t>E/C.12/HRV/2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E6169224"/>
    <w:lvl w:ilvl="0" w:tplc="F44A70C0">
      <w:start w:val="1"/>
      <w:numFmt w:val="decimal"/>
      <w:lvlText w:val="%1."/>
      <w:lvlJc w:val="left"/>
      <w:pPr>
        <w:tabs>
          <w:tab w:val="num" w:pos="0"/>
        </w:tabs>
        <w:ind w:left="1134"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8A27C5"/>
    <w:multiLevelType w:val="hybridMultilevel"/>
    <w:tmpl w:val="D79E6626"/>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7B14A5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822CC7"/>
    <w:multiLevelType w:val="hybridMultilevel"/>
    <w:tmpl w:val="A044E4F4"/>
    <w:lvl w:ilvl="0" w:tplc="2402A306">
      <w:start w:val="481"/>
      <w:numFmt w:val="bullet"/>
      <w:lvlText w:val=""/>
      <w:lvlJc w:val="left"/>
      <w:pPr>
        <w:ind w:left="1664" w:hanging="360"/>
      </w:pPr>
      <w:rPr>
        <w:rFonts w:ascii="Symbol" w:eastAsiaTheme="minorHAnsi" w:hAnsi="Symbol"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882877"/>
    <w:multiLevelType w:val="hybridMultilevel"/>
    <w:tmpl w:val="0CC4154A"/>
    <w:lvl w:ilvl="0" w:tplc="2ADE0DFA">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42A0992"/>
    <w:multiLevelType w:val="hybridMultilevel"/>
    <w:tmpl w:val="4C281192"/>
    <w:lvl w:ilvl="0" w:tplc="48E4E5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8A02C8F"/>
    <w:multiLevelType w:val="hybridMultilevel"/>
    <w:tmpl w:val="56A088BC"/>
    <w:lvl w:ilvl="0" w:tplc="4A7A9772">
      <w:start w:val="481"/>
      <w:numFmt w:val="bullet"/>
      <w:lvlText w:val=""/>
      <w:lvlJc w:val="left"/>
      <w:pPr>
        <w:ind w:left="2024" w:hanging="360"/>
      </w:pPr>
      <w:rPr>
        <w:rFonts w:ascii="Symbol" w:eastAsiaTheme="minorHAnsi" w:hAnsi="Symbol" w:cs="Times New Roman"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0" w15:restartNumberingAfterBreak="0">
    <w:nsid w:val="2DC921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9C532D"/>
    <w:multiLevelType w:val="hybridMultilevel"/>
    <w:tmpl w:val="4A726AA8"/>
    <w:lvl w:ilvl="0" w:tplc="2B3A9B02">
      <w:start w:val="1"/>
      <w:numFmt w:val="decimal"/>
      <w:lvlText w:val="%1."/>
      <w:lvlJc w:val="left"/>
      <w:pPr>
        <w:ind w:left="1364" w:hanging="360"/>
      </w:pPr>
      <w:rPr>
        <w:sz w:val="16"/>
        <w:szCs w:val="16"/>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3"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FC65A23"/>
    <w:multiLevelType w:val="hybridMultilevel"/>
    <w:tmpl w:val="89309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466349"/>
    <w:multiLevelType w:val="hybridMultilevel"/>
    <w:tmpl w:val="89A02D24"/>
    <w:lvl w:ilvl="0" w:tplc="7F0EACA2">
      <w:start w:val="48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B10859"/>
    <w:multiLevelType w:val="hybridMultilevel"/>
    <w:tmpl w:val="80BE6E84"/>
    <w:lvl w:ilvl="0" w:tplc="0D200000">
      <w:start w:val="1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2E14686"/>
    <w:multiLevelType w:val="hybridMultilevel"/>
    <w:tmpl w:val="7804937A"/>
    <w:lvl w:ilvl="0" w:tplc="42EEF764">
      <w:start w:val="481"/>
      <w:numFmt w:val="bullet"/>
      <w:lvlText w:val=""/>
      <w:lvlJc w:val="left"/>
      <w:pPr>
        <w:ind w:left="1494" w:hanging="360"/>
      </w:pPr>
      <w:rPr>
        <w:rFonts w:ascii="Symbol" w:eastAsiaTheme="minorHAnsi" w:hAnsi="Symbol" w:cs="Times New Roman" w:hint="default"/>
        <w:i w:val="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DD1DEE"/>
    <w:multiLevelType w:val="hybridMultilevel"/>
    <w:tmpl w:val="BDBC760A"/>
    <w:lvl w:ilvl="0" w:tplc="4466699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09C61A7"/>
    <w:multiLevelType w:val="hybridMultilevel"/>
    <w:tmpl w:val="6A189F32"/>
    <w:lvl w:ilvl="0" w:tplc="7F0EACA2">
      <w:start w:val="48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339EE"/>
    <w:multiLevelType w:val="hybridMultilevel"/>
    <w:tmpl w:val="4EF8D7C6"/>
    <w:lvl w:ilvl="0" w:tplc="DB78381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50A4E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073AAD"/>
    <w:multiLevelType w:val="hybridMultilevel"/>
    <w:tmpl w:val="8312BA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655E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845C58"/>
    <w:multiLevelType w:val="hybridMultilevel"/>
    <w:tmpl w:val="E70A0734"/>
    <w:lvl w:ilvl="0" w:tplc="C6008636">
      <w:start w:val="1"/>
      <w:numFmt w:val="lowerLetter"/>
      <w:lvlText w:val="(%1)"/>
      <w:lvlJc w:val="left"/>
      <w:pPr>
        <w:ind w:left="644" w:hanging="360"/>
      </w:pPr>
      <w:rPr>
        <w:rFonts w:hint="default"/>
        <w:b w:val="0"/>
        <w:i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7" w15:restartNumberingAfterBreak="0">
    <w:nsid w:val="7FB47FEF"/>
    <w:multiLevelType w:val="hybridMultilevel"/>
    <w:tmpl w:val="A5E270F0"/>
    <w:lvl w:ilvl="0" w:tplc="3DD69ABA">
      <w:start w:val="10"/>
      <w:numFmt w:val="bullet"/>
      <w:lvlText w:val="-"/>
      <w:lvlJc w:val="left"/>
      <w:pPr>
        <w:tabs>
          <w:tab w:val="num" w:pos="1287"/>
        </w:tabs>
        <w:ind w:left="1287" w:hanging="360"/>
      </w:pPr>
      <w:rPr>
        <w:rFonts w:ascii="Times New Roman" w:eastAsia="Times New Roman" w:hAnsi="Times New Roman" w:cs="Times New Roman" w:hint="default"/>
      </w:rPr>
    </w:lvl>
    <w:lvl w:ilvl="1" w:tplc="0096D742">
      <w:start w:val="1"/>
      <w:numFmt w:val="bullet"/>
      <w:lvlText w:val=""/>
      <w:lvlJc w:val="left"/>
      <w:pPr>
        <w:tabs>
          <w:tab w:val="num" w:pos="2007"/>
        </w:tabs>
        <w:ind w:left="2007" w:hanging="360"/>
      </w:pPr>
      <w:rPr>
        <w:rFonts w:ascii="Wingdings" w:hAnsi="Wingdings" w:hint="default"/>
      </w:rPr>
    </w:lvl>
    <w:lvl w:ilvl="2" w:tplc="88EAFDD2">
      <w:start w:val="1"/>
      <w:numFmt w:val="bullet"/>
      <w:lvlText w:val=""/>
      <w:lvlJc w:val="left"/>
      <w:pPr>
        <w:tabs>
          <w:tab w:val="num" w:pos="2727"/>
        </w:tabs>
        <w:ind w:left="2727" w:hanging="360"/>
      </w:pPr>
      <w:rPr>
        <w:rFonts w:ascii="Wingdings" w:hAnsi="Wingdings" w:hint="default"/>
      </w:rPr>
    </w:lvl>
    <w:lvl w:ilvl="3" w:tplc="ED207D06" w:tentative="1">
      <w:start w:val="1"/>
      <w:numFmt w:val="bullet"/>
      <w:lvlText w:val=""/>
      <w:lvlJc w:val="left"/>
      <w:pPr>
        <w:tabs>
          <w:tab w:val="num" w:pos="3447"/>
        </w:tabs>
        <w:ind w:left="3447" w:hanging="360"/>
      </w:pPr>
      <w:rPr>
        <w:rFonts w:ascii="Wingdings" w:hAnsi="Wingdings" w:hint="default"/>
      </w:rPr>
    </w:lvl>
    <w:lvl w:ilvl="4" w:tplc="CE82D37C" w:tentative="1">
      <w:start w:val="1"/>
      <w:numFmt w:val="bullet"/>
      <w:lvlText w:val=""/>
      <w:lvlJc w:val="left"/>
      <w:pPr>
        <w:tabs>
          <w:tab w:val="num" w:pos="4167"/>
        </w:tabs>
        <w:ind w:left="4167" w:hanging="360"/>
      </w:pPr>
      <w:rPr>
        <w:rFonts w:ascii="Wingdings" w:hAnsi="Wingdings" w:hint="default"/>
      </w:rPr>
    </w:lvl>
    <w:lvl w:ilvl="5" w:tplc="CA06DED6" w:tentative="1">
      <w:start w:val="1"/>
      <w:numFmt w:val="bullet"/>
      <w:lvlText w:val=""/>
      <w:lvlJc w:val="left"/>
      <w:pPr>
        <w:tabs>
          <w:tab w:val="num" w:pos="4887"/>
        </w:tabs>
        <w:ind w:left="4887" w:hanging="360"/>
      </w:pPr>
      <w:rPr>
        <w:rFonts w:ascii="Wingdings" w:hAnsi="Wingdings" w:hint="default"/>
      </w:rPr>
    </w:lvl>
    <w:lvl w:ilvl="6" w:tplc="498E1D6E" w:tentative="1">
      <w:start w:val="1"/>
      <w:numFmt w:val="bullet"/>
      <w:lvlText w:val=""/>
      <w:lvlJc w:val="left"/>
      <w:pPr>
        <w:tabs>
          <w:tab w:val="num" w:pos="5607"/>
        </w:tabs>
        <w:ind w:left="5607" w:hanging="360"/>
      </w:pPr>
      <w:rPr>
        <w:rFonts w:ascii="Wingdings" w:hAnsi="Wingdings" w:hint="default"/>
      </w:rPr>
    </w:lvl>
    <w:lvl w:ilvl="7" w:tplc="8BCECAC0" w:tentative="1">
      <w:start w:val="1"/>
      <w:numFmt w:val="bullet"/>
      <w:lvlText w:val=""/>
      <w:lvlJc w:val="left"/>
      <w:pPr>
        <w:tabs>
          <w:tab w:val="num" w:pos="6327"/>
        </w:tabs>
        <w:ind w:left="6327" w:hanging="360"/>
      </w:pPr>
      <w:rPr>
        <w:rFonts w:ascii="Wingdings" w:hAnsi="Wingdings" w:hint="default"/>
      </w:rPr>
    </w:lvl>
    <w:lvl w:ilvl="8" w:tplc="9E886320" w:tentative="1">
      <w:start w:val="1"/>
      <w:numFmt w:val="bullet"/>
      <w:lvlText w:val=""/>
      <w:lvlJc w:val="left"/>
      <w:pPr>
        <w:tabs>
          <w:tab w:val="num" w:pos="7047"/>
        </w:tabs>
        <w:ind w:left="7047" w:hanging="360"/>
      </w:pPr>
      <w:rPr>
        <w:rFonts w:ascii="Wingdings" w:hAnsi="Wingdings" w:hint="default"/>
      </w:rPr>
    </w:lvl>
  </w:abstractNum>
  <w:num w:numId="1" w16cid:durableId="1281689668">
    <w:abstractNumId w:val="30"/>
  </w:num>
  <w:num w:numId="2" w16cid:durableId="415446643">
    <w:abstractNumId w:val="23"/>
  </w:num>
  <w:num w:numId="3" w16cid:durableId="950667801">
    <w:abstractNumId w:val="13"/>
  </w:num>
  <w:num w:numId="4" w16cid:durableId="1349600785">
    <w:abstractNumId w:val="8"/>
  </w:num>
  <w:num w:numId="5" w16cid:durableId="925573661">
    <w:abstractNumId w:val="3"/>
  </w:num>
  <w:num w:numId="6" w16cid:durableId="534276144">
    <w:abstractNumId w:val="2"/>
  </w:num>
  <w:num w:numId="7" w16cid:durableId="283775058">
    <w:abstractNumId w:val="1"/>
  </w:num>
  <w:num w:numId="8" w16cid:durableId="1638682578">
    <w:abstractNumId w:val="0"/>
  </w:num>
  <w:num w:numId="9" w16cid:durableId="360086589">
    <w:abstractNumId w:val="9"/>
  </w:num>
  <w:num w:numId="10" w16cid:durableId="163857213">
    <w:abstractNumId w:val="7"/>
  </w:num>
  <w:num w:numId="11" w16cid:durableId="1754622595">
    <w:abstractNumId w:val="6"/>
  </w:num>
  <w:num w:numId="12" w16cid:durableId="1114056342">
    <w:abstractNumId w:val="5"/>
  </w:num>
  <w:num w:numId="13" w16cid:durableId="1236745331">
    <w:abstractNumId w:val="4"/>
  </w:num>
  <w:num w:numId="14" w16cid:durableId="38632982">
    <w:abstractNumId w:val="30"/>
  </w:num>
  <w:num w:numId="15" w16cid:durableId="1025404476">
    <w:abstractNumId w:val="23"/>
  </w:num>
  <w:num w:numId="16" w16cid:durableId="1675719055">
    <w:abstractNumId w:val="13"/>
  </w:num>
  <w:num w:numId="17" w16cid:durableId="1905794188">
    <w:abstractNumId w:val="21"/>
  </w:num>
  <w:num w:numId="18" w16cid:durableId="1788427104">
    <w:abstractNumId w:val="16"/>
  </w:num>
  <w:num w:numId="19" w16cid:durableId="614794803">
    <w:abstractNumId w:val="10"/>
  </w:num>
  <w:num w:numId="20" w16cid:durableId="2128968888">
    <w:abstractNumId w:val="28"/>
  </w:num>
  <w:num w:numId="21" w16cid:durableId="1888180039">
    <w:abstractNumId w:val="20"/>
  </w:num>
  <w:num w:numId="22" w16cid:durableId="280888670">
    <w:abstractNumId w:val="12"/>
  </w:num>
  <w:num w:numId="23" w16cid:durableId="665477659">
    <w:abstractNumId w:val="15"/>
  </w:num>
  <w:num w:numId="24" w16cid:durableId="1602106471">
    <w:abstractNumId w:val="33"/>
  </w:num>
  <w:num w:numId="25" w16cid:durableId="22489011">
    <w:abstractNumId w:val="35"/>
  </w:num>
  <w:num w:numId="26" w16cid:durableId="979261238">
    <w:abstractNumId w:val="22"/>
  </w:num>
  <w:num w:numId="27" w16cid:durableId="1834108129">
    <w:abstractNumId w:val="37"/>
  </w:num>
  <w:num w:numId="28" w16cid:durableId="790637917">
    <w:abstractNumId w:val="34"/>
  </w:num>
  <w:num w:numId="29" w16cid:durableId="2099447067">
    <w:abstractNumId w:val="11"/>
  </w:num>
  <w:num w:numId="30" w16cid:durableId="2079397534">
    <w:abstractNumId w:val="26"/>
  </w:num>
  <w:num w:numId="31" w16cid:durableId="1395855411">
    <w:abstractNumId w:val="32"/>
  </w:num>
  <w:num w:numId="32" w16cid:durableId="963774206">
    <w:abstractNumId w:val="36"/>
  </w:num>
  <w:num w:numId="33" w16cid:durableId="1908226772">
    <w:abstractNumId w:val="18"/>
  </w:num>
  <w:num w:numId="34" w16cid:durableId="253636907">
    <w:abstractNumId w:val="17"/>
  </w:num>
  <w:num w:numId="35" w16cid:durableId="1991014718">
    <w:abstractNumId w:val="29"/>
  </w:num>
  <w:num w:numId="36" w16cid:durableId="279261798">
    <w:abstractNumId w:val="27"/>
  </w:num>
  <w:num w:numId="37" w16cid:durableId="2035575132">
    <w:abstractNumId w:val="31"/>
  </w:num>
  <w:num w:numId="38" w16cid:durableId="1855726051">
    <w:abstractNumId w:val="25"/>
  </w:num>
  <w:num w:numId="39" w16cid:durableId="963344153">
    <w:abstractNumId w:val="24"/>
  </w:num>
  <w:num w:numId="40" w16cid:durableId="408576823">
    <w:abstractNumId w:val="14"/>
  </w:num>
  <w:num w:numId="41" w16cid:durableId="244726871">
    <w:abstractNumId w:val="19"/>
  </w:num>
  <w:num w:numId="42" w16cid:durableId="715160037">
    <w:abstractNumId w:val="30"/>
  </w:num>
  <w:num w:numId="43" w16cid:durableId="7578675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EC"/>
    <w:rsid w:val="00017F94"/>
    <w:rsid w:val="00023842"/>
    <w:rsid w:val="0002432E"/>
    <w:rsid w:val="000334F9"/>
    <w:rsid w:val="00073B9D"/>
    <w:rsid w:val="0007796D"/>
    <w:rsid w:val="000B421D"/>
    <w:rsid w:val="000B7790"/>
    <w:rsid w:val="000C1192"/>
    <w:rsid w:val="000E2C32"/>
    <w:rsid w:val="00111F2F"/>
    <w:rsid w:val="0014365E"/>
    <w:rsid w:val="00153AFA"/>
    <w:rsid w:val="00176178"/>
    <w:rsid w:val="00193DA9"/>
    <w:rsid w:val="001C3868"/>
    <w:rsid w:val="001F525A"/>
    <w:rsid w:val="00201394"/>
    <w:rsid w:val="00223272"/>
    <w:rsid w:val="00230DF4"/>
    <w:rsid w:val="0024779E"/>
    <w:rsid w:val="002515E3"/>
    <w:rsid w:val="00266ACE"/>
    <w:rsid w:val="002832AC"/>
    <w:rsid w:val="002B4CA1"/>
    <w:rsid w:val="002D7B6A"/>
    <w:rsid w:val="002D7C93"/>
    <w:rsid w:val="002E7CBE"/>
    <w:rsid w:val="00382448"/>
    <w:rsid w:val="00391095"/>
    <w:rsid w:val="003C1DE9"/>
    <w:rsid w:val="003C2F4D"/>
    <w:rsid w:val="00400703"/>
    <w:rsid w:val="00403395"/>
    <w:rsid w:val="00420B93"/>
    <w:rsid w:val="0042520E"/>
    <w:rsid w:val="00441C3B"/>
    <w:rsid w:val="00446FE5"/>
    <w:rsid w:val="00452396"/>
    <w:rsid w:val="004671ED"/>
    <w:rsid w:val="004A3902"/>
    <w:rsid w:val="004E468C"/>
    <w:rsid w:val="004E5840"/>
    <w:rsid w:val="005505B7"/>
    <w:rsid w:val="00552677"/>
    <w:rsid w:val="00573BE5"/>
    <w:rsid w:val="00586ED3"/>
    <w:rsid w:val="00596AA9"/>
    <w:rsid w:val="005E2164"/>
    <w:rsid w:val="00604960"/>
    <w:rsid w:val="00630777"/>
    <w:rsid w:val="00653FF6"/>
    <w:rsid w:val="00676F11"/>
    <w:rsid w:val="00691D44"/>
    <w:rsid w:val="006A5585"/>
    <w:rsid w:val="006B592D"/>
    <w:rsid w:val="00711B54"/>
    <w:rsid w:val="0071601D"/>
    <w:rsid w:val="007224C3"/>
    <w:rsid w:val="00734233"/>
    <w:rsid w:val="007449AA"/>
    <w:rsid w:val="00756F77"/>
    <w:rsid w:val="007A62E6"/>
    <w:rsid w:val="007B15F4"/>
    <w:rsid w:val="007C1326"/>
    <w:rsid w:val="007D132B"/>
    <w:rsid w:val="007E6790"/>
    <w:rsid w:val="0080236C"/>
    <w:rsid w:val="0080684C"/>
    <w:rsid w:val="008564AA"/>
    <w:rsid w:val="00871C75"/>
    <w:rsid w:val="008776DC"/>
    <w:rsid w:val="00886175"/>
    <w:rsid w:val="008A404A"/>
    <w:rsid w:val="008F3DCF"/>
    <w:rsid w:val="00936B25"/>
    <w:rsid w:val="00967489"/>
    <w:rsid w:val="009705C8"/>
    <w:rsid w:val="00974F3E"/>
    <w:rsid w:val="009C0D2F"/>
    <w:rsid w:val="009C1CF4"/>
    <w:rsid w:val="00A30353"/>
    <w:rsid w:val="00A408E1"/>
    <w:rsid w:val="00A858B3"/>
    <w:rsid w:val="00AA42FA"/>
    <w:rsid w:val="00AB1171"/>
    <w:rsid w:val="00AC3823"/>
    <w:rsid w:val="00AE323C"/>
    <w:rsid w:val="00AF290F"/>
    <w:rsid w:val="00B00181"/>
    <w:rsid w:val="00B00B0D"/>
    <w:rsid w:val="00B3332D"/>
    <w:rsid w:val="00B765F7"/>
    <w:rsid w:val="00BA0CA9"/>
    <w:rsid w:val="00C02897"/>
    <w:rsid w:val="00C16D9E"/>
    <w:rsid w:val="00C61166"/>
    <w:rsid w:val="00CA6060"/>
    <w:rsid w:val="00CF2C3B"/>
    <w:rsid w:val="00D10EB5"/>
    <w:rsid w:val="00D3439C"/>
    <w:rsid w:val="00D75300"/>
    <w:rsid w:val="00DA2080"/>
    <w:rsid w:val="00DA58A6"/>
    <w:rsid w:val="00DB1831"/>
    <w:rsid w:val="00DC7E62"/>
    <w:rsid w:val="00DD3BFD"/>
    <w:rsid w:val="00DF6678"/>
    <w:rsid w:val="00E9221E"/>
    <w:rsid w:val="00EC2EDB"/>
    <w:rsid w:val="00EC4F58"/>
    <w:rsid w:val="00ED5381"/>
    <w:rsid w:val="00EE6A74"/>
    <w:rsid w:val="00EF2E22"/>
    <w:rsid w:val="00F014EC"/>
    <w:rsid w:val="00F32287"/>
    <w:rsid w:val="00F660DF"/>
    <w:rsid w:val="00F95C08"/>
    <w:rsid w:val="00FB2770"/>
    <w:rsid w:val="00FF7BE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A7A38"/>
  <w15:docId w15:val="{BA0EE0A1-D29B-49FE-903F-21D9947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styleId="Rvision">
    <w:name w:val="Revision"/>
    <w:hidden/>
    <w:uiPriority w:val="99"/>
    <w:semiHidden/>
    <w:rsid w:val="000C1192"/>
    <w:pPr>
      <w:spacing w:after="0" w:line="240" w:lineRule="auto"/>
    </w:pPr>
    <w:rPr>
      <w:rFonts w:eastAsiaTheme="minorHAnsi"/>
      <w:szCs w:val="20"/>
      <w:lang w:val="en-GB" w:eastAsia="en-GB"/>
    </w:rPr>
  </w:style>
  <w:style w:type="character" w:styleId="Marquedecommentaire">
    <w:name w:val="annotation reference"/>
    <w:basedOn w:val="Policepardfaut"/>
    <w:uiPriority w:val="99"/>
    <w:semiHidden/>
    <w:unhideWhenUsed/>
    <w:rsid w:val="000C1192"/>
    <w:rPr>
      <w:sz w:val="16"/>
      <w:szCs w:val="16"/>
    </w:rPr>
  </w:style>
  <w:style w:type="character" w:styleId="Mentionnonrsolue">
    <w:name w:val="Unresolved Mention"/>
    <w:basedOn w:val="Policepardfaut"/>
    <w:uiPriority w:val="99"/>
    <w:semiHidden/>
    <w:unhideWhenUsed/>
    <w:rsid w:val="00EE6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E/C.12/2008/2" TargetMode="External"/><Relationship Id="rId13" Type="http://schemas.openxmlformats.org/officeDocument/2006/relationships/hyperlink" Target="http://undocs.org/fr/CRC/HRV/5-6" TargetMode="External"/><Relationship Id="rId18" Type="http://schemas.openxmlformats.org/officeDocument/2006/relationships/hyperlink" Target="http://undocs.org/fr/CRPD/C/HRV/Q.1/Add.1"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undocs.org/fr/A/HRC/WG.6/36/HRV/1" TargetMode="External"/><Relationship Id="rId7" Type="http://schemas.openxmlformats.org/officeDocument/2006/relationships/image" Target="media/image1.wmf"/><Relationship Id="rId12" Type="http://schemas.openxmlformats.org/officeDocument/2006/relationships/hyperlink" Target="http://undocs.org/fr/CERD/C/CRO/9-14" TargetMode="External"/><Relationship Id="rId17" Type="http://schemas.openxmlformats.org/officeDocument/2006/relationships/hyperlink" Target="http://undocs.org/fr/CRPD/C/HRV/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undocs.org/fr/CERD/C/HRV/9-14" TargetMode="External"/><Relationship Id="rId20" Type="http://schemas.openxmlformats.org/officeDocument/2006/relationships/hyperlink" Target="http://undocs.org/fr/A/HRC/WG.6/36/HRV/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fr/A/HRC/WG.6/36/HRV/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ndocs.org/fr/CCPR/C/CRO/3"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undocs.org/fr/CRC/HRV/5-6" TargetMode="External"/><Relationship Id="rId19" Type="http://schemas.openxmlformats.org/officeDocument/2006/relationships/hyperlink" Target="http://undocs.org/fr/CRC/HRV/5-6" TargetMode="External"/><Relationship Id="rId4" Type="http://schemas.openxmlformats.org/officeDocument/2006/relationships/webSettings" Target="webSettings.xml"/><Relationship Id="rId9" Type="http://schemas.openxmlformats.org/officeDocument/2006/relationships/hyperlink" Target="http://undocs.org/fr/HRI/GEN/2/Rev.6" TargetMode="External"/><Relationship Id="rId14" Type="http://schemas.openxmlformats.org/officeDocument/2006/relationships/hyperlink" Target="http://undocs.org/fr/CERD/C/HRV/9-14"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C%2fHRV%2f5-6&amp;Lang=en" TargetMode="External"/><Relationship Id="rId13" Type="http://schemas.openxmlformats.org/officeDocument/2006/relationships/hyperlink" Target="http://eige.europa.eu/sites/default/files/documents/MH0415087ENN_Web.pdf" TargetMode="External"/><Relationship Id="rId18" Type="http://schemas.openxmlformats.org/officeDocument/2006/relationships/hyperlink" Target="https://documents-dds-ny.un.org/doc/UNDOC/GEN/G20/050/17/PDF/G2005017.pdf?OpenElement" TargetMode="External"/><Relationship Id="rId3" Type="http://schemas.openxmlformats.org/officeDocument/2006/relationships/hyperlink" Target="https://tbinternet.ohchr.org/_layouts/15/treatybodyexternal/Download.aspx?symbolno=CERD%2fC%2fHRV%2f9-14&amp;Lang=en" TargetMode="External"/><Relationship Id="rId7" Type="http://schemas.openxmlformats.org/officeDocument/2006/relationships/hyperlink" Target="https://tbinternet.ohchr.org/_layouts/15/treatybodyexternal/Download.aspx?symbolno=CERD%2fC%2fHRV%2f9-14&amp;Lang=en" TargetMode="External"/><Relationship Id="rId12" Type="http://schemas.openxmlformats.org/officeDocument/2006/relationships/hyperlink" Target="http://undocs.org/en/UNDOC/GEN/G20/050/17/PDF/G2005017.pdf" TargetMode="External"/><Relationship Id="rId17" Type="http://schemas.openxmlformats.org/officeDocument/2006/relationships/hyperlink" Target="https://documents-dds-ny.un.org/doc/UNDOC/GEN/G20/050/17/PDF/G2005017.pdf?OpenElement" TargetMode="External"/><Relationship Id="rId2" Type="http://schemas.openxmlformats.org/officeDocument/2006/relationships/hyperlink" Target="http://undocs.org/fr/E/C.12/1/Add.73" TargetMode="External"/><Relationship Id="rId16" Type="http://schemas.openxmlformats.org/officeDocument/2006/relationships/hyperlink" Target="https://tbinternet.ohchr.org/_layouts/15/treatybodyexternal/Download.aspx?symbolno=CRC%2fHRV%2f5-6&amp;Lang=en" TargetMode="External"/><Relationship Id="rId1" Type="http://schemas.openxmlformats.org/officeDocument/2006/relationships/hyperlink" Target="http://undocs.org/fr/E/1990/5/Add.46" TargetMode="External"/><Relationship Id="rId6" Type="http://schemas.openxmlformats.org/officeDocument/2006/relationships/hyperlink" Target="https://tbinternet.ohchr.org/_layouts/15/treatybodyexternal/Download.aspx?symbolno=CRC%2fHRV%2f5-6&amp;Lang=en" TargetMode="External"/><Relationship Id="rId11" Type="http://schemas.openxmlformats.org/officeDocument/2006/relationships/hyperlink" Target="https://tbinternet.ohchr.org/_layouts/15/treatybodyexternal/Download.aspx?symbolno=CERD%2fC%2fHRV%2f9-14&amp;Lang=en" TargetMode="External"/><Relationship Id="rId5" Type="http://schemas.openxmlformats.org/officeDocument/2006/relationships/hyperlink" Target="https://www.dzs.hr/Hrv_Eng/menandwomen/men_and_women_2020.pdf" TargetMode="External"/><Relationship Id="rId15" Type="http://schemas.openxmlformats.org/officeDocument/2006/relationships/hyperlink" Target="https://tbinternet.ohchr.org/_layouts/15/treatybodyexternal/Download.aspx?symbolno=CRPD%2fC%2fHRV%2fQ.1%2fAdd.1&amp;Lang=en" TargetMode="External"/><Relationship Id="rId10" Type="http://schemas.openxmlformats.org/officeDocument/2006/relationships/hyperlink" Target="https://tbinternet.ohchr.org/_layouts/15/treatybodyexternal/Download.aspx?symbolno=CCPR%2fC%2fHRV%2f3&amp;Lang=en" TargetMode="External"/><Relationship Id="rId19" Type="http://schemas.openxmlformats.org/officeDocument/2006/relationships/hyperlink" Target="http://eldd.emcdda.europa.eu/html.cfm/index5029EN.html" TargetMode="External"/><Relationship Id="rId4" Type="http://schemas.openxmlformats.org/officeDocument/2006/relationships/hyperlink" Target="https://tbinternet.ohchr.org/_layouts/15/treatybodyexternal/Download.aspx?symbolno=CRC%2fHRV%2f5-6&amp;Lang=en" TargetMode="External"/><Relationship Id="rId9" Type="http://schemas.openxmlformats.org/officeDocument/2006/relationships/hyperlink" Target="https://tbinternet.ohchr.org/_layouts/15/treatybodyexternal/Download.aspx?symbolno=CERD%2fC%2fHRV%2f9-14&amp;Lang=en" TargetMode="External"/><Relationship Id="rId14" Type="http://schemas.openxmlformats.org/officeDocument/2006/relationships/hyperlink" Target="file:///\\conf-share1\LS\FRA\COMMON\FINAL\%09http:\tbinternet.ohchr.org\_layouts\treatybodyexternal\Download.aspx%3fsymbolno=CRPD\C\HRV\1&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6</TotalTime>
  <Pages>42</Pages>
  <Words>22768</Words>
  <Characters>122839</Characters>
  <Application>Microsoft Office Word</Application>
  <DocSecurity>0</DocSecurity>
  <Lines>1877</Lines>
  <Paragraphs>460</Paragraphs>
  <ScaleCrop>false</ScaleCrop>
  <HeadingPairs>
    <vt:vector size="2" baseType="variant">
      <vt:variant>
        <vt:lpstr>Titre</vt:lpstr>
      </vt:variant>
      <vt:variant>
        <vt:i4>1</vt:i4>
      </vt:variant>
    </vt:vector>
  </HeadingPairs>
  <TitlesOfParts>
    <vt:vector size="1" baseType="lpstr">
      <vt:lpstr>E/C.12/HRV/2</vt:lpstr>
    </vt:vector>
  </TitlesOfParts>
  <Company>DCM</Company>
  <LinksUpToDate>false</LinksUpToDate>
  <CharactersWithSpaces>145274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E/C.12/HRV/2</dc:title>
  <dc:subject/>
  <dc:creator>Christine CHAUTAGNAT</dc:creator>
  <cp:keywords/>
  <cp:lastModifiedBy>Christine Chautagnat</cp:lastModifiedBy>
  <cp:revision>3</cp:revision>
  <cp:lastPrinted>2022-07-20T13:49:00Z</cp:lastPrinted>
  <dcterms:created xsi:type="dcterms:W3CDTF">2022-07-20T13:47:00Z</dcterms:created>
  <dcterms:modified xsi:type="dcterms:W3CDTF">2022-07-20T13:52:00Z</dcterms:modified>
</cp:coreProperties>
</file>