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A0E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A0EDE" w:rsidP="005A0EDE">
            <w:pPr>
              <w:jc w:val="right"/>
            </w:pPr>
            <w:r w:rsidRPr="005A0EDE">
              <w:rPr>
                <w:sz w:val="40"/>
              </w:rPr>
              <w:t>E</w:t>
            </w:r>
            <w:r>
              <w:t>/C.12/BGR/CO/6</w:t>
            </w:r>
          </w:p>
        </w:tc>
      </w:tr>
      <w:tr w:rsidR="002D5AAC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D7D2ED0" wp14:editId="2679B78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5A0EDE" w:rsidRPr="0029576C" w:rsidRDefault="005A0EDE" w:rsidP="005A0EDE">
            <w:pPr>
              <w:suppressAutoHyphens w:val="0"/>
              <w:spacing w:before="240" w:line="240" w:lineRule="exact"/>
              <w:rPr>
                <w:szCs w:val="20"/>
                <w:lang w:val="en-US"/>
              </w:rPr>
            </w:pPr>
            <w:r w:rsidRPr="0029576C">
              <w:rPr>
                <w:szCs w:val="20"/>
                <w:lang w:val="en-US"/>
              </w:rPr>
              <w:t>Distr.: General</w:t>
            </w:r>
          </w:p>
          <w:p w:rsidR="005A0EDE" w:rsidRPr="0029576C" w:rsidRDefault="005A0EDE" w:rsidP="005A0EDE">
            <w:pPr>
              <w:suppressAutoHyphens w:val="0"/>
              <w:rPr>
                <w:szCs w:val="20"/>
                <w:lang w:val="en-US"/>
              </w:rPr>
            </w:pPr>
            <w:r w:rsidRPr="0029576C">
              <w:rPr>
                <w:szCs w:val="20"/>
                <w:lang w:val="en-US"/>
              </w:rPr>
              <w:t>2</w:t>
            </w:r>
            <w:r>
              <w:rPr>
                <w:szCs w:val="20"/>
                <w:lang w:val="en-US"/>
              </w:rPr>
              <w:t>9</w:t>
            </w:r>
            <w:r w:rsidRPr="0029576C">
              <w:rPr>
                <w:szCs w:val="20"/>
                <w:lang w:val="en-US"/>
              </w:rPr>
              <w:t xml:space="preserve"> March 2019</w:t>
            </w:r>
          </w:p>
          <w:p w:rsidR="005A0EDE" w:rsidRPr="0029576C" w:rsidRDefault="005A0EDE" w:rsidP="005A0EDE">
            <w:pPr>
              <w:suppressAutoHyphens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Russian</w:t>
            </w:r>
            <w:r w:rsidRPr="0029576C">
              <w:rPr>
                <w:szCs w:val="20"/>
              </w:rPr>
              <w:fldChar w:fldCharType="begin"/>
            </w:r>
            <w:r w:rsidRPr="0029576C">
              <w:rPr>
                <w:szCs w:val="20"/>
                <w:lang w:val="en-US"/>
              </w:rPr>
              <w:instrText xml:space="preserve"> DOCPROPERTY  tlang  \* MERGEFORMAT </w:instrText>
            </w:r>
            <w:r w:rsidRPr="0029576C">
              <w:rPr>
                <w:szCs w:val="20"/>
              </w:rPr>
              <w:fldChar w:fldCharType="end"/>
            </w:r>
          </w:p>
          <w:p w:rsidR="005A0EDE" w:rsidRPr="00D62A45" w:rsidRDefault="005A0EDE" w:rsidP="005A0EDE">
            <w:pPr>
              <w:spacing w:line="240" w:lineRule="exact"/>
              <w:rPr>
                <w:lang w:val="en-US"/>
              </w:rPr>
            </w:pPr>
            <w:r w:rsidRPr="0029576C">
              <w:rPr>
                <w:szCs w:val="20"/>
                <w:lang w:val="en-US"/>
              </w:rPr>
              <w:t>Original: English</w:t>
            </w:r>
          </w:p>
        </w:tc>
      </w:tr>
    </w:tbl>
    <w:p w:rsidR="006A0E75" w:rsidRPr="00EB09E5" w:rsidRDefault="006A0E75" w:rsidP="006A0E75">
      <w:pPr>
        <w:spacing w:before="120"/>
        <w:rPr>
          <w:b/>
          <w:sz w:val="24"/>
        </w:rPr>
      </w:pPr>
      <w:r w:rsidRPr="00EB09E5">
        <w:rPr>
          <w:b/>
          <w:bCs/>
          <w:sz w:val="24"/>
        </w:rPr>
        <w:t>Комитет по экономическим, социальным</w:t>
      </w:r>
      <w:r w:rsidR="00BB7A72">
        <w:rPr>
          <w:b/>
          <w:bCs/>
          <w:sz w:val="24"/>
        </w:rPr>
        <w:br/>
      </w:r>
      <w:r w:rsidRPr="00EB09E5">
        <w:rPr>
          <w:b/>
          <w:bCs/>
          <w:sz w:val="24"/>
        </w:rPr>
        <w:t>и культурным правам</w:t>
      </w:r>
    </w:p>
    <w:p w:rsidR="006A0E75" w:rsidRPr="0029576C" w:rsidRDefault="006A0E75" w:rsidP="006A0E75">
      <w:pPr>
        <w:pStyle w:val="HChG"/>
      </w:pPr>
      <w:r>
        <w:tab/>
      </w:r>
      <w:r>
        <w:tab/>
      </w:r>
      <w:r>
        <w:rPr>
          <w:bCs/>
        </w:rPr>
        <w:t>Заключительные замечания по шестому периодическому докладу Болгарии</w:t>
      </w:r>
      <w:r w:rsidRPr="0003472F">
        <w:rPr>
          <w:rStyle w:val="a8"/>
          <w:b w:val="0"/>
          <w:sz w:val="20"/>
          <w:vertAlign w:val="baseline"/>
          <w:lang w:eastAsia="en-US"/>
        </w:rPr>
        <w:footnoteReference w:customMarkFollows="1" w:id="1"/>
        <w:t>*</w:t>
      </w:r>
    </w:p>
    <w:p w:rsidR="006A0E75" w:rsidRPr="0029576C" w:rsidRDefault="006A0E75" w:rsidP="006A0E75">
      <w:pPr>
        <w:pStyle w:val="SingleTxtG"/>
      </w:pPr>
      <w:r>
        <w:t>1.</w:t>
      </w:r>
      <w:r>
        <w:tab/>
        <w:t xml:space="preserve">Комитет рассмотрел шестой периодический доклад Болгарии (E/C.12/BGR/6) на своих 8-м и 9-м заседаниях (см. E/C.12/2019/SR.8 и 9), состоявшихся 21 и 22 февраля 2019 года, и на своем 30-м заседании, состоявшемся 8 марта 2019 года, принял настоящие заключительные замечания. </w:t>
      </w:r>
    </w:p>
    <w:p w:rsidR="006A0E75" w:rsidRPr="0029576C" w:rsidRDefault="00EB09E5" w:rsidP="006A0E75">
      <w:pPr>
        <w:pStyle w:val="H1G"/>
      </w:pPr>
      <w:r>
        <w:tab/>
      </w:r>
      <w:r w:rsidR="006A0E75">
        <w:t>A.</w:t>
      </w:r>
      <w:r w:rsidR="006A0E75">
        <w:tab/>
      </w:r>
      <w:r w:rsidR="006A0E75">
        <w:rPr>
          <w:bCs/>
        </w:rPr>
        <w:t>Введение</w:t>
      </w:r>
    </w:p>
    <w:p w:rsidR="006A0E75" w:rsidRPr="0029576C" w:rsidRDefault="006A0E75" w:rsidP="006A0E75">
      <w:pPr>
        <w:pStyle w:val="SingleTxtG"/>
      </w:pPr>
      <w:r>
        <w:t>2.</w:t>
      </w:r>
      <w:r>
        <w:tab/>
        <w:t>Комитет приветствует представление государством-участником своего шестого периодического доклада, который основывается</w:t>
      </w:r>
      <w:r w:rsidR="00270B3D">
        <w:t xml:space="preserve"> на</w:t>
      </w:r>
      <w:r>
        <w:t xml:space="preserve"> перечне вопросов, составленном Комитетом до представления доклада (E/C.12/BGR/QPR/6). Комитет выражает признательность государству-участнику за согласие следовать упрощенной процедуре представления докладов, поскольку она позволяет предметно рассмотреть доклад и придать целенаправленный характер диалогу с делегацией. Комитет приветствует открытый и конструктивный диалог, состоявшийся с делегацией государства-участника, в состав которой входили высокопоставленные представители различных министерств. </w:t>
      </w:r>
    </w:p>
    <w:p w:rsidR="006A0E75" w:rsidRPr="0029576C" w:rsidRDefault="00EB09E5" w:rsidP="006A0E75">
      <w:pPr>
        <w:pStyle w:val="H1G"/>
      </w:pPr>
      <w:r>
        <w:tab/>
      </w:r>
      <w:r w:rsidR="006A0E75">
        <w:t>B.</w:t>
      </w:r>
      <w:r w:rsidR="006A0E75">
        <w:tab/>
      </w:r>
      <w:r w:rsidR="006A0E75">
        <w:rPr>
          <w:bCs/>
        </w:rPr>
        <w:t>Позитивные аспекты</w:t>
      </w:r>
      <w:bookmarkStart w:id="0" w:name="_GoBack"/>
      <w:bookmarkEnd w:id="0"/>
    </w:p>
    <w:p w:rsidR="006A0E75" w:rsidRPr="0029576C" w:rsidRDefault="006A0E75" w:rsidP="006A0E75">
      <w:pPr>
        <w:pStyle w:val="SingleTxtG"/>
        <w:rPr>
          <w:rFonts w:eastAsia="SimSun"/>
        </w:rPr>
      </w:pPr>
      <w:r>
        <w:t>3.</w:t>
      </w:r>
      <w:r>
        <w:tab/>
        <w:t>Комитет с удовлетворением отмечает новые стратегии, принятые государством-участником в целях обеспечения более высокого уровня защиты экономических, социальных и культурных прав в государстве-участнике, многочисленные примеры которых упоминаются в настоящих заключительных замечаниях. Он, в частности, отмечает Национальную стратегию сокращения масштабов нищеты и поощрения социальной интеграции на период до 2020 года и Национальную стратегию Республики Болгария в области интеграции рома (2012–2020 годы).</w:t>
      </w:r>
    </w:p>
    <w:p w:rsidR="006A0E75" w:rsidRPr="0029576C" w:rsidRDefault="00EB09E5" w:rsidP="006A0E75">
      <w:pPr>
        <w:pStyle w:val="H1G"/>
      </w:pPr>
      <w:r>
        <w:tab/>
      </w:r>
      <w:r w:rsidR="006A0E75">
        <w:t>C.</w:t>
      </w:r>
      <w:r w:rsidR="006A0E75">
        <w:tab/>
      </w:r>
      <w:r w:rsidR="006A0E75">
        <w:rPr>
          <w:bCs/>
        </w:rPr>
        <w:t>Основные вопросы, вызывающие озабоченность, и рекомендации</w:t>
      </w:r>
    </w:p>
    <w:p w:rsidR="006A0E75" w:rsidRPr="0029576C" w:rsidRDefault="006A0E75" w:rsidP="006A0E75">
      <w:pPr>
        <w:pStyle w:val="H23G"/>
      </w:pPr>
      <w:r>
        <w:tab/>
      </w:r>
      <w:r>
        <w:tab/>
        <w:t>Национальное правозащитное учреждение</w:t>
      </w:r>
    </w:p>
    <w:p w:rsidR="006A0E75" w:rsidRPr="0029576C" w:rsidRDefault="006A0E75" w:rsidP="006A0E75">
      <w:pPr>
        <w:pStyle w:val="SingleTxtG"/>
        <w:rPr>
          <w:bCs/>
        </w:rPr>
      </w:pPr>
      <w:r>
        <w:t>4.</w:t>
      </w:r>
      <w:r>
        <w:tab/>
        <w:t>Комитет обеспокоен тем, что мандат и потенциал Комиссии по защите от дискриминации остаются ограниченными.</w:t>
      </w:r>
    </w:p>
    <w:p w:rsidR="006A0E75" w:rsidRPr="0029576C" w:rsidRDefault="006A0E75" w:rsidP="006A0E75">
      <w:pPr>
        <w:pStyle w:val="SingleTxtG"/>
        <w:rPr>
          <w:b/>
          <w:bCs/>
        </w:rPr>
      </w:pPr>
      <w:r>
        <w:t>5.</w:t>
      </w:r>
      <w:r>
        <w:tab/>
      </w:r>
      <w:r>
        <w:rPr>
          <w:b/>
          <w:bCs/>
        </w:rPr>
        <w:t xml:space="preserve">Комитет рекомендует государству-участнику расширить мандат Комиссии по защите от дискриминации и обеспечить предоставление этому учреждению </w:t>
      </w:r>
      <w:r>
        <w:rPr>
          <w:b/>
          <w:bCs/>
        </w:rPr>
        <w:lastRenderedPageBreak/>
        <w:t>финансовых и людских ресурсов, необходимых для его эффективного функционирования, с тем чтобы оно в полной мере соответствовало принципам, касающимся статуса национальных учреждений по поощрению и защите прав человека (Парижским принципам).</w:t>
      </w:r>
    </w:p>
    <w:p w:rsidR="006A0E75" w:rsidRPr="0029576C" w:rsidRDefault="006A0E75" w:rsidP="006A0E75">
      <w:pPr>
        <w:pStyle w:val="H23G"/>
      </w:pPr>
      <w:r>
        <w:tab/>
      </w:r>
      <w:r>
        <w:tab/>
        <w:t xml:space="preserve">Неравенство </w:t>
      </w:r>
    </w:p>
    <w:p w:rsidR="006A0E75" w:rsidRPr="0029576C" w:rsidRDefault="006A0E75" w:rsidP="006A0E75">
      <w:pPr>
        <w:pStyle w:val="SingleTxtG"/>
      </w:pPr>
      <w:r>
        <w:t>6.</w:t>
      </w:r>
      <w:r>
        <w:tab/>
        <w:t xml:space="preserve">Комитет обеспокоен сохраняющимся высоким уровнем экономического неравенства в государстве-участнике, а также различиями в осуществлении экономических, социальных и культурных прав между регионами и между сельскими и городскими районами. </w:t>
      </w:r>
    </w:p>
    <w:p w:rsidR="006A0E75" w:rsidRPr="0029576C" w:rsidRDefault="006A0E75" w:rsidP="006A0E75">
      <w:pPr>
        <w:pStyle w:val="SingleTxtG"/>
        <w:rPr>
          <w:b/>
          <w:bCs/>
        </w:rPr>
      </w:pPr>
      <w:r>
        <w:t>7.</w:t>
      </w:r>
      <w:r>
        <w:tab/>
      </w:r>
      <w:r w:rsidRPr="00FB4FF2">
        <w:rPr>
          <w:b/>
        </w:rPr>
        <w:t xml:space="preserve">Комитет рекомендует государству-участнику разработать более прогрессивную налогово-бюджетную политику для сокращения экономического неравенства и обеспечить справедливое распределение ресурсов между регионами в целях сокращения региональных различий. </w:t>
      </w:r>
      <w:r w:rsidRPr="00FB4FF2">
        <w:rPr>
          <w:b/>
          <w:bCs/>
        </w:rPr>
        <w:t>К</w:t>
      </w:r>
      <w:r>
        <w:rPr>
          <w:b/>
          <w:bCs/>
        </w:rPr>
        <w:t>омитет также рекомендует государству-участнику укрепить потенциал социальных служб на муниципальном уровне в целях более эффективного выявления маргинализованных и находящихся в неблагоприятном положении лиц и предоставления им надлежащей поддержки.</w:t>
      </w:r>
    </w:p>
    <w:p w:rsidR="006A0E75" w:rsidRPr="0029576C" w:rsidRDefault="006A0E75" w:rsidP="006A0E75">
      <w:pPr>
        <w:pStyle w:val="H23G"/>
      </w:pPr>
      <w:r>
        <w:tab/>
      </w:r>
      <w:r>
        <w:tab/>
        <w:t>Максимальные пределы имеющихся ресурсов</w:t>
      </w:r>
    </w:p>
    <w:p w:rsidR="006A0E75" w:rsidRPr="0029576C" w:rsidRDefault="006A0E75" w:rsidP="006A0E75">
      <w:pPr>
        <w:pStyle w:val="SingleTxtG"/>
      </w:pPr>
      <w:r>
        <w:t>8.</w:t>
      </w:r>
      <w:r>
        <w:tab/>
        <w:t>Комитет отмечает, что за последние пять лет доля расходов на общественные нужды в валовом внутреннем продукте (ВВП) государства-участника возросла, но обеспокоен тем, что контроль за дефицитом бюджета может потребовать принятия мер жесткой экономии и сказаться на способности государства-участника выполнять свои обязательства по мобилизации максимального объема имеющихся ресурсов (пункт 1 статьи 2).</w:t>
      </w:r>
    </w:p>
    <w:p w:rsidR="006A0E75" w:rsidRPr="00FB4FF2" w:rsidRDefault="006A0E75" w:rsidP="006A0E75">
      <w:pPr>
        <w:pStyle w:val="SingleTxtG"/>
        <w:rPr>
          <w:b/>
          <w:bCs/>
        </w:rPr>
      </w:pPr>
      <w:r>
        <w:t>9.</w:t>
      </w:r>
      <w:r>
        <w:tab/>
      </w:r>
      <w:r w:rsidRPr="00FB4FF2">
        <w:rPr>
          <w:b/>
        </w:rPr>
        <w:t xml:space="preserve">Комитет рекомендует государству-участнику проводить при внесении корректировок в бюджет оценку воздействия на закрепленные в Пакте права и принимать все необходимые меры для сведения любого негативного воздействия к минимуму. Он также рекомендует, чтобы в случаях, когда принятие регрессивных мер неизбежно, государство-участник обеспечивало, чтобы такие меры были абсолютно необходимыми и соразмерными, действовали лишь до тех пор, пока они необходимы, и не приводили к дискриминации, а также чтобы права находящихся в неблагоприятном положении и маргинализованных лиц и групп не затрагивались диспропорциональным образом. Комитет далее рекомендует государству-участнику обеспечить, чтобы такие меры не сказывались на минимальном базовом содержании прав, защищаемых Пактом. Комитет обращает внимание государства-участника на свое заявление 2016 года о государственном долге, мерах строгой экономии и Международном пакте об экономических, социальных и культурных правах (E/C.12/2016/1). </w:t>
      </w:r>
    </w:p>
    <w:p w:rsidR="006A0E75" w:rsidRPr="0029576C" w:rsidRDefault="006A0E75" w:rsidP="006A0E75">
      <w:pPr>
        <w:pStyle w:val="H23G"/>
      </w:pPr>
      <w:r>
        <w:tab/>
      </w:r>
      <w:r>
        <w:tab/>
      </w:r>
      <w:r>
        <w:rPr>
          <w:bCs/>
        </w:rPr>
        <w:t>Коррупция</w:t>
      </w:r>
    </w:p>
    <w:p w:rsidR="006A0E75" w:rsidRPr="0029576C" w:rsidRDefault="006A0E75" w:rsidP="006A0E75">
      <w:pPr>
        <w:pStyle w:val="SingleTxtG"/>
      </w:pPr>
      <w:r>
        <w:t>10.</w:t>
      </w:r>
      <w:r>
        <w:tab/>
        <w:t>Комитет приветствует недавние шаги, предпринятые государством-участником в целях борьбы с коррупц</w:t>
      </w:r>
      <w:r w:rsidR="00C14919">
        <w:t>ией, в частности</w:t>
      </w:r>
      <w:r>
        <w:t xml:space="preserve"> принятие Плана действий по предупреждению коррупции и борьбе с ней и Закона о борьбе с коррупцией и конфискации активов. Тем не менее он обеспокоен сохраняющимися проблемами в области борьбы с коррупцией и проведения расследований по делам о коррупции, в том числе по делам в отношении высокопоставленных должностных лиц, а также нехваткой квалифицированных экспертов и надлежащих ресурсов (пункт 1 статьи 2).</w:t>
      </w:r>
    </w:p>
    <w:p w:rsidR="006A0E75" w:rsidRPr="0029576C" w:rsidRDefault="006A0E75" w:rsidP="006A0E75">
      <w:pPr>
        <w:pStyle w:val="SingleTxtG"/>
        <w:rPr>
          <w:b/>
          <w:bCs/>
        </w:rPr>
      </w:pPr>
      <w:r>
        <w:t>11.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6A0E75" w:rsidRPr="004E0100" w:rsidRDefault="006A0E75" w:rsidP="006A0E75">
      <w:pPr>
        <w:pStyle w:val="SingleTxtG"/>
        <w:ind w:firstLine="567"/>
        <w:rPr>
          <w:b/>
          <w:bCs/>
        </w:rPr>
      </w:pPr>
      <w:r w:rsidRPr="004E0100">
        <w:rPr>
          <w:b/>
        </w:rPr>
        <w:tab/>
        <w:t>a)</w:t>
      </w:r>
      <w:r w:rsidRPr="004E0100">
        <w:rPr>
          <w:b/>
        </w:rPr>
        <w:tab/>
      </w:r>
      <w:r w:rsidRPr="004E0100">
        <w:rPr>
          <w:b/>
          <w:bCs/>
        </w:rPr>
        <w:t>выделить надлежащие людские, материальные и финансовые ресурсы для осуществления Плана действий по предупреждению коррупции и борьбе с ней и обеспечения соблюдения антикоррупционного законодательства;</w:t>
      </w:r>
    </w:p>
    <w:p w:rsidR="006A0E75" w:rsidRPr="004E0100" w:rsidRDefault="006A0E75" w:rsidP="006A0E75">
      <w:pPr>
        <w:pStyle w:val="SingleTxtG"/>
        <w:ind w:firstLine="567"/>
        <w:rPr>
          <w:b/>
          <w:bCs/>
        </w:rPr>
      </w:pPr>
      <w:r w:rsidRPr="004E0100">
        <w:rPr>
          <w:b/>
        </w:rPr>
        <w:tab/>
        <w:t>b)</w:t>
      </w:r>
      <w:r w:rsidRPr="004E0100">
        <w:rPr>
          <w:b/>
        </w:rPr>
        <w:tab/>
      </w:r>
      <w:r w:rsidRPr="004E0100">
        <w:rPr>
          <w:b/>
          <w:bCs/>
        </w:rPr>
        <w:t>укрепить потенциал органов судебной власти для эффективной борьбы с коррупцией;</w:t>
      </w:r>
    </w:p>
    <w:p w:rsidR="006A0E75" w:rsidRPr="004E0100" w:rsidRDefault="006A0E75" w:rsidP="006A0E75">
      <w:pPr>
        <w:pStyle w:val="SingleTxtG"/>
        <w:ind w:firstLine="567"/>
        <w:rPr>
          <w:b/>
          <w:bCs/>
        </w:rPr>
      </w:pPr>
      <w:r w:rsidRPr="004E0100">
        <w:rPr>
          <w:b/>
        </w:rPr>
        <w:lastRenderedPageBreak/>
        <w:tab/>
        <w:t>c)</w:t>
      </w:r>
      <w:r w:rsidRPr="004E0100">
        <w:rPr>
          <w:b/>
        </w:rPr>
        <w:tab/>
      </w:r>
      <w:r w:rsidRPr="004E0100">
        <w:rPr>
          <w:b/>
          <w:bCs/>
        </w:rPr>
        <w:t>повышать уровень осведомленности общественности и государственных должностных лиц об антикоррупционном законодательстве и Плане действий по предупреждению коррупции и борьбе с ней;</w:t>
      </w:r>
    </w:p>
    <w:p w:rsidR="006A0E75" w:rsidRPr="0029576C" w:rsidRDefault="006A0E75" w:rsidP="006A0E75">
      <w:pPr>
        <w:pStyle w:val="SingleTxtG"/>
        <w:ind w:firstLine="567"/>
        <w:rPr>
          <w:b/>
          <w:bCs/>
        </w:rPr>
      </w:pPr>
      <w:r w:rsidRPr="004E0100">
        <w:rPr>
          <w:b/>
        </w:rPr>
        <w:tab/>
        <w:t>d)</w:t>
      </w:r>
      <w:r w:rsidRPr="004E0100">
        <w:rPr>
          <w:b/>
        </w:rPr>
        <w:tab/>
      </w:r>
      <w:r w:rsidRPr="004E0100">
        <w:rPr>
          <w:b/>
          <w:bCs/>
        </w:rPr>
        <w:t>обеспечить защиту лиц, сообщающих о нарушениях, и активистов гражданского общества, занимающихся вопросами борьбы с коррупцией, от преследований и насили</w:t>
      </w:r>
      <w:r>
        <w:rPr>
          <w:b/>
          <w:bCs/>
        </w:rPr>
        <w:t>я.</w:t>
      </w:r>
    </w:p>
    <w:p w:rsidR="006A0E75" w:rsidRPr="0029576C" w:rsidRDefault="006A0E75" w:rsidP="006A0E75">
      <w:pPr>
        <w:pStyle w:val="H23G"/>
      </w:pPr>
      <w:r>
        <w:tab/>
      </w:r>
      <w:r>
        <w:tab/>
        <w:t xml:space="preserve">Рома </w:t>
      </w:r>
    </w:p>
    <w:p w:rsidR="006A0E75" w:rsidRPr="0029576C" w:rsidRDefault="006A0E75" w:rsidP="006A0E75">
      <w:pPr>
        <w:pStyle w:val="SingleTxtG"/>
      </w:pPr>
      <w:r>
        <w:t>12.</w:t>
      </w:r>
      <w:r>
        <w:tab/>
        <w:t>Комитет обеспокоен тем, что результативность Национальной стратегии Республики Болгария в области интеграции рома (2012–2020 годы) по-прежнему является огранич</w:t>
      </w:r>
      <w:r w:rsidR="00C03E84">
        <w:t>енной</w:t>
      </w:r>
      <w:r>
        <w:t xml:space="preserve"> и что в государстве-участнике рома продолжают в несоразмерно большой степени страдать от нищеты и социальной изоляции и сталкиваться с препятствиями в деле осуществления своих экономических, социальных и культурных прав. Комитет, в частности, обеспокоен тем, что рома по-прежнему сталкиваются с дискриминацией в таких областях, как занятость, жилье, здравоохранение и образование, и что такая дискриминация усугубляется ростом предубеждений по отношению к рома (пункт 2 статьи 2).</w:t>
      </w:r>
    </w:p>
    <w:p w:rsidR="006A0E75" w:rsidRPr="00FB4FF2" w:rsidRDefault="006A0E75" w:rsidP="006A0E75">
      <w:pPr>
        <w:pStyle w:val="SingleTxtG"/>
        <w:rPr>
          <w:b/>
          <w:bCs/>
        </w:rPr>
      </w:pPr>
      <w:r>
        <w:t>13.</w:t>
      </w:r>
      <w:r>
        <w:tab/>
      </w:r>
      <w:r w:rsidRPr="00FB4FF2">
        <w:rPr>
          <w:b/>
        </w:rPr>
        <w:t xml:space="preserve">Комитет рекомендует государству-участнику проводить регулярную оценку результативности Национальной стратегии Республики Болгария в области интеграции рома и сосредоточить внимание на конкретных проблемных областях. </w:t>
      </w:r>
      <w:r w:rsidRPr="00FB4FF2">
        <w:rPr>
          <w:b/>
          <w:bCs/>
        </w:rPr>
        <w:t>Он также рекомендует государству-участнику:</w:t>
      </w:r>
    </w:p>
    <w:p w:rsidR="006A0E75" w:rsidRPr="00FB4FF2" w:rsidRDefault="006A0E75" w:rsidP="006A0E75">
      <w:pPr>
        <w:pStyle w:val="SingleTxtG"/>
        <w:ind w:firstLine="567"/>
        <w:rPr>
          <w:b/>
          <w:bCs/>
        </w:rPr>
      </w:pPr>
      <w:r w:rsidRPr="00FB4FF2">
        <w:rPr>
          <w:b/>
        </w:rPr>
        <w:tab/>
        <w:t>a)</w:t>
      </w:r>
      <w:r w:rsidRPr="00FB4FF2">
        <w:rPr>
          <w:b/>
        </w:rPr>
        <w:tab/>
        <w:t xml:space="preserve">предпринять дополнительные усилия в целях поощрения подхода, основанного на принципах участия, и шире вовлекать общины рома и гражданское общество в осуществление этой стратегии; </w:t>
      </w:r>
    </w:p>
    <w:p w:rsidR="006A0E75" w:rsidRPr="00FB4FF2" w:rsidRDefault="006A0E75" w:rsidP="006A0E75">
      <w:pPr>
        <w:pStyle w:val="SingleTxtG"/>
        <w:ind w:firstLine="567"/>
        <w:rPr>
          <w:b/>
          <w:bCs/>
        </w:rPr>
      </w:pPr>
      <w:r w:rsidRPr="00FB4FF2">
        <w:rPr>
          <w:b/>
        </w:rPr>
        <w:tab/>
        <w:t>b)</w:t>
      </w:r>
      <w:r w:rsidRPr="00FB4FF2">
        <w:rPr>
          <w:b/>
        </w:rPr>
        <w:tab/>
        <w:t xml:space="preserve">повышать уровень информированности общественности о существующем антидискриминационном законодательстве; </w:t>
      </w:r>
    </w:p>
    <w:p w:rsidR="006A0E75" w:rsidRPr="00FB4FF2" w:rsidRDefault="006A0E75" w:rsidP="006A0E75">
      <w:pPr>
        <w:pStyle w:val="SingleTxtG"/>
        <w:ind w:firstLine="567"/>
        <w:rPr>
          <w:b/>
          <w:bCs/>
        </w:rPr>
      </w:pPr>
      <w:r w:rsidRPr="00FB4FF2">
        <w:rPr>
          <w:b/>
        </w:rPr>
        <w:tab/>
        <w:t>c)</w:t>
      </w:r>
      <w:r w:rsidRPr="00FB4FF2">
        <w:rPr>
          <w:b/>
        </w:rPr>
        <w:tab/>
      </w:r>
      <w:r w:rsidRPr="00FB4FF2">
        <w:rPr>
          <w:b/>
          <w:bCs/>
        </w:rPr>
        <w:t>обеспечить, чтобы рома имели доступ к правовой помощи и к надлежащим средствам правовой защиты;</w:t>
      </w:r>
    </w:p>
    <w:p w:rsidR="006A0E75" w:rsidRPr="00FB4FF2" w:rsidRDefault="006A0E75" w:rsidP="006A0E75">
      <w:pPr>
        <w:pStyle w:val="SingleTxtG"/>
        <w:ind w:firstLine="567"/>
        <w:rPr>
          <w:b/>
          <w:bCs/>
        </w:rPr>
      </w:pPr>
      <w:r w:rsidRPr="00FB4FF2">
        <w:rPr>
          <w:b/>
        </w:rPr>
        <w:tab/>
        <w:t>d)</w:t>
      </w:r>
      <w:r w:rsidRPr="00FB4FF2">
        <w:rPr>
          <w:b/>
        </w:rPr>
        <w:tab/>
      </w:r>
      <w:r w:rsidRPr="00FB4FF2">
        <w:rPr>
          <w:b/>
          <w:bCs/>
        </w:rPr>
        <w:t>обеспечить, чтобы акты дискриминации и насилия расследовались и пр</w:t>
      </w:r>
      <w:r w:rsidR="00DB3FF5">
        <w:rPr>
          <w:b/>
          <w:bCs/>
        </w:rPr>
        <w:t xml:space="preserve">еследовались в судебном </w:t>
      </w:r>
      <w:proofErr w:type="gramStart"/>
      <w:r w:rsidR="00DB3FF5">
        <w:rPr>
          <w:b/>
          <w:bCs/>
        </w:rPr>
        <w:t>порядке</w:t>
      </w:r>
      <w:proofErr w:type="gramEnd"/>
      <w:r w:rsidRPr="00FB4FF2">
        <w:rPr>
          <w:b/>
          <w:bCs/>
        </w:rPr>
        <w:t xml:space="preserve"> и чтобы виновные несли наказание;</w:t>
      </w:r>
    </w:p>
    <w:p w:rsidR="006A0E75" w:rsidRPr="00FB4FF2" w:rsidRDefault="006A0E75" w:rsidP="006A0E75">
      <w:pPr>
        <w:pStyle w:val="SingleTxtG"/>
        <w:ind w:firstLine="567"/>
        <w:rPr>
          <w:b/>
          <w:bCs/>
        </w:rPr>
      </w:pPr>
      <w:r w:rsidRPr="00FB4FF2">
        <w:rPr>
          <w:b/>
        </w:rPr>
        <w:tab/>
        <w:t>e)</w:t>
      </w:r>
      <w:r w:rsidRPr="00FB4FF2">
        <w:rPr>
          <w:b/>
        </w:rPr>
        <w:tab/>
        <w:t xml:space="preserve">поощрять межкультурный диалог с целью устранения предрассудков и неправильных представлений о рома. </w:t>
      </w:r>
    </w:p>
    <w:p w:rsidR="006A0E75" w:rsidRPr="0029576C" w:rsidRDefault="006A0E75" w:rsidP="006A0E75">
      <w:pPr>
        <w:pStyle w:val="SingleTxtG"/>
        <w:rPr>
          <w:b/>
          <w:bCs/>
        </w:rPr>
      </w:pPr>
      <w:r>
        <w:t>14.</w:t>
      </w:r>
      <w:r>
        <w:tab/>
      </w:r>
      <w:r>
        <w:rPr>
          <w:b/>
          <w:bCs/>
        </w:rPr>
        <w:t>Комитет обращает внимание государства-участника на свое замечание общего порядка № 20 (2009) о недискриминации экономических, социальных и культурных прав.</w:t>
      </w:r>
    </w:p>
    <w:p w:rsidR="006A0E75" w:rsidRPr="0029576C" w:rsidRDefault="006A0E75" w:rsidP="006A0E75">
      <w:pPr>
        <w:pStyle w:val="H23G"/>
      </w:pPr>
      <w:r>
        <w:tab/>
      </w:r>
      <w:r>
        <w:tab/>
      </w:r>
      <w:r>
        <w:rPr>
          <w:bCs/>
        </w:rPr>
        <w:t>Равенство мужчин и женщин</w:t>
      </w:r>
    </w:p>
    <w:p w:rsidR="006A0E75" w:rsidRPr="0029576C" w:rsidRDefault="006A0E75" w:rsidP="006A0E75">
      <w:pPr>
        <w:pStyle w:val="SingleTxtG"/>
      </w:pPr>
      <w:r>
        <w:t>15.</w:t>
      </w:r>
      <w:r>
        <w:tab/>
        <w:t>Комитет обеспокоен сохранением стереотипов в отношении экономических, социальных и культурных ролей мужчин и женщин, увековечивающих в государстве-участнике гендерное неравенство. Как следствие женщины продолжают нести непропорционально тяжелое бремя неоплачиваемого домашнего труда и работы по уходу, что препятствует их полноценному участию в общественной жизни и на рынке труда (статьи 3 и 6).</w:t>
      </w:r>
    </w:p>
    <w:p w:rsidR="006A0E75" w:rsidRPr="00FB4FF2" w:rsidRDefault="006A0E75" w:rsidP="006A0E75">
      <w:pPr>
        <w:pStyle w:val="SingleTxtG"/>
        <w:rPr>
          <w:b/>
          <w:bCs/>
        </w:rPr>
      </w:pPr>
      <w:r>
        <w:t>16.</w:t>
      </w:r>
      <w:r>
        <w:tab/>
      </w:r>
      <w:r w:rsidRPr="00FB4FF2">
        <w:rPr>
          <w:b/>
        </w:rPr>
        <w:t>Комитет рекомендует государству-участнику обеспечить эффективное осуществление Национальной стратегии в области поощрения равенства между мужч</w:t>
      </w:r>
      <w:r w:rsidR="008142F1">
        <w:rPr>
          <w:b/>
        </w:rPr>
        <w:t>инами и женщинам на период 2016–</w:t>
      </w:r>
      <w:r w:rsidR="001F376A">
        <w:rPr>
          <w:b/>
        </w:rPr>
        <w:t>2020 годов, в частности</w:t>
      </w:r>
      <w:r w:rsidRPr="00FB4FF2">
        <w:rPr>
          <w:b/>
        </w:rPr>
        <w:t xml:space="preserve"> путем разработки социальной политики в целях уменьшения бремени неоплачиваемого домашнего труда и работы по уходу, которые приходится выполнять женщинам, пропаганды распределения семейных обязанностей между мужчинами и женщинами, а также проведения информационно-просветительских кампаний для борьбы с гендерными стереотипами и повышения уровня информированности о закрепленном в законодательстве требовании обеспечения гендерного равенства и выгодах, которые да</w:t>
      </w:r>
      <w:r w:rsidR="001B6405" w:rsidRPr="00FB4FF2">
        <w:rPr>
          <w:b/>
        </w:rPr>
        <w:t>е</w:t>
      </w:r>
      <w:r w:rsidRPr="00FB4FF2">
        <w:rPr>
          <w:b/>
        </w:rPr>
        <w:t xml:space="preserve">т обществу его соблюдение. В этой связи Комитет обращает внимание государства-участника на свое замечание общего порядка № 16 (2005) о равном для мужчин и женщин праве пользования всеми экономическими, социальными и культурными правами. </w:t>
      </w:r>
    </w:p>
    <w:p w:rsidR="006A0E75" w:rsidRPr="0029576C" w:rsidRDefault="006A0E75" w:rsidP="006A0E75">
      <w:pPr>
        <w:pStyle w:val="H23G"/>
      </w:pPr>
      <w:r>
        <w:tab/>
      </w:r>
      <w:r>
        <w:tab/>
      </w:r>
      <w:r>
        <w:rPr>
          <w:bCs/>
        </w:rPr>
        <w:t>Участие женщин в оплачиваемой трудовой деятельности</w:t>
      </w:r>
    </w:p>
    <w:p w:rsidR="006A0E75" w:rsidRPr="0029576C" w:rsidRDefault="006A0E75" w:rsidP="006A0E75">
      <w:pPr>
        <w:pStyle w:val="SingleTxtG"/>
      </w:pPr>
      <w:r>
        <w:t>17.</w:t>
      </w:r>
      <w:r>
        <w:tab/>
        <w:t>Комитет обеспокоен более низким уровнем участия женщин на рынке труда, горизонтальной и вертикальной профессиональной сегрегацией между мужчинами и женщинами и гендерным разрывом в оплате труда, который существует в государстве-участнике и является причиной неравенства в доходах и более низких пенсионных пособий для женщин. Он также обеспокоен по-прежнему низкой долей отцов, пользующихся своим правом на отпуск по уходу за ребенком (статьи 3, 6 и 7).</w:t>
      </w:r>
    </w:p>
    <w:p w:rsidR="006A0E75" w:rsidRPr="00BB3E85" w:rsidRDefault="006A0E75" w:rsidP="006A0E75">
      <w:pPr>
        <w:pStyle w:val="SingleTxtG"/>
        <w:rPr>
          <w:b/>
          <w:bCs/>
        </w:rPr>
      </w:pPr>
      <w:r>
        <w:t>18.</w:t>
      </w:r>
      <w:r>
        <w:tab/>
      </w:r>
      <w:r w:rsidRPr="00BB3E85">
        <w:rPr>
          <w:b/>
        </w:rPr>
        <w:t xml:space="preserve">Комитет рекомендует государству-участнику поощрять полноценное участие женщин на рынке труда, в том числе путем разработки надлежащих и доступных решений по обеспечению дневного ухода за детьми и поощрения мужчин к использованию их права на отпуск по уходу за ребенком и оплачиваемый отпуск по уходу за ребенком. Он также рекомендует государству-участнику принять меры в целях сокращения разрыва в оплате труда мужчин и женщин и обеспечения равной оплаты за труд равной ценности. </w:t>
      </w:r>
      <w:r w:rsidRPr="00BB3E85">
        <w:rPr>
          <w:b/>
          <w:bCs/>
        </w:rPr>
        <w:t>Кроме того, Комитет рекомендует государству-участнику содействовать повышению уровня занятости женщин в областях, где они остаются непредставленными и недопредставленными, в том числе посредством проведения информационно-просветительских кампаний и создания возможностей для профессиональной подготовки.</w:t>
      </w:r>
    </w:p>
    <w:p w:rsidR="006A0E75" w:rsidRPr="0029576C" w:rsidRDefault="006A0E75" w:rsidP="006A0E75">
      <w:pPr>
        <w:pStyle w:val="H23G"/>
      </w:pPr>
      <w:r>
        <w:tab/>
      </w:r>
      <w:r>
        <w:tab/>
      </w:r>
      <w:r>
        <w:rPr>
          <w:bCs/>
        </w:rPr>
        <w:t>Обеспечение занятости молодежи</w:t>
      </w:r>
    </w:p>
    <w:p w:rsidR="006A0E75" w:rsidRPr="0029576C" w:rsidRDefault="006A0E75" w:rsidP="006A0E75">
      <w:pPr>
        <w:pStyle w:val="SingleTxtG"/>
        <w:keepNext/>
        <w:keepLines/>
      </w:pPr>
      <w:r>
        <w:t>19.</w:t>
      </w:r>
      <w:r>
        <w:tab/>
        <w:t>Комитет обеспокоен тем, что, несмотря на тенденцию к снижению показателя безработицы в государстве-участнике, уровень безработицы среди молодежи в два раза выше, чем среди остального населения, и что доля молодых рома, не имеющих образования, работы или подготовки, особенно среди женщин, является непропорционально высокой (статья 6).</w:t>
      </w:r>
    </w:p>
    <w:p w:rsidR="006A0E75" w:rsidRPr="00BB3E85" w:rsidRDefault="006A0E75" w:rsidP="006A0E75">
      <w:pPr>
        <w:pStyle w:val="SingleTxtG"/>
        <w:rPr>
          <w:b/>
          <w:bCs/>
        </w:rPr>
      </w:pPr>
      <w:r>
        <w:t>20.</w:t>
      </w:r>
      <w:r>
        <w:tab/>
      </w:r>
      <w:r w:rsidRPr="00BB3E85">
        <w:rPr>
          <w:b/>
        </w:rPr>
        <w:t xml:space="preserve">Комитет рекомендует государству-участнику активизировать усилия по сокращению безработицы среди молодежи, в том числе путем расширения имеющихся возможностей для профессиональной подготовки с учетом потребностей рынка труда и стимулирования работодателей к приему молодых людей на работу. Он также рекомендует государству-участнику активизировать усилия по охвату молодых людей, не имеющих образования, работы или подготовки, Планом обеспечения гарантий для молодежи и принять конкретные меры с целью удовлетворения потребностей молодых рома, особенно женщин. </w:t>
      </w:r>
      <w:r w:rsidRPr="00BB3E85">
        <w:rPr>
          <w:b/>
          <w:bCs/>
        </w:rPr>
        <w:t>Комитет далее рекомендует государству-участнику увеличить число посредников из числа рома и молодых людей в находящихся в неблагоприятном положении и маргинализованных общинах.</w:t>
      </w:r>
    </w:p>
    <w:p w:rsidR="006A0E75" w:rsidRPr="0029576C" w:rsidRDefault="006A0E75" w:rsidP="006A0E75">
      <w:pPr>
        <w:pStyle w:val="H23G"/>
      </w:pPr>
      <w:r>
        <w:tab/>
      </w:r>
      <w:r>
        <w:tab/>
      </w:r>
      <w:r>
        <w:rPr>
          <w:bCs/>
        </w:rPr>
        <w:t>Обеспечение занятости инвалидов</w:t>
      </w:r>
    </w:p>
    <w:p w:rsidR="006A0E75" w:rsidRPr="0029576C" w:rsidRDefault="006A0E75" w:rsidP="006A0E75">
      <w:pPr>
        <w:pStyle w:val="SingleTxtG"/>
      </w:pPr>
      <w:r>
        <w:t>21.</w:t>
      </w:r>
      <w:r>
        <w:tab/>
        <w:t>Комитет обеспокоен низким уровнем участия инвалидов на рынке труда государства-участника, а также тем, что работодатели зачастую не обеспечивают разумное приспособление и доступность рабочих мест. Он также с обеспокоенностью отмечает, что квоты на трудоустройство инвалидов не соблюдаются ни в добровольном</w:t>
      </w:r>
      <w:r w:rsidR="001B6405">
        <w:t>, ни в принудительном порядке (</w:t>
      </w:r>
      <w:r>
        <w:t>пункт 2 статьи 2 и статья 6).</w:t>
      </w:r>
    </w:p>
    <w:p w:rsidR="006A0E75" w:rsidRPr="0029576C" w:rsidRDefault="006A0E75" w:rsidP="006A0E75">
      <w:pPr>
        <w:pStyle w:val="SingleTxtG"/>
        <w:rPr>
          <w:b/>
          <w:bCs/>
        </w:rPr>
      </w:pPr>
      <w:r>
        <w:t>22.</w:t>
      </w:r>
      <w:r>
        <w:tab/>
      </w:r>
      <w:r w:rsidRPr="00BB3E85">
        <w:rPr>
          <w:b/>
        </w:rPr>
        <w:t xml:space="preserve">Комитет рекомендует государству-участнику принять меры в целях увеличения доли инвалидов в рабочей силе, в том числе путем обеспечения разумного приспособления, разработки политики и программ в интересах инвалидов и повышения уровня осведомленности работодателей об обязанности обеспечения доступности рабочих мест для инвалидов. Он также рекомендует государству-участнику обеспечить соблюдение квот на трудоустройство инвалидов. </w:t>
      </w:r>
      <w:r w:rsidRPr="00BB3E85">
        <w:rPr>
          <w:b/>
          <w:bCs/>
        </w:rPr>
        <w:t xml:space="preserve">Кроме того, он рекомендует государству-участнику повысить уровень информированности работодателей и общественности, в том числе инвалидов, о законодательстве, </w:t>
      </w:r>
      <w:r>
        <w:rPr>
          <w:b/>
          <w:bCs/>
        </w:rPr>
        <w:t>касающемся трудоустройства инвалидов, существующих специальных мерах и правах инвалидов.</w:t>
      </w:r>
    </w:p>
    <w:p w:rsidR="006A0E75" w:rsidRPr="0029576C" w:rsidRDefault="006A0E75" w:rsidP="006A0E75">
      <w:pPr>
        <w:pStyle w:val="H23G"/>
      </w:pPr>
      <w:r>
        <w:tab/>
      </w:r>
      <w:r>
        <w:tab/>
      </w:r>
      <w:r>
        <w:rPr>
          <w:bCs/>
        </w:rPr>
        <w:t>Домогательства на рабочем месте</w:t>
      </w:r>
    </w:p>
    <w:p w:rsidR="006A0E75" w:rsidRPr="0029576C" w:rsidRDefault="006A0E75" w:rsidP="006A0E75">
      <w:pPr>
        <w:pStyle w:val="SingleTxtG"/>
      </w:pPr>
      <w:r>
        <w:t>23.</w:t>
      </w:r>
      <w:r>
        <w:tab/>
        <w:t xml:space="preserve">Комитет выражает озабоченность по поводу большого числа случаев домогательств, включая сексуальные домогательства, на рабочем месте, особенно в швейной промышленности, где большинство работников составляют женщины, относящиеся к маргинализованным группам. Комитет также обеспокоен тем, что, несмотря на Закон о защите от дискриминации 2004 года, который содержит определения домогательств и сексуальных домогательств, уровень осведомленности об этих деяниях, равно как и число заявлений об их совершении являются низкими (статья 7). </w:t>
      </w:r>
    </w:p>
    <w:p w:rsidR="006A0E75" w:rsidRPr="00BB3E85" w:rsidRDefault="006A0E75" w:rsidP="006A0E75">
      <w:pPr>
        <w:pStyle w:val="SingleTxtG"/>
        <w:rPr>
          <w:b/>
          <w:bCs/>
        </w:rPr>
      </w:pPr>
      <w:r>
        <w:t>24.</w:t>
      </w:r>
      <w:r>
        <w:tab/>
      </w:r>
      <w:r w:rsidRPr="00BB3E85">
        <w:rPr>
          <w:b/>
        </w:rPr>
        <w:t xml:space="preserve">Комитет рекомендует государству-участнику повысить уровень осведомленности о запрещении домогательств на рабочем месте, включая сексуальные домогательства, среди работодателей, работников и широкой общественности. Он рекомендует государству-участнику принять меры к тому, чтобы работодатели обеспечивали условия работы, исключающие домогательства, чтобы жертвы домогательств имели в своем распоряжении эффективные средства правовой защиты, а виновные несли наказание. Комитет также рекомендует государству-участнику принять меры для обеспечения защиты женщин, занятых в швейной промышленности, от сексуальных и других домогательств. </w:t>
      </w:r>
    </w:p>
    <w:p w:rsidR="006A0E75" w:rsidRPr="0029576C" w:rsidRDefault="006A0E75" w:rsidP="006A0E75">
      <w:pPr>
        <w:pStyle w:val="H23G"/>
      </w:pPr>
      <w:r>
        <w:tab/>
      </w:r>
      <w:r>
        <w:tab/>
      </w:r>
      <w:r>
        <w:rPr>
          <w:bCs/>
        </w:rPr>
        <w:t>Право на социальное обеспечение</w:t>
      </w:r>
    </w:p>
    <w:p w:rsidR="006A0E75" w:rsidRPr="0029576C" w:rsidRDefault="006A0E75" w:rsidP="006A0E75">
      <w:pPr>
        <w:pStyle w:val="SingleTxtG"/>
      </w:pPr>
      <w:r>
        <w:t>25.</w:t>
      </w:r>
      <w:r>
        <w:tab/>
        <w:t>Комитет обеспокоен тем, что уровни гарантированного минимального дохода, пособий по безработице и пенсий по старости в государстве-участнике не обеспечивают бенефициарам поступления достаточных средств для достаточного уровня жизни. Кроме того, Комитет обеспокоен отсутствием у социальных служб административного потенциала для оказания адресной и индивидуальной поддержки бенефициарам (статьи 9 и 11).</w:t>
      </w:r>
    </w:p>
    <w:p w:rsidR="006A0E75" w:rsidRPr="00BB3E85" w:rsidRDefault="006A0E75" w:rsidP="006A0E75">
      <w:pPr>
        <w:pStyle w:val="SingleTxtG"/>
        <w:rPr>
          <w:b/>
          <w:bCs/>
        </w:rPr>
      </w:pPr>
      <w:r>
        <w:t>26.</w:t>
      </w:r>
      <w:r>
        <w:tab/>
      </w:r>
      <w:r w:rsidRPr="00BB3E85">
        <w:rPr>
          <w:b/>
        </w:rPr>
        <w:t xml:space="preserve">Комитет рекомендует государству-участнику продолжать предпринимать усилия по корректировке размеров социальных пособий, создать устойчивую систему индексации и, при необходимости, производить перерасчеты социальных пособий с целью обеспечения надлежащего уровня жизни бенефициаров и их семей. </w:t>
      </w:r>
      <w:r w:rsidRPr="00BB3E85">
        <w:rPr>
          <w:b/>
          <w:bCs/>
        </w:rPr>
        <w:t>Комитет также рекомендует государству-участнику выделить необходимые финансовые ресурсы и организовать подготовку в целях укрепления административного потенциала социальных работников, с тем чтобы гарантировать оказание ими надлежащей и индивидуальной поддержки бенефициарам.</w:t>
      </w:r>
    </w:p>
    <w:p w:rsidR="006A0E75" w:rsidRPr="0029576C" w:rsidRDefault="006A0E75" w:rsidP="006A0E75">
      <w:pPr>
        <w:pStyle w:val="SingleTxtG"/>
      </w:pPr>
      <w:r>
        <w:t>27.</w:t>
      </w:r>
      <w:r>
        <w:tab/>
        <w:t>Комитет обеспокоен отсутствием в государстве-участнике всеобщего медицинского страхования, а также тем, что лица, не охваченные системой медицинского страхования, не имеют равного доступа к медицинским услугам. Комитет с обеспокоенностью отмечает, что более половины населения рома не охвачено национальной системой медицинского страхования (пункт 2 статьи 2 и статья 9).</w:t>
      </w:r>
    </w:p>
    <w:p w:rsidR="006A0E75" w:rsidRPr="0029576C" w:rsidRDefault="006A0E75" w:rsidP="006A0E75">
      <w:pPr>
        <w:pStyle w:val="SingleTxtG"/>
        <w:rPr>
          <w:b/>
          <w:bCs/>
        </w:rPr>
      </w:pPr>
      <w:r>
        <w:t>28.</w:t>
      </w:r>
      <w:r>
        <w:tab/>
      </w:r>
      <w:r>
        <w:rPr>
          <w:b/>
          <w:bCs/>
        </w:rPr>
        <w:t>Комитет рекомендует государству-участнику охватить национальной системой медицинского страхования группы, которые в настоящее время исключены из нее, в том числе путем принятия мер, ориентированных на общину рома, и обеспечить для всех без какой-либо дискриминации доступ к приемлемым по ценам медицинским услугам.</w:t>
      </w:r>
    </w:p>
    <w:p w:rsidR="006A0E75" w:rsidRPr="0029576C" w:rsidRDefault="006A0E75" w:rsidP="006A0E75">
      <w:pPr>
        <w:pStyle w:val="H23G"/>
      </w:pPr>
      <w:r>
        <w:tab/>
      </w:r>
      <w:r>
        <w:tab/>
      </w:r>
      <w:r>
        <w:rPr>
          <w:bCs/>
        </w:rPr>
        <w:t>Деинстуционализация детей</w:t>
      </w:r>
    </w:p>
    <w:p w:rsidR="006A0E75" w:rsidRPr="0029576C" w:rsidRDefault="006A0E75" w:rsidP="006A0E75">
      <w:pPr>
        <w:pStyle w:val="SingleTxtG"/>
      </w:pPr>
      <w:r>
        <w:t>29.</w:t>
      </w:r>
      <w:r>
        <w:tab/>
        <w:t>Комитет приветствует сохраняющуюся тенденцию к деинституционализации детей в государстве-участнике, но вместе с тем обеспокоен отсутствием услуг по развитию детей в раннем возрасте, а также отсутствием механизма для оказания надлежащей поддержки детям после того, как они покидают учреждения по уходу. Он</w:t>
      </w:r>
      <w:r w:rsidR="00470106">
        <w:t> </w:t>
      </w:r>
      <w:r>
        <w:t>также обеспокоен отсутствием квалифицированного персонала для работы с детьми, помещаемыми в заведения семейного типа (статья 10).</w:t>
      </w:r>
    </w:p>
    <w:p w:rsidR="006A0E75" w:rsidRPr="00BB3E85" w:rsidRDefault="006A0E75" w:rsidP="006A0E75">
      <w:pPr>
        <w:pStyle w:val="SingleTxtG"/>
        <w:rPr>
          <w:b/>
          <w:bCs/>
        </w:rPr>
      </w:pPr>
      <w:r>
        <w:t>30.</w:t>
      </w:r>
      <w:r>
        <w:tab/>
      </w:r>
      <w:r w:rsidRPr="00BB3E85">
        <w:rPr>
          <w:b/>
        </w:rPr>
        <w:t xml:space="preserve">Комитет рекомендует государству-участнику обеспечивать учет особых потребностей деинституционализированных детей при их помещении в учреждения семейного типа и принимать решения на основе принципа наилучшего обеспечения интересов ребенка. </w:t>
      </w:r>
      <w:r w:rsidRPr="00BB3E85">
        <w:rPr>
          <w:b/>
          <w:bCs/>
        </w:rPr>
        <w:t>Он также рекомендует государству-участнику поощрять наем квалифицированного персонала для работы с детьми, помещаемыми в заведения семейного типа, включая психологов, специалистов по реабилитации и специалистов по развитию детей в раннем возрасте, и обеспечивать его надлежащую подготовку.</w:t>
      </w:r>
    </w:p>
    <w:p w:rsidR="006A0E75" w:rsidRPr="0029576C" w:rsidRDefault="006A0E75" w:rsidP="006A0E75">
      <w:pPr>
        <w:pStyle w:val="H23G"/>
      </w:pPr>
      <w:r>
        <w:tab/>
      </w:r>
      <w:r>
        <w:tab/>
      </w:r>
      <w:r>
        <w:rPr>
          <w:bCs/>
        </w:rPr>
        <w:t>Бытовое насилие</w:t>
      </w:r>
    </w:p>
    <w:p w:rsidR="006A0E75" w:rsidRPr="0029576C" w:rsidRDefault="006A0E75" w:rsidP="006A0E75">
      <w:pPr>
        <w:pStyle w:val="SingleTxtG"/>
      </w:pPr>
      <w:r>
        <w:t>31.</w:t>
      </w:r>
      <w:r>
        <w:tab/>
        <w:t>Комитет отмечает, что Конституционный суд Болгарии заявил о несовместимости Конвенции Совета Европы о предотвращении и пресечении насилия в отношении женщин и бытового насилия (Стамбульская конвенция) с Конституцией, но выражает обеспокоенность в связи с широким распространением насилия в отношении женщин, в том числе бытового насилия, в государстве-участнике. Он также обеспокоен тем, что об этих актах по-п</w:t>
      </w:r>
      <w:r w:rsidR="00C13839">
        <w:t>режнему крайне редко сообщается</w:t>
      </w:r>
      <w:r>
        <w:t xml:space="preserve"> и что уровень осведомленности о насилии в отношении женщин, в том числе о бытовом насилии, остается низким (статьи 3 и 10).</w:t>
      </w:r>
    </w:p>
    <w:p w:rsidR="006A0E75" w:rsidRPr="00BB3E85" w:rsidRDefault="006A0E75" w:rsidP="006A0E75">
      <w:pPr>
        <w:pStyle w:val="SingleTxtG"/>
        <w:rPr>
          <w:b/>
          <w:bCs/>
        </w:rPr>
      </w:pPr>
      <w:r>
        <w:t>32.</w:t>
      </w:r>
      <w:r>
        <w:tab/>
      </w:r>
      <w:r w:rsidRPr="00BB3E85">
        <w:rPr>
          <w:b/>
        </w:rPr>
        <w:t xml:space="preserve">Комитет рекомендует государству-участнику включить основные принципы Стамбульской конвенции в свое законодательство в целях обеспечения полной защиты женщин от всех форм насилия, а также предупреждения, преследования и искоренения насилия в отношении женщин, включая бытовое насилие. </w:t>
      </w:r>
      <w:r w:rsidRPr="00BB3E85">
        <w:rPr>
          <w:b/>
          <w:bCs/>
        </w:rPr>
        <w:t>В частности, Комитет рекомендует государству-участнику:</w:t>
      </w:r>
    </w:p>
    <w:p w:rsidR="006A0E75" w:rsidRPr="00BB3E85" w:rsidRDefault="006A0E75" w:rsidP="006A0E75">
      <w:pPr>
        <w:pStyle w:val="SingleTxtG"/>
        <w:ind w:firstLine="567"/>
        <w:rPr>
          <w:b/>
          <w:bCs/>
        </w:rPr>
      </w:pPr>
      <w:r w:rsidRPr="00BB3E85">
        <w:rPr>
          <w:b/>
        </w:rPr>
        <w:tab/>
        <w:t>a)</w:t>
      </w:r>
      <w:r w:rsidRPr="00BB3E85">
        <w:rPr>
          <w:b/>
        </w:rPr>
        <w:tab/>
      </w:r>
      <w:r w:rsidRPr="00BB3E85">
        <w:rPr>
          <w:b/>
          <w:bCs/>
        </w:rPr>
        <w:t>осуществлять сбор статистических данных о насилии в отношении женщин, включая бытовое насилие, в разбивке по возрасту, виду правонарушения, степени родства правонарушителя с жертвой и любым другим соответствующим критериям;</w:t>
      </w:r>
    </w:p>
    <w:p w:rsidR="006A0E75" w:rsidRPr="00BB3E85" w:rsidRDefault="006A0E75" w:rsidP="006A0E75">
      <w:pPr>
        <w:pStyle w:val="SingleTxtG"/>
        <w:ind w:firstLine="567"/>
        <w:rPr>
          <w:b/>
          <w:bCs/>
        </w:rPr>
      </w:pPr>
      <w:r w:rsidRPr="00BB3E85">
        <w:rPr>
          <w:b/>
        </w:rPr>
        <w:t>b)</w:t>
      </w:r>
      <w:r w:rsidRPr="00BB3E85">
        <w:rPr>
          <w:b/>
        </w:rPr>
        <w:tab/>
      </w:r>
      <w:r w:rsidRPr="00BB3E85">
        <w:rPr>
          <w:b/>
          <w:bCs/>
        </w:rPr>
        <w:t>обеспечить, чтобы все акты насилия в отношении женщин регистрировались и всесторонне расследовались, чтобы виновные подвергались судебному преследованию и несли надлежащее наказание, а жертвы имели доступ к правосудию, эффективному возмещению, приютам и службам поддержки;</w:t>
      </w:r>
    </w:p>
    <w:p w:rsidR="006A0E75" w:rsidRPr="00BB3E85" w:rsidRDefault="006A0E75" w:rsidP="006A0E75">
      <w:pPr>
        <w:pStyle w:val="SingleTxtG"/>
        <w:ind w:firstLine="567"/>
        <w:rPr>
          <w:b/>
          <w:bCs/>
        </w:rPr>
      </w:pPr>
      <w:r w:rsidRPr="00BB3E85">
        <w:rPr>
          <w:b/>
        </w:rPr>
        <w:t>c)</w:t>
      </w:r>
      <w:r w:rsidRPr="00BB3E85">
        <w:rPr>
          <w:b/>
        </w:rPr>
        <w:tab/>
        <w:t xml:space="preserve">обеспечить учитывающую гендерные аспекты подготовку сотрудников правоохранительных и судебных органов по вопросам, касающимся характера насилия в отношении женщин, его причин и последствий, а также порядка рассмотрения дел о насилии в отношении женщин; </w:t>
      </w:r>
    </w:p>
    <w:p w:rsidR="006A0E75" w:rsidRPr="00BB3E85" w:rsidRDefault="006A0E75" w:rsidP="006A0E75">
      <w:pPr>
        <w:pStyle w:val="SingleTxtG"/>
        <w:ind w:firstLine="567"/>
        <w:rPr>
          <w:b/>
          <w:bCs/>
        </w:rPr>
      </w:pPr>
      <w:r w:rsidRPr="00BB3E85">
        <w:rPr>
          <w:b/>
        </w:rPr>
        <w:t>d)</w:t>
      </w:r>
      <w:r w:rsidRPr="00BB3E85">
        <w:rPr>
          <w:b/>
        </w:rPr>
        <w:tab/>
      </w:r>
      <w:r w:rsidRPr="00BB3E85">
        <w:rPr>
          <w:b/>
          <w:bCs/>
        </w:rPr>
        <w:t>повышать уровень осведомленности населения о проблеме насилия в отношении женщин.</w:t>
      </w:r>
    </w:p>
    <w:p w:rsidR="006A0E75" w:rsidRPr="0029576C" w:rsidRDefault="006A0E75" w:rsidP="006A0E75">
      <w:pPr>
        <w:pStyle w:val="H23G"/>
      </w:pPr>
      <w:r>
        <w:tab/>
      </w:r>
      <w:r>
        <w:tab/>
      </w:r>
      <w:r>
        <w:rPr>
          <w:bCs/>
        </w:rPr>
        <w:t>Нищета и социальная изоляция</w:t>
      </w:r>
    </w:p>
    <w:p w:rsidR="006A0E75" w:rsidRPr="0029576C" w:rsidRDefault="006A0E75" w:rsidP="006A0E75">
      <w:pPr>
        <w:pStyle w:val="SingleTxtG"/>
      </w:pPr>
      <w:r>
        <w:t>33.</w:t>
      </w:r>
      <w:r>
        <w:tab/>
        <w:t>Комитет обеспокоен высокой долей людей, особенно детей, живущих в государстве-участнике в условиях нищеты и/или социальной изоляции. Он также обеспокоен тем, что больше всего от нищеты страдают члены общины рома и, в меньшей степени, турецкой общины (статьи 10 и 11).</w:t>
      </w:r>
    </w:p>
    <w:p w:rsidR="006A0E75" w:rsidRPr="0029576C" w:rsidRDefault="006A0E75" w:rsidP="006A0E75">
      <w:pPr>
        <w:pStyle w:val="SingleTxtG"/>
        <w:rPr>
          <w:b/>
          <w:bCs/>
        </w:rPr>
      </w:pPr>
      <w:r>
        <w:t>34.</w:t>
      </w:r>
      <w:r>
        <w:tab/>
      </w:r>
      <w:r w:rsidRPr="002E51EE">
        <w:rPr>
          <w:b/>
        </w:rPr>
        <w:t>Комитет рекомендует государству-участнику обеспечить с учетом уроков, извлеченных из осуществления Национальной стратегии сокращения масштабов нищеты и поощрения социальной интеграции на период до 2020 года, принятие целевых мер для действенного сокращения масштабов нищеты. В частности, Комитет рекомендует государству-участнику обеспечить, чтобы нуждающиеся, особенно члены общины рома и турецкой общины, могли</w:t>
      </w:r>
      <w:r w:rsidR="0003472F" w:rsidRPr="002E51EE">
        <w:rPr>
          <w:b/>
        </w:rPr>
        <w:t xml:space="preserve"> </w:t>
      </w:r>
      <w:r w:rsidRPr="002E51EE">
        <w:rPr>
          <w:b/>
        </w:rPr>
        <w:t>эффективно пользоваться социальными благами. Комитет также рекомендует государству-участнику принять целевые меры для недопущения того, чтобы дети жили в условиях нищеты, в том числе путем оказания социально-экономической поддержки одиноким родителям и семьям с тремя или более детьми.</w:t>
      </w:r>
      <w:r>
        <w:t xml:space="preserve"> </w:t>
      </w:r>
    </w:p>
    <w:p w:rsidR="006A0E75" w:rsidRPr="0029576C" w:rsidRDefault="006A0E75" w:rsidP="006A0E75">
      <w:pPr>
        <w:pStyle w:val="H23G"/>
      </w:pPr>
      <w:r>
        <w:tab/>
      </w:r>
      <w:r>
        <w:tab/>
      </w:r>
      <w:r>
        <w:rPr>
          <w:bCs/>
        </w:rPr>
        <w:t>Право на достаточное жилище</w:t>
      </w:r>
    </w:p>
    <w:p w:rsidR="006A0E75" w:rsidRPr="0029576C" w:rsidRDefault="006A0E75" w:rsidP="006A0E75">
      <w:pPr>
        <w:pStyle w:val="SingleTxtG"/>
        <w:rPr>
          <w:bCs/>
        </w:rPr>
      </w:pPr>
      <w:r>
        <w:t>35.</w:t>
      </w:r>
      <w:r>
        <w:tab/>
        <w:t>Комитет обеспокоен большим числом лиц, живущих в государстве-участнике в неадекватных жилищных условиях, в некоторых случаях без доступа к системам канализации и водоснабжения. Он также обеспокоен ростом числа бездомных. Кроме того, Комитет с обеспокоенностью отмечает, что представители народности рома подвергаются особому риску принудительного выселения без предоставления пригодного альтернативного жилья и, как следствие, большему риску стать бездомными (пункт 2 статьи 2 и статья 11).</w:t>
      </w:r>
    </w:p>
    <w:p w:rsidR="006A0E75" w:rsidRPr="002E51EE" w:rsidRDefault="006A0E75" w:rsidP="006A0E75">
      <w:pPr>
        <w:pStyle w:val="SingleTxtG"/>
        <w:rPr>
          <w:b/>
          <w:bCs/>
        </w:rPr>
      </w:pPr>
      <w:r>
        <w:t>36.</w:t>
      </w:r>
      <w:r>
        <w:tab/>
      </w:r>
      <w:r w:rsidRPr="002E51EE">
        <w:rPr>
          <w:b/>
        </w:rPr>
        <w:t xml:space="preserve">Комитет настоятельно призывает государство-участник обеспечить предоставление услуг по водоснабжению и канализации там, где они в настоящее время отсутствуют. Он также рекомендует государству-участнику обеспечить адекватные жилищные условия маргинализованным и находящимся в неблагоприятном положении лицам и группам, в том числе путем облегчения их доступа к программам социального жилья и предоставления надлежащего временного жилья бездомным. Кроме того, он рекомендует государству-участнику предотвращать принудительные выселения и в случаях, когда незаконное жилье должно быть снесено, обеспечивать, чтобы: </w:t>
      </w:r>
    </w:p>
    <w:p w:rsidR="006A0E75" w:rsidRPr="002E51EE" w:rsidRDefault="006A0E75" w:rsidP="006A0E75">
      <w:pPr>
        <w:pStyle w:val="SingleTxtG"/>
        <w:ind w:firstLine="567"/>
        <w:rPr>
          <w:b/>
          <w:bCs/>
        </w:rPr>
      </w:pPr>
      <w:r w:rsidRPr="002E51EE">
        <w:rPr>
          <w:b/>
        </w:rPr>
        <w:tab/>
        <w:t>a)</w:t>
      </w:r>
      <w:r w:rsidRPr="002E51EE">
        <w:rPr>
          <w:b/>
        </w:rPr>
        <w:tab/>
        <w:t xml:space="preserve">этот процесс осуществлялся в рамках закона и с предоставлением надлежащей процессуальной защиты, включая направление в достаточные и разумные сроки заблаговременного уведомления; </w:t>
      </w:r>
    </w:p>
    <w:p w:rsidR="006A0E75" w:rsidRPr="002E51EE" w:rsidRDefault="006A0E75" w:rsidP="006A0E75">
      <w:pPr>
        <w:pStyle w:val="SingleTxtG"/>
        <w:ind w:firstLine="567"/>
        <w:rPr>
          <w:b/>
          <w:bCs/>
        </w:rPr>
      </w:pPr>
      <w:r w:rsidRPr="002E51EE">
        <w:rPr>
          <w:b/>
        </w:rPr>
        <w:tab/>
        <w:t>b)</w:t>
      </w:r>
      <w:r w:rsidRPr="002E51EE">
        <w:rPr>
          <w:b/>
        </w:rPr>
        <w:tab/>
      </w:r>
      <w:r w:rsidRPr="002E51EE">
        <w:rPr>
          <w:b/>
          <w:bCs/>
        </w:rPr>
        <w:t>выселения не проводились в зимний период, в ночное время или в течение учебного года;</w:t>
      </w:r>
    </w:p>
    <w:p w:rsidR="006A0E75" w:rsidRPr="002E51EE" w:rsidRDefault="006A0E75" w:rsidP="006A0E75">
      <w:pPr>
        <w:pStyle w:val="SingleTxtG"/>
        <w:ind w:firstLine="567"/>
        <w:rPr>
          <w:b/>
          <w:bCs/>
        </w:rPr>
      </w:pPr>
      <w:r w:rsidRPr="002E51EE">
        <w:rPr>
          <w:b/>
        </w:rPr>
        <w:tab/>
        <w:t>c)</w:t>
      </w:r>
      <w:r w:rsidRPr="002E51EE">
        <w:rPr>
          <w:b/>
        </w:rPr>
        <w:tab/>
        <w:t xml:space="preserve">выселяемым лицам, не имеющим альтернативного жилья, предоставлялось </w:t>
      </w:r>
      <w:r w:rsidR="005D0A06">
        <w:rPr>
          <w:b/>
        </w:rPr>
        <w:t xml:space="preserve">альтернативное адекватное </w:t>
      </w:r>
      <w:proofErr w:type="gramStart"/>
      <w:r w:rsidR="005D0A06">
        <w:rPr>
          <w:b/>
        </w:rPr>
        <w:t>жилье</w:t>
      </w:r>
      <w:proofErr w:type="gramEnd"/>
      <w:r w:rsidRPr="002E51EE">
        <w:rPr>
          <w:b/>
        </w:rPr>
        <w:t xml:space="preserve"> и чтобы они имели доступ к эффективным средствам правовой защиты. </w:t>
      </w:r>
    </w:p>
    <w:p w:rsidR="006A0E75" w:rsidRPr="0029576C" w:rsidRDefault="006A0E75" w:rsidP="006A0E75">
      <w:pPr>
        <w:pStyle w:val="SingleTxtG"/>
        <w:rPr>
          <w:b/>
          <w:bCs/>
        </w:rPr>
      </w:pPr>
      <w:r>
        <w:t>37.</w:t>
      </w:r>
      <w:r>
        <w:tab/>
      </w:r>
      <w:r>
        <w:rPr>
          <w:b/>
          <w:bCs/>
        </w:rPr>
        <w:t>Комитет обращает внимание государства-участника на свои замечания общего порядка № 7 (1997) о принудительных выселениях и № 4 (1991) о праве на достаточное жилище.</w:t>
      </w:r>
    </w:p>
    <w:p w:rsidR="006A0E75" w:rsidRPr="0029576C" w:rsidRDefault="006A0E75" w:rsidP="006A0E75">
      <w:pPr>
        <w:pStyle w:val="H23G"/>
      </w:pPr>
      <w:r>
        <w:tab/>
      </w:r>
      <w:r>
        <w:tab/>
        <w:t xml:space="preserve">Центры для приема мигрантов и просителей убежища </w:t>
      </w:r>
    </w:p>
    <w:p w:rsidR="006A0E75" w:rsidRPr="0029576C" w:rsidRDefault="006A0E75" w:rsidP="006A0E75">
      <w:pPr>
        <w:pStyle w:val="SingleTxtG"/>
      </w:pPr>
      <w:r>
        <w:t>38.</w:t>
      </w:r>
      <w:r>
        <w:tab/>
        <w:t>Комитет обеспокоен неудовлетворительными условиями в центрах для приема мигрантов и просителей убежища в государстве-участнике, например, тем, что иногда их не обеспечивают питанием, соответствующим их индивидуальным потребностям, и необходимыми предметами непродовольственного назначения. Он также обеспокоен тем, что во внимание не принимаются такие аспекты, как уязвимость или особые потребности заявителей, и что для женщин и девочек, а также для лиц с особыми потребностями не оборудованы безопасные места. Комитет также обеспокоен тем, что ежемесячное пособие, предоставляемое просителям убежища в центрах приема, является недостаточным для удовлетворения их базовых потребностей (статьи 3, 10 и 11).</w:t>
      </w:r>
    </w:p>
    <w:p w:rsidR="006A0E75" w:rsidRPr="002E51EE" w:rsidRDefault="006A0E75" w:rsidP="006A0E75">
      <w:pPr>
        <w:pStyle w:val="SingleTxtG"/>
        <w:rPr>
          <w:b/>
          <w:bCs/>
        </w:rPr>
      </w:pPr>
      <w:r>
        <w:t>39.</w:t>
      </w:r>
      <w:r>
        <w:tab/>
      </w:r>
      <w:r w:rsidRPr="002E51EE">
        <w:rPr>
          <w:b/>
        </w:rPr>
        <w:t xml:space="preserve">Комитет рекомендует государству-участнику обеспечить, чтобы просители убежища и мигранты получали в центрах приема надлежащее питание, отвечающее их особым потребностям, а также необходимые предметы непродовольственного назначения. Он также рекомендует оборудовать в каждом центре приема безопасные места и проводить по прибытии оценку конкретной ситуации и уязвимости каждого лица, уделяя особое внимание несопровождаемым и разлученным детям, а также жертвам торговли людьми, гендерного насилия и пыток. Кроме того, Комитет рекомендует государству-участнику увеличить размер ежемесячного пособия, предоставляемые просителям убежища, с тем чтобы они могли удовлетворять свои базовые потребности. </w:t>
      </w:r>
    </w:p>
    <w:p w:rsidR="006A0E75" w:rsidRPr="0029576C" w:rsidRDefault="006A0E75" w:rsidP="006A0E75">
      <w:pPr>
        <w:pStyle w:val="H23G"/>
      </w:pPr>
      <w:r>
        <w:tab/>
      </w:r>
      <w:r>
        <w:tab/>
      </w:r>
      <w:r>
        <w:rPr>
          <w:bCs/>
        </w:rPr>
        <w:t>Неравенство в доступе к услугам здравоохранения</w:t>
      </w:r>
    </w:p>
    <w:p w:rsidR="006A0E75" w:rsidRPr="0029576C" w:rsidRDefault="006A0E75" w:rsidP="006A0E75">
      <w:pPr>
        <w:pStyle w:val="SingleTxtG"/>
      </w:pPr>
      <w:r>
        <w:t>40.</w:t>
      </w:r>
      <w:r>
        <w:tab/>
        <w:t xml:space="preserve">Комитет обеспокоен различиями, существующими между областями и регионами в том, что касается доступа к медицинскому обслуживанию и наличия врачей и медсестер (статья 12). </w:t>
      </w:r>
    </w:p>
    <w:p w:rsidR="006A0E75" w:rsidRPr="0029576C" w:rsidRDefault="006A0E75" w:rsidP="006A0E75">
      <w:pPr>
        <w:pStyle w:val="SingleTxtG"/>
        <w:rPr>
          <w:b/>
          <w:bCs/>
        </w:rPr>
      </w:pPr>
      <w:r>
        <w:t>41.</w:t>
      </w:r>
      <w:r>
        <w:tab/>
      </w:r>
      <w:r>
        <w:rPr>
          <w:b/>
          <w:bCs/>
        </w:rPr>
        <w:t>Комитет рекомендует государству-участнику принять меры в целях расширения доступности медицинских услуг и найма квалифицированных врачей и медсестер для работы в неблагополучных областях и регионах, в том числе посредством создания стимулов.</w:t>
      </w:r>
    </w:p>
    <w:p w:rsidR="006A0E75" w:rsidRPr="0029576C" w:rsidRDefault="006A0E75" w:rsidP="006A0E75">
      <w:pPr>
        <w:pStyle w:val="H23G"/>
      </w:pPr>
      <w:r>
        <w:tab/>
      </w:r>
      <w:r>
        <w:tab/>
      </w:r>
      <w:r>
        <w:rPr>
          <w:bCs/>
        </w:rPr>
        <w:t>Право лиц с психическими расстройствами на здоровье</w:t>
      </w:r>
    </w:p>
    <w:p w:rsidR="006A0E75" w:rsidRPr="0029576C" w:rsidRDefault="006A0E75" w:rsidP="006A0E75">
      <w:pPr>
        <w:pStyle w:val="SingleTxtG"/>
      </w:pPr>
      <w:r>
        <w:t>42.</w:t>
      </w:r>
      <w:r>
        <w:tab/>
        <w:t>Комитет обеспокоен тем, что в государстве-участнике большое число лиц с психическими ра</w:t>
      </w:r>
      <w:r w:rsidR="00E738A2">
        <w:t>сстройствами остается без ухода</w:t>
      </w:r>
      <w:r>
        <w:t xml:space="preserve"> и что Национальная стратегия развития системы длительного ухода не предусматривает долгосрочных и устойчивых решений и создания служб по уходу для удовлетворения потребностей пожилых людей, в частности лиц с психическими расстройствами. Он с обеспокоенностью отмечает, что потенциал гериатрических служб является недостаточным, а услуги по уходу на уровне об</w:t>
      </w:r>
      <w:r w:rsidR="00D01718">
        <w:t>щин оказываются редко и не являю</w:t>
      </w:r>
      <w:r>
        <w:t>тся широкодоступным</w:t>
      </w:r>
      <w:r w:rsidR="00D01718">
        <w:t>и. Он </w:t>
      </w:r>
      <w:r>
        <w:t xml:space="preserve">также обеспокоен нехваткой квалифицированного медицинского персонала для оказания надлежащей помощи лицам с психическими расстройствами и отсутствием механизма для поддержки лиц, осуществляющих формальный и неформальный уход (статья 12). </w:t>
      </w:r>
    </w:p>
    <w:p w:rsidR="006A0E75" w:rsidRPr="002E51EE" w:rsidRDefault="006A0E75" w:rsidP="006A0E75">
      <w:pPr>
        <w:pStyle w:val="SingleTxtG"/>
        <w:rPr>
          <w:b/>
          <w:bCs/>
        </w:rPr>
      </w:pPr>
      <w:r>
        <w:t>43.</w:t>
      </w:r>
      <w:r>
        <w:tab/>
      </w:r>
      <w:r w:rsidRPr="002E51EE">
        <w:rPr>
          <w:b/>
        </w:rPr>
        <w:t xml:space="preserve">Комитет рекомендует государству-участнику провести оценку потребностей и создать специальные системы ухода и службы для диагностики психических расстройств и лечения соответствующих лиц, в том числе среди пожилых людей, а также выделить из бюджета достаточные средства для обеспечения надлежащего ухода за пожилыми людьми и предоставления им необходимых услуг в рамках Национальной стратегии развития системы длительного ухода. Комитет также рекомендует государству-участнику укрепить потенциал гериатрических служб и обеспечить наличие на уровне общин услуг по уходу и комплексному медицинскому и социальному обслуживанию и их доступность для пожилых людей, в том числе в сельских и изолированных районах. </w:t>
      </w:r>
      <w:r w:rsidRPr="002E51EE">
        <w:rPr>
          <w:b/>
          <w:bCs/>
        </w:rPr>
        <w:t>Он далее рекомендует организовать подготовку медицинских работников по вопросам ранней диагностики и лечения психических расстройств, особенно среди пожилых людей, а также обеспечить подготовку лиц, осуществляющих формальный и неформальный уход, и оказание им поддержки.</w:t>
      </w:r>
    </w:p>
    <w:p w:rsidR="006A0E75" w:rsidRPr="0029576C" w:rsidRDefault="006A0E75" w:rsidP="006A0E75">
      <w:pPr>
        <w:pStyle w:val="H23G"/>
      </w:pPr>
      <w:r>
        <w:tab/>
      </w:r>
      <w:r>
        <w:tab/>
      </w:r>
      <w:r>
        <w:rPr>
          <w:bCs/>
        </w:rPr>
        <w:t>Правоспособность инвалидов</w:t>
      </w:r>
    </w:p>
    <w:p w:rsidR="006A0E75" w:rsidRPr="0029576C" w:rsidRDefault="006A0E75" w:rsidP="006A0E75">
      <w:pPr>
        <w:pStyle w:val="SingleTxtG"/>
      </w:pPr>
      <w:r>
        <w:t>44.</w:t>
      </w:r>
      <w:r>
        <w:tab/>
        <w:t>Комитет обеспокоен тем, что Народное собрание еще не приняло проект закона о физических лицах и мерах поддержки, который исключает возможность лишения правоспособности лиц с умственными или психическими расстройствами (пункт 2 статьи 2 и статья 12).</w:t>
      </w:r>
    </w:p>
    <w:p w:rsidR="006A0E75" w:rsidRPr="002E51EE" w:rsidRDefault="006A0E75" w:rsidP="006A0E75">
      <w:pPr>
        <w:pStyle w:val="SingleTxtG"/>
        <w:rPr>
          <w:b/>
          <w:bCs/>
        </w:rPr>
      </w:pPr>
      <w:r>
        <w:t>45.</w:t>
      </w:r>
      <w:r>
        <w:tab/>
      </w:r>
      <w:r w:rsidRPr="002E51EE">
        <w:rPr>
          <w:b/>
        </w:rPr>
        <w:t xml:space="preserve">Комитет рекомендует государству-участнику признать, что инвалиды обладают правоспособностью наравне с другими во всех аспектах жизни, и незамедлительно принять проект закона о физических лицах и мерах поддержки. </w:t>
      </w:r>
      <w:r w:rsidRPr="002E51EE">
        <w:rPr>
          <w:b/>
          <w:bCs/>
        </w:rPr>
        <w:t>Он также рекомендует государству-участнику повысить уровень информированности об этом законе после его принятия и организовать подготовку работников судебных органов и специалистов в области здравоохранения и социальной защиты по его положениям.</w:t>
      </w:r>
    </w:p>
    <w:p w:rsidR="006A0E75" w:rsidRPr="0029576C" w:rsidRDefault="006A0E75" w:rsidP="006A0E75">
      <w:pPr>
        <w:pStyle w:val="H23G"/>
      </w:pPr>
      <w:r>
        <w:tab/>
      </w:r>
      <w:r>
        <w:tab/>
      </w:r>
      <w:r>
        <w:rPr>
          <w:bCs/>
        </w:rPr>
        <w:t>Лица, употребляющие наркотики</w:t>
      </w:r>
    </w:p>
    <w:p w:rsidR="006A0E75" w:rsidRPr="0029576C" w:rsidRDefault="006A0E75" w:rsidP="006A0E75">
      <w:pPr>
        <w:pStyle w:val="SingleTxtG"/>
      </w:pPr>
      <w:r>
        <w:t>46.</w:t>
      </w:r>
      <w:r>
        <w:tab/>
        <w:t>Комитет обеспокоен чрезвычайно широким распространением ВИЧ среди лиц, употребляющих наркотики путем инъекций, при том что общий уровень распространения ВИЧ в государстве-участнике является низким. Он также обеспокоен тем, что из боязни стигматизации и дискриминации лица, употребляющие наркотики путем инъекций, и лица, живущие с ВИЧ/СПИДом, не обращаются за жизненно важной медицинской помощью и лечением. Кроме того, Комитет с обеспокоенностью отмечает, что не были выделены ресурсы для восполнения пробела, образовавшегося в результате прекращения в 2017 году финансирования из Глобального фонда для борьбы со СПИДом, туберкулезом и малярией (пункт 2 статьи 2 и статья 12).</w:t>
      </w:r>
    </w:p>
    <w:p w:rsidR="006A0E75" w:rsidRPr="002E51EE" w:rsidRDefault="006A0E75" w:rsidP="006A0E75">
      <w:pPr>
        <w:pStyle w:val="SingleTxtG"/>
        <w:rPr>
          <w:b/>
          <w:bCs/>
        </w:rPr>
      </w:pPr>
      <w:r>
        <w:t>47.</w:t>
      </w:r>
      <w:r>
        <w:tab/>
      </w:r>
      <w:r w:rsidRPr="002E51EE">
        <w:rPr>
          <w:b/>
        </w:rPr>
        <w:t xml:space="preserve">Комитет рекомендует государству-участнику продолжать предпринимать усилия с целью обеспечения устойчивого финансирования мероприятий по профилактике ВИЧ и программ снижения вреда для лиц, употребляющих наркотики. </w:t>
      </w:r>
      <w:r w:rsidRPr="002E51EE">
        <w:rPr>
          <w:b/>
          <w:bCs/>
        </w:rPr>
        <w:t>Он также рекомендует государству-участнику повышать осведомленность медицинского персонала о ложных представлениях, стигматизации и дискриминации в отношении людей, живущих с ВИЧ, и лиц, употребляющих наркотики, и обеспечивать им надлежащее медицинское лечение, включая антиретровирусную терапию.</w:t>
      </w:r>
    </w:p>
    <w:p w:rsidR="006A0E75" w:rsidRPr="0029576C" w:rsidRDefault="006A0E75" w:rsidP="006A0E75">
      <w:pPr>
        <w:pStyle w:val="H23G"/>
      </w:pPr>
      <w:r>
        <w:tab/>
      </w:r>
      <w:r>
        <w:tab/>
      </w:r>
      <w:r>
        <w:rPr>
          <w:bCs/>
        </w:rPr>
        <w:t>Право на образование</w:t>
      </w:r>
    </w:p>
    <w:p w:rsidR="006A0E75" w:rsidRPr="0029576C" w:rsidRDefault="006A0E75" w:rsidP="006A0E75">
      <w:pPr>
        <w:pStyle w:val="SingleTxtG"/>
      </w:pPr>
      <w:r>
        <w:t>48.</w:t>
      </w:r>
      <w:r>
        <w:tab/>
        <w:t>Комитет обеспокоен снижением чистого показателя зачисления в дошкольные учреждения и начальные школы и резким ростом показателей отсева учащихся в государстве-участнике. Он с обеспокоенностью отмечает, что число детей и молодых людей рома, бросающих школу, в частности девочек рома, непропорционально велико. Комитет также обеспокоен тем, что, несмотря на существующий законодательный запрет сегрегации в школах, значительная часть детей рома фактически посещает сегрегированные школы, что является препятствием на пути их интеграции. Кроме того, Комитет обеспокоен низким уровнем зачисления в обычные школы детей-инвалидов (пункт 2 статьи 2 и статья 13).</w:t>
      </w:r>
    </w:p>
    <w:p w:rsidR="006A0E75" w:rsidRPr="002E51EE" w:rsidRDefault="006A0E75" w:rsidP="006A0E75">
      <w:pPr>
        <w:pStyle w:val="SingleTxtG"/>
        <w:rPr>
          <w:b/>
          <w:bCs/>
        </w:rPr>
      </w:pPr>
      <w:r>
        <w:t>49.</w:t>
      </w:r>
      <w:r>
        <w:tab/>
      </w:r>
      <w:r w:rsidRPr="002E51EE">
        <w:rPr>
          <w:b/>
        </w:rPr>
        <w:t xml:space="preserve">Комитет рекомендует государству-участнику: </w:t>
      </w:r>
    </w:p>
    <w:p w:rsidR="006A0E75" w:rsidRPr="002E51EE" w:rsidRDefault="006A0E75" w:rsidP="006A0E75">
      <w:pPr>
        <w:pStyle w:val="SingleTxtG"/>
        <w:ind w:firstLine="567"/>
        <w:rPr>
          <w:b/>
          <w:bCs/>
        </w:rPr>
      </w:pPr>
      <w:r w:rsidRPr="002E51EE">
        <w:rPr>
          <w:b/>
        </w:rPr>
        <w:tab/>
        <w:t>a)</w:t>
      </w:r>
      <w:r w:rsidRPr="002E51EE">
        <w:rPr>
          <w:b/>
        </w:rPr>
        <w:tab/>
        <w:t xml:space="preserve">устранить финансовые и материальные барьеры, существующие на пути зачисления детей в дошкольные учреждения и начальные школы, особенно в маргинализированных и находящихся в неблагоприятном положении общинах; </w:t>
      </w:r>
    </w:p>
    <w:p w:rsidR="006A0E75" w:rsidRPr="002E51EE" w:rsidRDefault="006A0E75" w:rsidP="006A0E75">
      <w:pPr>
        <w:pStyle w:val="SingleTxtG"/>
        <w:ind w:firstLine="567"/>
        <w:rPr>
          <w:b/>
          <w:bCs/>
        </w:rPr>
      </w:pPr>
      <w:r w:rsidRPr="002E51EE">
        <w:rPr>
          <w:b/>
        </w:rPr>
        <w:tab/>
        <w:t>b)</w:t>
      </w:r>
      <w:r w:rsidRPr="002E51EE">
        <w:rPr>
          <w:b/>
        </w:rPr>
        <w:tab/>
      </w:r>
      <w:r w:rsidRPr="002E51EE">
        <w:rPr>
          <w:b/>
          <w:bCs/>
        </w:rPr>
        <w:t>продолжать предпринимать в рамках Стратегии сокращения числа детей, бросающих школу в раннем возрасте, и соответствующего плана действий усилия с целью решению проблемы отсева учащихся из школ, в том числе путем расширения участия гражданского общества, родителей, посредников и членов общины рома в существующем межведомственном механизме;</w:t>
      </w:r>
    </w:p>
    <w:p w:rsidR="006A0E75" w:rsidRPr="002E51EE" w:rsidRDefault="006A0E75" w:rsidP="006A0E75">
      <w:pPr>
        <w:pStyle w:val="SingleTxtG"/>
        <w:ind w:firstLine="567"/>
        <w:rPr>
          <w:b/>
          <w:bCs/>
        </w:rPr>
      </w:pPr>
      <w:r w:rsidRPr="002E51EE">
        <w:rPr>
          <w:b/>
        </w:rPr>
        <w:tab/>
        <w:t>c)</w:t>
      </w:r>
      <w:r w:rsidRPr="002E51EE">
        <w:rPr>
          <w:b/>
        </w:rPr>
        <w:tab/>
        <w:t xml:space="preserve">обеспечить соблюдение законодательного запрета сегрегации в школах с целью содействия интеграции детей рома в общество; в частности, решить проблему фактической сегрегации в школах путем поощрения зачисления детей рома в смешанные школы и повышения уровня осведомленности родителей, принадлежащих к различным этническим группам, о преимуществах этнического разнообразия; </w:t>
      </w:r>
    </w:p>
    <w:p w:rsidR="006A0E75" w:rsidRPr="002E51EE" w:rsidRDefault="006A0E75" w:rsidP="006A0E75">
      <w:pPr>
        <w:pStyle w:val="SingleTxtG"/>
        <w:ind w:firstLine="567"/>
        <w:rPr>
          <w:b/>
          <w:bCs/>
        </w:rPr>
      </w:pPr>
      <w:r w:rsidRPr="002E51EE">
        <w:rPr>
          <w:b/>
        </w:rPr>
        <w:tab/>
        <w:t>d)</w:t>
      </w:r>
      <w:r w:rsidRPr="002E51EE">
        <w:rPr>
          <w:b/>
        </w:rPr>
        <w:tab/>
      </w:r>
      <w:r w:rsidRPr="002E51EE">
        <w:rPr>
          <w:b/>
          <w:bCs/>
        </w:rPr>
        <w:t>облегчить детям-инвалидам доступ к инклюзивному образованию, в том числе путем улучшения физической доступности школ, предоставления надлежащих транспортных средств, оснащения школ адаптированными учебными материалами и обеспечения надлежащей подготовки учителей и педагогов.</w:t>
      </w:r>
    </w:p>
    <w:p w:rsidR="006A0E75" w:rsidRPr="0029576C" w:rsidRDefault="006A0E75" w:rsidP="006A0E75">
      <w:pPr>
        <w:pStyle w:val="H23G"/>
      </w:pPr>
      <w:r>
        <w:tab/>
      </w:r>
      <w:r>
        <w:tab/>
      </w:r>
      <w:r>
        <w:rPr>
          <w:bCs/>
        </w:rPr>
        <w:t>Культурные права меньшинств</w:t>
      </w:r>
    </w:p>
    <w:p w:rsidR="006A0E75" w:rsidRPr="0029576C" w:rsidRDefault="006A0E75" w:rsidP="006A0E75">
      <w:pPr>
        <w:pStyle w:val="SingleTxtG"/>
      </w:pPr>
      <w:r>
        <w:t>50.</w:t>
      </w:r>
      <w:r>
        <w:tab/>
        <w:t>Хотя Конституция государства-участника признает право каждого человека развивать свою собственную культуру в соответствии с этнической самоидентификацией, Комитет обеспокоен действиями властей, направленными на то, чтобы помешать лицам, принадлежащим к меньшинствам, свободно идентифицировать себя с конкретной группой меньшинств, и применением властями нечетких критериев для предоставления доступа к правам меньшинств (статья 15).</w:t>
      </w:r>
    </w:p>
    <w:p w:rsidR="006A0E75" w:rsidRPr="0074514B" w:rsidRDefault="006A0E75" w:rsidP="0074514B">
      <w:pPr>
        <w:pStyle w:val="SingleTxtG"/>
        <w:keepNext/>
        <w:rPr>
          <w:b/>
          <w:bCs/>
        </w:rPr>
      </w:pPr>
      <w:r w:rsidRPr="007428CD">
        <w:t>51.</w:t>
      </w:r>
      <w:r w:rsidRPr="007428CD">
        <w:tab/>
      </w:r>
      <w:r w:rsidRPr="0074514B">
        <w:rPr>
          <w:b/>
          <w:bCs/>
        </w:rPr>
        <w:t>Комитет рекомендует государству-участнику на практике обеспечить, чтобы:</w:t>
      </w:r>
    </w:p>
    <w:p w:rsidR="006A0E75" w:rsidRPr="0074514B" w:rsidRDefault="006A0E75" w:rsidP="0074514B">
      <w:pPr>
        <w:pStyle w:val="SingleTxtG"/>
        <w:keepNext/>
        <w:ind w:firstLine="567"/>
        <w:rPr>
          <w:b/>
          <w:bCs/>
        </w:rPr>
      </w:pPr>
      <w:r w:rsidRPr="0074514B">
        <w:rPr>
          <w:b/>
        </w:rPr>
        <w:tab/>
        <w:t>a)</w:t>
      </w:r>
      <w:r w:rsidRPr="0074514B">
        <w:rPr>
          <w:b/>
        </w:rPr>
        <w:tab/>
        <w:t xml:space="preserve">действия властей не были направлены на то, чтобы мешать лицам, принадлежащим к меньшинствам, свободно идентифицировать себя с конкретной группой меньшинств; </w:t>
      </w:r>
    </w:p>
    <w:p w:rsidR="006A0E75" w:rsidRPr="0074514B" w:rsidRDefault="006A0E75" w:rsidP="006A0E75">
      <w:pPr>
        <w:pStyle w:val="SingleTxtG"/>
        <w:ind w:firstLine="567"/>
        <w:rPr>
          <w:b/>
          <w:bCs/>
        </w:rPr>
      </w:pPr>
      <w:r w:rsidRPr="0074514B">
        <w:rPr>
          <w:b/>
        </w:rPr>
        <w:tab/>
        <w:t>b)</w:t>
      </w:r>
      <w:r w:rsidRPr="0074514B">
        <w:rPr>
          <w:b/>
        </w:rPr>
        <w:tab/>
      </w:r>
      <w:r w:rsidRPr="0074514B">
        <w:rPr>
          <w:b/>
          <w:bCs/>
        </w:rPr>
        <w:t>критерии, применяемые для предоставления доступа к правам меньшинств, не истолковывались и не определялись таким образом, чтобы произвольно ограничивать возможность получения членами этих общин доступа к закрепленным в Пакте правам, в частности к праву на образование;</w:t>
      </w:r>
    </w:p>
    <w:p w:rsidR="006A0E75" w:rsidRPr="0074514B" w:rsidRDefault="006A0E75" w:rsidP="006A0E75">
      <w:pPr>
        <w:pStyle w:val="SingleTxtG"/>
        <w:ind w:firstLine="567"/>
        <w:rPr>
          <w:b/>
          <w:bCs/>
        </w:rPr>
      </w:pPr>
      <w:r w:rsidRPr="0074514B">
        <w:rPr>
          <w:b/>
        </w:rPr>
        <w:tab/>
        <w:t>c)</w:t>
      </w:r>
      <w:r w:rsidRPr="0074514B">
        <w:rPr>
          <w:b/>
        </w:rPr>
        <w:tab/>
      </w:r>
      <w:r w:rsidRPr="0074514B">
        <w:rPr>
          <w:b/>
          <w:bCs/>
        </w:rPr>
        <w:t>осуществление прав меньшинств не являлось причиной проведения между общинами произвольных или необоснованных различий в том, что касается пользования закрепленными в Пакте правами.</w:t>
      </w:r>
    </w:p>
    <w:p w:rsidR="006A0E75" w:rsidRPr="0029576C" w:rsidRDefault="00527C3B" w:rsidP="006A0E75">
      <w:pPr>
        <w:pStyle w:val="H1G"/>
      </w:pPr>
      <w:r>
        <w:tab/>
      </w:r>
      <w:r w:rsidR="006A0E75">
        <w:t>D.</w:t>
      </w:r>
      <w:r w:rsidR="006A0E75">
        <w:tab/>
      </w:r>
      <w:r w:rsidR="006A0E75">
        <w:rPr>
          <w:bCs/>
        </w:rPr>
        <w:t>Прочие рекомендации</w:t>
      </w:r>
    </w:p>
    <w:p w:rsidR="006A0E75" w:rsidRPr="0074514B" w:rsidRDefault="006A0E75" w:rsidP="006A0E75">
      <w:pPr>
        <w:pStyle w:val="SingleTxtG"/>
        <w:rPr>
          <w:b/>
          <w:bCs/>
        </w:rPr>
      </w:pPr>
      <w:r>
        <w:t>52.</w:t>
      </w:r>
      <w:r>
        <w:tab/>
      </w:r>
      <w:r w:rsidRPr="0074514B">
        <w:rPr>
          <w:b/>
        </w:rPr>
        <w:t xml:space="preserve">Комитет призывает государство-участник рассмотреть возможность подписания и ратификации Факультативного протокола к Международному пакту об экономических, социальных и культурных правах. </w:t>
      </w:r>
      <w:r w:rsidRPr="0074514B">
        <w:rPr>
          <w:b/>
          <w:bCs/>
        </w:rPr>
        <w:t>Комитет также призывает государство-участник рассмотреть возможность ратификации Международной конвенции для защиты всех лиц от насильственных исчезновений и Международной конвенции о защите прав всех трудящихся-мигрантов и членов их семей.</w:t>
      </w:r>
    </w:p>
    <w:p w:rsidR="006A0E75" w:rsidRPr="0074514B" w:rsidRDefault="006A0E75" w:rsidP="006A0E75">
      <w:pPr>
        <w:pStyle w:val="SingleTxtG"/>
        <w:rPr>
          <w:b/>
          <w:bCs/>
        </w:rPr>
      </w:pPr>
      <w:r>
        <w:t>53.</w:t>
      </w:r>
      <w:r>
        <w:tab/>
      </w:r>
      <w:r w:rsidRPr="0074514B">
        <w:rPr>
          <w:b/>
        </w:rPr>
        <w:t xml:space="preserve">Комитет рекомендует государству-участнику полностью учитывать свои обязательства, вытекающие из Пакта, и обеспечить полное осуществление провозглашенных в нем прав в рамках реализации на национальном уровне Повестки дня в области устойчивого развития на период до 2030 года, опираясь, в случае необходимости, на помощь и сотрудничество со стороны международного сообщества. Государство-участник могло бы действенным образом содействовать выполнению Целей в области устойчивого развития посредством создания независимых механизмов контроля за ходом их реализации и рассмотрения бенефициаров государственных программ в качестве обладателей прав, подлежащих осуществлению. </w:t>
      </w:r>
      <w:r w:rsidRPr="0074514B">
        <w:rPr>
          <w:b/>
          <w:bCs/>
        </w:rPr>
        <w:t>Достижение этих Целей на основе принципов участия, подотчетности и недискриминации будет гарантировать, что никто не останется без внимания.</w:t>
      </w:r>
    </w:p>
    <w:p w:rsidR="006A0E75" w:rsidRPr="0074514B" w:rsidRDefault="006A0E75" w:rsidP="006A0E75">
      <w:pPr>
        <w:pStyle w:val="SingleTxtG"/>
        <w:rPr>
          <w:b/>
        </w:rPr>
      </w:pPr>
      <w:r>
        <w:t>54.</w:t>
      </w:r>
      <w:r>
        <w:tab/>
      </w:r>
      <w:r w:rsidRPr="0074514B">
        <w:rPr>
          <w:b/>
        </w:rPr>
        <w:t>Комитет рекомендует государству-участнику принять меры в целях поэтапной разработки и применения соответствующих показателей осуществления экономических, социальных и культурных прав для облегчения оценки прогресса, достигнутого государством-участником в деле выполнения его обязательств по Пакту применительно к различным слоям населения. В этой связи Комитет обращает внимание государства-участника, в частности, на концептуальные и методологические рамки для показателей в области прав человека, разработанные Управлением Верховного комиссара Организации Объединенных Наций по правам человека (см. HRI/MC/2008/3).</w:t>
      </w:r>
    </w:p>
    <w:p w:rsidR="006A0E75" w:rsidRPr="0074514B" w:rsidRDefault="006A0E75" w:rsidP="006A0E75">
      <w:pPr>
        <w:pStyle w:val="SingleTxtG"/>
        <w:rPr>
          <w:b/>
        </w:rPr>
      </w:pPr>
      <w:r>
        <w:t>55.</w:t>
      </w:r>
      <w:r>
        <w:tab/>
      </w:r>
      <w:r w:rsidRPr="0074514B">
        <w:rPr>
          <w:b/>
        </w:rPr>
        <w:t>Комитет просит государство-участник широко распространить настоящие заключительные замечания среди всех слоев общества, в том числе на национальном, областном и муниципальном уровнях, в частности среди парламентариев, государственных должностных лиц и судебных органов, и в своем следующем периодическом докладе проинформировать Комитет о мерах, принятых с целью их осуществления. Комитет призывает государство-участник привлечь Национального уполномоченного по правам человека, Национальную комиссию по защите от дискриминации, неправительственные организации и других членов гражданского общества к работе по осуществлению настоящих заключительных замечаний, а также к процессу консультаций, которые будут проводиться на национальном уровне перед представлением его следующего периодического доклада.</w:t>
      </w:r>
    </w:p>
    <w:p w:rsidR="006A0E75" w:rsidRPr="0074514B" w:rsidRDefault="006A0E75" w:rsidP="006A0E75">
      <w:pPr>
        <w:pStyle w:val="SingleTxtG"/>
        <w:rPr>
          <w:b/>
        </w:rPr>
      </w:pPr>
      <w:r>
        <w:t>56.</w:t>
      </w:r>
      <w:r>
        <w:tab/>
      </w:r>
      <w:r w:rsidRPr="0074514B">
        <w:rPr>
          <w:b/>
        </w:rPr>
        <w:t xml:space="preserve">В соответствии с процедурой последующей деятельности по выполнению принятых Комитетом заключительных замечаний, государству-участнику предлагается представить в течение 24 месяцев с момента принятия настоящих заключительных замечаний информацию об осуществлении рекомендаций, содержащихся в пунктах 36 (принудительные выселения), 45 (правоспособность инвалидов) и 49 c) (фактическая сегрегация в школах) выше. </w:t>
      </w:r>
    </w:p>
    <w:p w:rsidR="006A0E75" w:rsidRPr="0074514B" w:rsidRDefault="006A0E75" w:rsidP="006A0E75">
      <w:pPr>
        <w:pStyle w:val="SingleTxtG"/>
        <w:rPr>
          <w:b/>
        </w:rPr>
      </w:pPr>
      <w:r>
        <w:t>57.</w:t>
      </w:r>
      <w:r>
        <w:tab/>
      </w:r>
      <w:r w:rsidRPr="0074514B">
        <w:rPr>
          <w:b/>
        </w:rPr>
        <w:t>Государству-участнику предлагается представить свой седьмой периодический доклад к 31 марта 2024 года. С этой целью и с учетом того, что государство-участник согласилось представлять Комитету доклады в соответствии с упрощенной процедурой представления докладов, Комитет в установленном порядке направит государству-участнику перечень вопросов, предваряющий представление доклада. Ответы государства-участника на этот перечень вопросов и будут представлять собой его седьмой периодический по статье 16 Пакта. Кроме того, Комитет предлагает государству-участнику при необходимости обновить свой общий базовый документ в соответствии с согласованными руководящими принципами представления докладов согласно международным договорам о правах человека (см. HRI/GEN/2/Rev.6, глава I).</w:t>
      </w:r>
    </w:p>
    <w:p w:rsidR="0003472F" w:rsidRDefault="006A0E75" w:rsidP="006A0E7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6A0E75" w:rsidRDefault="00381C24" w:rsidP="006A0E75">
      <w:pPr>
        <w:jc w:val="center"/>
        <w:rPr>
          <w:u w:val="single"/>
        </w:rPr>
      </w:pPr>
    </w:p>
    <w:sectPr w:rsidR="00381C24" w:rsidRPr="006A0E75" w:rsidSect="005A0ED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0D" w:rsidRPr="00A312BC" w:rsidRDefault="00EE7A0D" w:rsidP="00A312BC"/>
  </w:endnote>
  <w:endnote w:type="continuationSeparator" w:id="0">
    <w:p w:rsidR="00EE7A0D" w:rsidRPr="00A312BC" w:rsidRDefault="00EE7A0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DE" w:rsidRPr="005A0EDE" w:rsidRDefault="005A0EDE">
    <w:pPr>
      <w:pStyle w:val="aa"/>
    </w:pPr>
    <w:r w:rsidRPr="005A0EDE">
      <w:rPr>
        <w:b/>
        <w:sz w:val="18"/>
      </w:rPr>
      <w:fldChar w:fldCharType="begin"/>
    </w:r>
    <w:r w:rsidRPr="005A0EDE">
      <w:rPr>
        <w:b/>
        <w:sz w:val="18"/>
      </w:rPr>
      <w:instrText xml:space="preserve"> PAGE  \* MERGEFORMAT </w:instrText>
    </w:r>
    <w:r w:rsidRPr="005A0EDE">
      <w:rPr>
        <w:b/>
        <w:sz w:val="18"/>
      </w:rPr>
      <w:fldChar w:fldCharType="separate"/>
    </w:r>
    <w:r w:rsidR="00751507">
      <w:rPr>
        <w:b/>
        <w:noProof/>
        <w:sz w:val="18"/>
      </w:rPr>
      <w:t>10</w:t>
    </w:r>
    <w:r w:rsidRPr="005A0EDE">
      <w:rPr>
        <w:b/>
        <w:sz w:val="18"/>
      </w:rPr>
      <w:fldChar w:fldCharType="end"/>
    </w:r>
    <w:r>
      <w:rPr>
        <w:b/>
        <w:sz w:val="18"/>
      </w:rPr>
      <w:tab/>
    </w:r>
    <w:r>
      <w:t>GE.19-05257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DE" w:rsidRPr="005A0EDE" w:rsidRDefault="005A0EDE" w:rsidP="005A0EDE">
    <w:pPr>
      <w:pStyle w:val="aa"/>
      <w:tabs>
        <w:tab w:val="clear" w:pos="9639"/>
        <w:tab w:val="right" w:pos="9638"/>
      </w:tabs>
      <w:rPr>
        <w:b/>
        <w:sz w:val="18"/>
      </w:rPr>
    </w:pPr>
    <w:r>
      <w:t>GE.19-05257</w:t>
    </w:r>
    <w:r>
      <w:tab/>
    </w:r>
    <w:r w:rsidRPr="005A0EDE">
      <w:rPr>
        <w:b/>
        <w:sz w:val="18"/>
      </w:rPr>
      <w:fldChar w:fldCharType="begin"/>
    </w:r>
    <w:r w:rsidRPr="005A0EDE">
      <w:rPr>
        <w:b/>
        <w:sz w:val="18"/>
      </w:rPr>
      <w:instrText xml:space="preserve"> PAGE  \* MERGEFORMAT </w:instrText>
    </w:r>
    <w:r w:rsidRPr="005A0EDE">
      <w:rPr>
        <w:b/>
        <w:sz w:val="18"/>
      </w:rPr>
      <w:fldChar w:fldCharType="separate"/>
    </w:r>
    <w:r w:rsidR="00751507">
      <w:rPr>
        <w:b/>
        <w:noProof/>
        <w:sz w:val="18"/>
      </w:rPr>
      <w:t>11</w:t>
    </w:r>
    <w:r w:rsidRPr="005A0ED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A0EDE" w:rsidRDefault="005A0EDE" w:rsidP="005A0EDE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05257  (</w:t>
    </w:r>
    <w:proofErr w:type="gramEnd"/>
    <w:r>
      <w:t>R)</w:t>
    </w:r>
    <w:r>
      <w:rPr>
        <w:lang w:val="en-US"/>
      </w:rPr>
      <w:t xml:space="preserve">  030419 </w:t>
    </w:r>
    <w:r w:rsidR="00426897">
      <w:rPr>
        <w:lang w:val="en-US"/>
      </w:rPr>
      <w:t xml:space="preserve"> </w:t>
    </w:r>
    <w:r>
      <w:rPr>
        <w:lang w:val="en-US"/>
      </w:rPr>
      <w:t>030419</w:t>
    </w:r>
    <w:r>
      <w:br/>
    </w:r>
    <w:r w:rsidRPr="005A0EDE">
      <w:rPr>
        <w:rFonts w:ascii="C39T30Lfz" w:hAnsi="C39T30Lfz"/>
        <w:kern w:val="14"/>
        <w:sz w:val="56"/>
      </w:rPr>
      <w:t></w:t>
    </w:r>
    <w:r w:rsidRPr="005A0EDE">
      <w:rPr>
        <w:rFonts w:ascii="C39T30Lfz" w:hAnsi="C39T30Lfz"/>
        <w:kern w:val="14"/>
        <w:sz w:val="56"/>
      </w:rPr>
      <w:t></w:t>
    </w:r>
    <w:r w:rsidRPr="005A0EDE">
      <w:rPr>
        <w:rFonts w:ascii="C39T30Lfz" w:hAnsi="C39T30Lfz"/>
        <w:kern w:val="14"/>
        <w:sz w:val="56"/>
      </w:rPr>
      <w:t></w:t>
    </w:r>
    <w:r w:rsidRPr="005A0EDE">
      <w:rPr>
        <w:rFonts w:ascii="C39T30Lfz" w:hAnsi="C39T30Lfz"/>
        <w:kern w:val="14"/>
        <w:sz w:val="56"/>
      </w:rPr>
      <w:t></w:t>
    </w:r>
    <w:r w:rsidRPr="005A0EDE">
      <w:rPr>
        <w:rFonts w:ascii="C39T30Lfz" w:hAnsi="C39T30Lfz"/>
        <w:kern w:val="14"/>
        <w:sz w:val="56"/>
      </w:rPr>
      <w:t></w:t>
    </w:r>
    <w:r w:rsidRPr="005A0EDE">
      <w:rPr>
        <w:rFonts w:ascii="C39T30Lfz" w:hAnsi="C39T30Lfz"/>
        <w:kern w:val="14"/>
        <w:sz w:val="56"/>
      </w:rPr>
      <w:t></w:t>
    </w:r>
    <w:r w:rsidRPr="005A0EDE">
      <w:rPr>
        <w:rFonts w:ascii="C39T30Lfz" w:hAnsi="C39T30Lfz"/>
        <w:kern w:val="14"/>
        <w:sz w:val="56"/>
      </w:rPr>
      <w:t></w:t>
    </w:r>
    <w:r w:rsidRPr="005A0EDE">
      <w:rPr>
        <w:rFonts w:ascii="C39T30Lfz" w:hAnsi="C39T30Lfz"/>
        <w:kern w:val="14"/>
        <w:sz w:val="56"/>
      </w:rPr>
      <w:t></w:t>
    </w:r>
    <w:r w:rsidRPr="005A0EDE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/C.12/BGR/CO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BGR/CO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0D" w:rsidRPr="001075E9" w:rsidRDefault="00EE7A0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E7A0D" w:rsidRDefault="00EE7A0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A0E75" w:rsidRPr="0029576C" w:rsidRDefault="006A0E75" w:rsidP="0003472F">
      <w:pPr>
        <w:pStyle w:val="af"/>
      </w:pPr>
      <w:r>
        <w:tab/>
      </w:r>
      <w:r w:rsidRPr="0003472F">
        <w:rPr>
          <w:rStyle w:val="a8"/>
          <w:sz w:val="20"/>
          <w:vertAlign w:val="baseline"/>
          <w:lang w:eastAsia="en-US"/>
        </w:rPr>
        <w:t>*</w:t>
      </w:r>
      <w:r>
        <w:tab/>
        <w:t>Приняты Комитетом на его шестьдесят пятой сессии (18 февраля – 8 марта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DE" w:rsidRPr="005A0EDE" w:rsidRDefault="0075150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E/C.12/BGR/CO/6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DE" w:rsidRPr="005A0EDE" w:rsidRDefault="00751507" w:rsidP="005A0ED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E/C.12/BGR/CO/6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0D"/>
    <w:rsid w:val="00033EE1"/>
    <w:rsid w:val="0003472F"/>
    <w:rsid w:val="00042B72"/>
    <w:rsid w:val="00043B08"/>
    <w:rsid w:val="000558BD"/>
    <w:rsid w:val="000857D2"/>
    <w:rsid w:val="000B57E7"/>
    <w:rsid w:val="000B6373"/>
    <w:rsid w:val="000F09DF"/>
    <w:rsid w:val="000F61B2"/>
    <w:rsid w:val="000F70A0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B6405"/>
    <w:rsid w:val="001C7A89"/>
    <w:rsid w:val="001D5C5A"/>
    <w:rsid w:val="001F376A"/>
    <w:rsid w:val="00203065"/>
    <w:rsid w:val="00270B3D"/>
    <w:rsid w:val="002979E2"/>
    <w:rsid w:val="002A2EFC"/>
    <w:rsid w:val="002B74B1"/>
    <w:rsid w:val="002C0018"/>
    <w:rsid w:val="002C0E18"/>
    <w:rsid w:val="002D5AAC"/>
    <w:rsid w:val="002E5067"/>
    <w:rsid w:val="002E51EE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65806"/>
    <w:rsid w:val="00381C24"/>
    <w:rsid w:val="003958D0"/>
    <w:rsid w:val="003A0D43"/>
    <w:rsid w:val="003A4E39"/>
    <w:rsid w:val="003B00E5"/>
    <w:rsid w:val="00407B78"/>
    <w:rsid w:val="00424203"/>
    <w:rsid w:val="0042551A"/>
    <w:rsid w:val="00426897"/>
    <w:rsid w:val="00452493"/>
    <w:rsid w:val="00453318"/>
    <w:rsid w:val="00454E07"/>
    <w:rsid w:val="00470106"/>
    <w:rsid w:val="00472C5C"/>
    <w:rsid w:val="004E0100"/>
    <w:rsid w:val="0050108D"/>
    <w:rsid w:val="00513081"/>
    <w:rsid w:val="00517901"/>
    <w:rsid w:val="00524CF5"/>
    <w:rsid w:val="00526683"/>
    <w:rsid w:val="00527C3B"/>
    <w:rsid w:val="005709E0"/>
    <w:rsid w:val="00572E19"/>
    <w:rsid w:val="005961C8"/>
    <w:rsid w:val="005966F1"/>
    <w:rsid w:val="005A0EDE"/>
    <w:rsid w:val="005B2F86"/>
    <w:rsid w:val="005D0A06"/>
    <w:rsid w:val="005D7914"/>
    <w:rsid w:val="005E2B41"/>
    <w:rsid w:val="005F0B42"/>
    <w:rsid w:val="005F1707"/>
    <w:rsid w:val="00640F49"/>
    <w:rsid w:val="00681A10"/>
    <w:rsid w:val="006A0E75"/>
    <w:rsid w:val="006A16E3"/>
    <w:rsid w:val="006A1ED8"/>
    <w:rsid w:val="006C2031"/>
    <w:rsid w:val="006D461A"/>
    <w:rsid w:val="006F35EE"/>
    <w:rsid w:val="007021FF"/>
    <w:rsid w:val="00712895"/>
    <w:rsid w:val="00734ACB"/>
    <w:rsid w:val="007371D2"/>
    <w:rsid w:val="007428CD"/>
    <w:rsid w:val="0074514B"/>
    <w:rsid w:val="00751507"/>
    <w:rsid w:val="00757357"/>
    <w:rsid w:val="00792497"/>
    <w:rsid w:val="007936D0"/>
    <w:rsid w:val="00806737"/>
    <w:rsid w:val="00811570"/>
    <w:rsid w:val="008142F1"/>
    <w:rsid w:val="00825F8D"/>
    <w:rsid w:val="00834B71"/>
    <w:rsid w:val="00850D33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44A42"/>
    <w:rsid w:val="00A84021"/>
    <w:rsid w:val="00A84D35"/>
    <w:rsid w:val="00A917B3"/>
    <w:rsid w:val="00AB2DBD"/>
    <w:rsid w:val="00AB4B51"/>
    <w:rsid w:val="00AC3430"/>
    <w:rsid w:val="00B10CC7"/>
    <w:rsid w:val="00B36DF7"/>
    <w:rsid w:val="00B539E7"/>
    <w:rsid w:val="00B62458"/>
    <w:rsid w:val="00BB3E85"/>
    <w:rsid w:val="00BB7A72"/>
    <w:rsid w:val="00BC18B2"/>
    <w:rsid w:val="00BD33EE"/>
    <w:rsid w:val="00BF21E1"/>
    <w:rsid w:val="00C03E84"/>
    <w:rsid w:val="00C106D6"/>
    <w:rsid w:val="00C13839"/>
    <w:rsid w:val="00C14919"/>
    <w:rsid w:val="00C60F0C"/>
    <w:rsid w:val="00C805C9"/>
    <w:rsid w:val="00C916FE"/>
    <w:rsid w:val="00C92939"/>
    <w:rsid w:val="00CA1679"/>
    <w:rsid w:val="00CB151C"/>
    <w:rsid w:val="00CE5A1A"/>
    <w:rsid w:val="00CF55F6"/>
    <w:rsid w:val="00D01718"/>
    <w:rsid w:val="00D032D2"/>
    <w:rsid w:val="00D33D63"/>
    <w:rsid w:val="00D34308"/>
    <w:rsid w:val="00D5253A"/>
    <w:rsid w:val="00D62A45"/>
    <w:rsid w:val="00D63B92"/>
    <w:rsid w:val="00D82E00"/>
    <w:rsid w:val="00D90028"/>
    <w:rsid w:val="00D90138"/>
    <w:rsid w:val="00DB3FF5"/>
    <w:rsid w:val="00DC3472"/>
    <w:rsid w:val="00DD44B1"/>
    <w:rsid w:val="00DD78D1"/>
    <w:rsid w:val="00DE32CD"/>
    <w:rsid w:val="00DF71B9"/>
    <w:rsid w:val="00E53BC4"/>
    <w:rsid w:val="00E738A2"/>
    <w:rsid w:val="00E73F76"/>
    <w:rsid w:val="00E90403"/>
    <w:rsid w:val="00EA2C9F"/>
    <w:rsid w:val="00EA420E"/>
    <w:rsid w:val="00EB09E5"/>
    <w:rsid w:val="00EC2D9A"/>
    <w:rsid w:val="00ED0BDA"/>
    <w:rsid w:val="00EE142A"/>
    <w:rsid w:val="00EE7A0D"/>
    <w:rsid w:val="00EF1360"/>
    <w:rsid w:val="00EF3220"/>
    <w:rsid w:val="00F357BB"/>
    <w:rsid w:val="00F43903"/>
    <w:rsid w:val="00F94155"/>
    <w:rsid w:val="00F9783F"/>
    <w:rsid w:val="00FB4FF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C15EC8"/>
  <w15:docId w15:val="{5031DE98-9B17-4649-9D1C-549046F8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,callout,Footnote Refernece,Footnote Reference Number,Fußnotenzeichen_Raxen,BVI fnr,Fago Fußnotenzeichen,Appel note de bas de p.,ftref,referencia nota al pie,4_Footnote text,Footnote text,Footnotes refss,Texto de nota al pie,f"/>
    <w:basedOn w:val="a0"/>
    <w:link w:val="BVIfnrCarCar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,KN Footnote Text - Country Study,FOOTNOTES,fn,single space,Fodnotetekst Tegn,footnote text Char,Fodnotetekst Tegn Char,single space Char,footnote text Char Char Char,Fodnotetekst Tegn Char1,single space Char1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,KN Footnote Text - Country Study Знак,FOOTNOTES Знак,fn Знак,single space Знак,Fodnotetekst Tegn Знак,footnote text Char Знак,Fodnotetekst Tegn Char Знак,single space Char Знак,footnote text Char Char Char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SingleTxtGChar">
    <w:name w:val="_ Single Txt_G Char"/>
    <w:link w:val="SingleTxtG"/>
    <w:locked/>
    <w:rsid w:val="006A0E75"/>
    <w:rPr>
      <w:lang w:val="ru-RU" w:eastAsia="en-US"/>
    </w:rPr>
  </w:style>
  <w:style w:type="paragraph" w:customStyle="1" w:styleId="BVIfnrCarCar">
    <w:name w:val="BVI fnr Car Car"/>
    <w:aliases w:val="BVI fnr Car, BVI fnr Car Car Car Car"/>
    <w:basedOn w:val="a"/>
    <w:link w:val="a8"/>
    <w:rsid w:val="006A0E75"/>
    <w:pPr>
      <w:suppressAutoHyphens w:val="0"/>
      <w:spacing w:before="120" w:after="160" w:line="240" w:lineRule="exact"/>
      <w:jc w:val="both"/>
    </w:pPr>
    <w:rPr>
      <w:rFonts w:eastAsia="Times New Roman" w:cs="Times New Roman"/>
      <w:sz w:val="18"/>
      <w:szCs w:val="20"/>
      <w:vertAlign w:val="superscript"/>
      <w:lang w:val="es-ES" w:eastAsia="es-ES"/>
    </w:rPr>
  </w:style>
  <w:style w:type="character" w:customStyle="1" w:styleId="H1GChar">
    <w:name w:val="_ H_1_G Char"/>
    <w:link w:val="H1G"/>
    <w:locked/>
    <w:rsid w:val="006A0E75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CB2DF-00A1-415F-96D9-6E929D5B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11</Pages>
  <Words>4112</Words>
  <Characters>29408</Characters>
  <Application>Microsoft Office Word</Application>
  <DocSecurity>0</DocSecurity>
  <Lines>534</Lines>
  <Paragraphs>131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E/C.12/BGR/CO/6</vt:lpstr>
      <vt:lpstr>A/</vt:lpstr>
      <vt:lpstr>A/</vt:lpstr>
    </vt:vector>
  </TitlesOfParts>
  <Company>DCM</Company>
  <LinksUpToDate>false</LinksUpToDate>
  <CharactersWithSpaces>33389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E/C.12/BGR/CO/6</dc:title>
  <dc:subject/>
  <dc:creator>Nina STEPANOVA</dc:creator>
  <cp:keywords/>
  <cp:lastModifiedBy>Tatiana Chvets</cp:lastModifiedBy>
  <cp:revision>3</cp:revision>
  <cp:lastPrinted>2019-04-04T08:22:00Z</cp:lastPrinted>
  <dcterms:created xsi:type="dcterms:W3CDTF">2019-04-04T08:22:00Z</dcterms:created>
  <dcterms:modified xsi:type="dcterms:W3CDTF">2019-04-04T08:23:00Z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