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C37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C3740" w:rsidP="001C3740">
            <w:pPr>
              <w:jc w:val="right"/>
            </w:pPr>
            <w:r w:rsidRPr="001C3740">
              <w:rPr>
                <w:sz w:val="40"/>
              </w:rPr>
              <w:t>E</w:t>
            </w:r>
            <w:r>
              <w:t>/C.12/BGD/CO/1</w:t>
            </w:r>
          </w:p>
        </w:tc>
      </w:tr>
      <w:tr w:rsidR="002D5AAC" w:rsidRPr="007711F9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C3740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C3740" w:rsidRDefault="001C3740" w:rsidP="001C37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April 2018</w:t>
            </w:r>
          </w:p>
          <w:p w:rsidR="001C3740" w:rsidRDefault="001C3740" w:rsidP="001C37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C3740" w:rsidRPr="00D62A45" w:rsidRDefault="001C3740" w:rsidP="001C374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C3740" w:rsidRPr="001C3740" w:rsidRDefault="001C3740" w:rsidP="002F3BDD">
      <w:pPr>
        <w:spacing w:before="120"/>
        <w:rPr>
          <w:b/>
          <w:sz w:val="24"/>
          <w:szCs w:val="24"/>
        </w:rPr>
      </w:pPr>
      <w:r w:rsidRPr="001C3740">
        <w:rPr>
          <w:b/>
          <w:sz w:val="24"/>
          <w:szCs w:val="24"/>
        </w:rPr>
        <w:t>Комитет по эко</w:t>
      </w:r>
      <w:bookmarkStart w:id="0" w:name="_GoBack"/>
      <w:bookmarkEnd w:id="0"/>
      <w:r w:rsidRPr="001C3740">
        <w:rPr>
          <w:b/>
          <w:sz w:val="24"/>
          <w:szCs w:val="24"/>
        </w:rPr>
        <w:t xml:space="preserve">номическим, </w:t>
      </w:r>
      <w:r>
        <w:rPr>
          <w:b/>
          <w:sz w:val="24"/>
          <w:szCs w:val="24"/>
        </w:rPr>
        <w:br/>
      </w:r>
      <w:r w:rsidRPr="001C3740">
        <w:rPr>
          <w:b/>
          <w:sz w:val="24"/>
          <w:szCs w:val="24"/>
        </w:rPr>
        <w:t>социальным и культурным правам</w:t>
      </w:r>
    </w:p>
    <w:p w:rsidR="001C3740" w:rsidRPr="001C3740" w:rsidRDefault="001C3740" w:rsidP="001C3740">
      <w:pPr>
        <w:pStyle w:val="HChGR"/>
      </w:pPr>
      <w:r>
        <w:tab/>
      </w:r>
      <w:r>
        <w:tab/>
      </w:r>
      <w:r w:rsidRPr="001C3740">
        <w:t>Заключительные замечания по первоначальному докладу Бангладеш</w:t>
      </w:r>
      <w:r w:rsidRPr="001C3740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:rsidR="001C3740" w:rsidRPr="001C3740" w:rsidRDefault="001C3740" w:rsidP="001C3740">
      <w:pPr>
        <w:pStyle w:val="SingleTxtGR"/>
      </w:pPr>
      <w:r w:rsidRPr="001C3740">
        <w:t>1.</w:t>
      </w:r>
      <w:r w:rsidRPr="001C3740">
        <w:tab/>
        <w:t>Комитет рассмотрел первоначальный доклад Бангладеш (E/C.12/BGD/1) на своих 7-м, 8-м и 9-м заседаниях (см. E/C.12/2018/SR.</w:t>
      </w:r>
      <w:r>
        <w:t>7, 8 и 9), состоявшихся 15 и 16 </w:t>
      </w:r>
      <w:r w:rsidRPr="001C3740">
        <w:t xml:space="preserve">марта 2018 года, и принял настоящие заключительные замечания на своем </w:t>
      </w:r>
      <w:r>
        <w:br/>
      </w:r>
      <w:r w:rsidRPr="001C3740">
        <w:t>28-м заседании, состоявшемся 29 марта 2018 года.</w:t>
      </w:r>
    </w:p>
    <w:p w:rsidR="001C3740" w:rsidRPr="001C3740" w:rsidRDefault="001C3740" w:rsidP="001C3740">
      <w:pPr>
        <w:pStyle w:val="H1GR"/>
      </w:pPr>
      <w:r>
        <w:tab/>
      </w:r>
      <w:r w:rsidRPr="001C3740">
        <w:t>A.</w:t>
      </w:r>
      <w:r w:rsidRPr="001C3740">
        <w:tab/>
        <w:t>Введение</w:t>
      </w:r>
    </w:p>
    <w:p w:rsidR="001C3740" w:rsidRPr="001C3740" w:rsidRDefault="001C3740" w:rsidP="001C3740">
      <w:pPr>
        <w:pStyle w:val="SingleTxtGR"/>
      </w:pPr>
      <w:r w:rsidRPr="001C3740">
        <w:t>2.</w:t>
      </w:r>
      <w:r w:rsidRPr="001C3740">
        <w:tab/>
        <w:t>Комитет приветствует первоначальный доклад, представленный государством-участником, несмотря на длительную задержку по срокам, и выражает признательность за откровенный и конструктивный диалог, состоявшийся с высокопоставленной делегацией государства-участника, в состав которой вошли представители многих министерств.</w:t>
      </w:r>
    </w:p>
    <w:p w:rsidR="001C3740" w:rsidRPr="001C3740" w:rsidRDefault="001C3740" w:rsidP="001C3740">
      <w:pPr>
        <w:pStyle w:val="H1GR"/>
      </w:pPr>
      <w:r>
        <w:tab/>
      </w:r>
      <w:r w:rsidRPr="001C3740">
        <w:t>B.</w:t>
      </w:r>
      <w:r w:rsidRPr="001C3740">
        <w:tab/>
        <w:t>Позитивные аспекты</w:t>
      </w:r>
    </w:p>
    <w:p w:rsidR="001C3740" w:rsidRPr="001C3740" w:rsidRDefault="001C3740" w:rsidP="001C3740">
      <w:pPr>
        <w:pStyle w:val="SingleTxtGR"/>
      </w:pPr>
      <w:r w:rsidRPr="001C3740">
        <w:t>3.</w:t>
      </w:r>
      <w:r w:rsidRPr="001C3740">
        <w:tab/>
        <w:t>Комитет отмечает прогресс, достигнутый государством-участником за прошедший с момента его присоединения к Пакту период во многих областях, касающихся прав, закрепленных в Пакте, в частности в том, что касается сокращения масштабов нищеты. В период с 2006 по 2016 год уровень бедности сократился с 38,4% до 24,3%, доход на душу населения значительно увеличился, а средняя продолжительность жизни возросла до 71,6 лет. Комитет принимает к сведению предстоящий вывод государства-участника из категории наименее развитых стран.</w:t>
      </w:r>
    </w:p>
    <w:p w:rsidR="001C3740" w:rsidRPr="001C3740" w:rsidRDefault="001C3740" w:rsidP="001C3740">
      <w:pPr>
        <w:pStyle w:val="SingleTxtGR"/>
      </w:pPr>
      <w:r w:rsidRPr="001C3740">
        <w:t>4.</w:t>
      </w:r>
      <w:r w:rsidRPr="001C3740">
        <w:tab/>
        <w:t>Комитет отмечает прогресс, достигнутый государством-участником в деле поощрения гендерного равенства в общественной жизни, в том числе инициативы, направленные на расширение представленности женщин при принятии политических решений, такие как законопроект о семнадцатой поправке к Конституции (утвержден Кабинетом министров) и закрепление за женщинами одной трети мест в ходе выборов в местные органы управления. Комитет с удовлетворением отмечает, что государство-участник приблизилось к достижению 100-процентного уровня зачисления в начальную школу и гендерного равенства в сфере начального образования.</w:t>
      </w:r>
    </w:p>
    <w:p w:rsidR="001C3740" w:rsidRPr="001C3740" w:rsidRDefault="001C3740" w:rsidP="001C3740">
      <w:pPr>
        <w:pStyle w:val="H1GR"/>
      </w:pPr>
      <w:r>
        <w:lastRenderedPageBreak/>
        <w:tab/>
      </w:r>
      <w:r w:rsidRPr="001C3740">
        <w:t>C.</w:t>
      </w:r>
      <w:r w:rsidRPr="001C3740">
        <w:tab/>
        <w:t>Основные вопросы, вызывающие озабоченность, и рекомендации</w:t>
      </w:r>
    </w:p>
    <w:p w:rsidR="001C3740" w:rsidRPr="001C3740" w:rsidRDefault="001C3740" w:rsidP="001C3740">
      <w:pPr>
        <w:pStyle w:val="H23GR"/>
      </w:pPr>
      <w:r w:rsidRPr="001C3740">
        <w:tab/>
      </w:r>
      <w:r w:rsidRPr="001C3740">
        <w:tab/>
        <w:t>Применение Пакта во внутреннем праве</w:t>
      </w:r>
    </w:p>
    <w:p w:rsidR="001C3740" w:rsidRPr="001C3740" w:rsidRDefault="001C3740" w:rsidP="001C3740">
      <w:pPr>
        <w:pStyle w:val="SingleTxtGR"/>
      </w:pPr>
      <w:r w:rsidRPr="001C3740">
        <w:t>5.</w:t>
      </w:r>
      <w:r w:rsidRPr="001C3740">
        <w:tab/>
        <w:t>Комитет обеспокоен тем, что права, закрепленные в Пакте, не были в полной мере интегрированы во внутреннее законодательство, и в частности тем, что экономические, социальные и культурные права признаются в Конституции государства-участника лишь в качестве основополагающих принципов государственной политики, а не в качестве основополагающих прав, и что эти права не подлежат защите в судебном порядке.</w:t>
      </w:r>
    </w:p>
    <w:p w:rsidR="001C3740" w:rsidRPr="001C3740" w:rsidRDefault="001C3740" w:rsidP="001C3740">
      <w:pPr>
        <w:pStyle w:val="SingleTxtGR"/>
        <w:rPr>
          <w:b/>
          <w:bCs/>
        </w:rPr>
      </w:pPr>
      <w:r w:rsidRPr="001C3740">
        <w:t>6.</w:t>
      </w:r>
      <w:r w:rsidRPr="001C3740">
        <w:tab/>
      </w:r>
      <w:r w:rsidRPr="001C3740">
        <w:rPr>
          <w:b/>
        </w:rPr>
        <w:t>Комитет рекомендует государству-участнику в полной мере интегрировать во внутреннее законодательство права, закрепленные в Пакте, наравне с гражданскими и политическими правами, г</w:t>
      </w:r>
      <w:r>
        <w:rPr>
          <w:b/>
        </w:rPr>
        <w:t>арантированными Конституцией, а </w:t>
      </w:r>
      <w:r w:rsidRPr="001C3740">
        <w:rPr>
          <w:b/>
        </w:rPr>
        <w:t xml:space="preserve">также обеспечить осуществление этих прав национальными судами всех уровней. Он также рекомендует государству-участнику расширить подготовку судей, адвокатов и государственных должностных лиц по положениям Пакта и укрепить защиту в судебном порядке закрепленных в нем прав. Комитет обращает внимание государства-участника на </w:t>
      </w:r>
      <w:r>
        <w:rPr>
          <w:b/>
        </w:rPr>
        <w:t>свое замечание общего порядка № </w:t>
      </w:r>
      <w:r w:rsidRPr="001C3740">
        <w:rPr>
          <w:b/>
        </w:rPr>
        <w:t>9 (1998) о применении Пакта во внутреннем праве.</w:t>
      </w:r>
    </w:p>
    <w:p w:rsidR="001C3740" w:rsidRPr="001C3740" w:rsidRDefault="001C3740" w:rsidP="001C3740">
      <w:pPr>
        <w:pStyle w:val="SingleTxtGR"/>
      </w:pPr>
      <w:r w:rsidRPr="001C3740">
        <w:t>7.</w:t>
      </w:r>
      <w:r w:rsidRPr="001C3740">
        <w:tab/>
        <w:t>Комитет принимает к сведению заявления, сделанные государством-участником в отношении статей 1–3, 7, 8, 10 и 13 Пакта, а также представленные делегацией разъяснения относительно того, что эти заявления призваны укрепить обязательство государства-участника по постепенному осуществлению прав, закрепленных в Пакте. Вместе с тем Комитет по-прежнему обеспокоен тем, что некоторые из этих заявлений фактически равносильны оговоркам, которые могут воспрепятствовать осуществлению Пакта.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8.</w:t>
      </w:r>
      <w:r w:rsidRPr="001C3740">
        <w:tab/>
      </w:r>
      <w:r w:rsidRPr="00890716">
        <w:rPr>
          <w:b/>
        </w:rPr>
        <w:t>Комитет рекомендует государству-участнику рассмотреть возможность отозвать эти заявления.</w:t>
      </w:r>
    </w:p>
    <w:p w:rsidR="001C3740" w:rsidRPr="001C3740" w:rsidRDefault="001C3740" w:rsidP="001C3740">
      <w:pPr>
        <w:pStyle w:val="H23GR"/>
      </w:pPr>
      <w:r w:rsidRPr="001C3740">
        <w:tab/>
      </w:r>
      <w:r w:rsidRPr="001C3740">
        <w:tab/>
        <w:t>Национальная комиссия по правам человека</w:t>
      </w:r>
    </w:p>
    <w:p w:rsidR="001C3740" w:rsidRPr="001C3740" w:rsidRDefault="001C3740" w:rsidP="001C3740">
      <w:pPr>
        <w:pStyle w:val="SingleTxtGR"/>
      </w:pPr>
      <w:r w:rsidRPr="001C3740">
        <w:t>9.</w:t>
      </w:r>
      <w:r w:rsidRPr="001C3740">
        <w:tab/>
        <w:t>Отмечая, что Глобальный альянс национальных учреждений, занимающихся поощрением и защитой прав человека, присвоил Национальной комиссии по правам чел</w:t>
      </w:r>
      <w:r>
        <w:t>овека аккредитацию со статусом «</w:t>
      </w:r>
      <w:r w:rsidRPr="001C3740">
        <w:t>В</w:t>
      </w:r>
      <w:r>
        <w:t>»</w:t>
      </w:r>
      <w:r w:rsidRPr="001C3740">
        <w:t>, Комитет выражает озабоченность в связи с тем, что Комиссия не является в достаточной степени независимой, особенно в том, что касается финансовой самостоятельности и укомплектования штатов. Кроме того, Комитет отмечает ограниченность мандата Комиссии, в котором нет прямых ссылок на экономические, социальные и культурные права.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10.</w:t>
      </w:r>
      <w:r w:rsidRPr="001C3740">
        <w:tab/>
      </w:r>
      <w:r w:rsidRPr="00890716">
        <w:rPr>
          <w:b/>
        </w:rPr>
        <w:t>Комитет рекомендует государству-участнику укрепить независимость Комиссии, в том числе путем выделения в рамках отдельной бюджетной статьи финансирования в надлежащем объеме и внесения изменений в правила набора кадров, с тем чтобы предоставить Комиссии возможность самостоятельно нанимать сотрудников для заполнения всех имеющихся в ней должностей. Комитет также рекомендует государству-участнику пересмотреть Закон о Национальной комиссии по правам человека (2009 года) в целях расширения мандата Комиссии, с тем чтобы она могла непосредственно заниматься правами, закрепленными в Пакте.</w:t>
      </w:r>
    </w:p>
    <w:p w:rsidR="001C3740" w:rsidRPr="001C3740" w:rsidRDefault="001C3740" w:rsidP="001C3740">
      <w:pPr>
        <w:pStyle w:val="H23GR"/>
      </w:pPr>
      <w:r w:rsidRPr="001C3740">
        <w:tab/>
      </w:r>
      <w:r w:rsidRPr="001C3740">
        <w:tab/>
        <w:t>Правозащитники</w:t>
      </w:r>
    </w:p>
    <w:p w:rsidR="001C3740" w:rsidRPr="001C3740" w:rsidRDefault="001C3740" w:rsidP="001C3740">
      <w:pPr>
        <w:pStyle w:val="SingleTxtGR"/>
      </w:pPr>
      <w:r w:rsidRPr="001C3740">
        <w:t>11.</w:t>
      </w:r>
      <w:r w:rsidRPr="001C3740">
        <w:tab/>
        <w:t>Комитет выражает озабоченность в связи с неоднократными сообщениями о сокращении возможностей для деятельности правозащитников, включая журналистов, профсоюзных активистов и активистов гражданского общества, а также для выражения несогласия в целом. Комитет особенно обеспокоен чрезмерными ограничениями деятельности правозащитников, предусмотренными в некоторых положениях действующих законов или предлагаемых законопроектов, в том числе Закона об информационно-коммуникационных технологиях с поправками, внесенными в него в 2013 году, проекта закона о цифровой безопасности 2018 года, Закона о регулировании (добровольческой деятельности, финансируемой за счет) иностранных пожертвований 2016 года, а также За</w:t>
      </w:r>
      <w:r>
        <w:t>кона об особых полномочиях 1974 </w:t>
      </w:r>
      <w:r w:rsidRPr="001C3740">
        <w:t>года.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12.</w:t>
      </w:r>
      <w:r w:rsidRPr="001C3740">
        <w:tab/>
      </w:r>
      <w:r w:rsidRPr="00890716">
        <w:rPr>
          <w:b/>
        </w:rPr>
        <w:t>Комитет рекомендует государству-участнику обеспечить безопасные и благоприятные условия для работы правозащитников, в тесной консультации с правозащитниками провести пересмотр вышеупомянутых законодательных актов, с тем чтобы изъять ограничительные положения, в том числе статью 57 Закона об информационно-коммуникационных технологиях и аналогичные положения проекта закона о цифровой безопасности 2018 года, а также отменить Закон об особых полномочиях 1974 года. Комитет обращает внимание государства-участника на свое заявление о правозащитниках и экономических, социальных и культурных правах (E/C.12/2016/2).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Изменение климата</w:t>
      </w:r>
    </w:p>
    <w:p w:rsidR="001C3740" w:rsidRPr="001C3740" w:rsidRDefault="001C3740" w:rsidP="001C3740">
      <w:pPr>
        <w:pStyle w:val="SingleTxtGR"/>
      </w:pPr>
      <w:r w:rsidRPr="001C3740">
        <w:t>13.</w:t>
      </w:r>
      <w:r w:rsidRPr="001C3740">
        <w:tab/>
        <w:t>Комитет приветствует создание в Бангладеш Целевого фонда для деятельности, связанной с изменением климата, и Фонда для финансирования работы по повышению устойчивости к изменению климата, а также принятие в 2009 году Бангладешской стратегии и Бангладешского плана действий по реагированию на изменение климата. Комитет выражает обеспокоенность в связи с негативными последствиями изменения климата для осуществления населением Бангладеш экономических, социальных и культурных прав, несмотря на незначительный вклад государства-участника в это явление.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14.</w:t>
      </w:r>
      <w:r w:rsidRPr="001C3740">
        <w:tab/>
      </w:r>
      <w:r w:rsidRPr="00890716">
        <w:rPr>
          <w:b/>
        </w:rPr>
        <w:t>Комитет рекомендует государству-участнику обеспечить, чтобы выработка и реализация стратегий и планов действий по реагированию на изменение климата и стихийные бедствия и уменьшению их риска осуществлялись на основе прав человека и при конструктивном участии затрагиваемых общин и гражданского общества. Он также рекомендует государству-участнику продолжать развивать международное сотрудничество в целях мобилизации финансовой и технологической помощи в деле смягчения последствий изменения климата и реагирования на них, на которую оно имеет право.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Коренные народы</w:t>
      </w:r>
    </w:p>
    <w:p w:rsidR="001C3740" w:rsidRPr="001C3740" w:rsidRDefault="001C3740" w:rsidP="001C3740">
      <w:pPr>
        <w:pStyle w:val="SingleTxtGR"/>
      </w:pPr>
      <w:r w:rsidRPr="001C3740">
        <w:t>15.</w:t>
      </w:r>
      <w:r w:rsidRPr="001C3740">
        <w:tab/>
        <w:t>Принимая к сведению положения Конституции, предусматривающие признание и защиту племен, малых расовых групп, этнических образований и общин, Комитет выражает обеспокоенность в связи с отсутствием в государстве-участнике четкого конституционного и законодательного признания прав лиц, которые причисляют себя к коренным народам, неоднократными сообщениями об экспроприации исконных земель коренных народов, проводимой без соблюдения требования о получении свободного, предварител</w:t>
      </w:r>
      <w:r w:rsidR="006E7479">
        <w:t>ьного и осознанного согласия, и </w:t>
      </w:r>
      <w:r w:rsidRPr="001C3740">
        <w:t>отсутствием надлежащих механизмов участия затрагиваемых коренных жителей и общин в процессах принятия решений (пункт 2 статьи 1).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16.</w:t>
      </w:r>
      <w:r w:rsidRPr="001C3740">
        <w:tab/>
      </w:r>
      <w:r w:rsidRPr="00890716">
        <w:rPr>
          <w:b/>
        </w:rPr>
        <w:t>Комитет рекомендует государству-участнику: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ускорить принятие закона о признании и защите прав коренных народов в полном соответствии с международными стандартами в области прав человека;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в полном объеме осуществлять, а в случае их отсутствия создать, надлежащие механизмы для обеспечения представленности и участия коренных народов, проживающих как в горных, так и равнинных районах, в принятии всех решений, затрагивающих их права;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обеспечить соблюдение требования о получении свободного, предварительного и осознанного согласия во всех случаях экспроприации земель коренных народов;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обеспечить эффективные механизмы, с помощью которых коренные народы могли бы обращаться за средствами правовой защиты в случае лишения их исконных земель;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е)</w:t>
      </w:r>
      <w:r w:rsidRPr="00890716">
        <w:rPr>
          <w:b/>
        </w:rPr>
        <w:tab/>
        <w:t>ратифицировать Конвенцию Междун</w:t>
      </w:r>
      <w:r w:rsidR="006E7479" w:rsidRPr="00890716">
        <w:rPr>
          <w:b/>
        </w:rPr>
        <w:t>ародной организации труда (МОТ) </w:t>
      </w:r>
      <w:r w:rsidRPr="00890716">
        <w:rPr>
          <w:b/>
        </w:rPr>
        <w:t>№ 169 (1989 года) о коренных народах и народах, ведущих племенной образ жизни.</w:t>
      </w:r>
    </w:p>
    <w:p w:rsidR="001C3740" w:rsidRPr="001C3740" w:rsidRDefault="001C3740" w:rsidP="001C3740">
      <w:pPr>
        <w:pStyle w:val="SingleTxtGR"/>
      </w:pPr>
      <w:r w:rsidRPr="001C3740">
        <w:t>17.</w:t>
      </w:r>
      <w:r w:rsidRPr="001C3740">
        <w:tab/>
      </w:r>
      <w:proofErr w:type="gramStart"/>
      <w:r w:rsidRPr="001C3740">
        <w:t>В</w:t>
      </w:r>
      <w:proofErr w:type="gramEnd"/>
      <w:r w:rsidRPr="001C3740">
        <w:t xml:space="preserve"> особом контексте Мирного соглашения по </w:t>
      </w:r>
      <w:proofErr w:type="spellStart"/>
      <w:r w:rsidRPr="001C3740">
        <w:t>Читтагонгскому</w:t>
      </w:r>
      <w:proofErr w:type="spellEnd"/>
      <w:r w:rsidRPr="001C3740">
        <w:t xml:space="preserve"> горному району Комитет обеспокоен недостаточным уровнем выполнения Соглашения, особенно в том, что касается урегулирования земельных споров. Комитет выражает сожаление в связи с отсутствием информации о статусе рассмотрения заявлений об урегулировании земельных споров, направленных в Комиссию по урегулированию земельных споров </w:t>
      </w:r>
      <w:proofErr w:type="spellStart"/>
      <w:r w:rsidRPr="001C3740">
        <w:t>Читтагонского</w:t>
      </w:r>
      <w:proofErr w:type="spellEnd"/>
      <w:r w:rsidRPr="001C3740">
        <w:t xml:space="preserve"> горного района, а также о вынесенных по ним решениях (пункт 2 статьи 1).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18.</w:t>
      </w:r>
      <w:r w:rsidRPr="001C3740">
        <w:tab/>
      </w:r>
      <w:r w:rsidRPr="00890716">
        <w:rPr>
          <w:b/>
        </w:rPr>
        <w:t>Комитет рекомендует государству-участнику активизировать свои усилия по осуществлению Соглашения</w:t>
      </w:r>
      <w:r w:rsidR="007711F9" w:rsidRPr="00890716">
        <w:rPr>
          <w:b/>
        </w:rPr>
        <w:t>,</w:t>
      </w:r>
      <w:r w:rsidRPr="00890716">
        <w:rPr>
          <w:b/>
        </w:rPr>
        <w:t xml:space="preserve"> и в частности вынести решение по большому числу заявлений об урегулировании земельных споров, учитывая соображения </w:t>
      </w:r>
      <w:proofErr w:type="spellStart"/>
      <w:r w:rsidRPr="00890716">
        <w:rPr>
          <w:b/>
        </w:rPr>
        <w:t>транспарентности</w:t>
      </w:r>
      <w:proofErr w:type="spellEnd"/>
      <w:r w:rsidRPr="00890716">
        <w:rPr>
          <w:b/>
        </w:rPr>
        <w:t xml:space="preserve">, эффективности и соблюдая конкретные сроки, в том числе посредством выделения в достаточном объеме людских, финансовых и технических ресурсов для работы Комиссии по урегулированию земельных споров в </w:t>
      </w:r>
      <w:proofErr w:type="spellStart"/>
      <w:r w:rsidRPr="00890716">
        <w:rPr>
          <w:b/>
        </w:rPr>
        <w:t>Читтагонгском</w:t>
      </w:r>
      <w:proofErr w:type="spellEnd"/>
      <w:r w:rsidRPr="00890716">
        <w:rPr>
          <w:b/>
        </w:rPr>
        <w:t xml:space="preserve"> горном районе. Он также просит государство-участник представить в своем следующем периодическом докладе подробную информацию о прогрессе, достигнутом в осуществлении Соглашения и в урегулировании Комиссией земельных споров.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Максимальные пределы имеющихся ресурсов</w:t>
      </w:r>
    </w:p>
    <w:p w:rsidR="001C3740" w:rsidRPr="001C3740" w:rsidRDefault="001C3740" w:rsidP="001C3740">
      <w:pPr>
        <w:pStyle w:val="SingleTxtGR"/>
      </w:pPr>
      <w:r w:rsidRPr="001C3740">
        <w:t>19.</w:t>
      </w:r>
      <w:r w:rsidRPr="001C3740">
        <w:tab/>
        <w:t>Отмечая прогресс, достигнутый в области сокращения бедности, Комитет выражает обеспокоенность по поводу увеличения в государстве-участнике разрыва в уровнях дохода, а также некоторых аспектов его налоговой системы, в том числе очень малой доли налоговых поступлений в ВВП, влияния системы налога на добавленную стоимость на малообеспеченные домашние хозяйства и низкого уровня сбора налогов. Комитет также озабочен очень низким уровнем государственного финансирования, выделяемого на социальные услуги, включая социальное обеспечение, здравоохранение и образование (пункт 1 статьи 2 и статья 11).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20.</w:t>
      </w:r>
      <w:r w:rsidRPr="001C3740">
        <w:tab/>
      </w:r>
      <w:r w:rsidRPr="00890716">
        <w:rPr>
          <w:b/>
        </w:rPr>
        <w:t>Комитет рекомендует государству-участнику провести оптимизацию своей налоговой системы в целях увеличения доступных ресурсов и повысить ее роль в перераспределении доходов посредством следующих мер: борьбы с уклонением от уплаты налогов, расширения налоговой базы, повышения уровня сбора налогов и обеспечения того, чтобы пересмотренная система налога на добавленную стоимость не распространялась на основные продовольственные товары и социальные услуги. Кроме того, Комитет рекомендует государству-участнику увеличить объем средств, выд</w:t>
      </w:r>
      <w:r w:rsidR="007711F9">
        <w:rPr>
          <w:b/>
        </w:rPr>
        <w:t>еляемых на социальные услуги, в </w:t>
      </w:r>
      <w:r w:rsidRPr="00890716">
        <w:rPr>
          <w:b/>
        </w:rPr>
        <w:t>особенности в таких областях, как социальное обеспечение, жилье, здравоохранение и образование.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Борьба с коррупцией</w:t>
      </w:r>
    </w:p>
    <w:p w:rsidR="001C3740" w:rsidRPr="001C3740" w:rsidRDefault="001C3740" w:rsidP="001C3740">
      <w:pPr>
        <w:pStyle w:val="SingleTxtGR"/>
      </w:pPr>
      <w:r w:rsidRPr="001C3740">
        <w:t>21.</w:t>
      </w:r>
      <w:r w:rsidRPr="001C3740">
        <w:tab/>
        <w:t xml:space="preserve">Комитет озабочен уровнем распространения коррупции и ее губительным влиянием на осуществление экономических, </w:t>
      </w:r>
      <w:r w:rsidR="007711F9">
        <w:t>социальных и культурных прав, в </w:t>
      </w:r>
      <w:r w:rsidRPr="001C3740">
        <w:t xml:space="preserve">особенности в отношении лиц и групп, находящихся в неблагоприятном или </w:t>
      </w:r>
      <w:proofErr w:type="spellStart"/>
      <w:r w:rsidRPr="001C3740">
        <w:t>маргинализованном</w:t>
      </w:r>
      <w:proofErr w:type="spellEnd"/>
      <w:r w:rsidRPr="001C3740">
        <w:t xml:space="preserve"> положении. Комитет особенно обеспокоен сообщениями о широко распространенном кумовстве, которое приводит к махинациям в распределении государственного финансирования и оказании государственных услуг, а также о получении взяток при выделении земельных участков и оказании основных услуг. Кроме того, он обеспокоен сообщениями о неэффективности Комиссии по борьбе с коррупцией в деле противодействия этому явлению (пункт 1 статьи 2).</w:t>
      </w:r>
    </w:p>
    <w:p w:rsidR="001C3740" w:rsidRPr="00890716" w:rsidRDefault="001C3740" w:rsidP="00890716">
      <w:pPr>
        <w:pStyle w:val="SingleTxtGR"/>
        <w:keepNext/>
        <w:keepLines/>
        <w:rPr>
          <w:b/>
          <w:bCs/>
        </w:rPr>
      </w:pPr>
      <w:r w:rsidRPr="001C3740">
        <w:t>22.</w:t>
      </w:r>
      <w:r w:rsidRPr="001C3740">
        <w:tab/>
      </w:r>
      <w:r w:rsidRPr="00890716">
        <w:rPr>
          <w:b/>
        </w:rPr>
        <w:t>Комитет рекомендует государству-участнику принять конкретные шаги для того, чтобы: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укрепить систему государственного управления и обеспечить прозрачность в ведении государственных дел;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обеспечить строгое соблюдение антикоррупционного законодательства и преследование всех лиц, вовлеченных в коррупцию, особенно высокопоставленных должностных лиц и политических деятелей, без каких-либо исключений;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повысить независимость и эффективность Комиссии по борьбе с коррупцией;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повысить уровень осведомленности общественности и государственных должностных лиц об экономических и социальных издержках, вызываемых коррупцией, недопустимости взяток, а также имеющихся мерах по борьбе с коррупцией и механизмах информирования о случаях коррупции.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Отсутствие дискриминации</w:t>
      </w:r>
    </w:p>
    <w:p w:rsidR="001C3740" w:rsidRPr="001C3740" w:rsidRDefault="001C3740" w:rsidP="001C3740">
      <w:pPr>
        <w:pStyle w:val="SingleTxtGR"/>
      </w:pPr>
      <w:r w:rsidRPr="001C3740">
        <w:t>23.</w:t>
      </w:r>
      <w:r w:rsidRPr="001C3740">
        <w:tab/>
        <w:t>Комитет обеспокоен тем, что статья 28 Конституции предусматривает запрет дискриминации лишь по ограниченному ряду признаков и что государство-участник откладывает принятие всеобъемлющего антидискриминационного законодательства. Приветствуя признание в законодательстве «хиджра», Комитет по-прежнему обеспокоен тем, что гомосексуальные отношения между взрослыми лицами по их обоюдному согласию являются уголовным преступлением (пункт 2 статьи 2).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24.</w:t>
      </w:r>
      <w:r w:rsidRPr="001C3740">
        <w:tab/>
      </w:r>
      <w:r w:rsidRPr="00890716">
        <w:rPr>
          <w:b/>
        </w:rPr>
        <w:t>Комитет рекомендует государству-участнику ускорить принятие всеобъемлющего антидискриминационного законодательства, запрещающего все формы прямой, косвенной и множественной дискриминации по признакам, перечень которых является открытым, и предусматривающего эффективные средства правовой защиты для жертв дискриминации, в том числе в рамках судебных и административных разбирательств. Кроме того, Комитет рекомендует государству-участнику отменить уголовную ответственность за гомосексуальные отношения между взрослыми лицами по их обоюдному согласию и принять необходимые меры по повышению информированности общественности о вопросах сексуальной ориентации и гендерной идентичности и о борьбе с дискриминацией по этим признакам.</w:t>
      </w:r>
    </w:p>
    <w:p w:rsidR="001C3740" w:rsidRPr="007711F9" w:rsidRDefault="001C3740" w:rsidP="001C3740">
      <w:pPr>
        <w:pStyle w:val="SingleTxtGR"/>
        <w:rPr>
          <w:b/>
          <w:bCs/>
        </w:rPr>
      </w:pPr>
      <w:r w:rsidRPr="001C3740">
        <w:t>25.</w:t>
      </w:r>
      <w:r w:rsidRPr="001C3740">
        <w:tab/>
      </w:r>
      <w:proofErr w:type="gramStart"/>
      <w:r w:rsidRPr="007711F9">
        <w:rPr>
          <w:b/>
        </w:rPr>
        <w:t>В</w:t>
      </w:r>
      <w:proofErr w:type="gramEnd"/>
      <w:r w:rsidRPr="007711F9">
        <w:rPr>
          <w:b/>
        </w:rPr>
        <w:t xml:space="preserve"> этой связи Комитет обращает внимание государства-участника на свое замечание общего порядка № 20 (2009) о </w:t>
      </w:r>
      <w:proofErr w:type="spellStart"/>
      <w:r w:rsidRPr="007711F9">
        <w:rPr>
          <w:b/>
        </w:rPr>
        <w:t>недискриминации</w:t>
      </w:r>
      <w:proofErr w:type="spellEnd"/>
      <w:r w:rsidRPr="007711F9">
        <w:rPr>
          <w:b/>
        </w:rPr>
        <w:t xml:space="preserve"> экономических, социальных и культурных прав.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 xml:space="preserve">Беженцы </w:t>
      </w:r>
      <w:proofErr w:type="spellStart"/>
      <w:r w:rsidRPr="001C3740">
        <w:t>рохингья</w:t>
      </w:r>
      <w:proofErr w:type="spellEnd"/>
    </w:p>
    <w:p w:rsidR="001C3740" w:rsidRPr="00890716" w:rsidRDefault="001C3740" w:rsidP="001C3740">
      <w:pPr>
        <w:pStyle w:val="SingleTxtGR"/>
      </w:pPr>
      <w:r w:rsidRPr="001C3740">
        <w:t>26.</w:t>
      </w:r>
      <w:r w:rsidRPr="001C3740">
        <w:tab/>
      </w:r>
      <w:r w:rsidRPr="00890716">
        <w:t xml:space="preserve">Комитет выражает свою глубокую признательность за усилия, прилагаемые государством-участником для размещения более одного миллиона беженцев </w:t>
      </w:r>
      <w:proofErr w:type="spellStart"/>
      <w:r w:rsidRPr="00890716">
        <w:t>рохингья</w:t>
      </w:r>
      <w:proofErr w:type="spellEnd"/>
      <w:r w:rsidRPr="00890716">
        <w:t>, которые были вынуждены бежать в результате систематического и насильственного преследования, и признает колоссальные трудности, которые испытывает государство-участник как принимающая страна. Кроме того, Комитет принимает к сведению заверения государства-участника о том, что ни при каких обстоятельствах оно не будет предпринимать каких-либо попыток вернуть беженцев в Мьянму, если им не будет гарантировано возвращение на условиях безопасности и уважения их достоинства.</w:t>
      </w:r>
    </w:p>
    <w:p w:rsidR="001C3740" w:rsidRPr="001C3740" w:rsidRDefault="001C3740" w:rsidP="001C3740">
      <w:pPr>
        <w:pStyle w:val="SingleTxtGR"/>
      </w:pPr>
      <w:r w:rsidRPr="001C3740">
        <w:t>27.</w:t>
      </w:r>
      <w:r w:rsidRPr="001C3740">
        <w:tab/>
        <w:t xml:space="preserve">Тем не менее Комитет глубоко обеспокоен тем, что эти общины </w:t>
      </w:r>
      <w:proofErr w:type="spellStart"/>
      <w:r w:rsidRPr="001C3740">
        <w:t>рохингья</w:t>
      </w:r>
      <w:proofErr w:type="spellEnd"/>
      <w:r w:rsidRPr="001C3740">
        <w:t xml:space="preserve"> лишены в государстве-участнике правового статуса, в результате чего их передвижение в целях получения доступа к медицинскому обслуживанию, образованию и другим базовым услугам за пределами лагерей ограничивается. Кроме того, Комитет выражает обеспокоенность по поводу безопасности и пригодности размещения в таких лагерях, как </w:t>
      </w:r>
      <w:proofErr w:type="spellStart"/>
      <w:r w:rsidRPr="001C3740">
        <w:t>Кутупалонг</w:t>
      </w:r>
      <w:proofErr w:type="spellEnd"/>
      <w:r w:rsidRPr="001C3740">
        <w:t xml:space="preserve"> и </w:t>
      </w:r>
      <w:proofErr w:type="spellStart"/>
      <w:r w:rsidRPr="001C3740">
        <w:t>Найарапа</w:t>
      </w:r>
      <w:proofErr w:type="spellEnd"/>
      <w:r w:rsidRPr="001C3740">
        <w:t>, где высока опасность оползней и наводнений, а также по поводу возможных вспышек заболеваний, в</w:t>
      </w:r>
      <w:r w:rsidR="007711F9">
        <w:t> </w:t>
      </w:r>
      <w:r w:rsidRPr="001C3740">
        <w:t>частности дифтерии и холеры, особенно с учетом того, что приближается сезон муссонов (пункт 2 статьи 2 и статья 11).</w:t>
      </w:r>
    </w:p>
    <w:p w:rsidR="001C3740" w:rsidRPr="00890716" w:rsidRDefault="001C3740" w:rsidP="001C3740">
      <w:pPr>
        <w:pStyle w:val="SingleTxtGR"/>
        <w:rPr>
          <w:b/>
        </w:rPr>
      </w:pPr>
      <w:r w:rsidRPr="001C3740">
        <w:t>28.</w:t>
      </w:r>
      <w:r w:rsidRPr="001C3740">
        <w:tab/>
      </w:r>
      <w:r w:rsidRPr="00890716">
        <w:rPr>
          <w:b/>
        </w:rPr>
        <w:t xml:space="preserve">Комитет рекомендует государству-участнику принять эффективные меры для признания правового статуса </w:t>
      </w:r>
      <w:proofErr w:type="spellStart"/>
      <w:r w:rsidRPr="00890716">
        <w:rPr>
          <w:b/>
        </w:rPr>
        <w:t>рохингья</w:t>
      </w:r>
      <w:proofErr w:type="spellEnd"/>
      <w:r w:rsidRPr="00890716">
        <w:rPr>
          <w:b/>
        </w:rPr>
        <w:t xml:space="preserve">, с тем чтобы обеспечить им доступ к источникам средств к существованию, медицинскому обслуживанию, особенно неотложной медицинской помощи, образованию и другим основным услугам, предоставляемым за пределами лагерей. Он также рекомендует государству-участнику принять незамедлительные меры при гуманитарной поддержке со стороны международного сообщества, с тем чтобы обеспечить безопасность </w:t>
      </w:r>
      <w:proofErr w:type="spellStart"/>
      <w:r w:rsidRPr="00890716">
        <w:rPr>
          <w:b/>
        </w:rPr>
        <w:t>рохингья</w:t>
      </w:r>
      <w:proofErr w:type="spellEnd"/>
      <w:r w:rsidRPr="00890716">
        <w:rPr>
          <w:b/>
        </w:rPr>
        <w:t xml:space="preserve"> в лагерях и защитить их от вспышек таких заболеваний, как дифтерия и холера. Приветствуя обнародование в 2018 году совместного плана реагирования на гуманитарный кризис, связанный </w:t>
      </w:r>
      <w:r w:rsidR="007711F9">
        <w:rPr>
          <w:b/>
        </w:rPr>
        <w:t>с</w:t>
      </w:r>
      <w:r w:rsidR="007711F9" w:rsidRPr="007711F9">
        <w:rPr>
          <w:b/>
        </w:rPr>
        <w:t xml:space="preserve"> </w:t>
      </w:r>
      <w:proofErr w:type="spellStart"/>
      <w:r w:rsidRPr="00890716">
        <w:rPr>
          <w:b/>
        </w:rPr>
        <w:t>рохингья</w:t>
      </w:r>
      <w:proofErr w:type="spellEnd"/>
      <w:r w:rsidRPr="00890716">
        <w:rPr>
          <w:b/>
        </w:rPr>
        <w:t xml:space="preserve">, Комитет призывает государство-участник продолжать усилия по привлечению международной помощи и налаживанию сотрудничества в целях улучшения условий жизни </w:t>
      </w:r>
      <w:proofErr w:type="spellStart"/>
      <w:r w:rsidRPr="00890716">
        <w:rPr>
          <w:b/>
        </w:rPr>
        <w:t>рохингья</w:t>
      </w:r>
      <w:proofErr w:type="spellEnd"/>
      <w:r w:rsidRPr="00890716">
        <w:rPr>
          <w:b/>
        </w:rPr>
        <w:t xml:space="preserve"> и поиска долгосрочных решений применительно к их положению.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Равенство мужчин и женщин</w:t>
      </w:r>
    </w:p>
    <w:p w:rsidR="001C3740" w:rsidRPr="001C3740" w:rsidRDefault="001C3740" w:rsidP="001C3740">
      <w:pPr>
        <w:pStyle w:val="SingleTxtGR"/>
      </w:pPr>
      <w:r w:rsidRPr="001C3740">
        <w:t>29.</w:t>
      </w:r>
      <w:r w:rsidRPr="001C3740">
        <w:tab/>
        <w:t>Комитет выражает обеспокоенность в связи с тем, что женщины не пользуются равными с мужчинами правами в экономической, социальной и культурной сф</w:t>
      </w:r>
      <w:r w:rsidR="006E7479">
        <w:t>ере. В </w:t>
      </w:r>
      <w:r w:rsidRPr="001C3740">
        <w:t>частности, в пункте 2 статьи 28 Конституции предусмотрено ограничение равенства между мужчинами и женщинами перед государ</w:t>
      </w:r>
      <w:r w:rsidR="006E7479">
        <w:t>ством и в общественной сфере, а </w:t>
      </w:r>
      <w:r w:rsidRPr="001C3740">
        <w:t>религиозные законы, регулирующие права женщин в вопросах брака, развода, материальной поддержки и наследования имущества, в основном носят дискриминационный по отношению к ним характер (пункт 2 статьи 2, статьи 3 и 10).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30.</w:t>
      </w:r>
      <w:r w:rsidRPr="001C3740">
        <w:tab/>
      </w:r>
      <w:r w:rsidRPr="00890716">
        <w:rPr>
          <w:b/>
        </w:rPr>
        <w:t>Комитет рекомендует государству-участнику: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распространить действие принципа гендерного равенства, предусмотренного в пункте 2 статьи 28 Конституции, на все сферы жизни;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принять единый закон о семье, предусматривающий равные права мужчин и женщин в вопросах брака, развода, материальной поддержки и наследования имущества;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повысить осведомленность по вопросам гендерного равенства во всех сферах жизни (как общественной, так и частной) среди религиозных лидеров, судей и адвокатов, сотрудников правоохранительных органов и общественности, а также укрепить систему оказания бесплатной юридической помощи, с тем чтобы женщины могли отстаивать свои равные права.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труд</w:t>
      </w:r>
    </w:p>
    <w:p w:rsidR="001C3740" w:rsidRPr="001C3740" w:rsidRDefault="001C3740" w:rsidP="001C3740">
      <w:pPr>
        <w:pStyle w:val="SingleTxtGR"/>
      </w:pPr>
      <w:r w:rsidRPr="001C3740">
        <w:t>31.</w:t>
      </w:r>
      <w:r w:rsidRPr="001C3740">
        <w:tab/>
        <w:t>Комитет обеспокоен тем, что большинство работников, составляющих почти 90</w:t>
      </w:r>
      <w:r w:rsidR="006E7479">
        <w:t>%</w:t>
      </w:r>
      <w:r w:rsidRPr="001C3740">
        <w:t xml:space="preserve"> рабочей силы, заняты в неформальной экономике, в которой не обеспечивается социальная защита и охрана труда. Отмечая наличие квот на трудоустройство инвалидов и представителей этнических меньшинств, Комитет выражает озабоченность по поводу того, что эти квоты являются недостаточными и не соблюдаются должным образом и что данные группы населения по-прежнему сталкиваются с трудностями при получении доступа к рынку труда. В частности, Комитет обеспокоен тем, что из-за сегрегации работники-</w:t>
      </w:r>
      <w:proofErr w:type="spellStart"/>
      <w:r w:rsidRPr="001C3740">
        <w:t>далиты</w:t>
      </w:r>
      <w:proofErr w:type="spellEnd"/>
      <w:r w:rsidRPr="001C3740">
        <w:t xml:space="preserve"> вынуждены искать занятость в социально стигматизируемых секторах услуг, которые являются традиционными для них, и что </w:t>
      </w:r>
      <w:proofErr w:type="spellStart"/>
      <w:r w:rsidRPr="001C3740">
        <w:t>далиты</w:t>
      </w:r>
      <w:proofErr w:type="spellEnd"/>
      <w:r w:rsidRPr="001C3740">
        <w:t xml:space="preserve"> сталкиваются с серьезными трудностями при получении доступа к трудоустройству за пределами этих секторов (пункт 2 статьи 2 и статья 6).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32.</w:t>
      </w:r>
      <w:r w:rsidRPr="001C3740">
        <w:tab/>
      </w:r>
      <w:r w:rsidRPr="00890716">
        <w:rPr>
          <w:b/>
        </w:rPr>
        <w:t>Комитет рекомендует государству-участник</w:t>
      </w:r>
      <w:r w:rsidR="006E7479" w:rsidRPr="00890716">
        <w:rPr>
          <w:b/>
        </w:rPr>
        <w:t>у активизировать свои усилия, с </w:t>
      </w:r>
      <w:r w:rsidRPr="00890716">
        <w:rPr>
          <w:b/>
        </w:rPr>
        <w:t>тем чтобы: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провести урегулирование неформальной экономики и обеспечить на промежуточном этапе социально-трудовую защиту занятых в неформальной экономике работников;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увеличить квоты для упомянутых выше групп с учетом их доли в общей численности населения и в полном объеме применять эти квоты;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 xml:space="preserve">ликвидировать дискриминацию в отношении </w:t>
      </w:r>
      <w:proofErr w:type="spellStart"/>
      <w:r w:rsidRPr="00890716">
        <w:rPr>
          <w:b/>
        </w:rPr>
        <w:t>далитов</w:t>
      </w:r>
      <w:proofErr w:type="spellEnd"/>
      <w:r w:rsidRPr="00890716">
        <w:rPr>
          <w:b/>
        </w:rPr>
        <w:t xml:space="preserve"> в сфере занятости и содействовать их трудоустройству вне традиционных категорий рабочих мест, в том числе путем принятия временных специальных мер и предоставления целевых программ профессионально-технической подготовки и образования, с тем чтобы у них была возможность равноправного участия во всех сферах рынка труда.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справедливые и благоприятные условия труда</w:t>
      </w:r>
    </w:p>
    <w:p w:rsidR="001C3740" w:rsidRPr="001C3740" w:rsidRDefault="001C3740" w:rsidP="001C3740">
      <w:pPr>
        <w:pStyle w:val="SingleTxtGR"/>
      </w:pPr>
      <w:r w:rsidRPr="001C3740">
        <w:t>33.</w:t>
      </w:r>
      <w:r w:rsidRPr="001C3740">
        <w:tab/>
        <w:t>Комитет обеспокоен:</w:t>
      </w:r>
    </w:p>
    <w:p w:rsidR="001C3740" w:rsidRPr="001C3740" w:rsidRDefault="001C3740" w:rsidP="001C3740">
      <w:pPr>
        <w:pStyle w:val="SingleTxtGR"/>
      </w:pPr>
      <w:r w:rsidRPr="001C3740">
        <w:tab/>
        <w:t>а)</w:t>
      </w:r>
      <w:r w:rsidRPr="001C3740">
        <w:tab/>
        <w:t>отсутствием общенационального миним</w:t>
      </w:r>
      <w:r w:rsidR="007711F9">
        <w:t>ального размера оплаты труда, а </w:t>
      </w:r>
      <w:r w:rsidRPr="001C3740">
        <w:t>также ограниченностью применения существующих минимальных уровней заработной платы и их малыми размерами, которые оказываются ниже прожиточного минимума, несмотря на недавнее повышение минимального размера оплаты труда в швейной промышленности;</w:t>
      </w:r>
    </w:p>
    <w:p w:rsidR="001C3740" w:rsidRPr="001C3740" w:rsidRDefault="001C3740" w:rsidP="001C3740">
      <w:pPr>
        <w:pStyle w:val="SingleTxtGR"/>
      </w:pPr>
      <w:r w:rsidRPr="001C3740">
        <w:tab/>
        <w:t>b)</w:t>
      </w:r>
      <w:r w:rsidRPr="001C3740">
        <w:tab/>
        <w:t>сохраняющимся и значительным гендерным разрывом в оплате труда, достигающим в государстве-участнике 40</w:t>
      </w:r>
      <w:r w:rsidR="007711F9">
        <w:t>%</w:t>
      </w:r>
      <w:r w:rsidRPr="001C3740">
        <w:t>;</w:t>
      </w:r>
    </w:p>
    <w:p w:rsidR="001C3740" w:rsidRPr="001C3740" w:rsidRDefault="001C3740" w:rsidP="001C3740">
      <w:pPr>
        <w:pStyle w:val="SingleTxtGR"/>
      </w:pPr>
      <w:r w:rsidRPr="001C3740">
        <w:tab/>
        <w:t>c)</w:t>
      </w:r>
      <w:r w:rsidRPr="001C3740">
        <w:tab/>
        <w:t>неоднократными сообщениями о продолжающихся злоупотреблениях и эксплуатации, а также ненадлежащими условиями труда на рабочих местах, особенно в швейной промышленности;</w:t>
      </w:r>
    </w:p>
    <w:p w:rsidR="001C3740" w:rsidRPr="001C3740" w:rsidRDefault="001C3740" w:rsidP="001C3740">
      <w:pPr>
        <w:pStyle w:val="SingleTxtGR"/>
      </w:pPr>
      <w:r w:rsidRPr="001C3740">
        <w:tab/>
        <w:t>d)</w:t>
      </w:r>
      <w:r w:rsidRPr="001C3740">
        <w:tab/>
        <w:t>весьма ограниченной сферой действия бангладешского Закона о труде 2006 года (с поправками, внесенными в него до 2013 года), которая не распространяется на неформальную экономику и некоторые сегменты формальной экономики, в частности на особые экспортные зоны;</w:t>
      </w:r>
    </w:p>
    <w:p w:rsidR="001C3740" w:rsidRPr="001C3740" w:rsidRDefault="001C3740" w:rsidP="001C3740">
      <w:pPr>
        <w:pStyle w:val="SingleTxtGR"/>
      </w:pPr>
      <w:r w:rsidRPr="001C3740">
        <w:tab/>
        <w:t>e)</w:t>
      </w:r>
      <w:r w:rsidRPr="001C3740">
        <w:tab/>
        <w:t>действующим трудовым законодательством, регулирующим особые экспортные зоны, которое не обеспечивают надлежащий уровень защиты трудовых и социальных прав работников, включая их профсоюзные права, в этих зонах;</w:t>
      </w:r>
    </w:p>
    <w:p w:rsidR="001C3740" w:rsidRPr="001C3740" w:rsidRDefault="001C3740" w:rsidP="001C3740">
      <w:pPr>
        <w:pStyle w:val="SingleTxtGR"/>
      </w:pPr>
      <w:r w:rsidRPr="001C3740">
        <w:tab/>
        <w:t>f)</w:t>
      </w:r>
      <w:r w:rsidRPr="001C3740">
        <w:tab/>
        <w:t>отсутствием процедур подачи трудовых жалоб, особенно для лиц, занятых в неформальной экономике;</w:t>
      </w:r>
    </w:p>
    <w:p w:rsidR="001C3740" w:rsidRPr="001C3740" w:rsidRDefault="001C3740" w:rsidP="001C3740">
      <w:pPr>
        <w:pStyle w:val="SingleTxtGR"/>
      </w:pPr>
      <w:r w:rsidRPr="001C3740">
        <w:tab/>
        <w:t>g)</w:t>
      </w:r>
      <w:r w:rsidRPr="001C3740">
        <w:tab/>
        <w:t>тем фактом, что, несмотря на увеличение числа проверок, ряд должностей в трудовых инспекциях по-прежнему не заполнены, а частота и качество проводимых инспекций труда остаются недостаточно высокими (статьи 3, 7 и 8).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34.</w:t>
      </w:r>
      <w:r w:rsidRPr="001C3740">
        <w:tab/>
      </w:r>
      <w:r w:rsidRPr="00890716">
        <w:rPr>
          <w:b/>
        </w:rPr>
        <w:t>Комитет рекомендует государству-участнику: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 xml:space="preserve">установить </w:t>
      </w:r>
      <w:bookmarkStart w:id="1" w:name="_Hlk513471159"/>
      <w:r w:rsidRPr="00890716">
        <w:rPr>
          <w:b/>
        </w:rPr>
        <w:t>общенациональн</w:t>
      </w:r>
      <w:bookmarkEnd w:id="1"/>
      <w:r w:rsidRPr="00890716">
        <w:rPr>
          <w:b/>
        </w:rPr>
        <w:t>ый минимальный размер оплаты труда, который применялся бы повсеместно в отношении всех работников в государстве-участнике, и увеличить существующие минимальные размеры заработной платы для обеспечения достойной жизни всех работников и членов их семей;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сократить гендерный разрыв в оплате труда и включить в трудовое законодательство принцип равного вознаграждения за труд равной ценности;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активизировать усилия по искоренению злоупотреблений и эксплуатации на рабочем месте и улучшить условия труда всех работников в государстве-участнике;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пересмотреть бангладешский Закон о труде, с тем чтобы расширить сферу его применения и охватить все рабочие места в государстве-участнике, включая те, которые связаны с неформальной экономикой;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е)</w:t>
      </w:r>
      <w:r w:rsidRPr="00890716">
        <w:rPr>
          <w:b/>
        </w:rPr>
        <w:tab/>
        <w:t>привести специальное трудовое законодательство, действующее в особых экспортных зонах, в соответствие с бангладешским Законом о труде или распространить его действие на эти зоны, а также обеспечить, чтобы стимулы для иностранных инвесторов, в том числе действующи</w:t>
      </w:r>
      <w:r w:rsidR="006E7479" w:rsidRPr="00890716">
        <w:rPr>
          <w:b/>
        </w:rPr>
        <w:t>е в особых экспортных зонах, не </w:t>
      </w:r>
      <w:r w:rsidRPr="00890716">
        <w:rPr>
          <w:b/>
        </w:rPr>
        <w:t>приводили к снижению уровня трудовой и социальной защиты работников, нанимаемых этими инвесторами;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f)</w:t>
      </w:r>
      <w:r w:rsidRPr="00890716">
        <w:rPr>
          <w:b/>
        </w:rPr>
        <w:tab/>
        <w:t>создать независимые и эффективные механизмы рассмотрения трудовых жалоб, к которым все работники, включая лиц, заня</w:t>
      </w:r>
      <w:r w:rsidR="006E7479" w:rsidRPr="00890716">
        <w:rPr>
          <w:b/>
        </w:rPr>
        <w:t>тых в неформальной экономике, и </w:t>
      </w:r>
      <w:r w:rsidRPr="00890716">
        <w:rPr>
          <w:b/>
        </w:rPr>
        <w:t>домашних работников, могли бы легко получить доступ, не опасаясь нападок;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g)</w:t>
      </w:r>
      <w:r w:rsidRPr="00890716">
        <w:rPr>
          <w:b/>
        </w:rPr>
        <w:tab/>
        <w:t xml:space="preserve">укрепить механизм инспекции труда, в том числе путем оперативного заполнения вакантных должностей, повышения финансовых, кадровых и технических возможностей трудовых инспекций, а также </w:t>
      </w:r>
      <w:proofErr w:type="spellStart"/>
      <w:r w:rsidRPr="00890716">
        <w:rPr>
          <w:b/>
        </w:rPr>
        <w:t>транспарентности</w:t>
      </w:r>
      <w:proofErr w:type="spellEnd"/>
      <w:r w:rsidRPr="00890716">
        <w:rPr>
          <w:b/>
        </w:rPr>
        <w:t xml:space="preserve"> и подотчетности механизмов инспекции труда.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35.</w:t>
      </w:r>
      <w:r w:rsidRPr="001C3740">
        <w:tab/>
      </w:r>
      <w:r w:rsidRPr="00890716">
        <w:rPr>
          <w:b/>
        </w:rPr>
        <w:t>Комитет обращает внимание государства-участника на свое замечание общего порядка № 23 (2016) о праве на справедливые и благоприятные условия труда.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Безопасность и гигиена труда</w:t>
      </w:r>
    </w:p>
    <w:p w:rsidR="001C3740" w:rsidRPr="001C3740" w:rsidRDefault="001C3740" w:rsidP="001C3740">
      <w:pPr>
        <w:pStyle w:val="SingleTxtGR"/>
      </w:pPr>
      <w:r w:rsidRPr="001C3740">
        <w:t>36.</w:t>
      </w:r>
      <w:r w:rsidRPr="001C3740">
        <w:tab/>
        <w:t>Комитет обеспокоен тем, что, несмотря на прогресс, достигнутый после происшествий на фабрике «</w:t>
      </w:r>
      <w:proofErr w:type="spellStart"/>
      <w:r w:rsidRPr="001C3740">
        <w:t>Тазрин</w:t>
      </w:r>
      <w:proofErr w:type="spellEnd"/>
      <w:r w:rsidRPr="001C3740">
        <w:t xml:space="preserve"> </w:t>
      </w:r>
      <w:proofErr w:type="spellStart"/>
      <w:r w:rsidRPr="001C3740">
        <w:t>фэшн</w:t>
      </w:r>
      <w:proofErr w:type="spellEnd"/>
      <w:r w:rsidRPr="001C3740">
        <w:t>» и в здании «Рана плаза» в 2013 году, в том числе принятие национальной политики в области безопасности и гигиены труда, количество несчастных случаев на производстве со смертельным исходом по-прежнему остается высоким в текстильной промышленности, в отрасли утилизации кораблей, дробления горных пород и в других отраслях. Кроме того, Комитет обеспокоен тем, что жертвам несчастных случаев на производстве и их семьям не выплачивается надлежащая компенсация, а принятие национальной программы страхования от полученных на производстве травм откладывается (статьи 7, 11 и 12).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37.</w:t>
      </w:r>
      <w:r w:rsidRPr="001C3740">
        <w:tab/>
      </w:r>
      <w:r w:rsidRPr="00890716">
        <w:rPr>
          <w:b/>
        </w:rPr>
        <w:t>Комитет рекомендует государству-участнику активизировать свои усилия по сокращению и предотвращению несчастных с</w:t>
      </w:r>
      <w:r w:rsidR="007711F9">
        <w:rPr>
          <w:b/>
        </w:rPr>
        <w:t>лучаев на производстве путем, в </w:t>
      </w:r>
      <w:r w:rsidRPr="00890716">
        <w:rPr>
          <w:b/>
        </w:rPr>
        <w:t>частности: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 xml:space="preserve">активизации трудовых инспекций, в </w:t>
      </w:r>
      <w:r w:rsidR="006E7479" w:rsidRPr="00890716">
        <w:rPr>
          <w:b/>
        </w:rPr>
        <w:t>особенности в тех отраслях, где </w:t>
      </w:r>
      <w:r w:rsidRPr="00890716">
        <w:rPr>
          <w:b/>
        </w:rPr>
        <w:t>отмечается высокий уровень несчастных случаев;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ужесточения санкций в отношении работодателей, не соблюдающих правила;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осуществления в полном объеме национальной политики по безопасности и гигиене труда, принятой в 2013 году;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ускорения принятия национальной программы страхования от полученных на производстве травм;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е)</w:t>
      </w:r>
      <w:r w:rsidRPr="00890716">
        <w:rPr>
          <w:b/>
        </w:rPr>
        <w:tab/>
        <w:t>обеспечения предоставления всем пострадавшим в результате несчастных случаев на производстве и их семьям надлежащей компенсации, которая по меньшей мере должна включать в себя оказание необходимой медицинской помощи в связи с их физическими увечьями и психологическими травмами.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Бангладешские трудовые мигранты, находящиеся за рубежом</w:t>
      </w:r>
    </w:p>
    <w:p w:rsidR="001C3740" w:rsidRPr="001C3740" w:rsidRDefault="001C3740" w:rsidP="001C3740">
      <w:pPr>
        <w:pStyle w:val="SingleTxtGR"/>
      </w:pPr>
      <w:r w:rsidRPr="001C3740">
        <w:t>38.</w:t>
      </w:r>
      <w:r w:rsidRPr="001C3740">
        <w:tab/>
        <w:t>Комитет выражает озабоченность в связи с ненадлежащими условиями проживания и труда, с которыми сталкиваются многие бангладешские трудовые мигранты за рубежом, и отсутствием механизмов для обеспечения надлежащего уровня трудовой и социальной защиты таких мигрантов во время их работы за границей. Несмотря на усилия государства-участника, Комитет по-прежнему обеспокоен непрекращающейся эксплуатацией трудовых мигрантов из числа женщин, большинство из которых трудоустроены в некоторых странах Ближнего Востока в качестве домашних работниц (статьи 6</w:t>
      </w:r>
      <w:r w:rsidR="006E7479">
        <w:t>–</w:t>
      </w:r>
      <w:r w:rsidRPr="001C3740">
        <w:t>9).</w:t>
      </w:r>
    </w:p>
    <w:p w:rsidR="001C3740" w:rsidRPr="00890716" w:rsidRDefault="001C3740" w:rsidP="00890716">
      <w:pPr>
        <w:pStyle w:val="SingleTxtGR"/>
        <w:keepNext/>
        <w:keepLines/>
        <w:rPr>
          <w:b/>
          <w:bCs/>
        </w:rPr>
      </w:pPr>
      <w:r w:rsidRPr="001C3740">
        <w:t>39.</w:t>
      </w:r>
      <w:r w:rsidRPr="001C3740">
        <w:tab/>
      </w:r>
      <w:r w:rsidRPr="00890716">
        <w:rPr>
          <w:b/>
        </w:rPr>
        <w:t>Комитет рекомендует государству-участник</w:t>
      </w:r>
      <w:r w:rsidR="006E7479" w:rsidRPr="00890716">
        <w:rPr>
          <w:b/>
        </w:rPr>
        <w:t>у активизировать свои усилия, с </w:t>
      </w:r>
      <w:r w:rsidRPr="00890716">
        <w:rPr>
          <w:b/>
        </w:rPr>
        <w:t>тем чтобы: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вести переговоры с другими государствами, с тем чтобы обеспечить предоставление бангладешским трудовым мигрантам в странах назначения трудовой и социальной защиты в таком же объеме, что и работникам, которые являются гражданами этих стран, в том числе посредством двусторонних соглашений со странами назначения;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ужесточить регулирование деятельности агентств по найму;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повысить эффективность оказания консульских и правовых услуг для таких работников;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провести систематический обзор действующих двусторонних соглашений, касающихся домашних работников</w:t>
      </w:r>
      <w:r w:rsidR="007711F9">
        <w:rPr>
          <w:b/>
        </w:rPr>
        <w:t xml:space="preserve"> из числа женщин-мигрантов, с </w:t>
      </w:r>
      <w:r w:rsidRPr="00890716">
        <w:rPr>
          <w:b/>
        </w:rPr>
        <w:t>тем чтобы повысить уровень предусмотренной этими соглашениями трудовой и социальной защиты;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е)</w:t>
      </w:r>
      <w:r w:rsidRPr="00890716">
        <w:rPr>
          <w:b/>
        </w:rPr>
        <w:tab/>
      </w:r>
      <w:r w:rsidR="007711F9" w:rsidRPr="00890716">
        <w:rPr>
          <w:b/>
        </w:rPr>
        <w:t>ссылаться</w:t>
      </w:r>
      <w:r w:rsidRPr="00890716">
        <w:rPr>
          <w:b/>
        </w:rPr>
        <w:t xml:space="preserve"> на существующие договоренности с соответствующими странами, где продолжается эксплуатаци</w:t>
      </w:r>
      <w:r w:rsidR="007711F9">
        <w:rPr>
          <w:b/>
        </w:rPr>
        <w:t>я</w:t>
      </w:r>
      <w:r w:rsidRPr="00890716">
        <w:rPr>
          <w:b/>
        </w:rPr>
        <w:t xml:space="preserve"> работников</w:t>
      </w:r>
      <w:r w:rsidR="007711F9">
        <w:rPr>
          <w:b/>
        </w:rPr>
        <w:t xml:space="preserve"> – </w:t>
      </w:r>
      <w:r w:rsidRPr="00890716">
        <w:rPr>
          <w:b/>
        </w:rPr>
        <w:t>граждан Бангладеш;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f)</w:t>
      </w:r>
      <w:r w:rsidRPr="00890716">
        <w:rPr>
          <w:b/>
        </w:rPr>
        <w:tab/>
        <w:t>рассмотреть вопрос о ратифи</w:t>
      </w:r>
      <w:r w:rsidR="00890716">
        <w:rPr>
          <w:b/>
        </w:rPr>
        <w:t>кации Конвенции МОТ № 189 (2011 </w:t>
      </w:r>
      <w:r w:rsidRPr="00890716">
        <w:rPr>
          <w:b/>
        </w:rPr>
        <w:t>года) о дост</w:t>
      </w:r>
      <w:r w:rsidR="00890716">
        <w:rPr>
          <w:b/>
        </w:rPr>
        <w:t>ойном труде домашних работников.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Профсоюзные права</w:t>
      </w:r>
    </w:p>
    <w:p w:rsidR="001C3740" w:rsidRPr="001C3740" w:rsidRDefault="001C3740" w:rsidP="001C3740">
      <w:pPr>
        <w:pStyle w:val="SingleTxtGR"/>
      </w:pPr>
      <w:r w:rsidRPr="001C3740">
        <w:t>40.</w:t>
      </w:r>
      <w:r w:rsidRPr="001C3740">
        <w:tab/>
        <w:t>Комитет выражает обеспокоенность по поводу непрекращающейся дискриминации, преследований и запугивания профсоюзных активистов в связи с их деятельностью, включая арест 30 профсоюзных лидеров, произведенный в соответствии с Законом об особых полномочиях 1974 года, и увольнение свыше 1</w:t>
      </w:r>
      <w:r w:rsidR="006E7479">
        <w:t> </w:t>
      </w:r>
      <w:r w:rsidRPr="001C3740">
        <w:t>500</w:t>
      </w:r>
      <w:r w:rsidR="006E7479">
        <w:t> </w:t>
      </w:r>
      <w:r w:rsidRPr="001C3740">
        <w:t xml:space="preserve">работников швейной промышленности во время протестов в </w:t>
      </w:r>
      <w:proofErr w:type="spellStart"/>
      <w:r w:rsidRPr="001C3740">
        <w:t>Ашулии</w:t>
      </w:r>
      <w:proofErr w:type="spellEnd"/>
      <w:r w:rsidRPr="001C3740">
        <w:t xml:space="preserve"> в декабре 2016 года.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41.</w:t>
      </w:r>
      <w:r w:rsidRPr="001C3740">
        <w:tab/>
      </w:r>
      <w:r w:rsidRPr="00890716">
        <w:rPr>
          <w:b/>
        </w:rPr>
        <w:t>Комитет рекомендует государству-участнику оперативно и тщательно расследовать все сообщения о случаях дискриминации, преследований, запугивания и увольнения профсоюзных активистов, гарантировать реальное осуществление профсоюзных прав, привлекать нарушителей к ответственности и предоставлять жертвам адекватные средства правовой защиты.</w:t>
      </w:r>
    </w:p>
    <w:p w:rsidR="001C3740" w:rsidRPr="001C3740" w:rsidRDefault="001C3740" w:rsidP="001C3740">
      <w:pPr>
        <w:pStyle w:val="SingleTxtGR"/>
      </w:pPr>
      <w:r w:rsidRPr="001C3740">
        <w:t>42.</w:t>
      </w:r>
      <w:r w:rsidRPr="001C3740">
        <w:tab/>
        <w:t>Комитет выражает обеспокоенность в связи с чрезмерно ограничительными положениями бангладешского Закона о труде 2006 года (с изменениями, внесенными в него до 2013 года), согласно которым для создания профсоюза и поддержания его регистрации требуется участие в нем по меньшей мере 30</w:t>
      </w:r>
      <w:r w:rsidR="007711F9">
        <w:t>%</w:t>
      </w:r>
      <w:r w:rsidRPr="001C3740">
        <w:t xml:space="preserve"> рабочей силы, а запрет на проведение забастовок и локаутов вступает в силу при весьма широких и не получивших четкого определения обстоятельствах, например, когда их проведение ведет к возникновению серьезных трудностей в общественной жизни, наносит ущерб национальным интересам или затрагивает новые организации, находящиеся в собственности иностранцев или учрежденные в сотрудничестве с ними (статья 8).</w:t>
      </w:r>
    </w:p>
    <w:p w:rsidR="001C3740" w:rsidRPr="00890716" w:rsidRDefault="001C3740" w:rsidP="001C3740">
      <w:pPr>
        <w:pStyle w:val="SingleTxtGR"/>
        <w:rPr>
          <w:b/>
        </w:rPr>
      </w:pPr>
      <w:r w:rsidRPr="001C3740">
        <w:t>43.</w:t>
      </w:r>
      <w:r w:rsidRPr="001C3740">
        <w:tab/>
      </w:r>
      <w:r w:rsidRPr="00890716">
        <w:rPr>
          <w:b/>
        </w:rPr>
        <w:t>Комитет рекомендует государству-участнику пересмотреть бангладешский Закон о труде и другие трудовые нормативно-правовые акты в целях рационализации процедур и требовани</w:t>
      </w:r>
      <w:r w:rsidR="00890716">
        <w:rPr>
          <w:b/>
        </w:rPr>
        <w:t>й для регистрации профсоюзов, в </w:t>
      </w:r>
      <w:r w:rsidRPr="00890716">
        <w:rPr>
          <w:b/>
        </w:rPr>
        <w:t>частности требования в отношении ми</w:t>
      </w:r>
      <w:r w:rsidR="00890716">
        <w:rPr>
          <w:b/>
        </w:rPr>
        <w:t>нимального количества членов, и </w:t>
      </w:r>
      <w:r w:rsidRPr="00890716">
        <w:rPr>
          <w:b/>
        </w:rPr>
        <w:t>исключения положений, чрезмерно ограничивающих профсоюзные права, включая право на забастовку.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 xml:space="preserve">Право на социальное обеспечение </w:t>
      </w:r>
    </w:p>
    <w:p w:rsidR="001C3740" w:rsidRPr="001C3740" w:rsidRDefault="001C3740" w:rsidP="001C3740">
      <w:pPr>
        <w:pStyle w:val="SingleTxtGR"/>
      </w:pPr>
      <w:r w:rsidRPr="001C3740">
        <w:t>44.</w:t>
      </w:r>
      <w:r w:rsidRPr="001C3740">
        <w:tab/>
        <w:t>Принимая к сведению наличие более 140 программ социальной защиты и их вклад в борьбу с нищетой, Комитет выражает обеспокоенность в связи с низким и снижающимся уровнем государственного финансирования программ социального обеспечения, который составляет 2% национального бюджета, отсутствием рамочного законодательства в сфере социального обеспечения, отсутствием учета правозащитного подхода при разработке и осуществлении мер политики в области социального обеспечения, а также ограниченным охватом действующих программ и малыми размерами предоставляемых выплат (статьи 9 и 11).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45.</w:t>
      </w:r>
      <w:r w:rsidRPr="001C3740">
        <w:tab/>
      </w:r>
      <w:r w:rsidRPr="00890716">
        <w:rPr>
          <w:b/>
        </w:rPr>
        <w:t>Комитет рекомендует государству-участнику: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увеличить объем бюджета в секторе социального обеспечения;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принять рамочный закон о социальном обеспечении;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провести обзор существующих мер политики, с тем чтобы обеспечить их ориентированность на права человека, закрепленные в Пакте;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разработать универсальную систему социального обеспечения и установить общенациональный минимальн</w:t>
      </w:r>
      <w:r w:rsidR="00890716">
        <w:rPr>
          <w:b/>
        </w:rPr>
        <w:t>ый уровень социальной защиты, с </w:t>
      </w:r>
      <w:r w:rsidRPr="00890716">
        <w:rPr>
          <w:b/>
        </w:rPr>
        <w:t>тем чтобы обеспечить для всех слоев населения базовый набор основных всеобщих социальных гарантий.</w:t>
      </w:r>
    </w:p>
    <w:p w:rsidR="001C3740" w:rsidRPr="00890716" w:rsidRDefault="001C3740" w:rsidP="001C3740">
      <w:pPr>
        <w:pStyle w:val="SingleTxtGR"/>
        <w:rPr>
          <w:b/>
        </w:rPr>
      </w:pPr>
      <w:r w:rsidRPr="001C3740">
        <w:t>46.</w:t>
      </w:r>
      <w:r w:rsidRPr="001C3740">
        <w:tab/>
      </w:r>
      <w:r w:rsidRPr="00890716">
        <w:rPr>
          <w:b/>
        </w:rPr>
        <w:t>Комитет обращает внимание государства-участника на свое замечание общего порядка № 19 (2007) о праве на социальное обеспечение и свое Заявление 2015 года, озаглавленное «Минимальные уровни социальной защиты: важнейшая составляющая права на социальное обеспечение и целей в области устойчивого развития».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Регистрация рождений</w:t>
      </w:r>
    </w:p>
    <w:p w:rsidR="001C3740" w:rsidRPr="001C3740" w:rsidRDefault="001C3740" w:rsidP="001C3740">
      <w:pPr>
        <w:pStyle w:val="SingleTxtGR"/>
      </w:pPr>
      <w:r w:rsidRPr="001C3740">
        <w:t>47.</w:t>
      </w:r>
      <w:r w:rsidRPr="001C3740">
        <w:tab/>
        <w:t>Комитет обеспокоен тем, что, несмотря на значительные улучшения, регистрация рождений остается на низком уровне, что приводит к ограничению доступа затронутых этой проблемой детей, включая детей-беженцев, к пособиям по линии социального обеспечения, медицинскому обслуживанию, образованию и другим базовым услугам. Кроме того, Комитет выражает обеспокоенность в связи с тем, что низкий уровень регистрации рождений подрывает осуществление законодательства о запрещении детских браков (статьи 3 и 9–14).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48.</w:t>
      </w:r>
      <w:r w:rsidRPr="001C3740">
        <w:tab/>
      </w:r>
      <w:r w:rsidRPr="00890716">
        <w:rPr>
          <w:b/>
        </w:rPr>
        <w:t>Комитет рекомендует государству-участник</w:t>
      </w:r>
      <w:r w:rsidR="006E7479" w:rsidRPr="00890716">
        <w:rPr>
          <w:b/>
        </w:rPr>
        <w:t>у активизировать свои усилия, с </w:t>
      </w:r>
      <w:r w:rsidRPr="00890716">
        <w:rPr>
          <w:b/>
        </w:rPr>
        <w:t>тем чтобы осуществлять регистрацию всех детей, родившихся и проживающих в стране, включая детей беженцев-</w:t>
      </w:r>
      <w:proofErr w:type="spellStart"/>
      <w:r w:rsidRPr="00890716">
        <w:rPr>
          <w:b/>
        </w:rPr>
        <w:t>рохингья</w:t>
      </w:r>
      <w:proofErr w:type="spellEnd"/>
      <w:r w:rsidRPr="00890716">
        <w:rPr>
          <w:b/>
        </w:rPr>
        <w:t>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Детские браки</w:t>
      </w:r>
    </w:p>
    <w:p w:rsidR="001C3740" w:rsidRPr="001C3740" w:rsidRDefault="001C3740" w:rsidP="001C3740">
      <w:pPr>
        <w:pStyle w:val="SingleTxtGR"/>
      </w:pPr>
      <w:r w:rsidRPr="001C3740">
        <w:t>49.</w:t>
      </w:r>
      <w:r w:rsidRPr="001C3740">
        <w:tab/>
        <w:t>Комитет обеспокоен тем, что, несмотря на снижение, число случаев вступления в брак детей остается высоким, о чем свидетельствует то, что в государстве-участнике более 10</w:t>
      </w:r>
      <w:r w:rsidR="006E7479">
        <w:t>%</w:t>
      </w:r>
      <w:r w:rsidRPr="001C3740">
        <w:t xml:space="preserve"> девочек в возрасте до 15 лет и более по</w:t>
      </w:r>
      <w:r w:rsidR="006E7479">
        <w:t>ловины девушек в возрасте до 18 </w:t>
      </w:r>
      <w:r w:rsidRPr="001C3740">
        <w:t>лет состоят в браке. Комитет в особенности озабочен серьезными негативными последствиями детских браков, которые ощущаются на всем протяжении жизни этих девочек, о чем свидетельствуют высокие показатели смертности и заболеваемости, высокие показатели отсева из учебных заведений и более низкие уровни образования, безработица и сегрегация в сфере занятости, в результате чего они трудоустраиваются на низкооплачиваемые рабочие места, более высокая уязвимость в отношении насилия в семье и гендерного насилия и высокие показатели нищеты.</w:t>
      </w:r>
    </w:p>
    <w:p w:rsidR="001C3740" w:rsidRPr="001C3740" w:rsidRDefault="001C3740" w:rsidP="001C3740">
      <w:pPr>
        <w:pStyle w:val="SingleTxtGR"/>
      </w:pPr>
      <w:r w:rsidRPr="001C3740">
        <w:t>50.</w:t>
      </w:r>
      <w:r w:rsidRPr="001C3740">
        <w:tab/>
        <w:t>Приветствуя принятие в 2017 году Закона о запрещении детских браков, Комитет выражает обеспокоенность по поводу слабого характера этого закона, в том числе отсутствия в нем положений, ведущих к признанию детских браков недействительными, предусмотренном законом исключении, в соответствии с которым допускается вступление в брак детей без каких-либо ограничений по мин</w:t>
      </w:r>
      <w:r w:rsidR="006E7479">
        <w:t>имальному возрасту при наличии «</w:t>
      </w:r>
      <w:r w:rsidRPr="001C3740">
        <w:t>особых обстоятельств … в целях наилучшего обеспечения интересов несовершеннолетнего</w:t>
      </w:r>
      <w:r w:rsidR="006E7479">
        <w:t>»</w:t>
      </w:r>
      <w:r w:rsidRPr="001C3740">
        <w:t>, при условии согласия родителей и получения судебного разрешения, а также отсутствия ясности в отношении преимущественной силы данного закона над законами о личном статусе (статьи 3, 6, 7 и 10–14).</w:t>
      </w:r>
    </w:p>
    <w:p w:rsidR="001C3740" w:rsidRPr="00890716" w:rsidRDefault="001C3740" w:rsidP="00890716">
      <w:pPr>
        <w:pStyle w:val="SingleTxtGR"/>
        <w:keepNext/>
        <w:keepLines/>
        <w:rPr>
          <w:b/>
          <w:bCs/>
        </w:rPr>
      </w:pPr>
      <w:r w:rsidRPr="001C3740">
        <w:t>51.</w:t>
      </w:r>
      <w:r w:rsidRPr="001C3740">
        <w:tab/>
      </w:r>
      <w:r w:rsidRPr="00890716">
        <w:rPr>
          <w:b/>
        </w:rPr>
        <w:t>Комитет рекомендует государству-участнику активизировать свои усилия, с тем чтобы ликвидировать детские браки, в частности: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внести изменения в Закон о запреще</w:t>
      </w:r>
      <w:r w:rsidR="007711F9">
        <w:rPr>
          <w:b/>
        </w:rPr>
        <w:t>нии детских браков 2017 года, с </w:t>
      </w:r>
      <w:r w:rsidRPr="00890716">
        <w:rPr>
          <w:b/>
        </w:rPr>
        <w:t>тем чтобы включить в него положения, ведущие к признанию таких браков недействительными, отменить положение, предусматривающее в особых случаях возможность вступления в брак детей, обеспечить преимущественную силу данного закона над законами о личном статусе, принять, в качестве временной меры, правила, которые будут регулировать осуществление данного закона в соответствии с вышеуказанными рекомендациями, и обеспечить строгое соблюдение закона;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обеспечить привлечение к судебной ответственности лиц, осуществляющих заключение детских бр</w:t>
      </w:r>
      <w:r w:rsidR="007711F9">
        <w:rPr>
          <w:b/>
        </w:rPr>
        <w:t>аков или содействующих этому, и </w:t>
      </w:r>
      <w:r w:rsidRPr="00890716">
        <w:rPr>
          <w:b/>
        </w:rPr>
        <w:t>наказание тех, кто признан виновным;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>обеспечить для жертв детских браков, которые стремятся выйти из брака, доступ к эффективным средствам правовой защиты и всем другим видам необходимой поддержки и защиты;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минимизировать негативные последствия детских браков, в частности путем обеспечения для детей, которые подверглись такому браку, доступа к информации и услугам сексуальног</w:t>
      </w:r>
      <w:r w:rsidR="007711F9">
        <w:rPr>
          <w:b/>
        </w:rPr>
        <w:t>о и репродуктивного здоровья, в </w:t>
      </w:r>
      <w:r w:rsidRPr="00890716">
        <w:rPr>
          <w:b/>
        </w:rPr>
        <w:t>том числе связанным с использованием противозачаточных средств, а также путем создания механизмов поддержки, с тем чтобы предоставить им возможность продолжать свое образование после вступления в брак и рождения детей;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е)</w:t>
      </w:r>
      <w:r w:rsidRPr="00890716">
        <w:rPr>
          <w:b/>
        </w:rPr>
        <w:tab/>
        <w:t>повысить уровень осведомленности общественности, в частности религиозных и традиционных лидеров, а также должностных лиц правоохранительных органов, о негативных последствиях детских браков для девочек и женщин, которые ощущаются на протяжении всей жизни.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Сексуальное и гендерное насилие</w:t>
      </w:r>
    </w:p>
    <w:p w:rsidR="001C3740" w:rsidRPr="001C3740" w:rsidRDefault="001C3740" w:rsidP="001C3740">
      <w:pPr>
        <w:pStyle w:val="SingleTxtGR"/>
      </w:pPr>
      <w:r w:rsidRPr="001C3740">
        <w:t>52.</w:t>
      </w:r>
      <w:r w:rsidRPr="001C3740">
        <w:tab/>
        <w:t>Отмечая принятые государством-участником законодательные меры по борьбе с сексуальным и гендерным насилием, Комитет по-прежнему обеспокоен несоблюдением этого законодательства, широким распространением такого насилия во всех его формах, включая насилие в семье, изнасилования и сексуальные домогательства, отсутствием в Уголовном кодексе признания изнасилования в браке в качестве уголовного преступления, за исключением тех случаев, когда возраст малолетней невесты не достигает 13 лет, и неадекватным оказанием услуг поддержки, предоставляемых жертвам такого насилия (статьи 3 и 10).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53.</w:t>
      </w:r>
      <w:r w:rsidRPr="001C3740">
        <w:tab/>
      </w:r>
      <w:r w:rsidRPr="00890716">
        <w:rPr>
          <w:b/>
        </w:rPr>
        <w:t>Комитет рекомендует государству-участнику активизировать свои усилия по борьбе со всеми формами сексуального и гендерного насилия. В частности, он рекомендует государству-участнику пересмотреть Уголовный кодекс, с тем чтобы придать изнасилованию в браке статус уголовного преступления, ужесточить контроль за соблюдением законодательства по вопросам сексуального и гендерного насилия, привлекать лиц, совершающих такое насилие, к судебной ответственности и наказывать тех, кто признан виновным, повысить эффективность правовой, физической и психологической поддержки, оказываемой жертвам сексуального и гендерного насилия, и увеличить количество доступных для них и их детей приютов.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Экономическая эксплуатация детей</w:t>
      </w:r>
    </w:p>
    <w:p w:rsidR="001C3740" w:rsidRPr="001C3740" w:rsidRDefault="001C3740" w:rsidP="001C3740">
      <w:pPr>
        <w:pStyle w:val="SingleTxtGR"/>
      </w:pPr>
      <w:r w:rsidRPr="001C3740">
        <w:t>54.</w:t>
      </w:r>
      <w:r w:rsidRPr="001C3740">
        <w:tab/>
        <w:t xml:space="preserve">Отмечая приверженность государства-участника ликвидации опасных форм детского труда к 2021 году и всех форм детского труда к 2025 году, Комитет </w:t>
      </w:r>
      <w:r w:rsidR="007711F9">
        <w:br/>
      </w:r>
      <w:r w:rsidRPr="001C3740">
        <w:t>по-прежнему обеспокоен значительным числом детей, которые все еще трудоустроены или работают, тяжелыми условиями их труда, ос</w:t>
      </w:r>
      <w:r w:rsidR="007711F9">
        <w:t>обенно в домашних хозяйствах, и </w:t>
      </w:r>
      <w:r w:rsidRPr="001C3740">
        <w:t>недостаточным проведением инспекций труда, в центре внимания которых находился бы детский труд (статьи 7 и 10).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1C3740">
        <w:t>55.</w:t>
      </w:r>
      <w:r w:rsidRPr="001C3740">
        <w:tab/>
      </w:r>
      <w:r w:rsidRPr="00890716">
        <w:rPr>
          <w:b/>
        </w:rPr>
        <w:t>Комитет рекомендует государству-участнику: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а)</w:t>
      </w:r>
      <w:r w:rsidRPr="00890716">
        <w:rPr>
          <w:b/>
        </w:rPr>
        <w:tab/>
        <w:t>ужесточить национальное законодательство, направленное на запрещение детского труда, и ужесточить контроль за его применением путем повышения эффективности трудовых инспекций по вопросам детского труда и, в то же время, гарантировать предоставление работающим детям поддержки, необходимой для того, чтобы они могли улучшить и исправить свое положение;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b)</w:t>
      </w:r>
      <w:r w:rsidRPr="00890716">
        <w:rPr>
          <w:b/>
        </w:rPr>
        <w:tab/>
        <w:t>привлекать лиц, которые используют детский труд, к судебной ответственности и наказывать тех, кто признан виновным;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c)</w:t>
      </w:r>
      <w:r w:rsidRPr="00890716">
        <w:rPr>
          <w:b/>
        </w:rPr>
        <w:tab/>
        <w:t xml:space="preserve">содействовать </w:t>
      </w:r>
      <w:proofErr w:type="spellStart"/>
      <w:r w:rsidRPr="00890716">
        <w:rPr>
          <w:b/>
        </w:rPr>
        <w:t>вызволению</w:t>
      </w:r>
      <w:proofErr w:type="spellEnd"/>
      <w:r w:rsidRPr="00890716">
        <w:rPr>
          <w:b/>
        </w:rPr>
        <w:t xml:space="preserve"> детей из сферы детского труда и обеспечить для них доступ к возможностям получить образование;</w:t>
      </w:r>
    </w:p>
    <w:p w:rsidR="001C3740" w:rsidRPr="00890716" w:rsidRDefault="001C3740" w:rsidP="001C3740">
      <w:pPr>
        <w:pStyle w:val="SingleTxtGR"/>
        <w:rPr>
          <w:b/>
          <w:bCs/>
        </w:rPr>
      </w:pPr>
      <w:r w:rsidRPr="00890716">
        <w:rPr>
          <w:b/>
        </w:rPr>
        <w:tab/>
        <w:t>d)</w:t>
      </w:r>
      <w:r w:rsidRPr="00890716">
        <w:rPr>
          <w:b/>
        </w:rPr>
        <w:tab/>
        <w:t>обеспечить полноценное осуществление Национальной стратегии по ликвидации детского труда 2010 года и Десяти указаний палаты Высокого суда при Верховном суде, которые были приняты по исковому заявлению № 3598 от 2010 года, представленному Бангладешской национальной ассоциацией женщин-юристов.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питание</w:t>
      </w:r>
    </w:p>
    <w:p w:rsidR="001C3740" w:rsidRPr="001C3740" w:rsidRDefault="001C3740" w:rsidP="001C3740">
      <w:pPr>
        <w:pStyle w:val="SingleTxtGR"/>
      </w:pPr>
      <w:r w:rsidRPr="001C3740">
        <w:t>56.</w:t>
      </w:r>
      <w:r w:rsidRPr="001C3740">
        <w:tab/>
        <w:t xml:space="preserve">Комитет с обеспокоенностью отмечает ряд острых продовольственных кризисов, произошедших в государстве-участнике, в том числе недавнее обострение гуманитарной ситуации в </w:t>
      </w:r>
      <w:proofErr w:type="spellStart"/>
      <w:r w:rsidRPr="001C3740">
        <w:t>Читтагонгском</w:t>
      </w:r>
      <w:proofErr w:type="spellEnd"/>
      <w:r w:rsidRPr="001C3740">
        <w:t xml:space="preserve"> горном районе, а именно в 2016 году в </w:t>
      </w:r>
      <w:proofErr w:type="spellStart"/>
      <w:r w:rsidRPr="001C3740">
        <w:t>Тханчи</w:t>
      </w:r>
      <w:proofErr w:type="spellEnd"/>
      <w:r w:rsidRPr="001C3740">
        <w:t xml:space="preserve"> (округ </w:t>
      </w:r>
      <w:proofErr w:type="spellStart"/>
      <w:r w:rsidRPr="001C3740">
        <w:t>Бандарбан</w:t>
      </w:r>
      <w:proofErr w:type="spellEnd"/>
      <w:r w:rsidRPr="001C3740">
        <w:t xml:space="preserve">) и в 2017 году в </w:t>
      </w:r>
      <w:proofErr w:type="spellStart"/>
      <w:r w:rsidRPr="001C3740">
        <w:t>Саджеке</w:t>
      </w:r>
      <w:proofErr w:type="spellEnd"/>
      <w:r w:rsidRPr="001C3740">
        <w:t xml:space="preserve"> (округ </w:t>
      </w:r>
      <w:proofErr w:type="spellStart"/>
      <w:r w:rsidRPr="001C3740">
        <w:t>Рангамати</w:t>
      </w:r>
      <w:proofErr w:type="spellEnd"/>
      <w:r w:rsidRPr="001C3740">
        <w:t>). Комитет обеспокоен тем, что очень большое число людей по-прежнему страдают от сезонного голода и хронического недоедания, что в непропорционально большой степени затрагивает население сельских районов и малообеспеченные семьи (статья 11).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57.</w:t>
      </w:r>
      <w:r w:rsidRPr="001C3740">
        <w:tab/>
      </w:r>
      <w:r w:rsidRPr="004B01C3">
        <w:rPr>
          <w:b/>
        </w:rPr>
        <w:t>Комитет рекомендует государству-участнику активизировать свои усилия, с тем чтобы: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а)</w:t>
      </w:r>
      <w:r w:rsidRPr="004B01C3">
        <w:rPr>
          <w:b/>
        </w:rPr>
        <w:tab/>
        <w:t>предотвращать развитие продовольственных кризисов, в том числе благодаря эффективному прогнозированию нехватки продовольствия и путем обеспечения доступности продовольствия и его распределения в районах, нуждающихся в помощи;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b)</w:t>
      </w:r>
      <w:r w:rsidRPr="004B01C3">
        <w:rPr>
          <w:b/>
        </w:rPr>
        <w:tab/>
        <w:t>в полном объеме осуществлять Закон о продовольственной безопасности 2013 года и связанные с ним правила, принятые в 2014 году;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c)</w:t>
      </w:r>
      <w:r w:rsidRPr="004B01C3">
        <w:rPr>
          <w:b/>
        </w:rPr>
        <w:tab/>
        <w:t>разработать национальную стратегию по обеспечению продовольственной безопасности и безопасности питания с учетом Добровольных руководящих принципов в поддержку постепенного осуществления права на достаточное питание в контексте национальной продовольственной безопасности.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58.</w:t>
      </w:r>
      <w:r w:rsidRPr="001C3740">
        <w:tab/>
      </w:r>
      <w:r w:rsidRPr="004B01C3">
        <w:rPr>
          <w:b/>
        </w:rPr>
        <w:t>Комитет обращает внимание государства-участника на свое замечание общего порядка № 12 (1999) о праве на достаточное питание.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Земельные права</w:t>
      </w:r>
    </w:p>
    <w:p w:rsidR="001C3740" w:rsidRPr="001C3740" w:rsidRDefault="001C3740" w:rsidP="001C3740">
      <w:pPr>
        <w:pStyle w:val="SingleTxtGR"/>
      </w:pPr>
      <w:r w:rsidRPr="001C3740">
        <w:t>59.</w:t>
      </w:r>
      <w:r w:rsidRPr="001C3740">
        <w:tab/>
        <w:t xml:space="preserve">Комитет выражает озабоченность в связи с неоднократными сообщениями о недостаточном уровне осуществления политики распределения земель </w:t>
      </w:r>
      <w:proofErr w:type="spellStart"/>
      <w:r w:rsidRPr="001C3740">
        <w:t>хас</w:t>
      </w:r>
      <w:proofErr w:type="spellEnd"/>
      <w:r w:rsidRPr="001C3740">
        <w:t>, а также о практике захвата земли и выражает сожаление по поводу того, что государство-участник не представило на этот счет конкретной информации. Комитет также обеспокоен тем, что Закон о возвращении имуществе</w:t>
      </w:r>
      <w:r w:rsidR="006E7479">
        <w:t>нных прав на собственность 2001 </w:t>
      </w:r>
      <w:r w:rsidRPr="001C3740">
        <w:t xml:space="preserve">года (с поправками, внесенными в него в 2011 году) не был выполнен в полном объеме и что восстановление прав на отчужденную собственность в соответствии с этим законом осуществляется медленными темпами. Кроме того, Комитет обеспокоен тем, что доступ женщин к собственности на землю крайне ограничен из-за дискриминационных положений, касающихся наследования имущества, включенных в политику распределения земель </w:t>
      </w:r>
      <w:proofErr w:type="spellStart"/>
      <w:r w:rsidRPr="001C3740">
        <w:t>хас</w:t>
      </w:r>
      <w:proofErr w:type="spellEnd"/>
      <w:r w:rsidRPr="001C3740">
        <w:t xml:space="preserve"> и религиозные</w:t>
      </w:r>
      <w:r w:rsidR="006E7479">
        <w:t xml:space="preserve"> законы о личном статусе (пункт </w:t>
      </w:r>
      <w:r w:rsidRPr="001C3740">
        <w:t>1 статьи 2, статьи 3 и 11).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60.</w:t>
      </w:r>
      <w:r w:rsidRPr="001C3740">
        <w:tab/>
      </w:r>
      <w:r w:rsidRPr="004B01C3">
        <w:rPr>
          <w:b/>
        </w:rPr>
        <w:t>Комитет рекомендует государству-участнику: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а)</w:t>
      </w:r>
      <w:r w:rsidRPr="004B01C3">
        <w:rPr>
          <w:b/>
        </w:rPr>
        <w:tab/>
        <w:t xml:space="preserve">в полном объеме осуществить политику распределения земель </w:t>
      </w:r>
      <w:proofErr w:type="spellStart"/>
      <w:r w:rsidRPr="004B01C3">
        <w:rPr>
          <w:b/>
        </w:rPr>
        <w:t>хас</w:t>
      </w:r>
      <w:proofErr w:type="spellEnd"/>
      <w:r w:rsidRPr="004B01C3">
        <w:rPr>
          <w:b/>
        </w:rPr>
        <w:t xml:space="preserve"> и тщательно расследовать все сообщения о захвате земель;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b)</w:t>
      </w:r>
      <w:r w:rsidRPr="004B01C3">
        <w:rPr>
          <w:b/>
        </w:rPr>
        <w:tab/>
        <w:t>обеспечить эффективное применение Закона о возвращении имущественных прав на собственность, с тем чтобы все имущество, конфискованное в соответствии с Законом о пр</w:t>
      </w:r>
      <w:r w:rsidR="004B01C3">
        <w:rPr>
          <w:b/>
        </w:rPr>
        <w:t>инадлежности собственности 1974 </w:t>
      </w:r>
      <w:r w:rsidRPr="004B01C3">
        <w:rPr>
          <w:b/>
        </w:rPr>
        <w:t>года, было в оперативном порядке возвращено пострадавшим членам индуистской общины;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c)</w:t>
      </w:r>
      <w:r w:rsidRPr="004B01C3">
        <w:rPr>
          <w:b/>
        </w:rPr>
        <w:tab/>
        <w:t>принять меры, необходимые для облегчения доступа женщин к собственности на землю, в том числе путем пересмотра законов о личном статусе, регулирующих наследование имущества, с тем чтобы наделить женщин правом на наследование имущества наравне с мужчинами.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жилище</w:t>
      </w:r>
    </w:p>
    <w:p w:rsidR="001C3740" w:rsidRPr="001C3740" w:rsidRDefault="001C3740" w:rsidP="001C3740">
      <w:pPr>
        <w:pStyle w:val="SingleTxtGR"/>
      </w:pPr>
      <w:r w:rsidRPr="001C3740">
        <w:t>61.</w:t>
      </w:r>
      <w:r w:rsidRPr="001C3740">
        <w:tab/>
        <w:t>Комитет обеспокоен тем, что значительная доля населения проживает в неформальных городских поселениях в неблагоприятных жилищных условиях с ограниченным доступом к базовым услугам, инфраструктуре, медицинскому обслуживанию и образованию и испытывает постоянную угрозу выселения ввиду отсутствия правовых гарантий в отношении использования жилья (статьи 11–14).</w:t>
      </w:r>
    </w:p>
    <w:p w:rsidR="001C3740" w:rsidRPr="004B01C3" w:rsidRDefault="001C3740" w:rsidP="006E7479">
      <w:pPr>
        <w:pStyle w:val="SingleTxtGR"/>
        <w:keepNext/>
        <w:keepLines/>
        <w:rPr>
          <w:b/>
          <w:bCs/>
        </w:rPr>
      </w:pPr>
      <w:r w:rsidRPr="001C3740">
        <w:t>62.</w:t>
      </w:r>
      <w:r w:rsidRPr="001C3740">
        <w:tab/>
      </w:r>
      <w:r w:rsidRPr="004B01C3">
        <w:rPr>
          <w:b/>
        </w:rPr>
        <w:t>Комитет рекомендует государству-участник</w:t>
      </w:r>
      <w:r w:rsidR="006E7479" w:rsidRPr="004B01C3">
        <w:rPr>
          <w:b/>
        </w:rPr>
        <w:t>у активизировать свои усилия, с </w:t>
      </w:r>
      <w:r w:rsidRPr="004B01C3">
        <w:rPr>
          <w:b/>
        </w:rPr>
        <w:t>тем чтобы: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а)</w:t>
      </w:r>
      <w:r w:rsidRPr="004B01C3">
        <w:rPr>
          <w:b/>
        </w:rPr>
        <w:tab/>
        <w:t xml:space="preserve">улучшить предоставление доступного социального жилья для уязвимых и </w:t>
      </w:r>
      <w:proofErr w:type="spellStart"/>
      <w:r w:rsidRPr="004B01C3">
        <w:rPr>
          <w:b/>
        </w:rPr>
        <w:t>маргинализованных</w:t>
      </w:r>
      <w:proofErr w:type="spellEnd"/>
      <w:r w:rsidRPr="004B01C3">
        <w:rPr>
          <w:b/>
        </w:rPr>
        <w:t xml:space="preserve"> лиц и групп, в том числе жителей неформальных поселений;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b)</w:t>
      </w:r>
      <w:r w:rsidRPr="004B01C3">
        <w:rPr>
          <w:b/>
        </w:rPr>
        <w:tab/>
        <w:t>улучшить жилищные условия жителей неформальных поселений и предоставить им гарантии в отношении использования жилья;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c)</w:t>
      </w:r>
      <w:r w:rsidRPr="004B01C3">
        <w:rPr>
          <w:b/>
        </w:rPr>
        <w:tab/>
        <w:t>обеспечить, чтобы правовые рамки, устанавливающие процедуры в случае выселения, в том числе Указ, касающийся (восстановления) права собственности на земли и постройки, находящиеся в ведении правительства и местных органов власти, были приведены в соответствие с обязательствами, вытекающими из Пакта.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63.</w:t>
      </w:r>
      <w:r w:rsidRPr="001C3740">
        <w:tab/>
      </w:r>
      <w:r w:rsidRPr="004B01C3">
        <w:rPr>
          <w:b/>
        </w:rPr>
        <w:t>Комитет обращает внимание государства-участника на свое замечание общего порядка № 7 (1997) о принудительных выселениях.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Вода и санитария</w:t>
      </w:r>
    </w:p>
    <w:p w:rsidR="001C3740" w:rsidRPr="001C3740" w:rsidRDefault="001C3740" w:rsidP="001C3740">
      <w:pPr>
        <w:pStyle w:val="SingleTxtGR"/>
      </w:pPr>
      <w:r w:rsidRPr="001C3740">
        <w:t>64.</w:t>
      </w:r>
      <w:r w:rsidRPr="001C3740">
        <w:tab/>
        <w:t>Комитет выражает обеспокоенность по поводу загрязнения мышьяком питьевой воды из буровых скважин и его серьезного воздействия на здоровье населения, особенно детей, а также последующего загрязнения производства продуктов питания в результа</w:t>
      </w:r>
      <w:r w:rsidR="004B01C3">
        <w:t>те</w:t>
      </w:r>
      <w:r w:rsidRPr="001C3740">
        <w:t xml:space="preserve"> ирригации (статьи 11 и 12).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65.</w:t>
      </w:r>
      <w:r w:rsidRPr="001C3740">
        <w:tab/>
      </w:r>
      <w:r w:rsidRPr="004B01C3">
        <w:rPr>
          <w:b/>
        </w:rPr>
        <w:t>Комитет настоятельно призывает государство-участник принять незамедлительные меры по очистке воды, загрязненной мышьяком, и обеспечить все затронутое население альтернативными источниками питьевой воды, предоставить надлежащую медицинскую помощь лицам, подверженным воздействию воды, загрязненной мышьяком, и внедрить программы надзора за хроническими заболеваниями, развитие которых, как известно, вызвано мышьяком, и лечения этих заболеваний.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здоровье</w:t>
      </w:r>
    </w:p>
    <w:p w:rsidR="001C3740" w:rsidRPr="001C3740" w:rsidRDefault="001C3740" w:rsidP="001C3740">
      <w:pPr>
        <w:pStyle w:val="SingleTxtGR"/>
      </w:pPr>
      <w:r w:rsidRPr="001C3740">
        <w:t>66.</w:t>
      </w:r>
      <w:r w:rsidRPr="001C3740">
        <w:tab/>
        <w:t>Комитет обеспокоен:</w:t>
      </w:r>
    </w:p>
    <w:p w:rsidR="001C3740" w:rsidRPr="001C3740" w:rsidRDefault="001C3740" w:rsidP="001C3740">
      <w:pPr>
        <w:pStyle w:val="SingleTxtGR"/>
      </w:pPr>
      <w:r w:rsidRPr="001C3740">
        <w:tab/>
        <w:t>а)</w:t>
      </w:r>
      <w:r w:rsidRPr="001C3740">
        <w:tab/>
        <w:t xml:space="preserve">ограниченным доступом для уязвимых и </w:t>
      </w:r>
      <w:proofErr w:type="spellStart"/>
      <w:r w:rsidRPr="001C3740">
        <w:t>маргинализованных</w:t>
      </w:r>
      <w:proofErr w:type="spellEnd"/>
      <w:r w:rsidRPr="001C3740">
        <w:t xml:space="preserve"> лиц и групп, в том числе жителей неформальных поселений, </w:t>
      </w:r>
      <w:proofErr w:type="spellStart"/>
      <w:r w:rsidRPr="001C3740">
        <w:t>далитов</w:t>
      </w:r>
      <w:proofErr w:type="spellEnd"/>
      <w:r w:rsidRPr="001C3740">
        <w:t xml:space="preserve"> и этнических меньшинств, к недорогим услугам здравоохранения;</w:t>
      </w:r>
    </w:p>
    <w:p w:rsidR="001C3740" w:rsidRPr="001C3740" w:rsidRDefault="001C3740" w:rsidP="001C3740">
      <w:pPr>
        <w:pStyle w:val="SingleTxtGR"/>
      </w:pPr>
      <w:r w:rsidRPr="001C3740">
        <w:tab/>
        <w:t>b)</w:t>
      </w:r>
      <w:r w:rsidRPr="001C3740">
        <w:tab/>
        <w:t>нехваткой медицинских работников, многие из которых ищут возможности для трудоустройства в других странах;</w:t>
      </w:r>
    </w:p>
    <w:p w:rsidR="001C3740" w:rsidRPr="001C3740" w:rsidRDefault="001C3740" w:rsidP="001C3740">
      <w:pPr>
        <w:pStyle w:val="SingleTxtGR"/>
      </w:pPr>
      <w:r w:rsidRPr="001C3740">
        <w:tab/>
        <w:t>c)</w:t>
      </w:r>
      <w:r w:rsidRPr="001C3740">
        <w:tab/>
        <w:t>недостаточным наличием в государстве-участнике услуг по охране психического здоровья, обусловленным отсутствием инфраструктуры, в том числе психиатрических учреждений и медицинских работников;</w:t>
      </w:r>
    </w:p>
    <w:p w:rsidR="001C3740" w:rsidRPr="001C3740" w:rsidRDefault="001C3740" w:rsidP="001C3740">
      <w:pPr>
        <w:pStyle w:val="SingleTxtGR"/>
      </w:pPr>
      <w:r w:rsidRPr="001C3740">
        <w:tab/>
        <w:t>d)</w:t>
      </w:r>
      <w:r w:rsidRPr="001C3740">
        <w:tab/>
        <w:t>сократившийся, но высокий уровень материнской смертности, особенно среди девочек-подростков (по причине раннего брака или ранней беременности) (пункт 2 статьи 2, статьи 3, 10 и 12).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67.</w:t>
      </w:r>
      <w:r w:rsidRPr="001C3740">
        <w:tab/>
      </w:r>
      <w:r w:rsidRPr="004B01C3">
        <w:rPr>
          <w:b/>
        </w:rPr>
        <w:t>Комитет рекомендует государству-участнику активизировать свои усили</w:t>
      </w:r>
      <w:r w:rsidR="006E7479" w:rsidRPr="004B01C3">
        <w:rPr>
          <w:b/>
        </w:rPr>
        <w:t>я, с </w:t>
      </w:r>
      <w:r w:rsidRPr="004B01C3">
        <w:rPr>
          <w:b/>
        </w:rPr>
        <w:t>тем чтобы: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а)</w:t>
      </w:r>
      <w:r w:rsidRPr="004B01C3">
        <w:rPr>
          <w:b/>
        </w:rPr>
        <w:tab/>
        <w:t>увеличить количество, улучшить доступность и повысить качество услуг здравоохранения, оказываемых в государстве-участнике всем лицам, особенно на уровне первичной медико-санитарной помощи;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b)</w:t>
      </w:r>
      <w:r w:rsidRPr="004B01C3">
        <w:rPr>
          <w:b/>
        </w:rPr>
        <w:tab/>
        <w:t>принять надлежащие меры стимулирования для того, чтобы квалифицированные медицинские работники оставались в государстве-участнике;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c)</w:t>
      </w:r>
      <w:r w:rsidRPr="004B01C3">
        <w:rPr>
          <w:b/>
        </w:rPr>
        <w:tab/>
        <w:t>принять рамочное законодательство и политику в области охраны психического здоровья, увеличить количество и повысить качество психиатрических учреждений, а также численность квалифицированных медицинских специалистов в этой области;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d)</w:t>
      </w:r>
      <w:r w:rsidRPr="004B01C3">
        <w:rPr>
          <w:b/>
        </w:rPr>
        <w:tab/>
        <w:t>обеспечить доступность и наличие услуг и информации в области сексуального и репродуктивного здоровья для всех женщин и девочек, особенно в сельских районах, и включить всеобъемлющее и соответствующее возрасту просвещение по вопросам сексуального и репродуктивного здоровья в учебные программы начальной и средней школы дл</w:t>
      </w:r>
      <w:r w:rsidR="004B01C3">
        <w:rPr>
          <w:b/>
        </w:rPr>
        <w:t>я представителей обоих полов, с </w:t>
      </w:r>
      <w:r w:rsidRPr="004B01C3">
        <w:rPr>
          <w:b/>
        </w:rPr>
        <w:t>учетом принятого Комитетом замечания общего порядка № 22 (2016) о праве на сексуальное и репродуктивное здоровье.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Право на образование</w:t>
      </w:r>
    </w:p>
    <w:p w:rsidR="001C3740" w:rsidRPr="001C3740" w:rsidRDefault="001C3740" w:rsidP="001C3740">
      <w:pPr>
        <w:pStyle w:val="SingleTxtGR"/>
      </w:pPr>
      <w:r w:rsidRPr="001C3740">
        <w:t>68.</w:t>
      </w:r>
      <w:r w:rsidRPr="001C3740">
        <w:tab/>
        <w:t>Отмечая прогресс, достигнутый в сфере образования, в том числе в отношении уровня зачисления в начальную школу, Комитет выражает обеспокоенность по поводу:</w:t>
      </w:r>
    </w:p>
    <w:p w:rsidR="001C3740" w:rsidRPr="001C3740" w:rsidRDefault="001C3740" w:rsidP="001C3740">
      <w:pPr>
        <w:pStyle w:val="SingleTxtGR"/>
      </w:pPr>
      <w:r w:rsidRPr="001C3740">
        <w:tab/>
        <w:t>а)</w:t>
      </w:r>
      <w:r w:rsidRPr="001C3740">
        <w:tab/>
        <w:t>отсутствия рамочного законодательства в сфере образования;</w:t>
      </w:r>
    </w:p>
    <w:p w:rsidR="001C3740" w:rsidRPr="001C3740" w:rsidRDefault="001C3740" w:rsidP="001C3740">
      <w:pPr>
        <w:pStyle w:val="SingleTxtGR"/>
      </w:pPr>
      <w:r w:rsidRPr="001C3740">
        <w:tab/>
        <w:t>b)</w:t>
      </w:r>
      <w:r w:rsidRPr="001C3740">
        <w:tab/>
        <w:t>неоднородности качества образования и различий школьных программ в школах разных типов, обусловленных, прежде всего, сложностью системы образования;</w:t>
      </w:r>
    </w:p>
    <w:p w:rsidR="001C3740" w:rsidRPr="001C3740" w:rsidRDefault="001C3740" w:rsidP="001C3740">
      <w:pPr>
        <w:pStyle w:val="SingleTxtGR"/>
      </w:pPr>
      <w:r w:rsidRPr="001C3740">
        <w:tab/>
        <w:t>c)</w:t>
      </w:r>
      <w:r w:rsidRPr="001C3740">
        <w:tab/>
        <w:t>значительного количества медресе, которые не находятся в ведении Министерства образования и деятельность которых им не регулируется;</w:t>
      </w:r>
    </w:p>
    <w:p w:rsidR="001C3740" w:rsidRPr="001C3740" w:rsidRDefault="001C3740" w:rsidP="001C3740">
      <w:pPr>
        <w:pStyle w:val="SingleTxtGR"/>
      </w:pPr>
      <w:r w:rsidRPr="001C3740">
        <w:tab/>
        <w:t>d)</w:t>
      </w:r>
      <w:r w:rsidRPr="001C3740">
        <w:tab/>
        <w:t>отсутствия инклюзивного образования для детей-инвалидов;</w:t>
      </w:r>
    </w:p>
    <w:p w:rsidR="001C3740" w:rsidRPr="001C3740" w:rsidRDefault="001C3740" w:rsidP="001C3740">
      <w:pPr>
        <w:pStyle w:val="SingleTxtGR"/>
      </w:pPr>
      <w:r w:rsidRPr="001C3740">
        <w:tab/>
        <w:t>е)</w:t>
      </w:r>
      <w:r w:rsidRPr="001C3740">
        <w:tab/>
        <w:t>недостатка возможностей у детей из числа коренных народов и детей, принадлежащих к этническим меньшинствам, для получения образования на родном языке (статьи 13–15).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69.</w:t>
      </w:r>
      <w:r w:rsidRPr="001C3740">
        <w:tab/>
      </w:r>
      <w:r w:rsidRPr="004B01C3">
        <w:rPr>
          <w:b/>
        </w:rPr>
        <w:t xml:space="preserve">Комитет рекомендует государству-участнику: 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а)</w:t>
      </w:r>
      <w:r w:rsidRPr="004B01C3">
        <w:rPr>
          <w:b/>
        </w:rPr>
        <w:tab/>
        <w:t>принять рамочное законодательство, в котором было бы предусмотрено право на образование в соответствии с</w:t>
      </w:r>
      <w:r w:rsidR="007711F9">
        <w:rPr>
          <w:b/>
        </w:rPr>
        <w:t xml:space="preserve"> положениями статей 13 и </w:t>
      </w:r>
      <w:r w:rsidRPr="004B01C3">
        <w:rPr>
          <w:b/>
        </w:rPr>
        <w:t>15 Пакта;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b)</w:t>
      </w:r>
      <w:r w:rsidRPr="004B01C3">
        <w:rPr>
          <w:b/>
        </w:rPr>
        <w:tab/>
        <w:t>обеспечить однородное качество образования и единообразие школьных программ в школах разных типов;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c)</w:t>
      </w:r>
      <w:r w:rsidRPr="004B01C3">
        <w:rPr>
          <w:b/>
        </w:rPr>
        <w:tab/>
        <w:t>перевести медресе в ведение Министерства образования;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d)</w:t>
      </w:r>
      <w:r w:rsidRPr="004B01C3">
        <w:rPr>
          <w:b/>
        </w:rPr>
        <w:tab/>
        <w:t>обеспечить инклюзивное образование для детей-инвалидов;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4B01C3">
        <w:rPr>
          <w:b/>
        </w:rPr>
        <w:tab/>
        <w:t>е)</w:t>
      </w:r>
      <w:r w:rsidRPr="004B01C3">
        <w:rPr>
          <w:b/>
        </w:rPr>
        <w:tab/>
        <w:t>расширить возможности детей из числа коренных народов и детей, принадлежащих к этническим меньшинствам, для получения образования на родном языке.</w:t>
      </w:r>
    </w:p>
    <w:p w:rsidR="001C3740" w:rsidRPr="001C3740" w:rsidRDefault="001C3740" w:rsidP="006E7479">
      <w:pPr>
        <w:pStyle w:val="H23GR"/>
      </w:pPr>
      <w:r w:rsidRPr="001C3740">
        <w:tab/>
      </w:r>
      <w:r w:rsidRPr="001C3740">
        <w:tab/>
        <w:t>Культурные права</w:t>
      </w:r>
    </w:p>
    <w:p w:rsidR="001C3740" w:rsidRPr="001C3740" w:rsidRDefault="001C3740" w:rsidP="001C3740">
      <w:pPr>
        <w:pStyle w:val="SingleTxtGR"/>
      </w:pPr>
      <w:r w:rsidRPr="001C3740">
        <w:t>70.</w:t>
      </w:r>
      <w:r w:rsidRPr="001C3740">
        <w:tab/>
        <w:t>Комитет отмечает принятие Закон</w:t>
      </w:r>
      <w:r w:rsidR="007711F9">
        <w:t>а</w:t>
      </w:r>
      <w:r w:rsidRPr="001C3740">
        <w:t xml:space="preserve"> об учреждениях культуры малых этнических общин (2010 года) и пятнадцатую поправку к Конституции, в которой, среди прочего, устанавливается ответственность государства за защиту и развитие местной культуры и традиций племенных и этнических общин. Вместе с тем Комитет выражает сожаление по поводу того, что государство-участник не предоставило информации о процедурах подачи заявлений на получение статуса национального меньшинства, в том числе о критериях его получения, а также о льготах, предоставляемых национальным меньшинствам (статья 15).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71.</w:t>
      </w:r>
      <w:r w:rsidRPr="001C3740">
        <w:tab/>
      </w:r>
      <w:r w:rsidRPr="004B01C3">
        <w:rPr>
          <w:b/>
        </w:rPr>
        <w:t>Комитет рекомендует государству-участнику осуществлять соответствующее законодательство, с тем чтобы обеспечить в государстве-участнике официальное признание всех этнических меньшинств и полномерное осуществление ими своих культурных прав. Он просит государство-участник представить в своем следующем периодическом докладе информацию об осуществлении соответствующего законодательства, о процедурах подачи заявлений на получение статуса национального меньшинства, в том числе о критериях его получения, а также о льготах, предоставляемых национальным меньшинствам.</w:t>
      </w:r>
    </w:p>
    <w:p w:rsidR="001C3740" w:rsidRPr="001C3740" w:rsidRDefault="006E7479" w:rsidP="006E7479">
      <w:pPr>
        <w:pStyle w:val="H1GR"/>
      </w:pPr>
      <w:r>
        <w:tab/>
      </w:r>
      <w:r w:rsidR="001C3740" w:rsidRPr="001C3740">
        <w:t>D.</w:t>
      </w:r>
      <w:r w:rsidR="001C3740" w:rsidRPr="001C3740">
        <w:tab/>
      </w:r>
      <w:proofErr w:type="gramStart"/>
      <w:r w:rsidR="001C3740" w:rsidRPr="001C3740">
        <w:t>Другие</w:t>
      </w:r>
      <w:proofErr w:type="gramEnd"/>
      <w:r w:rsidR="001C3740" w:rsidRPr="001C3740">
        <w:t xml:space="preserve"> рекомендации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72.</w:t>
      </w:r>
      <w:r w:rsidRPr="001C3740">
        <w:tab/>
      </w:r>
      <w:r w:rsidRPr="004B01C3">
        <w:rPr>
          <w:b/>
        </w:rPr>
        <w:t>Комитет предлагает государству-участнику изучить возможность ратификации Факультативного протокола к Международному пакту об экономических, социальных и культурных правах.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73.</w:t>
      </w:r>
      <w:r w:rsidRPr="001C3740">
        <w:tab/>
      </w:r>
      <w:r w:rsidRPr="004B01C3">
        <w:rPr>
          <w:b/>
        </w:rPr>
        <w:t>Комитет рекомендует государству-участнику рассмотреть возможность ратификации Международной конвенции о защите всех лиц от насильственных исчезновений.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74.</w:t>
      </w:r>
      <w:r w:rsidRPr="001C3740">
        <w:tab/>
      </w:r>
      <w:r w:rsidRPr="004B01C3">
        <w:rPr>
          <w:b/>
        </w:rPr>
        <w:t xml:space="preserve"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оказать существенное содействие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</w:t>
      </w:r>
      <w:proofErr w:type="spellStart"/>
      <w:r w:rsidRPr="004B01C3">
        <w:rPr>
          <w:b/>
        </w:rPr>
        <w:t>недискриминации</w:t>
      </w:r>
      <w:proofErr w:type="spellEnd"/>
      <w:r w:rsidRPr="004B01C3">
        <w:rPr>
          <w:b/>
        </w:rPr>
        <w:t xml:space="preserve"> будет гарантировать, что никто не будет забыт.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75.</w:t>
      </w:r>
      <w:r w:rsidRPr="001C3740">
        <w:tab/>
      </w:r>
      <w:r w:rsidRPr="004B01C3">
        <w:rPr>
          <w:b/>
        </w:rPr>
        <w:t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 В этой связи Комитет обращает внимание государ</w:t>
      </w:r>
      <w:r w:rsidR="004B01C3">
        <w:rPr>
          <w:b/>
        </w:rPr>
        <w:t>ства-участника, в частности, на </w:t>
      </w:r>
      <w:r w:rsidRPr="004B01C3">
        <w:rPr>
          <w:b/>
        </w:rPr>
        <w:t>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</w:t>
      </w:r>
      <w:r w:rsidR="006E7479" w:rsidRPr="004B01C3">
        <w:rPr>
          <w:b/>
        </w:rPr>
        <w:t>х Наций по правам человека (см. </w:t>
      </w:r>
      <w:r w:rsidRPr="004B01C3">
        <w:rPr>
          <w:b/>
        </w:rPr>
        <w:t>HRI/MC/2008/3).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76.</w:t>
      </w:r>
      <w:r w:rsidRPr="001C3740">
        <w:tab/>
      </w:r>
      <w:r w:rsidRPr="004B01C3">
        <w:rPr>
          <w:b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общества, в том числе на национальном, областном и муниципальном уровнях, в</w:t>
      </w:r>
      <w:r w:rsidR="004B01C3">
        <w:rPr>
          <w:b/>
        </w:rPr>
        <w:t> </w:t>
      </w:r>
      <w:r w:rsidRPr="004B01C3">
        <w:rPr>
          <w:b/>
        </w:rPr>
        <w:t>частности среди парламентариев, государственных должностных лиц и судебных органов, и проинформировать Комитет в своем следующем периодическом докладе о шагах, предпринятых с целью выполнения содержащихся в них рекомендаций. Комитет рекомендует государству-участнику привлечь национальное правозащитное учреждение,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своего следующего периодического доклада.</w:t>
      </w:r>
    </w:p>
    <w:p w:rsidR="001C3740" w:rsidRPr="004B01C3" w:rsidRDefault="001C3740" w:rsidP="001C3740">
      <w:pPr>
        <w:pStyle w:val="SingleTxtGR"/>
        <w:rPr>
          <w:b/>
          <w:bCs/>
        </w:rPr>
      </w:pPr>
      <w:r w:rsidRPr="001C3740">
        <w:t>77.</w:t>
      </w:r>
      <w:r w:rsidRPr="001C3740">
        <w:tab/>
      </w:r>
      <w:r w:rsidRPr="004B01C3">
        <w:rPr>
          <w:b/>
        </w:rPr>
        <w:t xml:space="preserve">В соответствии с процедурой последующих мер по выполнению заключительных замечаний, принятых Комитетом, Комитет просит государство-участник в течение 18 месяцев с момента принятия настоящих заключительных замечаний представить информацию о выполнении рекомендаций Комитета, содержащихся в пунктах 24 (принятие всеобъемлющего антидискриминационного законодательства), 28 </w:t>
      </w:r>
      <w:r w:rsidR="004B01C3">
        <w:rPr>
          <w:b/>
        </w:rPr>
        <w:t xml:space="preserve">(беженцы </w:t>
      </w:r>
      <w:proofErr w:type="spellStart"/>
      <w:r w:rsidR="004B01C3">
        <w:rPr>
          <w:b/>
        </w:rPr>
        <w:t>рохингья</w:t>
      </w:r>
      <w:proofErr w:type="spellEnd"/>
      <w:r w:rsidR="004B01C3">
        <w:rPr>
          <w:b/>
        </w:rPr>
        <w:t>) и 41 </w:t>
      </w:r>
      <w:r w:rsidRPr="004B01C3">
        <w:rPr>
          <w:b/>
        </w:rPr>
        <w:t>(нападки на профсоюзных активистов) выше.</w:t>
      </w:r>
    </w:p>
    <w:p w:rsidR="001C3740" w:rsidRPr="004B01C3" w:rsidRDefault="001C3740" w:rsidP="001C3740">
      <w:pPr>
        <w:pStyle w:val="SingleTxtGR"/>
        <w:rPr>
          <w:b/>
        </w:rPr>
      </w:pPr>
      <w:r w:rsidRPr="001C3740">
        <w:t>78.</w:t>
      </w:r>
      <w:r w:rsidRPr="001C3740">
        <w:tab/>
      </w:r>
      <w:r w:rsidRPr="004B01C3">
        <w:rPr>
          <w:b/>
        </w:rPr>
        <w:t>Комитет просит государство-участник представить свой второй периодический доклад, подготовленный в соответствии с руководящими принципами составления докладов, принятыми Комитетом в 2008 году (E/C.12/2008/2), к 31 марта 2023 года. Кроме того, он предлагает государству-участнику обновить свой общий базовый документ в соответствии с согласованными руководящими принципами представления докладов согласно международным д</w:t>
      </w:r>
      <w:r w:rsidR="006E7479" w:rsidRPr="004B01C3">
        <w:rPr>
          <w:b/>
        </w:rPr>
        <w:t>оговорам о правах человека (см. </w:t>
      </w:r>
      <w:r w:rsidRPr="004B01C3">
        <w:rPr>
          <w:b/>
        </w:rPr>
        <w:t>HRI/GEN/2/Rev.6, глава I).</w:t>
      </w:r>
    </w:p>
    <w:p w:rsidR="00381C24" w:rsidRPr="001C3740" w:rsidRDefault="001C3740" w:rsidP="001C374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C3740" w:rsidSect="001C374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A5" w:rsidRPr="00A312BC" w:rsidRDefault="005811A5" w:rsidP="00A312BC"/>
  </w:endnote>
  <w:endnote w:type="continuationSeparator" w:id="0">
    <w:p w:rsidR="005811A5" w:rsidRPr="00A312BC" w:rsidRDefault="005811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40" w:rsidRPr="001C3740" w:rsidRDefault="001C3740">
    <w:pPr>
      <w:pStyle w:val="aa"/>
    </w:pPr>
    <w:r w:rsidRPr="001C3740">
      <w:rPr>
        <w:b/>
        <w:sz w:val="18"/>
      </w:rPr>
      <w:fldChar w:fldCharType="begin"/>
    </w:r>
    <w:r w:rsidRPr="001C3740">
      <w:rPr>
        <w:b/>
        <w:sz w:val="18"/>
      </w:rPr>
      <w:instrText xml:space="preserve"> PAGE  \* MERGEFORMAT </w:instrText>
    </w:r>
    <w:r w:rsidRPr="001C3740">
      <w:rPr>
        <w:b/>
        <w:sz w:val="18"/>
      </w:rPr>
      <w:fldChar w:fldCharType="separate"/>
    </w:r>
    <w:r w:rsidR="00023218">
      <w:rPr>
        <w:b/>
        <w:noProof/>
        <w:sz w:val="18"/>
      </w:rPr>
      <w:t>16</w:t>
    </w:r>
    <w:r w:rsidRPr="001C3740">
      <w:rPr>
        <w:b/>
        <w:sz w:val="18"/>
      </w:rPr>
      <w:fldChar w:fldCharType="end"/>
    </w:r>
    <w:r>
      <w:rPr>
        <w:b/>
        <w:sz w:val="18"/>
      </w:rPr>
      <w:tab/>
    </w:r>
    <w:r>
      <w:t>GE.18-06180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40" w:rsidRPr="001C3740" w:rsidRDefault="001C3740" w:rsidP="001C3740">
    <w:pPr>
      <w:pStyle w:val="aa"/>
      <w:tabs>
        <w:tab w:val="clear" w:pos="9639"/>
        <w:tab w:val="right" w:pos="9638"/>
      </w:tabs>
      <w:rPr>
        <w:b/>
        <w:sz w:val="18"/>
      </w:rPr>
    </w:pPr>
    <w:r>
      <w:t>GE.18-06180</w:t>
    </w:r>
    <w:r>
      <w:tab/>
    </w:r>
    <w:r w:rsidRPr="001C3740">
      <w:rPr>
        <w:b/>
        <w:sz w:val="18"/>
      </w:rPr>
      <w:fldChar w:fldCharType="begin"/>
    </w:r>
    <w:r w:rsidRPr="001C3740">
      <w:rPr>
        <w:b/>
        <w:sz w:val="18"/>
      </w:rPr>
      <w:instrText xml:space="preserve"> PAGE  \* MERGEFORMAT </w:instrText>
    </w:r>
    <w:r w:rsidRPr="001C3740">
      <w:rPr>
        <w:b/>
        <w:sz w:val="18"/>
      </w:rPr>
      <w:fldChar w:fldCharType="separate"/>
    </w:r>
    <w:r w:rsidR="00023218">
      <w:rPr>
        <w:b/>
        <w:noProof/>
        <w:sz w:val="18"/>
      </w:rPr>
      <w:t>15</w:t>
    </w:r>
    <w:r w:rsidRPr="001C37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C3740" w:rsidRDefault="001C3740" w:rsidP="001C374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06180  (</w:t>
    </w:r>
    <w:proofErr w:type="gramEnd"/>
    <w:r>
      <w:t>R)</w:t>
    </w:r>
    <w:r w:rsidR="00890716">
      <w:rPr>
        <w:lang w:val="en-US"/>
      </w:rPr>
      <w:t xml:space="preserve">  080518  090518</w:t>
    </w:r>
    <w:r>
      <w:br/>
    </w:r>
    <w:r w:rsidRPr="001C3740">
      <w:rPr>
        <w:rFonts w:ascii="C39T30Lfz" w:hAnsi="C39T30Lfz"/>
        <w:kern w:val="14"/>
        <w:sz w:val="56"/>
      </w:rPr>
      <w:t></w:t>
    </w:r>
    <w:r w:rsidRPr="001C3740">
      <w:rPr>
        <w:rFonts w:ascii="C39T30Lfz" w:hAnsi="C39T30Lfz"/>
        <w:kern w:val="14"/>
        <w:sz w:val="56"/>
      </w:rPr>
      <w:t></w:t>
    </w:r>
    <w:r w:rsidRPr="001C3740">
      <w:rPr>
        <w:rFonts w:ascii="C39T30Lfz" w:hAnsi="C39T30Lfz"/>
        <w:kern w:val="14"/>
        <w:sz w:val="56"/>
      </w:rPr>
      <w:t></w:t>
    </w:r>
    <w:r w:rsidRPr="001C3740">
      <w:rPr>
        <w:rFonts w:ascii="C39T30Lfz" w:hAnsi="C39T30Lfz"/>
        <w:kern w:val="14"/>
        <w:sz w:val="56"/>
      </w:rPr>
      <w:t></w:t>
    </w:r>
    <w:r w:rsidRPr="001C3740">
      <w:rPr>
        <w:rFonts w:ascii="C39T30Lfz" w:hAnsi="C39T30Lfz"/>
        <w:kern w:val="14"/>
        <w:sz w:val="56"/>
      </w:rPr>
      <w:t></w:t>
    </w:r>
    <w:r w:rsidRPr="001C3740">
      <w:rPr>
        <w:rFonts w:ascii="C39T30Lfz" w:hAnsi="C39T30Lfz"/>
        <w:kern w:val="14"/>
        <w:sz w:val="56"/>
      </w:rPr>
      <w:t></w:t>
    </w:r>
    <w:r w:rsidRPr="001C3740">
      <w:rPr>
        <w:rFonts w:ascii="C39T30Lfz" w:hAnsi="C39T30Lfz"/>
        <w:kern w:val="14"/>
        <w:sz w:val="56"/>
      </w:rPr>
      <w:t></w:t>
    </w:r>
    <w:r w:rsidRPr="001C3740">
      <w:rPr>
        <w:rFonts w:ascii="C39T30Lfz" w:hAnsi="C39T30Lfz"/>
        <w:kern w:val="14"/>
        <w:sz w:val="56"/>
      </w:rPr>
      <w:t></w:t>
    </w:r>
    <w:r w:rsidRPr="001C374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BGD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BGD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A5" w:rsidRPr="001075E9" w:rsidRDefault="005811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11A5" w:rsidRDefault="005811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3740" w:rsidRPr="001C3740" w:rsidRDefault="001C3740">
      <w:pPr>
        <w:pStyle w:val="af"/>
        <w:rPr>
          <w:sz w:val="20"/>
        </w:rPr>
      </w:pPr>
      <w:r>
        <w:tab/>
      </w:r>
      <w:r w:rsidRPr="001C3740">
        <w:rPr>
          <w:rStyle w:val="a8"/>
          <w:sz w:val="20"/>
          <w:vertAlign w:val="baseline"/>
        </w:rPr>
        <w:t>*</w:t>
      </w:r>
      <w:r w:rsidRPr="001C3740">
        <w:rPr>
          <w:rStyle w:val="a8"/>
          <w:vertAlign w:val="baseline"/>
        </w:rPr>
        <w:tab/>
      </w:r>
      <w:r w:rsidRPr="001C3740">
        <w:t>Приняты Комитетом на ег</w:t>
      </w:r>
      <w:r>
        <w:t>о шестьдесят третьей сессии (12</w:t>
      </w:r>
      <w:r w:rsidRPr="001C3740">
        <w:t>–29 марта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40" w:rsidRPr="001C3740" w:rsidRDefault="004B01C3">
    <w:pPr>
      <w:pStyle w:val="a5"/>
    </w:pPr>
    <w:fldSimple w:instr=" TITLE  \* MERGEFORMAT ">
      <w:r w:rsidR="00023218">
        <w:t>E/C.12/BGD/CO/1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40" w:rsidRPr="001C3740" w:rsidRDefault="004B01C3" w:rsidP="001C3740">
    <w:pPr>
      <w:pStyle w:val="a5"/>
      <w:jc w:val="right"/>
    </w:pPr>
    <w:fldSimple w:instr=" TITLE  \* MERGEFORMAT ">
      <w:r w:rsidR="00023218">
        <w:t>E/C.12/BGD/CO/1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5"/>
    <w:rsid w:val="00023218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3740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3BDD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81C81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B01C3"/>
    <w:rsid w:val="0050108D"/>
    <w:rsid w:val="00513081"/>
    <w:rsid w:val="00517901"/>
    <w:rsid w:val="00526683"/>
    <w:rsid w:val="00543720"/>
    <w:rsid w:val="005709E0"/>
    <w:rsid w:val="00572E19"/>
    <w:rsid w:val="005811A5"/>
    <w:rsid w:val="005961C8"/>
    <w:rsid w:val="005966F1"/>
    <w:rsid w:val="005B2F86"/>
    <w:rsid w:val="005D7914"/>
    <w:rsid w:val="005E2B41"/>
    <w:rsid w:val="005F0B42"/>
    <w:rsid w:val="005F1707"/>
    <w:rsid w:val="00640BE6"/>
    <w:rsid w:val="00640F49"/>
    <w:rsid w:val="00681A10"/>
    <w:rsid w:val="006A16E3"/>
    <w:rsid w:val="006A1ED8"/>
    <w:rsid w:val="006C2031"/>
    <w:rsid w:val="006D461A"/>
    <w:rsid w:val="006E7479"/>
    <w:rsid w:val="006F35EE"/>
    <w:rsid w:val="007021FF"/>
    <w:rsid w:val="00712895"/>
    <w:rsid w:val="00734ACB"/>
    <w:rsid w:val="00757357"/>
    <w:rsid w:val="007711F9"/>
    <w:rsid w:val="00792497"/>
    <w:rsid w:val="00806737"/>
    <w:rsid w:val="00811570"/>
    <w:rsid w:val="00825F8D"/>
    <w:rsid w:val="00834B71"/>
    <w:rsid w:val="0086445C"/>
    <w:rsid w:val="00890716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11344"/>
  <w15:docId w15:val="{048EED30-F499-4920-BA2C-52F90C0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C22A-E8DD-41E6-B47B-A8702C9D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16</Pages>
  <Words>6052</Words>
  <Characters>42371</Characters>
  <Application>Microsoft Office Word</Application>
  <DocSecurity>0</DocSecurity>
  <Lines>784</Lines>
  <Paragraphs>226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E/C.12/BGD/CO/1</vt:lpstr>
      <vt:lpstr>A/</vt:lpstr>
      <vt:lpstr>A/</vt:lpstr>
    </vt:vector>
  </TitlesOfParts>
  <Company>DCM</Company>
  <LinksUpToDate>false</LinksUpToDate>
  <CharactersWithSpaces>48197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E/C.12/BGD/CO/1</dc:title>
  <dc:subject/>
  <dc:creator>Marina KOROTKOVA</dc:creator>
  <cp:keywords/>
  <cp:lastModifiedBy>Marina Korotkova</cp:lastModifiedBy>
  <cp:revision>3</cp:revision>
  <cp:lastPrinted>2018-05-09T09:11:00Z</cp:lastPrinted>
  <dcterms:created xsi:type="dcterms:W3CDTF">2018-05-09T09:11:00Z</dcterms:created>
  <dcterms:modified xsi:type="dcterms:W3CDTF">2018-05-09T09:13:00Z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