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23DEF" w14:paraId="7E83D9AB" w14:textId="77777777" w:rsidTr="005B3968">
        <w:trPr>
          <w:trHeight w:hRule="exact" w:val="851"/>
        </w:trPr>
        <w:tc>
          <w:tcPr>
            <w:tcW w:w="1280" w:type="dxa"/>
            <w:tcBorders>
              <w:bottom w:val="single" w:sz="4" w:space="0" w:color="auto"/>
            </w:tcBorders>
            <w:shd w:val="clear" w:color="auto" w:fill="auto"/>
          </w:tcPr>
          <w:p w14:paraId="37368678" w14:textId="77777777" w:rsidR="002D5AAC" w:rsidRPr="008A54B9" w:rsidRDefault="002D5AAC" w:rsidP="00123DEF"/>
        </w:tc>
        <w:tc>
          <w:tcPr>
            <w:tcW w:w="2273" w:type="dxa"/>
            <w:tcBorders>
              <w:bottom w:val="single" w:sz="4" w:space="0" w:color="auto"/>
            </w:tcBorders>
            <w:shd w:val="clear" w:color="auto" w:fill="auto"/>
            <w:vAlign w:val="bottom"/>
          </w:tcPr>
          <w:p w14:paraId="41D16B02" w14:textId="77777777" w:rsidR="002D5AAC" w:rsidRPr="00123DEF" w:rsidRDefault="00BD33EE" w:rsidP="005B3968">
            <w:pPr>
              <w:spacing w:after="80" w:line="300" w:lineRule="exact"/>
              <w:rPr>
                <w:sz w:val="28"/>
              </w:rPr>
            </w:pPr>
            <w:r w:rsidRPr="00123DEF">
              <w:rPr>
                <w:sz w:val="28"/>
              </w:rPr>
              <w:t>Naciones Unidas</w:t>
            </w:r>
          </w:p>
        </w:tc>
        <w:tc>
          <w:tcPr>
            <w:tcW w:w="6086" w:type="dxa"/>
            <w:gridSpan w:val="2"/>
            <w:tcBorders>
              <w:bottom w:val="single" w:sz="4" w:space="0" w:color="auto"/>
            </w:tcBorders>
            <w:shd w:val="clear" w:color="auto" w:fill="auto"/>
            <w:vAlign w:val="bottom"/>
          </w:tcPr>
          <w:p w14:paraId="1A02F529" w14:textId="274675B8" w:rsidR="002D5AAC" w:rsidRPr="00876511" w:rsidRDefault="00876511" w:rsidP="00876511">
            <w:pPr>
              <w:jc w:val="right"/>
            </w:pPr>
            <w:r w:rsidRPr="00876511">
              <w:rPr>
                <w:sz w:val="40"/>
              </w:rPr>
              <w:t>E</w:t>
            </w:r>
            <w:r>
              <w:t>/</w:t>
            </w:r>
            <w:proofErr w:type="spellStart"/>
            <w:r>
              <w:t>C.12</w:t>
            </w:r>
            <w:proofErr w:type="spellEnd"/>
            <w:r>
              <w:t>/70/D/102/2019</w:t>
            </w:r>
            <w:r w:rsidR="007576B0" w:rsidRPr="007576B0">
              <w:t>*</w:t>
            </w:r>
          </w:p>
        </w:tc>
      </w:tr>
      <w:tr w:rsidR="002D5AAC" w:rsidRPr="00123DEF" w14:paraId="2C4F08E0" w14:textId="77777777" w:rsidTr="005B3968">
        <w:trPr>
          <w:trHeight w:hRule="exact" w:val="2835"/>
        </w:trPr>
        <w:tc>
          <w:tcPr>
            <w:tcW w:w="1280" w:type="dxa"/>
            <w:tcBorders>
              <w:top w:val="single" w:sz="4" w:space="0" w:color="auto"/>
              <w:bottom w:val="single" w:sz="12" w:space="0" w:color="auto"/>
            </w:tcBorders>
            <w:shd w:val="clear" w:color="auto" w:fill="auto"/>
          </w:tcPr>
          <w:p w14:paraId="234262AB" w14:textId="2EC57F12" w:rsidR="002D5AAC" w:rsidRPr="00123DEF" w:rsidRDefault="00883C04" w:rsidP="005B3968">
            <w:pPr>
              <w:spacing w:before="120"/>
              <w:jc w:val="center"/>
            </w:pPr>
            <w:r>
              <w:rPr>
                <w:noProof/>
                <w:lang w:eastAsia="en-GB"/>
              </w:rPr>
              <w:drawing>
                <wp:inline distT="0" distB="0" distL="0" distR="0" wp14:anchorId="6AB96266" wp14:editId="5F648815">
                  <wp:extent cx="723900" cy="59690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59690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44D0032D" w14:textId="77777777" w:rsidR="002D5AAC" w:rsidRPr="00123DEF" w:rsidRDefault="004B19F2" w:rsidP="005B3968">
            <w:pPr>
              <w:spacing w:before="120" w:line="420" w:lineRule="exact"/>
              <w:rPr>
                <w:b/>
                <w:sz w:val="40"/>
                <w:szCs w:val="40"/>
              </w:rPr>
            </w:pPr>
            <w:r w:rsidRPr="00123DEF">
              <w:rPr>
                <w:b/>
                <w:sz w:val="40"/>
                <w:szCs w:val="40"/>
              </w:rPr>
              <w:t>Consejo Económico y Social</w:t>
            </w:r>
          </w:p>
        </w:tc>
        <w:tc>
          <w:tcPr>
            <w:tcW w:w="2819" w:type="dxa"/>
            <w:tcBorders>
              <w:top w:val="single" w:sz="4" w:space="0" w:color="auto"/>
              <w:bottom w:val="single" w:sz="12" w:space="0" w:color="auto"/>
            </w:tcBorders>
            <w:shd w:val="clear" w:color="auto" w:fill="auto"/>
          </w:tcPr>
          <w:p w14:paraId="7B16B301" w14:textId="068505FA" w:rsidR="002D5AAC" w:rsidRPr="00123DEF" w:rsidRDefault="004677B6" w:rsidP="005B3968">
            <w:pPr>
              <w:spacing w:before="240"/>
            </w:pPr>
            <w:proofErr w:type="spellStart"/>
            <w:r w:rsidRPr="00123DEF">
              <w:t>Distr</w:t>
            </w:r>
            <w:proofErr w:type="spellEnd"/>
            <w:r w:rsidRPr="00123DEF">
              <w:t xml:space="preserve">. </w:t>
            </w:r>
            <w:r w:rsidR="002A6CFA" w:rsidRPr="00123DEF">
              <w:t>general</w:t>
            </w:r>
          </w:p>
          <w:p w14:paraId="30DE2F84" w14:textId="1F107740" w:rsidR="004677B6" w:rsidRPr="00123DEF" w:rsidRDefault="00586877" w:rsidP="005B3968">
            <w:pPr>
              <w:spacing w:line="240" w:lineRule="exact"/>
              <w:rPr>
                <w:lang w:eastAsia="en-US"/>
              </w:rPr>
            </w:pPr>
            <w:r w:rsidRPr="00123DEF">
              <w:rPr>
                <w:lang w:eastAsia="en-US"/>
              </w:rPr>
              <w:t>8</w:t>
            </w:r>
            <w:r w:rsidR="00134524" w:rsidRPr="00123DEF">
              <w:rPr>
                <w:lang w:eastAsia="en-US"/>
              </w:rPr>
              <w:t xml:space="preserve"> de </w:t>
            </w:r>
            <w:r w:rsidR="002233C0" w:rsidRPr="00123DEF">
              <w:rPr>
                <w:lang w:eastAsia="en-US"/>
              </w:rPr>
              <w:t xml:space="preserve">diciembre </w:t>
            </w:r>
            <w:r w:rsidR="00877B6F" w:rsidRPr="00123DEF">
              <w:rPr>
                <w:lang w:eastAsia="en-US"/>
              </w:rPr>
              <w:t>de</w:t>
            </w:r>
            <w:r w:rsidR="00D4264A" w:rsidRPr="00123DEF">
              <w:rPr>
                <w:lang w:eastAsia="en-US"/>
              </w:rPr>
              <w:t xml:space="preserve"> 2021</w:t>
            </w:r>
          </w:p>
          <w:p w14:paraId="56D1A20F" w14:textId="77777777" w:rsidR="00FB0871" w:rsidRPr="00123DEF" w:rsidRDefault="00FB0871" w:rsidP="005B3968">
            <w:pPr>
              <w:spacing w:line="240" w:lineRule="exact"/>
            </w:pPr>
          </w:p>
          <w:p w14:paraId="434301C0" w14:textId="77777777" w:rsidR="004677B6" w:rsidRPr="00123DEF" w:rsidRDefault="00FB0871" w:rsidP="005B3968">
            <w:pPr>
              <w:spacing w:line="240" w:lineRule="exact"/>
            </w:pPr>
            <w:r w:rsidRPr="00123DEF">
              <w:t>Original: e</w:t>
            </w:r>
            <w:r w:rsidR="004677B6" w:rsidRPr="00123DEF">
              <w:t>spañol</w:t>
            </w:r>
          </w:p>
          <w:p w14:paraId="7CA6F697" w14:textId="55BB9DED" w:rsidR="004677B6" w:rsidRPr="00123DEF" w:rsidRDefault="004677B6" w:rsidP="005B3968">
            <w:pPr>
              <w:spacing w:line="240" w:lineRule="exact"/>
            </w:pPr>
          </w:p>
        </w:tc>
      </w:tr>
    </w:tbl>
    <w:p w14:paraId="6F144354" w14:textId="77777777" w:rsidR="00FB0871" w:rsidRPr="00123DEF" w:rsidRDefault="00FB0871" w:rsidP="00FB0871">
      <w:pPr>
        <w:spacing w:before="120"/>
      </w:pPr>
      <w:r w:rsidRPr="00123DEF">
        <w:rPr>
          <w:b/>
          <w:sz w:val="24"/>
        </w:rPr>
        <w:t>Comité de Derechos Económicos, Sociales y Culturales</w:t>
      </w:r>
    </w:p>
    <w:p w14:paraId="3B5DB6D0" w14:textId="455D2B41" w:rsidR="00FB0871" w:rsidRPr="00123DEF" w:rsidRDefault="00FB0871" w:rsidP="00123DEF">
      <w:pPr>
        <w:pStyle w:val="HChG"/>
      </w:pPr>
      <w:r w:rsidRPr="00123DEF">
        <w:rPr>
          <w:b w:val="0"/>
        </w:rPr>
        <w:tab/>
      </w:r>
      <w:r w:rsidRPr="00123DEF">
        <w:rPr>
          <w:b w:val="0"/>
        </w:rPr>
        <w:tab/>
      </w:r>
      <w:r w:rsidR="002A6CFA" w:rsidRPr="00123DEF">
        <w:t>Decisión</w:t>
      </w:r>
      <w:r w:rsidR="007558F3" w:rsidRPr="00123DEF">
        <w:t xml:space="preserve"> adoptad</w:t>
      </w:r>
      <w:r w:rsidR="002A6CFA" w:rsidRPr="00123DEF">
        <w:t>a</w:t>
      </w:r>
      <w:r w:rsidR="007558F3" w:rsidRPr="00123DEF">
        <w:t xml:space="preserve"> por el Comité en virtud del Protocolo Facultativo del Pacto Internacional de Derechos</w:t>
      </w:r>
      <w:r w:rsidR="00586877" w:rsidRPr="00123DEF">
        <w:br/>
      </w:r>
      <w:r w:rsidR="007558F3" w:rsidRPr="00123DEF">
        <w:t>Económicos, Sociales y Culturales respecto</w:t>
      </w:r>
      <w:r w:rsidR="00586877" w:rsidRPr="00123DEF">
        <w:br/>
      </w:r>
      <w:r w:rsidR="007558F3" w:rsidRPr="00123DEF">
        <w:t>de la c</w:t>
      </w:r>
      <w:r w:rsidRPr="00123DEF">
        <w:t>omunicación</w:t>
      </w:r>
      <w:r w:rsidR="0039771F" w:rsidRPr="00123DEF">
        <w:t xml:space="preserve"> núm</w:t>
      </w:r>
      <w:r w:rsidR="00F62EAB" w:rsidRPr="00123DEF">
        <w:t>.</w:t>
      </w:r>
      <w:r w:rsidR="002A6CFA" w:rsidRPr="00123DEF">
        <w:t> </w:t>
      </w:r>
      <w:r w:rsidR="00867CD8" w:rsidRPr="00123DEF">
        <w:t>102</w:t>
      </w:r>
      <w:r w:rsidRPr="00123DEF">
        <w:t>/20</w:t>
      </w:r>
      <w:r w:rsidR="00F62EAB" w:rsidRPr="00123DEF">
        <w:t>19</w:t>
      </w:r>
      <w:r w:rsidR="00586877" w:rsidRPr="00123DEF">
        <w:rPr>
          <w:rStyle w:val="FootnoteReference"/>
          <w:b w:val="0"/>
          <w:bCs/>
          <w:sz w:val="20"/>
          <w:vertAlign w:val="baseline"/>
        </w:rPr>
        <w:footnoteReference w:customMarkFollows="1" w:id="1"/>
        <w:t>*</w:t>
      </w:r>
      <w:r w:rsidR="004D4324">
        <w:rPr>
          <w:rStyle w:val="FootnoteReference"/>
          <w:b w:val="0"/>
          <w:bCs/>
          <w:sz w:val="20"/>
          <w:vertAlign w:val="baseline"/>
        </w:rPr>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FB0871" w:rsidRPr="00123DEF" w14:paraId="173F63BF" w14:textId="77777777" w:rsidTr="00123DEF">
        <w:tc>
          <w:tcPr>
            <w:tcW w:w="2835" w:type="dxa"/>
            <w:shd w:val="clear" w:color="auto" w:fill="auto"/>
          </w:tcPr>
          <w:p w14:paraId="153B2368" w14:textId="77777777" w:rsidR="00FB0871" w:rsidRPr="00123DEF" w:rsidRDefault="00FB0871" w:rsidP="005B3968">
            <w:pPr>
              <w:pStyle w:val="SingleTxtG"/>
              <w:ind w:left="0" w:right="0"/>
              <w:jc w:val="left"/>
              <w:rPr>
                <w:i/>
              </w:rPr>
            </w:pPr>
            <w:r w:rsidRPr="00123DEF">
              <w:rPr>
                <w:i/>
              </w:rPr>
              <w:t>Comunicación presentada por:</w:t>
            </w:r>
          </w:p>
        </w:tc>
        <w:tc>
          <w:tcPr>
            <w:tcW w:w="3970" w:type="dxa"/>
            <w:shd w:val="clear" w:color="auto" w:fill="auto"/>
          </w:tcPr>
          <w:p w14:paraId="18C9F818" w14:textId="38D25A12" w:rsidR="00FB0871" w:rsidRPr="00123DEF" w:rsidRDefault="00DA56DE" w:rsidP="005B3968">
            <w:pPr>
              <w:pStyle w:val="SingleTxtG"/>
              <w:ind w:left="0" w:right="0"/>
              <w:jc w:val="left"/>
            </w:pPr>
            <w:r w:rsidRPr="00123DEF">
              <w:t>Gladis Patricia Loor Chila</w:t>
            </w:r>
            <w:r w:rsidR="001A5D16" w:rsidRPr="00123DEF">
              <w:t xml:space="preserve"> </w:t>
            </w:r>
            <w:r w:rsidR="003C5375" w:rsidRPr="00123DEF">
              <w:t>(</w:t>
            </w:r>
            <w:r w:rsidR="001A5D16" w:rsidRPr="00123DEF">
              <w:t>representada por Carmen Oriol Fita</w:t>
            </w:r>
            <w:r w:rsidR="003C5375" w:rsidRPr="00123DEF">
              <w:t>)</w:t>
            </w:r>
          </w:p>
        </w:tc>
      </w:tr>
      <w:tr w:rsidR="00FB0871" w:rsidRPr="00123DEF" w14:paraId="2A1D5F70" w14:textId="77777777" w:rsidTr="00123DEF">
        <w:tc>
          <w:tcPr>
            <w:tcW w:w="2835" w:type="dxa"/>
            <w:shd w:val="clear" w:color="auto" w:fill="auto"/>
          </w:tcPr>
          <w:p w14:paraId="75E2649C" w14:textId="27E1ED73" w:rsidR="00FB0871" w:rsidRPr="00123DEF" w:rsidRDefault="00FB0871" w:rsidP="005B3968">
            <w:pPr>
              <w:pStyle w:val="SingleTxtG"/>
              <w:ind w:left="0" w:right="0"/>
              <w:jc w:val="left"/>
              <w:rPr>
                <w:i/>
              </w:rPr>
            </w:pPr>
            <w:r w:rsidRPr="00123DEF">
              <w:rPr>
                <w:i/>
              </w:rPr>
              <w:t>Presunta</w:t>
            </w:r>
            <w:r w:rsidR="003C5375" w:rsidRPr="00123DEF">
              <w:rPr>
                <w:i/>
              </w:rPr>
              <w:t>s</w:t>
            </w:r>
            <w:r w:rsidRPr="00123DEF">
              <w:rPr>
                <w:i/>
              </w:rPr>
              <w:t xml:space="preserve"> víctima</w:t>
            </w:r>
            <w:r w:rsidR="003C5375" w:rsidRPr="00123DEF">
              <w:rPr>
                <w:i/>
              </w:rPr>
              <w:t>s</w:t>
            </w:r>
            <w:r w:rsidRPr="00123DEF">
              <w:rPr>
                <w:i/>
              </w:rPr>
              <w:t>:</w:t>
            </w:r>
          </w:p>
        </w:tc>
        <w:tc>
          <w:tcPr>
            <w:tcW w:w="3970" w:type="dxa"/>
            <w:shd w:val="clear" w:color="auto" w:fill="auto"/>
          </w:tcPr>
          <w:p w14:paraId="093AA6CB" w14:textId="77777777" w:rsidR="00FB0871" w:rsidRPr="00123DEF" w:rsidRDefault="00E0077A" w:rsidP="005B3968">
            <w:pPr>
              <w:pStyle w:val="SingleTxtG"/>
              <w:ind w:left="0" w:right="0"/>
              <w:jc w:val="left"/>
            </w:pPr>
            <w:r w:rsidRPr="00123DEF">
              <w:t>La autora</w:t>
            </w:r>
            <w:r w:rsidR="00CF7602" w:rsidRPr="00123DEF">
              <w:t xml:space="preserve"> y su</w:t>
            </w:r>
            <w:r w:rsidR="008455A5" w:rsidRPr="00123DEF">
              <w:t xml:space="preserve">s </w:t>
            </w:r>
            <w:r w:rsidR="00DA56DE" w:rsidRPr="00123DEF">
              <w:t>nietos</w:t>
            </w:r>
          </w:p>
        </w:tc>
      </w:tr>
      <w:tr w:rsidR="00FB0871" w:rsidRPr="00123DEF" w14:paraId="79364067" w14:textId="77777777" w:rsidTr="00123DEF">
        <w:tc>
          <w:tcPr>
            <w:tcW w:w="2835" w:type="dxa"/>
            <w:shd w:val="clear" w:color="auto" w:fill="auto"/>
          </w:tcPr>
          <w:p w14:paraId="43E30D2D" w14:textId="77777777" w:rsidR="00FB0871" w:rsidRPr="00123DEF" w:rsidRDefault="00FB0871" w:rsidP="005B3968">
            <w:pPr>
              <w:pStyle w:val="SingleTxtG"/>
              <w:ind w:left="0" w:right="0"/>
              <w:jc w:val="left"/>
              <w:rPr>
                <w:i/>
              </w:rPr>
            </w:pPr>
            <w:r w:rsidRPr="00123DEF">
              <w:rPr>
                <w:i/>
              </w:rPr>
              <w:t>Estado parte:</w:t>
            </w:r>
          </w:p>
        </w:tc>
        <w:tc>
          <w:tcPr>
            <w:tcW w:w="3970" w:type="dxa"/>
            <w:shd w:val="clear" w:color="auto" w:fill="auto"/>
          </w:tcPr>
          <w:p w14:paraId="787D47BE" w14:textId="25F015F1" w:rsidR="00FB0871" w:rsidRPr="00123DEF" w:rsidRDefault="00FB0871" w:rsidP="005B3968">
            <w:pPr>
              <w:pStyle w:val="SingleTxtG"/>
              <w:ind w:left="0" w:right="0"/>
              <w:jc w:val="left"/>
            </w:pPr>
            <w:r w:rsidRPr="00123DEF">
              <w:t>España</w:t>
            </w:r>
          </w:p>
        </w:tc>
      </w:tr>
      <w:tr w:rsidR="00FB0871" w:rsidRPr="00123DEF" w14:paraId="6526C643" w14:textId="77777777" w:rsidTr="00123DEF">
        <w:tc>
          <w:tcPr>
            <w:tcW w:w="2835" w:type="dxa"/>
            <w:shd w:val="clear" w:color="auto" w:fill="auto"/>
          </w:tcPr>
          <w:p w14:paraId="31519D57" w14:textId="77777777" w:rsidR="00FB0871" w:rsidRPr="00123DEF" w:rsidRDefault="00FB0871" w:rsidP="005B3968">
            <w:pPr>
              <w:pStyle w:val="SingleTxtG"/>
              <w:ind w:left="0" w:right="0"/>
              <w:jc w:val="left"/>
              <w:rPr>
                <w:i/>
              </w:rPr>
            </w:pPr>
            <w:r w:rsidRPr="00123DEF">
              <w:rPr>
                <w:i/>
              </w:rPr>
              <w:t>Fecha de la comunicación:</w:t>
            </w:r>
          </w:p>
        </w:tc>
        <w:tc>
          <w:tcPr>
            <w:tcW w:w="3970" w:type="dxa"/>
            <w:shd w:val="clear" w:color="auto" w:fill="auto"/>
          </w:tcPr>
          <w:p w14:paraId="230DD811" w14:textId="06868DAE" w:rsidR="00FB0871" w:rsidRPr="00123DEF" w:rsidRDefault="00B91740" w:rsidP="005B3968">
            <w:pPr>
              <w:pStyle w:val="SingleTxtG"/>
              <w:ind w:left="0" w:right="0"/>
              <w:jc w:val="left"/>
            </w:pPr>
            <w:r w:rsidRPr="00123DEF">
              <w:t>21</w:t>
            </w:r>
            <w:r w:rsidR="00CF7602" w:rsidRPr="00123DEF">
              <w:t xml:space="preserve"> de </w:t>
            </w:r>
            <w:r w:rsidRPr="00123DEF">
              <w:t>septiembre</w:t>
            </w:r>
            <w:r w:rsidR="00CF7602" w:rsidRPr="00123DEF">
              <w:t xml:space="preserve"> de 2018</w:t>
            </w:r>
            <w:r w:rsidR="00FB0871" w:rsidRPr="00123DEF">
              <w:t xml:space="preserve"> (</w:t>
            </w:r>
            <w:r w:rsidR="003C5375" w:rsidRPr="00123DEF">
              <w:t xml:space="preserve">presentación </w:t>
            </w:r>
            <w:r w:rsidR="00FB0871" w:rsidRPr="00123DEF">
              <w:t>inicial)</w:t>
            </w:r>
          </w:p>
        </w:tc>
      </w:tr>
      <w:tr w:rsidR="00FB0871" w:rsidRPr="00123DEF" w14:paraId="452F6167" w14:textId="77777777" w:rsidTr="00123DEF">
        <w:tc>
          <w:tcPr>
            <w:tcW w:w="2835" w:type="dxa"/>
            <w:shd w:val="clear" w:color="auto" w:fill="auto"/>
          </w:tcPr>
          <w:p w14:paraId="1B90DA20" w14:textId="72F5F87E" w:rsidR="00FB0871" w:rsidRPr="00123DEF" w:rsidRDefault="00FB0871" w:rsidP="005B3968">
            <w:pPr>
              <w:pStyle w:val="SingleTxtG"/>
              <w:ind w:left="0" w:right="0"/>
              <w:jc w:val="left"/>
              <w:rPr>
                <w:i/>
              </w:rPr>
            </w:pPr>
            <w:r w:rsidRPr="00123DEF">
              <w:rPr>
                <w:i/>
              </w:rPr>
              <w:t>Fecha de aprobación</w:t>
            </w:r>
            <w:r w:rsidRPr="00123DEF">
              <w:rPr>
                <w:i/>
              </w:rPr>
              <w:br/>
              <w:t>de</w:t>
            </w:r>
            <w:r w:rsidR="00116AD8" w:rsidRPr="00123DEF">
              <w:rPr>
                <w:i/>
              </w:rPr>
              <w:t xml:space="preserve"> la decisión</w:t>
            </w:r>
            <w:r w:rsidRPr="00123DEF">
              <w:rPr>
                <w:i/>
              </w:rPr>
              <w:t>:</w:t>
            </w:r>
          </w:p>
        </w:tc>
        <w:tc>
          <w:tcPr>
            <w:tcW w:w="3970" w:type="dxa"/>
            <w:shd w:val="clear" w:color="auto" w:fill="auto"/>
            <w:vAlign w:val="bottom"/>
          </w:tcPr>
          <w:p w14:paraId="1F0CB2AD" w14:textId="614AE106" w:rsidR="00FB0871" w:rsidRPr="00123DEF" w:rsidRDefault="007558F3" w:rsidP="005B3968">
            <w:pPr>
              <w:pStyle w:val="SingleTxtG"/>
              <w:ind w:left="0" w:right="0"/>
              <w:jc w:val="left"/>
            </w:pPr>
            <w:r w:rsidRPr="00123DEF">
              <w:t>12</w:t>
            </w:r>
            <w:r w:rsidR="002258AB" w:rsidRPr="00123DEF">
              <w:t xml:space="preserve"> de </w:t>
            </w:r>
            <w:r w:rsidR="008668C1" w:rsidRPr="00123DEF">
              <w:t>octubre de 2021</w:t>
            </w:r>
          </w:p>
        </w:tc>
      </w:tr>
      <w:tr w:rsidR="00FB0871" w:rsidRPr="00123DEF" w14:paraId="406405AC" w14:textId="77777777" w:rsidTr="00123DEF">
        <w:tc>
          <w:tcPr>
            <w:tcW w:w="2835" w:type="dxa"/>
            <w:shd w:val="clear" w:color="auto" w:fill="auto"/>
          </w:tcPr>
          <w:p w14:paraId="45B87BFE" w14:textId="77777777" w:rsidR="00FB0871" w:rsidRPr="00123DEF" w:rsidRDefault="00FB0871" w:rsidP="005B3968">
            <w:pPr>
              <w:pStyle w:val="SingleTxtG"/>
              <w:ind w:left="0" w:right="0"/>
              <w:jc w:val="left"/>
              <w:rPr>
                <w:i/>
              </w:rPr>
            </w:pPr>
            <w:r w:rsidRPr="00123DEF">
              <w:rPr>
                <w:i/>
              </w:rPr>
              <w:t>Asunto:</w:t>
            </w:r>
          </w:p>
        </w:tc>
        <w:tc>
          <w:tcPr>
            <w:tcW w:w="3970" w:type="dxa"/>
            <w:shd w:val="clear" w:color="auto" w:fill="auto"/>
            <w:vAlign w:val="bottom"/>
          </w:tcPr>
          <w:p w14:paraId="5179955E" w14:textId="77777777" w:rsidR="00FB0871" w:rsidRPr="00123DEF" w:rsidRDefault="000E65E4" w:rsidP="005B3968">
            <w:pPr>
              <w:pStyle w:val="SingleTxtG"/>
              <w:ind w:left="0" w:right="0"/>
              <w:jc w:val="left"/>
            </w:pPr>
            <w:r w:rsidRPr="00123DEF">
              <w:t>Desalojo de la autora de su vivienda</w:t>
            </w:r>
            <w:r w:rsidR="00FB0871" w:rsidRPr="00123DEF">
              <w:rPr>
                <w:i/>
              </w:rPr>
              <w:t xml:space="preserve"> </w:t>
            </w:r>
          </w:p>
        </w:tc>
      </w:tr>
      <w:tr w:rsidR="00FB0871" w:rsidRPr="00123DEF" w14:paraId="2FEAE9ED" w14:textId="77777777" w:rsidTr="00123DEF">
        <w:tc>
          <w:tcPr>
            <w:tcW w:w="2835" w:type="dxa"/>
            <w:shd w:val="clear" w:color="auto" w:fill="auto"/>
          </w:tcPr>
          <w:p w14:paraId="583A7F1C" w14:textId="77777777" w:rsidR="00FB0871" w:rsidRPr="00123DEF" w:rsidRDefault="00FB0871" w:rsidP="005B3968">
            <w:pPr>
              <w:pStyle w:val="SingleTxtG"/>
              <w:ind w:left="0" w:right="0"/>
              <w:jc w:val="left"/>
              <w:rPr>
                <w:i/>
              </w:rPr>
            </w:pPr>
            <w:r w:rsidRPr="00123DEF">
              <w:rPr>
                <w:i/>
              </w:rPr>
              <w:t>Cuestiones de procedimiento:</w:t>
            </w:r>
          </w:p>
        </w:tc>
        <w:tc>
          <w:tcPr>
            <w:tcW w:w="3970" w:type="dxa"/>
            <w:shd w:val="clear" w:color="auto" w:fill="auto"/>
            <w:vAlign w:val="bottom"/>
          </w:tcPr>
          <w:p w14:paraId="572B3707" w14:textId="10A788B6" w:rsidR="00FB0871" w:rsidRPr="00123DEF" w:rsidRDefault="00A71DE9" w:rsidP="005B3968">
            <w:pPr>
              <w:pStyle w:val="SingleTxtG"/>
              <w:ind w:left="0" w:right="0"/>
              <w:jc w:val="left"/>
            </w:pPr>
            <w:r w:rsidRPr="00123DEF">
              <w:t>Falta de sustanciación suficiente</w:t>
            </w:r>
            <w:r w:rsidR="007558F3" w:rsidRPr="00123DEF">
              <w:t>, agotamiento de recursos</w:t>
            </w:r>
          </w:p>
        </w:tc>
      </w:tr>
      <w:tr w:rsidR="00FB0871" w:rsidRPr="00123DEF" w14:paraId="1999E9A2" w14:textId="77777777" w:rsidTr="00123DEF">
        <w:tc>
          <w:tcPr>
            <w:tcW w:w="2835" w:type="dxa"/>
            <w:shd w:val="clear" w:color="auto" w:fill="auto"/>
          </w:tcPr>
          <w:p w14:paraId="621CEF87" w14:textId="06346651" w:rsidR="00FB0871" w:rsidRPr="00123DEF" w:rsidRDefault="00FB0871" w:rsidP="005B3968">
            <w:pPr>
              <w:pStyle w:val="SingleTxtG"/>
              <w:keepNext/>
              <w:ind w:left="0" w:right="0"/>
              <w:jc w:val="left"/>
              <w:rPr>
                <w:i/>
              </w:rPr>
            </w:pPr>
            <w:r w:rsidRPr="00123DEF">
              <w:rPr>
                <w:i/>
              </w:rPr>
              <w:t>Cuesti</w:t>
            </w:r>
            <w:r w:rsidR="0000683B" w:rsidRPr="00123DEF">
              <w:rPr>
                <w:i/>
              </w:rPr>
              <w:t>ón</w:t>
            </w:r>
            <w:r w:rsidRPr="00123DEF">
              <w:rPr>
                <w:i/>
              </w:rPr>
              <w:t xml:space="preserve"> de fondo:</w:t>
            </w:r>
          </w:p>
        </w:tc>
        <w:tc>
          <w:tcPr>
            <w:tcW w:w="3970" w:type="dxa"/>
            <w:shd w:val="clear" w:color="auto" w:fill="auto"/>
            <w:vAlign w:val="bottom"/>
          </w:tcPr>
          <w:p w14:paraId="0B1E045C" w14:textId="77777777" w:rsidR="00FB0871" w:rsidRPr="00123DEF" w:rsidRDefault="00FB0871" w:rsidP="005B3968">
            <w:pPr>
              <w:pStyle w:val="SingleTxtG"/>
              <w:keepNext/>
              <w:ind w:left="0" w:right="0"/>
              <w:jc w:val="left"/>
            </w:pPr>
            <w:r w:rsidRPr="00123DEF">
              <w:t>Derecho a una vivienda adecuada</w:t>
            </w:r>
            <w:r w:rsidRPr="00123DEF">
              <w:rPr>
                <w:color w:val="FF0000"/>
              </w:rPr>
              <w:t xml:space="preserve"> </w:t>
            </w:r>
          </w:p>
        </w:tc>
      </w:tr>
      <w:tr w:rsidR="00FB0871" w:rsidRPr="00123DEF" w14:paraId="300A3C6D" w14:textId="77777777" w:rsidTr="00123DEF">
        <w:tc>
          <w:tcPr>
            <w:tcW w:w="2835" w:type="dxa"/>
            <w:shd w:val="clear" w:color="auto" w:fill="auto"/>
          </w:tcPr>
          <w:p w14:paraId="40A4A5C5" w14:textId="2345EDBF" w:rsidR="00FB0871" w:rsidRPr="00123DEF" w:rsidRDefault="00FB0871" w:rsidP="005B3968">
            <w:pPr>
              <w:pStyle w:val="SingleTxtG"/>
              <w:ind w:left="0" w:right="0"/>
              <w:jc w:val="left"/>
              <w:rPr>
                <w:i/>
              </w:rPr>
            </w:pPr>
            <w:r w:rsidRPr="00123DEF">
              <w:rPr>
                <w:i/>
              </w:rPr>
              <w:t>Artículo del Pacto:</w:t>
            </w:r>
          </w:p>
        </w:tc>
        <w:tc>
          <w:tcPr>
            <w:tcW w:w="3970" w:type="dxa"/>
            <w:shd w:val="clear" w:color="auto" w:fill="auto"/>
            <w:vAlign w:val="bottom"/>
          </w:tcPr>
          <w:p w14:paraId="07786012" w14:textId="4181A058" w:rsidR="00FB0871" w:rsidRPr="00123DEF" w:rsidRDefault="00612ACD" w:rsidP="005B3968">
            <w:pPr>
              <w:pStyle w:val="SingleTxtG"/>
              <w:ind w:left="0" w:right="0"/>
              <w:jc w:val="left"/>
            </w:pPr>
            <w:r w:rsidRPr="00123DEF">
              <w:t>11, párr</w:t>
            </w:r>
            <w:r w:rsidR="008269FB" w:rsidRPr="00123DEF">
              <w:t>.</w:t>
            </w:r>
            <w:r w:rsidR="00C749A3" w:rsidRPr="00123DEF">
              <w:t> </w:t>
            </w:r>
            <w:r w:rsidRPr="00123DEF">
              <w:t>1</w:t>
            </w:r>
          </w:p>
        </w:tc>
      </w:tr>
      <w:tr w:rsidR="00FB0871" w:rsidRPr="00123DEF" w14:paraId="0C379FBA" w14:textId="77777777" w:rsidTr="00123DEF">
        <w:tc>
          <w:tcPr>
            <w:tcW w:w="2835" w:type="dxa"/>
            <w:shd w:val="clear" w:color="auto" w:fill="auto"/>
          </w:tcPr>
          <w:p w14:paraId="13BCE9AF" w14:textId="24F1240A" w:rsidR="00FB0871" w:rsidRPr="00123DEF" w:rsidRDefault="00FB0871" w:rsidP="005B3968">
            <w:pPr>
              <w:pStyle w:val="SingleTxtG"/>
              <w:ind w:left="0" w:right="0"/>
              <w:jc w:val="left"/>
              <w:rPr>
                <w:i/>
              </w:rPr>
            </w:pPr>
            <w:r w:rsidRPr="00123DEF">
              <w:rPr>
                <w:i/>
              </w:rPr>
              <w:t>Artículo del Protocolo</w:t>
            </w:r>
            <w:r w:rsidRPr="00123DEF">
              <w:rPr>
                <w:i/>
              </w:rPr>
              <w:br/>
              <w:t>Facultativo:</w:t>
            </w:r>
          </w:p>
        </w:tc>
        <w:tc>
          <w:tcPr>
            <w:tcW w:w="3970" w:type="dxa"/>
            <w:shd w:val="clear" w:color="auto" w:fill="auto"/>
            <w:vAlign w:val="bottom"/>
          </w:tcPr>
          <w:p w14:paraId="515D8802" w14:textId="4BB4C982" w:rsidR="00FB0871" w:rsidRPr="00123DEF" w:rsidRDefault="009F2F1A" w:rsidP="005B3968">
            <w:pPr>
              <w:pStyle w:val="SingleTxtG"/>
              <w:ind w:left="0" w:right="0"/>
              <w:jc w:val="left"/>
            </w:pPr>
            <w:r w:rsidRPr="00123DEF">
              <w:t>3</w:t>
            </w:r>
            <w:r w:rsidR="008269FB" w:rsidRPr="00123DEF">
              <w:t xml:space="preserve">, </w:t>
            </w:r>
            <w:proofErr w:type="spellStart"/>
            <w:r w:rsidR="008269FB" w:rsidRPr="00123DEF">
              <w:t>párrs</w:t>
            </w:r>
            <w:proofErr w:type="spellEnd"/>
            <w:r w:rsidR="008269FB" w:rsidRPr="00123DEF">
              <w:t>.</w:t>
            </w:r>
            <w:r w:rsidR="00C749A3" w:rsidRPr="00123DEF">
              <w:t> </w:t>
            </w:r>
            <w:r w:rsidRPr="00123DEF">
              <w:t>1</w:t>
            </w:r>
            <w:r w:rsidR="008269FB" w:rsidRPr="00123DEF">
              <w:t xml:space="preserve"> y</w:t>
            </w:r>
            <w:r w:rsidR="00A71DE9" w:rsidRPr="00123DEF">
              <w:t xml:space="preserve"> 2 e</w:t>
            </w:r>
            <w:r w:rsidR="00AB7486" w:rsidRPr="00123DEF">
              <w:t>)</w:t>
            </w:r>
          </w:p>
        </w:tc>
      </w:tr>
    </w:tbl>
    <w:p w14:paraId="3B6B0ADE" w14:textId="30DBB2A7" w:rsidR="00BE4626" w:rsidRPr="00123DEF" w:rsidRDefault="00BE4626">
      <w:pPr>
        <w:pStyle w:val="SingleTxtG"/>
        <w:spacing w:before="120"/>
      </w:pPr>
      <w:r w:rsidRPr="00123DEF">
        <w:t>1.1</w:t>
      </w:r>
      <w:r w:rsidRPr="00123DEF">
        <w:tab/>
        <w:t xml:space="preserve">La autora de la comunicación es </w:t>
      </w:r>
      <w:r w:rsidR="00174E19" w:rsidRPr="00123DEF">
        <w:t>Gladis Patricia Loor Chila</w:t>
      </w:r>
      <w:r w:rsidRPr="00123DEF">
        <w:t xml:space="preserve">, </w:t>
      </w:r>
      <w:r w:rsidR="00174E19" w:rsidRPr="00123DEF">
        <w:t xml:space="preserve">nacional </w:t>
      </w:r>
      <w:r w:rsidR="00A45F59" w:rsidRPr="00123DEF">
        <w:t>de E</w:t>
      </w:r>
      <w:r w:rsidR="00174E19" w:rsidRPr="00123DEF">
        <w:t>spañ</w:t>
      </w:r>
      <w:r w:rsidR="009A6115" w:rsidRPr="00123DEF">
        <w:t>a</w:t>
      </w:r>
      <w:r w:rsidR="00174E19" w:rsidRPr="00123DEF">
        <w:t xml:space="preserve"> y </w:t>
      </w:r>
      <w:r w:rsidR="00A45F59" w:rsidRPr="00123DEF">
        <w:t>el E</w:t>
      </w:r>
      <w:r w:rsidR="00174E19" w:rsidRPr="00123DEF">
        <w:t>cua</w:t>
      </w:r>
      <w:r w:rsidR="00A45F59" w:rsidRPr="00123DEF">
        <w:t>dor,</w:t>
      </w:r>
      <w:r w:rsidRPr="00123DEF">
        <w:t xml:space="preserve"> nacida </w:t>
      </w:r>
      <w:r w:rsidR="00383796" w:rsidRPr="00123DEF">
        <w:t xml:space="preserve">el </w:t>
      </w:r>
      <w:r w:rsidR="00174E19" w:rsidRPr="00123DEF">
        <w:t>10 de octubre de 1966</w:t>
      </w:r>
      <w:r w:rsidRPr="00123DEF">
        <w:t xml:space="preserve">. </w:t>
      </w:r>
      <w:r w:rsidR="000C5314" w:rsidRPr="00123DEF">
        <w:t xml:space="preserve">La autora actúa en nombre propio y en el de </w:t>
      </w:r>
      <w:r w:rsidR="00D825ED" w:rsidRPr="00123DEF">
        <w:t>su</w:t>
      </w:r>
      <w:r w:rsidR="008455A5" w:rsidRPr="00123DEF">
        <w:t xml:space="preserve">s </w:t>
      </w:r>
      <w:r w:rsidR="00174E19" w:rsidRPr="00123DEF">
        <w:t>nietos</w:t>
      </w:r>
      <w:r w:rsidR="00D825ED" w:rsidRPr="00123DEF">
        <w:t xml:space="preserve"> menor</w:t>
      </w:r>
      <w:r w:rsidR="008455A5" w:rsidRPr="00123DEF">
        <w:t>es</w:t>
      </w:r>
      <w:r w:rsidR="0079124E" w:rsidRPr="00123DEF">
        <w:t>,</w:t>
      </w:r>
      <w:r w:rsidR="008455A5" w:rsidRPr="00123DEF">
        <w:t xml:space="preserve"> </w:t>
      </w:r>
      <w:r w:rsidR="00174E19" w:rsidRPr="00123DEF">
        <w:t>que se encuentran a su cargo</w:t>
      </w:r>
      <w:r w:rsidR="0079124E" w:rsidRPr="00123DEF">
        <w:t>,</w:t>
      </w:r>
      <w:r w:rsidR="00174E19" w:rsidRPr="00123DEF">
        <w:t xml:space="preserve"> </w:t>
      </w:r>
      <w:r w:rsidR="008455A5" w:rsidRPr="00123DEF">
        <w:t>nacidos</w:t>
      </w:r>
      <w:r w:rsidR="00D825ED" w:rsidRPr="00123DEF">
        <w:t xml:space="preserve"> el </w:t>
      </w:r>
      <w:r w:rsidR="00174E19" w:rsidRPr="00123DEF">
        <w:t>11 de septiembre de 2003 y el 2 de abril de 2009</w:t>
      </w:r>
      <w:r w:rsidR="0079124E" w:rsidRPr="00123DEF">
        <w:t xml:space="preserve"> respectivamente</w:t>
      </w:r>
      <w:r w:rsidR="000009F9" w:rsidRPr="00123DEF">
        <w:t xml:space="preserve">. </w:t>
      </w:r>
      <w:r w:rsidR="0058045E" w:rsidRPr="00123DEF">
        <w:t xml:space="preserve">La autora sostiene que </w:t>
      </w:r>
      <w:r w:rsidR="00CF7602" w:rsidRPr="00123DEF">
        <w:t xml:space="preserve">ella y </w:t>
      </w:r>
      <w:r w:rsidR="00D825ED" w:rsidRPr="00123DEF">
        <w:t>su</w:t>
      </w:r>
      <w:r w:rsidR="001E43E5" w:rsidRPr="00123DEF">
        <w:t xml:space="preserve">s </w:t>
      </w:r>
      <w:r w:rsidR="0079124E" w:rsidRPr="00123DEF">
        <w:t>nietos</w:t>
      </w:r>
      <w:r w:rsidR="00CF7602" w:rsidRPr="00123DEF">
        <w:t xml:space="preserve"> son</w:t>
      </w:r>
      <w:r w:rsidR="0058045E" w:rsidRPr="00123DEF">
        <w:t xml:space="preserve"> víctima</w:t>
      </w:r>
      <w:r w:rsidR="00CF7602" w:rsidRPr="00123DEF">
        <w:t>s</w:t>
      </w:r>
      <w:r w:rsidR="0058045E" w:rsidRPr="00123DEF">
        <w:t xml:space="preserve"> de una violación de los derechos que l</w:t>
      </w:r>
      <w:r w:rsidR="00A45F59" w:rsidRPr="00123DEF">
        <w:t>o</w:t>
      </w:r>
      <w:r w:rsidR="00CF7602" w:rsidRPr="00123DEF">
        <w:t>s</w:t>
      </w:r>
      <w:r w:rsidR="0058045E" w:rsidRPr="00123DEF">
        <w:t xml:space="preserve"> asisten en virtud del artículo</w:t>
      </w:r>
      <w:r w:rsidR="00A45F59" w:rsidRPr="00123DEF">
        <w:t> </w:t>
      </w:r>
      <w:r w:rsidR="0058045E" w:rsidRPr="00123DEF">
        <w:t xml:space="preserve">11, </w:t>
      </w:r>
      <w:r w:rsidR="00C749A3" w:rsidRPr="00123DEF">
        <w:t>párrafo </w:t>
      </w:r>
      <w:r w:rsidR="0058045E" w:rsidRPr="00123DEF">
        <w:t xml:space="preserve">1, del Pacto por el Estado parte. El Protocolo Facultativo entró en vigor para el Estado parte el 5 de mayo </w:t>
      </w:r>
      <w:r w:rsidR="008A54B9" w:rsidRPr="00123DEF">
        <w:t>de </w:t>
      </w:r>
      <w:r w:rsidR="0058045E" w:rsidRPr="00123DEF">
        <w:t>2013</w:t>
      </w:r>
      <w:r w:rsidRPr="00123DEF">
        <w:t xml:space="preserve">. </w:t>
      </w:r>
      <w:r w:rsidR="009F165C" w:rsidRPr="00123DEF">
        <w:t>La autora</w:t>
      </w:r>
      <w:r w:rsidR="000009F9" w:rsidRPr="00123DEF">
        <w:t xml:space="preserve"> </w:t>
      </w:r>
      <w:r w:rsidR="009F165C" w:rsidRPr="00123DEF">
        <w:t>está representada</w:t>
      </w:r>
      <w:r w:rsidR="001A5D16" w:rsidRPr="00123DEF">
        <w:t xml:space="preserve"> por </w:t>
      </w:r>
      <w:r w:rsidR="00187943" w:rsidRPr="00123DEF">
        <w:t xml:space="preserve">una </w:t>
      </w:r>
      <w:r w:rsidR="001A5D16" w:rsidRPr="00123DEF">
        <w:t>abogada</w:t>
      </w:r>
      <w:r w:rsidRPr="00123DEF">
        <w:t>.</w:t>
      </w:r>
    </w:p>
    <w:p w14:paraId="148CB194" w14:textId="70231BE7" w:rsidR="00BE4626" w:rsidRPr="00123DEF" w:rsidRDefault="00BE4626" w:rsidP="00123DEF">
      <w:pPr>
        <w:pStyle w:val="SingleTxtG"/>
      </w:pPr>
      <w:r w:rsidRPr="00123DEF">
        <w:t>1.2</w:t>
      </w:r>
      <w:r w:rsidR="009F165C" w:rsidRPr="00123DEF">
        <w:tab/>
        <w:t xml:space="preserve">El </w:t>
      </w:r>
      <w:r w:rsidR="00950F23" w:rsidRPr="00123DEF">
        <w:t>5 de febrero de 2019</w:t>
      </w:r>
      <w:r w:rsidRPr="00123DEF">
        <w:t xml:space="preserve">, el Comité, actuando por medio de su </w:t>
      </w:r>
      <w:r w:rsidR="005D5BE3" w:rsidRPr="00123DEF">
        <w:t>g</w:t>
      </w:r>
      <w:r w:rsidRPr="00123DEF">
        <w:t xml:space="preserve">rupo de </w:t>
      </w:r>
      <w:r w:rsidR="005D5BE3" w:rsidRPr="00123DEF">
        <w:t>t</w:t>
      </w:r>
      <w:r w:rsidRPr="00123DEF">
        <w:t>rabajo</w:t>
      </w:r>
      <w:r w:rsidR="00EA245C" w:rsidRPr="00123DEF">
        <w:t xml:space="preserve"> sobre comunicaciones</w:t>
      </w:r>
      <w:r w:rsidR="006E090D" w:rsidRPr="00123DEF">
        <w:t xml:space="preserve"> individuales</w:t>
      </w:r>
      <w:r w:rsidRPr="00123DEF">
        <w:t>, registró la comunicación y</w:t>
      </w:r>
      <w:r w:rsidR="006C1516" w:rsidRPr="00123DEF">
        <w:t>, tomando nota de la inminencia del lanzamiento y de las alegaciones de ausencia de alternativa habitacional y riesgo de daño irreparable,</w:t>
      </w:r>
      <w:r w:rsidRPr="00123DEF">
        <w:t xml:space="preserve"> solicitó al Estado parte suspender el desalojo de la autora </w:t>
      </w:r>
      <w:r w:rsidR="007414F1" w:rsidRPr="00123DEF">
        <w:t>mientras la comunicación se encontrara pendiente de</w:t>
      </w:r>
      <w:r w:rsidRPr="00123DEF">
        <w:t xml:space="preserve"> examen </w:t>
      </w:r>
      <w:r w:rsidR="009F165C" w:rsidRPr="00123DEF">
        <w:t>o, alternativamente, otorgarle</w:t>
      </w:r>
      <w:r w:rsidRPr="00123DEF">
        <w:t xml:space="preserve"> una vivienda </w:t>
      </w:r>
      <w:r w:rsidRPr="00123DEF">
        <w:lastRenderedPageBreak/>
        <w:t xml:space="preserve">adecuada en consulta genuina, con el objeto de evitar daños irreparables sobre </w:t>
      </w:r>
      <w:r w:rsidR="009F165C" w:rsidRPr="00123DEF">
        <w:t>ella</w:t>
      </w:r>
      <w:r w:rsidR="001A43C5" w:rsidRPr="00123DEF">
        <w:t xml:space="preserve"> o</w:t>
      </w:r>
      <w:r w:rsidR="005D6784" w:rsidRPr="00123DEF">
        <w:t xml:space="preserve"> sus nietos</w:t>
      </w:r>
      <w:r w:rsidR="001A43C5" w:rsidRPr="00123DEF">
        <w:t>.</w:t>
      </w:r>
    </w:p>
    <w:p w14:paraId="748546D1" w14:textId="24B93965" w:rsidR="00383796" w:rsidRPr="00123DEF" w:rsidRDefault="00BE4626">
      <w:pPr>
        <w:pStyle w:val="SingleTxtG"/>
      </w:pPr>
      <w:r w:rsidRPr="00123DEF">
        <w:t>1.3</w:t>
      </w:r>
      <w:r w:rsidRPr="00123DEF">
        <w:tab/>
        <w:t xml:space="preserve">En </w:t>
      </w:r>
      <w:r w:rsidR="00D4461C" w:rsidRPr="00123DEF">
        <w:t xml:space="preserve">la </w:t>
      </w:r>
      <w:r w:rsidRPr="00123DEF">
        <w:t xml:space="preserve">presente </w:t>
      </w:r>
      <w:r w:rsidR="00D4461C" w:rsidRPr="00123DEF">
        <w:t>decisión</w:t>
      </w:r>
      <w:r w:rsidR="0008108F" w:rsidRPr="00123DEF">
        <w:t>,</w:t>
      </w:r>
      <w:r w:rsidRPr="00123DEF">
        <w:t xml:space="preserve"> el Comité resume en primer lugar la información y los alegatos presentados por las partes, sin reflejar las posturas del Comité; seguidamente examina las cuestiones de admisibilidad</w:t>
      </w:r>
      <w:r w:rsidR="009F2F1A" w:rsidRPr="00123DEF">
        <w:t xml:space="preserve"> </w:t>
      </w:r>
      <w:r w:rsidRPr="00123DEF">
        <w:t>planteadas en la comunicación; y finalmente establece sus conclusiones.</w:t>
      </w:r>
      <w:r w:rsidR="00383796" w:rsidRPr="00123DEF">
        <w:t xml:space="preserve"> </w:t>
      </w:r>
    </w:p>
    <w:p w14:paraId="37FAA7C7" w14:textId="77777777" w:rsidR="00BE4626" w:rsidRPr="00123DEF" w:rsidRDefault="00BE4626" w:rsidP="00123DEF">
      <w:pPr>
        <w:pStyle w:val="H1G"/>
      </w:pPr>
      <w:r w:rsidRPr="00123DEF">
        <w:tab/>
        <w:t>A.</w:t>
      </w:r>
      <w:r w:rsidRPr="00123DEF">
        <w:tab/>
        <w:t>Resumen de la información y alegatos de las partes</w:t>
      </w:r>
    </w:p>
    <w:p w14:paraId="26034DD8" w14:textId="4E68E841" w:rsidR="00BE4626" w:rsidRPr="00123DEF" w:rsidRDefault="00BE4626">
      <w:pPr>
        <w:pStyle w:val="H23G"/>
      </w:pPr>
      <w:r w:rsidRPr="00123DEF">
        <w:tab/>
      </w:r>
      <w:r w:rsidRPr="00123DEF">
        <w:tab/>
      </w:r>
      <w:r w:rsidR="001A5D16" w:rsidRPr="00123DEF">
        <w:t>Fundamentos de hecho</w:t>
      </w:r>
      <w:r w:rsidRPr="00123DEF">
        <w:rPr>
          <w:rStyle w:val="FootnoteReference"/>
          <w:b w:val="0"/>
          <w:bCs/>
        </w:rPr>
        <w:footnoteReference w:id="2"/>
      </w:r>
    </w:p>
    <w:p w14:paraId="67CE150F" w14:textId="2CD7A339" w:rsidR="00BE4626" w:rsidRPr="00123DEF" w:rsidRDefault="00BE4626">
      <w:pPr>
        <w:pStyle w:val="H4G"/>
      </w:pPr>
      <w:r w:rsidRPr="00123DEF">
        <w:tab/>
      </w:r>
      <w:r w:rsidRPr="00123DEF">
        <w:tab/>
      </w:r>
      <w:bookmarkStart w:id="0" w:name="OLE_LINK3"/>
      <w:bookmarkStart w:id="1" w:name="OLE_LINK4"/>
      <w:r w:rsidR="00D4461C" w:rsidRPr="00123DEF">
        <w:t>H</w:t>
      </w:r>
      <w:r w:rsidRPr="00123DEF">
        <w:t>echos previos al registro de la comunicaci</w:t>
      </w:r>
      <w:r w:rsidR="00883C04">
        <w:rPr>
          <w:noProof/>
        </w:rPr>
        <w:drawing>
          <wp:anchor distT="0" distB="0" distL="114300" distR="114300" simplePos="0" relativeHeight="251657216" behindDoc="0" locked="1" layoutInCell="1" allowOverlap="1" wp14:anchorId="05B5A063" wp14:editId="11C0CF26">
            <wp:simplePos x="0" y="0"/>
            <wp:positionH relativeFrom="margin">
              <wp:posOffset>5039995</wp:posOffset>
            </wp:positionH>
            <wp:positionV relativeFrom="margin">
              <wp:posOffset>10043795</wp:posOffset>
            </wp:positionV>
            <wp:extent cx="1085850" cy="228600"/>
            <wp:effectExtent l="0" t="0" r="0" b="0"/>
            <wp:wrapNone/>
            <wp:docPr id="3" name="Pictur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123DEF">
        <w:t>ón</w:t>
      </w:r>
    </w:p>
    <w:bookmarkEnd w:id="0"/>
    <w:bookmarkEnd w:id="1"/>
    <w:p w14:paraId="680AC620" w14:textId="5A4EB457" w:rsidR="00237DA2" w:rsidRPr="00123DEF" w:rsidRDefault="008D6748">
      <w:pPr>
        <w:pStyle w:val="SingleTxtG"/>
      </w:pPr>
      <w:r w:rsidRPr="00123DEF">
        <w:t>2.1</w:t>
      </w:r>
      <w:r w:rsidR="00277A2E" w:rsidRPr="00123DEF">
        <w:tab/>
      </w:r>
      <w:r w:rsidR="0079124E" w:rsidRPr="00123DEF">
        <w:t>En una fecha indeterminada</w:t>
      </w:r>
      <w:r w:rsidR="00C24545" w:rsidRPr="00123DEF">
        <w:t xml:space="preserve"> entre agosto de 2017 y febrero de 2018</w:t>
      </w:r>
      <w:r w:rsidR="00656CA3" w:rsidRPr="00123DEF">
        <w:t xml:space="preserve">, la autora </w:t>
      </w:r>
      <w:r w:rsidR="0079124E" w:rsidRPr="00123DEF">
        <w:t>empezó a ocupar una vivienda</w:t>
      </w:r>
      <w:r w:rsidR="00656CA3" w:rsidRPr="00123DEF">
        <w:t xml:space="preserve"> sin título legal</w:t>
      </w:r>
      <w:r w:rsidR="00656CA3" w:rsidRPr="00123DEF">
        <w:rPr>
          <w:rStyle w:val="FootnoteReference"/>
        </w:rPr>
        <w:footnoteReference w:id="3"/>
      </w:r>
      <w:r w:rsidR="00C60F8F" w:rsidRPr="00123DEF">
        <w:t>.</w:t>
      </w:r>
    </w:p>
    <w:p w14:paraId="005FA620" w14:textId="181F7DED" w:rsidR="00237DA2" w:rsidRPr="00123DEF" w:rsidRDefault="00237DA2">
      <w:pPr>
        <w:pStyle w:val="SingleTxtG"/>
      </w:pPr>
      <w:r w:rsidRPr="00123DEF">
        <w:t>2.2</w:t>
      </w:r>
      <w:r w:rsidRPr="00123DEF">
        <w:tab/>
        <w:t xml:space="preserve">El 6 de febrero de 2018, el fondo propietario de la vivienda formuló una demanda de </w:t>
      </w:r>
      <w:r w:rsidR="00C60F8F" w:rsidRPr="00123DEF">
        <w:t>j</w:t>
      </w:r>
      <w:r w:rsidRPr="00123DEF">
        <w:t xml:space="preserve">uicio </w:t>
      </w:r>
      <w:r w:rsidR="00C60F8F" w:rsidRPr="00123DEF">
        <w:t>v</w:t>
      </w:r>
      <w:r w:rsidRPr="00123DEF">
        <w:t>erbal sobre desahucio por precario</w:t>
      </w:r>
      <w:r w:rsidR="004065F8" w:rsidRPr="00123DEF">
        <w:rPr>
          <w:rStyle w:val="FootnoteReference"/>
        </w:rPr>
        <w:footnoteReference w:id="4"/>
      </w:r>
      <w:r w:rsidRPr="00123DEF">
        <w:t xml:space="preserve"> contra la autora con el objetivo de recuperar la posesión del bien inmueble. </w:t>
      </w:r>
      <w:r w:rsidR="008F2C3B" w:rsidRPr="00123DEF">
        <w:t xml:space="preserve">El 27 de junio de 2018, el Juzgado de Primera Instancia </w:t>
      </w:r>
      <w:r w:rsidR="00C60F8F" w:rsidRPr="00123DEF">
        <w:t>núm</w:t>
      </w:r>
      <w:r w:rsidR="008F2C3B" w:rsidRPr="00123DEF">
        <w:t>.</w:t>
      </w:r>
      <w:r w:rsidR="00362A7E" w:rsidRPr="00123DEF">
        <w:t> </w:t>
      </w:r>
      <w:r w:rsidR="008F2C3B" w:rsidRPr="00123DEF">
        <w:t xml:space="preserve">8 de Rubí (Barcelona) estimó íntegramente la demanda al considerar probado por parte del demandante su título de propiedad y en ausencia de ninguna indicación por parte de la demandada de un título o derecho de ocupación. El Juzgado por tanto declaró el desahucio del </w:t>
      </w:r>
      <w:r w:rsidR="00D46833" w:rsidRPr="00123DEF">
        <w:t>inmueble y</w:t>
      </w:r>
      <w:r w:rsidR="009D352B" w:rsidRPr="00123DEF">
        <w:t>, e</w:t>
      </w:r>
      <w:r w:rsidR="008F2C3B" w:rsidRPr="00123DEF">
        <w:t xml:space="preserve">n caso de que la autora no abandonara la vivienda y que la sentencia adquiriera firmeza, se fijó </w:t>
      </w:r>
      <w:r w:rsidR="00187943" w:rsidRPr="00123DEF">
        <w:t xml:space="preserve">el </w:t>
      </w:r>
      <w:r w:rsidR="008F2C3B" w:rsidRPr="00123DEF">
        <w:t xml:space="preserve">lanzamiento para el 25 de septiembre de 2018. </w:t>
      </w:r>
      <w:r w:rsidR="00D46833" w:rsidRPr="00123DEF">
        <w:t>La autora apeló esta sentencia</w:t>
      </w:r>
      <w:r w:rsidR="0079124E" w:rsidRPr="00123DEF">
        <w:rPr>
          <w:rStyle w:val="FootnoteReference"/>
        </w:rPr>
        <w:footnoteReference w:id="5"/>
      </w:r>
      <w:r w:rsidR="004D36B5" w:rsidRPr="00123DEF">
        <w:t>.</w:t>
      </w:r>
    </w:p>
    <w:p w14:paraId="7074CDB3" w14:textId="61CC1CA0" w:rsidR="00D46833" w:rsidRPr="00123DEF" w:rsidRDefault="00D46833">
      <w:pPr>
        <w:pStyle w:val="SingleTxtG"/>
      </w:pPr>
      <w:r w:rsidRPr="00123DEF">
        <w:t>2.3</w:t>
      </w:r>
      <w:r w:rsidRPr="00123DEF">
        <w:tab/>
        <w:t xml:space="preserve">El 25 de octubre de 2018, </w:t>
      </w:r>
      <w:r w:rsidR="00390ED0" w:rsidRPr="00123DEF">
        <w:t xml:space="preserve">el Juzgado de Primera Instancia </w:t>
      </w:r>
      <w:r w:rsidR="001310C6" w:rsidRPr="00123DEF">
        <w:t>núm</w:t>
      </w:r>
      <w:r w:rsidR="00390ED0" w:rsidRPr="00123DEF">
        <w:t>. 8 de Rubí aceptó la solicitud d</w:t>
      </w:r>
      <w:r w:rsidRPr="00123DEF">
        <w:t xml:space="preserve">el </w:t>
      </w:r>
      <w:r w:rsidR="00390ED0" w:rsidRPr="00123DEF">
        <w:t>fondo propietario de</w:t>
      </w:r>
      <w:r w:rsidRPr="00123DEF">
        <w:t xml:space="preserve"> ejecución provisional de la sentencia pendiente de resolución en apelación</w:t>
      </w:r>
      <w:r w:rsidR="00390ED0" w:rsidRPr="00123DEF">
        <w:t xml:space="preserve">, </w:t>
      </w:r>
      <w:r w:rsidR="001310C6" w:rsidRPr="00123DEF">
        <w:t xml:space="preserve">por la que se </w:t>
      </w:r>
      <w:r w:rsidR="00390ED0" w:rsidRPr="00123DEF">
        <w:t>ordena</w:t>
      </w:r>
      <w:r w:rsidR="001310C6" w:rsidRPr="00123DEF">
        <w:t>ba</w:t>
      </w:r>
      <w:r w:rsidR="00390ED0" w:rsidRPr="00123DEF">
        <w:t xml:space="preserve"> a la autora desalojar el inmueble y fij</w:t>
      </w:r>
      <w:r w:rsidR="001310C6" w:rsidRPr="00123DEF">
        <w:t>ó</w:t>
      </w:r>
      <w:r w:rsidR="00390ED0" w:rsidRPr="00123DEF">
        <w:t xml:space="preserve"> </w:t>
      </w:r>
      <w:r w:rsidR="00F75984" w:rsidRPr="00123DEF">
        <w:t xml:space="preserve">el </w:t>
      </w:r>
      <w:r w:rsidR="00390ED0" w:rsidRPr="00123DEF">
        <w:t>lanzamiento el 9 de enero de 2019 en caso de que no lo hiciera</w:t>
      </w:r>
      <w:r w:rsidRPr="00123DEF">
        <w:t>.</w:t>
      </w:r>
      <w:r w:rsidR="00390ED0" w:rsidRPr="00123DEF">
        <w:t xml:space="preserve"> La autora se opuso a esta ejecución provisional.</w:t>
      </w:r>
      <w:r w:rsidRPr="00123DEF">
        <w:t xml:space="preserve"> El 17 de diciembre de 2018, El Juzgado de Primera Instancia </w:t>
      </w:r>
      <w:r w:rsidR="00F75984" w:rsidRPr="00123DEF">
        <w:t>núm</w:t>
      </w:r>
      <w:r w:rsidRPr="00123DEF">
        <w:t>.</w:t>
      </w:r>
      <w:r w:rsidR="00362A7E" w:rsidRPr="00123DEF">
        <w:t> </w:t>
      </w:r>
      <w:r w:rsidRPr="00123DEF">
        <w:t>8 de Rubí</w:t>
      </w:r>
      <w:r w:rsidR="00390ED0" w:rsidRPr="00123DEF">
        <w:t xml:space="preserve"> confirmó la ejecución provisional de la sentencia, tras tomar n</w:t>
      </w:r>
      <w:r w:rsidRPr="00123DEF">
        <w:t>ota de la claridad de la sentencia, las escasas probabilidades de que el recurso prosperara,</w:t>
      </w:r>
      <w:r w:rsidR="00560669" w:rsidRPr="00123DEF">
        <w:t xml:space="preserve"> que la autora recibía asistencia de los Servicios Sociales,</w:t>
      </w:r>
      <w:r w:rsidRPr="00123DEF">
        <w:t xml:space="preserve"> y la posibilidad </w:t>
      </w:r>
      <w:r w:rsidR="00F75984" w:rsidRPr="00123DEF">
        <w:t xml:space="preserve">de </w:t>
      </w:r>
      <w:r w:rsidRPr="00123DEF">
        <w:t>restitución del inmueble para que la autora pudiera volver a ocuparlo</w:t>
      </w:r>
      <w:r w:rsidR="00560669" w:rsidRPr="00123DEF">
        <w:t xml:space="preserve"> en caso de que la sentencia estimara la apelación</w:t>
      </w:r>
      <w:r w:rsidRPr="00123DEF">
        <w:t xml:space="preserve">. </w:t>
      </w:r>
    </w:p>
    <w:p w14:paraId="4C042F15" w14:textId="7E93F8E5" w:rsidR="00390ED0" w:rsidRPr="00123DEF" w:rsidRDefault="00390ED0">
      <w:pPr>
        <w:pStyle w:val="SingleTxtG"/>
      </w:pPr>
      <w:r w:rsidRPr="00123DEF">
        <w:t>2.4</w:t>
      </w:r>
      <w:r w:rsidRPr="00123DEF">
        <w:tab/>
      </w:r>
      <w:r w:rsidR="00DE44B1" w:rsidRPr="00123DEF">
        <w:t xml:space="preserve">El 3 de enero de 2019, el Juzgado </w:t>
      </w:r>
      <w:r w:rsidR="00401DF8" w:rsidRPr="00123DEF">
        <w:t xml:space="preserve">de Primera Instancia </w:t>
      </w:r>
      <w:r w:rsidR="00F75984" w:rsidRPr="00123DEF">
        <w:t>núm</w:t>
      </w:r>
      <w:r w:rsidR="00DE44B1" w:rsidRPr="00123DEF">
        <w:t>.</w:t>
      </w:r>
      <w:r w:rsidR="008A54B9" w:rsidRPr="00123DEF">
        <w:t> </w:t>
      </w:r>
      <w:r w:rsidR="00DE44B1" w:rsidRPr="00123DEF">
        <w:t>8 de Rubí solicitó</w:t>
      </w:r>
      <w:r w:rsidR="00F75984" w:rsidRPr="00123DEF">
        <w:t xml:space="preserve"> un</w:t>
      </w:r>
      <w:r w:rsidR="00DE44B1" w:rsidRPr="00123DEF">
        <w:t xml:space="preserve"> informe de evaluación de situación de riesgo social y medidas para evitarlo a los Servicios </w:t>
      </w:r>
      <w:r w:rsidR="007E5CE4" w:rsidRPr="00123DEF">
        <w:t>S</w:t>
      </w:r>
      <w:r w:rsidR="00DE44B1" w:rsidRPr="00123DEF">
        <w:t xml:space="preserve">ociales. </w:t>
      </w:r>
      <w:r w:rsidRPr="00123DEF">
        <w:t xml:space="preserve">El 7 de enero de 2019, los Servicios Sociales y la autora solicitaron la suspensión del lanzamiento, tenida cuenta de la presencia de menores y falta de vivienda alternativa. </w:t>
      </w:r>
      <w:r w:rsidR="007E7566" w:rsidRPr="00123DEF">
        <w:t xml:space="preserve">En la misma fecha, el Juzgado de Primera Instancia </w:t>
      </w:r>
      <w:r w:rsidR="00F75984" w:rsidRPr="00123DEF">
        <w:t>núm</w:t>
      </w:r>
      <w:r w:rsidR="007E7566" w:rsidRPr="00123DEF">
        <w:t>.</w:t>
      </w:r>
      <w:r w:rsidR="008A54B9" w:rsidRPr="00123DEF">
        <w:t> </w:t>
      </w:r>
      <w:r w:rsidR="007E7566" w:rsidRPr="00123DEF">
        <w:t xml:space="preserve">8 de Rubí decidió no aplazar el lanzamiento, toda vez que ya se habían sobrepasado las prórrogas posibles de acuerdo con el </w:t>
      </w:r>
      <w:r w:rsidR="00C749A3" w:rsidRPr="00123DEF">
        <w:t>artículo </w:t>
      </w:r>
      <w:r w:rsidR="007E7566" w:rsidRPr="00123DEF">
        <w:t xml:space="preserve">704 de la Ley de Enjuiciamiento Civil (un mes prorrogable a un mes más). </w:t>
      </w:r>
    </w:p>
    <w:p w14:paraId="578F25CC" w14:textId="672A9438" w:rsidR="007E7566" w:rsidRPr="00123DEF" w:rsidRDefault="007E7566">
      <w:pPr>
        <w:pStyle w:val="SingleTxtG"/>
      </w:pPr>
      <w:r w:rsidRPr="00123DEF">
        <w:t>2.5</w:t>
      </w:r>
      <w:r w:rsidRPr="00123DEF">
        <w:tab/>
        <w:t xml:space="preserve">El 9 de enero de 2019 no se pudo llevar a cabo el lanzamiento pues </w:t>
      </w:r>
      <w:r w:rsidR="00034821" w:rsidRPr="00123DEF">
        <w:t xml:space="preserve">la autora no había abandonado la vivienda y </w:t>
      </w:r>
      <w:r w:rsidRPr="00123DEF">
        <w:t>la comisión judicial no contaba con la asistencia de las fuerzas de seguridad</w:t>
      </w:r>
      <w:r w:rsidRPr="00123DEF">
        <w:rPr>
          <w:rStyle w:val="FootnoteReference"/>
        </w:rPr>
        <w:footnoteReference w:id="6"/>
      </w:r>
      <w:r w:rsidR="00F75984" w:rsidRPr="00123DEF">
        <w:t>.</w:t>
      </w:r>
      <w:r w:rsidRPr="00123DEF">
        <w:t xml:space="preserve"> El 10 de enero de 2019, se fijó nueva fecha de lanzamiento para el </w:t>
      </w:r>
      <w:r w:rsidR="008A54B9" w:rsidRPr="00123DEF">
        <w:t>6 </w:t>
      </w:r>
      <w:r w:rsidRPr="00123DEF">
        <w:t xml:space="preserve">de febrero de 2019. </w:t>
      </w:r>
    </w:p>
    <w:p w14:paraId="29A9F5E7" w14:textId="47E64CCF" w:rsidR="00872158" w:rsidRPr="00123DEF" w:rsidRDefault="00586877" w:rsidP="00123DEF">
      <w:pPr>
        <w:pStyle w:val="H4G"/>
      </w:pPr>
      <w:r w:rsidRPr="00123DEF">
        <w:tab/>
      </w:r>
      <w:r w:rsidRPr="00123DEF">
        <w:tab/>
      </w:r>
      <w:r w:rsidR="00D4461C" w:rsidRPr="00123DEF">
        <w:t>H</w:t>
      </w:r>
      <w:r w:rsidR="00872158" w:rsidRPr="00123DEF">
        <w:t>echos posteriores al registro de la comunicaci</w:t>
      </w:r>
      <w:r w:rsidR="00883C04">
        <w:rPr>
          <w:noProof/>
        </w:rPr>
        <w:drawing>
          <wp:anchor distT="0" distB="0" distL="114300" distR="114300" simplePos="0" relativeHeight="251658240" behindDoc="0" locked="1" layoutInCell="1" allowOverlap="1" wp14:anchorId="6F4D5C0E" wp14:editId="7511D35B">
            <wp:simplePos x="0" y="0"/>
            <wp:positionH relativeFrom="margin">
              <wp:posOffset>5039995</wp:posOffset>
            </wp:positionH>
            <wp:positionV relativeFrom="margin">
              <wp:posOffset>10043795</wp:posOffset>
            </wp:positionV>
            <wp:extent cx="1085850" cy="228600"/>
            <wp:effectExtent l="0" t="0" r="0" b="0"/>
            <wp:wrapNone/>
            <wp:docPr id="2" name="Picture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872158" w:rsidRPr="00123DEF">
        <w:t>ón</w:t>
      </w:r>
    </w:p>
    <w:p w14:paraId="784B5CE1" w14:textId="41459B8F" w:rsidR="008A6591" w:rsidRPr="00123DEF" w:rsidRDefault="00472262">
      <w:pPr>
        <w:pStyle w:val="SingleTxtG"/>
      </w:pPr>
      <w:r w:rsidRPr="00123DEF">
        <w:t>2.6</w:t>
      </w:r>
      <w:r w:rsidRPr="00123DEF">
        <w:tab/>
      </w:r>
      <w:r w:rsidR="00560669" w:rsidRPr="00123DEF">
        <w:t xml:space="preserve">El 5 de febrero de 2019, los Servicios </w:t>
      </w:r>
      <w:r w:rsidR="004A3E8B" w:rsidRPr="00123DEF">
        <w:t>S</w:t>
      </w:r>
      <w:r w:rsidR="00560669" w:rsidRPr="00123DEF">
        <w:t xml:space="preserve">ociales informaron al Tribunal de Primera Instancia </w:t>
      </w:r>
      <w:r w:rsidR="00F75984" w:rsidRPr="00123DEF">
        <w:t>núm</w:t>
      </w:r>
      <w:r w:rsidR="00560669" w:rsidRPr="00123DEF">
        <w:t>.</w:t>
      </w:r>
      <w:r w:rsidR="008A54B9" w:rsidRPr="00123DEF">
        <w:t> </w:t>
      </w:r>
      <w:r w:rsidR="00560669" w:rsidRPr="00123DEF">
        <w:t xml:space="preserve">8 de Rubí que su presencia no sería necesaria en el desalojo porque la autora se encontraba alojada temporalmente en otro domicilio gracias a la ayuda de su entorno de amigos. </w:t>
      </w:r>
      <w:r w:rsidRPr="00123DEF">
        <w:t>El 6 de febrero de 2019 a las 13</w:t>
      </w:r>
      <w:r w:rsidR="008A54B9" w:rsidRPr="00123DEF">
        <w:t>.00</w:t>
      </w:r>
      <w:r w:rsidRPr="00123DEF">
        <w:t xml:space="preserve"> horas se constituyó la </w:t>
      </w:r>
      <w:r w:rsidR="00F75984" w:rsidRPr="00123DEF">
        <w:t>c</w:t>
      </w:r>
      <w:r w:rsidRPr="00123DEF">
        <w:t xml:space="preserve">omisión judicial que accedió a la vivienda encontrándola desalojada, con algún mueble y algún efecto </w:t>
      </w:r>
      <w:r w:rsidR="00FE7E9E" w:rsidRPr="00123DEF">
        <w:t>personal,</w:t>
      </w:r>
      <w:r w:rsidRPr="00123DEF">
        <w:t xml:space="preserve"> pero sin constancia de ocupantes. </w:t>
      </w:r>
    </w:p>
    <w:p w14:paraId="7E372C41" w14:textId="266D85C8" w:rsidR="00BE4626" w:rsidRPr="00123DEF" w:rsidRDefault="00BE4626">
      <w:pPr>
        <w:pStyle w:val="H23G"/>
      </w:pPr>
      <w:r w:rsidRPr="00123DEF">
        <w:tab/>
      </w:r>
      <w:r w:rsidRPr="00123DEF">
        <w:tab/>
      </w:r>
      <w:r w:rsidR="00D4461C" w:rsidRPr="00123DEF">
        <w:t>D</w:t>
      </w:r>
      <w:r w:rsidRPr="00123DEF">
        <w:t>enuncia</w:t>
      </w:r>
    </w:p>
    <w:p w14:paraId="25A9B805" w14:textId="53AF88A6" w:rsidR="009D48C4" w:rsidRPr="00123DEF" w:rsidRDefault="00BE4626">
      <w:pPr>
        <w:pStyle w:val="SingleTxtG"/>
      </w:pPr>
      <w:r w:rsidRPr="00123DEF">
        <w:t>3.</w:t>
      </w:r>
      <w:r w:rsidR="00D764C8" w:rsidRPr="00123DEF">
        <w:t>1</w:t>
      </w:r>
      <w:r w:rsidRPr="00123DEF">
        <w:tab/>
      </w:r>
      <w:r w:rsidR="009D48C4" w:rsidRPr="00123DEF">
        <w:t xml:space="preserve">La autora sostiene que su desalojo es una medida desproporcionada que vulnera el </w:t>
      </w:r>
      <w:r w:rsidR="00C749A3" w:rsidRPr="00123DEF">
        <w:t>artículo </w:t>
      </w:r>
      <w:r w:rsidR="009D48C4" w:rsidRPr="00123DEF">
        <w:t>25</w:t>
      </w:r>
      <w:r w:rsidR="004D46C0" w:rsidRPr="00123DEF">
        <w:t>, párrafo </w:t>
      </w:r>
      <w:r w:rsidR="009D48C4" w:rsidRPr="00123DEF">
        <w:t>1 de la Declaración Universal de los Derechos Humanos</w:t>
      </w:r>
      <w:r w:rsidR="004D46C0" w:rsidRPr="00123DEF">
        <w:t>;</w:t>
      </w:r>
      <w:r w:rsidR="009D48C4" w:rsidRPr="00123DEF">
        <w:t xml:space="preserve"> el </w:t>
      </w:r>
      <w:r w:rsidR="00C749A3" w:rsidRPr="00123DEF">
        <w:t>artículo </w:t>
      </w:r>
      <w:r w:rsidR="009D48C4" w:rsidRPr="00123DEF">
        <w:t xml:space="preserve">9 de la Convención </w:t>
      </w:r>
      <w:r w:rsidR="004D46C0" w:rsidRPr="00123DEF">
        <w:t>sobre los D</w:t>
      </w:r>
      <w:r w:rsidR="009D48C4" w:rsidRPr="00123DEF">
        <w:t>erechos del Niño</w:t>
      </w:r>
      <w:r w:rsidR="004D46C0" w:rsidRPr="00123DEF">
        <w:t>;</w:t>
      </w:r>
      <w:r w:rsidR="009D48C4" w:rsidRPr="00123DEF">
        <w:t xml:space="preserve"> el </w:t>
      </w:r>
      <w:r w:rsidR="00C749A3" w:rsidRPr="00123DEF">
        <w:t>artículo </w:t>
      </w:r>
      <w:r w:rsidR="009D48C4" w:rsidRPr="00123DEF">
        <w:t>8 de la Convención Europea de Derechos Humanos</w:t>
      </w:r>
      <w:r w:rsidR="004D46C0" w:rsidRPr="00123DEF">
        <w:t>;</w:t>
      </w:r>
      <w:r w:rsidR="009D48C4" w:rsidRPr="00123DEF">
        <w:t xml:space="preserve"> el </w:t>
      </w:r>
      <w:r w:rsidR="00C749A3" w:rsidRPr="00123DEF">
        <w:t>artículo </w:t>
      </w:r>
      <w:r w:rsidR="009D48C4" w:rsidRPr="00123DEF">
        <w:t>11</w:t>
      </w:r>
      <w:r w:rsidR="004D46C0" w:rsidRPr="00123DEF">
        <w:t>, párrafo </w:t>
      </w:r>
      <w:r w:rsidR="009D48C4" w:rsidRPr="00123DEF">
        <w:t>1 del Pacto</w:t>
      </w:r>
      <w:r w:rsidR="004D46C0" w:rsidRPr="00123DEF">
        <w:t>;</w:t>
      </w:r>
      <w:r w:rsidR="009D48C4" w:rsidRPr="00123DEF">
        <w:t xml:space="preserve"> y el </w:t>
      </w:r>
      <w:r w:rsidR="00C749A3" w:rsidRPr="00123DEF">
        <w:t>artículo </w:t>
      </w:r>
      <w:r w:rsidR="009D48C4" w:rsidRPr="00123DEF">
        <w:t xml:space="preserve">47 de la Constitución Española. </w:t>
      </w:r>
    </w:p>
    <w:p w14:paraId="7B055BC6" w14:textId="101A2EA9" w:rsidR="009D48C4" w:rsidRPr="00123DEF" w:rsidRDefault="009D48C4">
      <w:pPr>
        <w:pStyle w:val="SingleTxtG"/>
      </w:pPr>
      <w:r w:rsidRPr="00123DEF">
        <w:t>3.2</w:t>
      </w:r>
      <w:r w:rsidRPr="00123DEF">
        <w:tab/>
        <w:t xml:space="preserve">La autora considera que, teniendo en cuenta que la propia administración del </w:t>
      </w:r>
      <w:r w:rsidR="0079124E" w:rsidRPr="00123DEF">
        <w:t>E</w:t>
      </w:r>
      <w:r w:rsidRPr="00123DEF">
        <w:t>stado parte considera a la familia en riesgo de exclusión residencial, en situación de pérdida inminente de la vivienda y con ingresos insuficiente</w:t>
      </w:r>
      <w:r w:rsidR="0079124E" w:rsidRPr="00123DEF">
        <w:t>s</w:t>
      </w:r>
      <w:r w:rsidRPr="00123DEF">
        <w:t xml:space="preserve"> para acceder al mercado libre de vivienda, la orden de desalojo por parte de otra autoridad de la misma administración supone una contradicción. </w:t>
      </w:r>
      <w:r w:rsidR="004D760F" w:rsidRPr="00123DEF">
        <w:t>La autora afirma que no cuenta con más ingresos que una pensión pública de ayuda por menores a cargo</w:t>
      </w:r>
      <w:r w:rsidR="004D760F" w:rsidRPr="00123DEF">
        <w:rPr>
          <w:rStyle w:val="FootnoteReference"/>
        </w:rPr>
        <w:footnoteReference w:id="7"/>
      </w:r>
      <w:r w:rsidR="004D760F" w:rsidRPr="00123DEF">
        <w:t xml:space="preserve">. </w:t>
      </w:r>
      <w:r w:rsidRPr="00123DEF">
        <w:t xml:space="preserve">En este sentido, subraya que </w:t>
      </w:r>
      <w:r w:rsidR="004D760F" w:rsidRPr="00123DEF">
        <w:t>su</w:t>
      </w:r>
      <w:r w:rsidRPr="00123DEF">
        <w:t xml:space="preserve"> situación contrasta con la de la propietaria, que no hace uso de la vivienda por ser un gran tenedor de activos, y que de querer alquilar la vivienda bien podría alquilársela a </w:t>
      </w:r>
      <w:r w:rsidR="004D760F" w:rsidRPr="00123DEF">
        <w:t>ella</w:t>
      </w:r>
      <w:r w:rsidRPr="00123DEF">
        <w:t xml:space="preserve">. </w:t>
      </w:r>
    </w:p>
    <w:p w14:paraId="179EB178" w14:textId="6818C0AA" w:rsidR="009D48C4" w:rsidRPr="00123DEF" w:rsidRDefault="009D48C4">
      <w:pPr>
        <w:pStyle w:val="SingleTxtG"/>
      </w:pPr>
      <w:r w:rsidRPr="00123DEF">
        <w:t>3.3</w:t>
      </w:r>
      <w:r w:rsidRPr="00123DEF">
        <w:tab/>
        <w:t xml:space="preserve">La autora también subraya que la sentencia en ejecución provisional no es firme, y que en el caso presente no existe urgencia para </w:t>
      </w:r>
      <w:r w:rsidR="004062F0" w:rsidRPr="00123DEF">
        <w:t xml:space="preserve">que </w:t>
      </w:r>
      <w:r w:rsidRPr="00123DEF">
        <w:t>la propietaria recuper</w:t>
      </w:r>
      <w:r w:rsidR="004062F0" w:rsidRPr="00123DEF">
        <w:t>e</w:t>
      </w:r>
      <w:r w:rsidRPr="00123DEF">
        <w:t xml:space="preserve"> el bien, que además no es fungible y no perderá </w:t>
      </w:r>
      <w:r w:rsidR="00C1378F" w:rsidRPr="00123DEF">
        <w:t>valor por esperar que la sentencia adquiera firmeza.</w:t>
      </w:r>
    </w:p>
    <w:p w14:paraId="3E0B09DB" w14:textId="23B549AA" w:rsidR="009D48C4" w:rsidRPr="00123DEF" w:rsidRDefault="00453E9D">
      <w:pPr>
        <w:pStyle w:val="SingleTxtG"/>
      </w:pPr>
      <w:r w:rsidRPr="00123DEF">
        <w:t>3.4</w:t>
      </w:r>
      <w:r w:rsidR="009D48C4" w:rsidRPr="00123DEF">
        <w:tab/>
        <w:t>La autora c</w:t>
      </w:r>
      <w:r w:rsidR="004D760F" w:rsidRPr="00123DEF">
        <w:t>onsidera que su desalojo causaría</w:t>
      </w:r>
      <w:r w:rsidR="009D48C4" w:rsidRPr="00123DEF">
        <w:t xml:space="preserve"> un perjuicio grave e irreparable y una vulneración de sus derechos y los de sus nietos, especialmente en caso de que se la separe de sus nietos al dejar de tener una vivienda. </w:t>
      </w:r>
    </w:p>
    <w:p w14:paraId="4885F86A" w14:textId="209303B4" w:rsidR="0067009F" w:rsidRPr="00123DEF" w:rsidRDefault="00453E9D">
      <w:pPr>
        <w:pStyle w:val="H23G"/>
      </w:pPr>
      <w:r w:rsidRPr="00123DEF">
        <w:tab/>
      </w:r>
      <w:r w:rsidRPr="00123DEF">
        <w:tab/>
      </w:r>
      <w:r w:rsidR="0067009F" w:rsidRPr="00123DEF">
        <w:t>Observaciones del Estado parte sobre la admisibilidad y el fondo</w:t>
      </w:r>
    </w:p>
    <w:p w14:paraId="5697DCE3" w14:textId="77777777" w:rsidR="0067009F" w:rsidRPr="00123DEF" w:rsidRDefault="0067009F" w:rsidP="00123DEF">
      <w:pPr>
        <w:pStyle w:val="SingleTxtG"/>
      </w:pPr>
      <w:r w:rsidRPr="00123DEF">
        <w:t>4</w:t>
      </w:r>
      <w:r w:rsidR="00E97F9A" w:rsidRPr="00123DEF">
        <w:t>.1</w:t>
      </w:r>
      <w:r w:rsidR="002258AB" w:rsidRPr="00123DEF">
        <w:tab/>
      </w:r>
      <w:r w:rsidR="00B73892" w:rsidRPr="00123DEF">
        <w:t>En sus observaciones de 3</w:t>
      </w:r>
      <w:r w:rsidR="004B1771" w:rsidRPr="00123DEF">
        <w:t xml:space="preserve"> de octubre de 2019</w:t>
      </w:r>
      <w:r w:rsidRPr="00123DEF">
        <w:t>, el Estado parte solicit</w:t>
      </w:r>
      <w:r w:rsidR="007571AD" w:rsidRPr="00123DEF">
        <w:t>a</w:t>
      </w:r>
      <w:r w:rsidRPr="00123DEF">
        <w:t xml:space="preserve"> al Comité que consider</w:t>
      </w:r>
      <w:r w:rsidR="007571AD" w:rsidRPr="00123DEF">
        <w:t>e</w:t>
      </w:r>
      <w:r w:rsidRPr="00123DEF">
        <w:t xml:space="preserve"> inadmisible la comunicación o que, subsidiariamente, consider</w:t>
      </w:r>
      <w:r w:rsidR="007571AD" w:rsidRPr="00123DEF">
        <w:t>e</w:t>
      </w:r>
      <w:r w:rsidRPr="00123DEF">
        <w:t xml:space="preserve"> que no revela ninguna violación del Pacto. </w:t>
      </w:r>
    </w:p>
    <w:p w14:paraId="1B01DD43" w14:textId="18A42030" w:rsidR="00D91F19" w:rsidRPr="00123DEF" w:rsidRDefault="002258AB" w:rsidP="00123DEF">
      <w:pPr>
        <w:pStyle w:val="SingleTxtG"/>
      </w:pPr>
      <w:r w:rsidRPr="00123DEF">
        <w:t>4.2</w:t>
      </w:r>
      <w:r w:rsidRPr="00123DEF">
        <w:tab/>
      </w:r>
      <w:r w:rsidR="00C96548" w:rsidRPr="00123DEF">
        <w:t xml:space="preserve">El Estado parte informa que figura en el expediente judicial diligencia de ordenación de 6 de febrero de 2019 según </w:t>
      </w:r>
      <w:r w:rsidR="00F5384A" w:rsidRPr="00123DEF">
        <w:t xml:space="preserve">la </w:t>
      </w:r>
      <w:r w:rsidR="00C96548" w:rsidRPr="00123DEF">
        <w:t xml:space="preserve">cual los Servicios Sociales informan de que la autora y sus nietos se encontraban realojados en otro domicilio. </w:t>
      </w:r>
    </w:p>
    <w:p w14:paraId="3192234A" w14:textId="17DC5269" w:rsidR="00C96548" w:rsidRPr="00123DEF" w:rsidRDefault="00C96548" w:rsidP="00123DEF">
      <w:pPr>
        <w:pStyle w:val="SingleTxtG"/>
      </w:pPr>
      <w:r w:rsidRPr="00123DEF">
        <w:t>4.3</w:t>
      </w:r>
      <w:r w:rsidRPr="00123DEF">
        <w:tab/>
        <w:t>El Estado parte subraya que la autora contaba con un subsidio de desempleo de 430</w:t>
      </w:r>
      <w:r w:rsidR="008A54B9" w:rsidRPr="00123DEF">
        <w:t>,</w:t>
      </w:r>
      <w:r w:rsidRPr="00123DEF">
        <w:t>27</w:t>
      </w:r>
      <w:r w:rsidR="008A54B9" w:rsidRPr="00123DEF">
        <w:t> </w:t>
      </w:r>
      <w:r w:rsidR="00F5384A" w:rsidRPr="00123DEF">
        <w:t>euros</w:t>
      </w:r>
      <w:r w:rsidRPr="00123DEF">
        <w:t xml:space="preserve"> en el momento del desalojo y que, además, seg</w:t>
      </w:r>
      <w:r w:rsidR="004F6042" w:rsidRPr="00123DEF">
        <w:t xml:space="preserve">ún </w:t>
      </w:r>
      <w:r w:rsidR="00F5384A" w:rsidRPr="00123DEF">
        <w:t xml:space="preserve">un </w:t>
      </w:r>
      <w:r w:rsidR="004F6042" w:rsidRPr="00123DEF">
        <w:t xml:space="preserve">informe de los </w:t>
      </w:r>
      <w:r w:rsidR="005B60AB" w:rsidRPr="00123DEF">
        <w:t>S</w:t>
      </w:r>
      <w:r w:rsidR="004F6042" w:rsidRPr="00123DEF">
        <w:t xml:space="preserve">ervicios </w:t>
      </w:r>
      <w:r w:rsidR="005B60AB" w:rsidRPr="00123DEF">
        <w:t>S</w:t>
      </w:r>
      <w:r w:rsidR="004F6042" w:rsidRPr="00123DEF">
        <w:t>ociales de</w:t>
      </w:r>
      <w:r w:rsidRPr="00123DEF">
        <w:t xml:space="preserve"> 27 de </w:t>
      </w:r>
      <w:r w:rsidR="004F6042" w:rsidRPr="00123DEF">
        <w:t xml:space="preserve">septiembre de 2019, la autora contaba en septiembre de 2018 con un contrato de trabajo temporal a jornada completa. Es más, según el mismo informe de los </w:t>
      </w:r>
      <w:r w:rsidR="005B60AB" w:rsidRPr="00123DEF">
        <w:t>S</w:t>
      </w:r>
      <w:r w:rsidR="004F6042" w:rsidRPr="00123DEF">
        <w:t xml:space="preserve">ervicios </w:t>
      </w:r>
      <w:r w:rsidR="005B60AB" w:rsidRPr="00123DEF">
        <w:t>S</w:t>
      </w:r>
      <w:r w:rsidR="004F6042" w:rsidRPr="00123DEF">
        <w:t>ociales, la autora no asistió al lanzamiento previsto para el 6 de febrero de 2019 porque le coincidía en horario laboral</w:t>
      </w:r>
      <w:r w:rsidR="003D3350" w:rsidRPr="00123DEF">
        <w:t>;</w:t>
      </w:r>
      <w:r w:rsidR="004F6042" w:rsidRPr="00123DEF">
        <w:t xml:space="preserve"> no obstante, en los datos aportados con su comunicación ante el Comité de 1 de febrero de 2019 se sostenía que la autora no contaba con otros ingresos que el de desempleo. En estas condiciones, el Estado parte considera que la autora debe acreditar su situación económica real. </w:t>
      </w:r>
    </w:p>
    <w:p w14:paraId="4E60A074" w14:textId="5750AFB4" w:rsidR="00553D3A" w:rsidRPr="00123DEF" w:rsidRDefault="00885C97" w:rsidP="00123DEF">
      <w:pPr>
        <w:pStyle w:val="SingleTxtG"/>
      </w:pPr>
      <w:r w:rsidRPr="00123DEF">
        <w:t>4.4</w:t>
      </w:r>
      <w:r w:rsidR="00553D3A" w:rsidRPr="00123DEF">
        <w:tab/>
        <w:t xml:space="preserve">El Estado parte también subraya que la autora conocía la fecha de lanzamiento desde el 25 de octubre de 2018, y sin embargo esperó hasta el 1 de febrero de 2019 para interponer su comunicación individual, </w:t>
      </w:r>
      <w:r w:rsidR="00F5384A" w:rsidRPr="00123DEF">
        <w:t xml:space="preserve">lo que dio lugar a que el Estado parte recibiera la </w:t>
      </w:r>
      <w:r w:rsidR="00553D3A" w:rsidRPr="00123DEF">
        <w:t xml:space="preserve">solicitud de medidas provisionales con </w:t>
      </w:r>
      <w:r w:rsidR="00F5384A" w:rsidRPr="00123DEF">
        <w:t xml:space="preserve">un margen de </w:t>
      </w:r>
      <w:r w:rsidR="00553D3A" w:rsidRPr="00123DEF">
        <w:t>menos de 24</w:t>
      </w:r>
      <w:r w:rsidR="00586877" w:rsidRPr="00123DEF">
        <w:t xml:space="preserve"> </w:t>
      </w:r>
      <w:r w:rsidR="00553D3A" w:rsidRPr="00123DEF">
        <w:t xml:space="preserve">horas </w:t>
      </w:r>
      <w:r w:rsidR="00F5384A" w:rsidRPr="00123DEF">
        <w:t>antes del lanzamiento</w:t>
      </w:r>
      <w:r w:rsidR="00553D3A" w:rsidRPr="00123DEF">
        <w:t>, lo que dificulta la reacción en un plazo tan corto de tiempo.</w:t>
      </w:r>
    </w:p>
    <w:p w14:paraId="6BF8626C" w14:textId="5A7A64C6" w:rsidR="00553D3A" w:rsidRPr="00123DEF" w:rsidRDefault="00885C97" w:rsidP="00123DEF">
      <w:pPr>
        <w:pStyle w:val="SingleTxtG"/>
      </w:pPr>
      <w:r w:rsidRPr="00123DEF">
        <w:t>4.5</w:t>
      </w:r>
      <w:r w:rsidR="00553D3A" w:rsidRPr="00123DEF">
        <w:tab/>
        <w:t>El Estado parte considera que la autora no ha agotado</w:t>
      </w:r>
      <w:r w:rsidR="009B1570" w:rsidRPr="00123DEF">
        <w:t xml:space="preserve"> los</w:t>
      </w:r>
      <w:r w:rsidR="00553D3A" w:rsidRPr="00123DEF">
        <w:t xml:space="preserve"> recursos</w:t>
      </w:r>
      <w:r w:rsidR="009B1570" w:rsidRPr="00123DEF">
        <w:t xml:space="preserve"> internos</w:t>
      </w:r>
      <w:r w:rsidR="00553D3A" w:rsidRPr="00123DEF">
        <w:t xml:space="preserve"> porque, pese a encontrarse ocupando </w:t>
      </w:r>
      <w:r w:rsidR="004D760F" w:rsidRPr="00123DEF">
        <w:t>una vivienda sin título legal</w:t>
      </w:r>
      <w:r w:rsidR="00553D3A" w:rsidRPr="00123DEF">
        <w:t xml:space="preserve"> al menos desde febrero de 2018, no solicitó asistencia de los </w:t>
      </w:r>
      <w:r w:rsidR="005B60AB" w:rsidRPr="00123DEF">
        <w:t>S</w:t>
      </w:r>
      <w:r w:rsidR="00553D3A" w:rsidRPr="00123DEF">
        <w:t xml:space="preserve">ervicios </w:t>
      </w:r>
      <w:r w:rsidR="005B60AB" w:rsidRPr="00123DEF">
        <w:t>S</w:t>
      </w:r>
      <w:r w:rsidR="00553D3A" w:rsidRPr="00123DEF">
        <w:t xml:space="preserve">ociales hasta abril de </w:t>
      </w:r>
      <w:r w:rsidR="004D760F" w:rsidRPr="00123DEF">
        <w:t>ese año</w:t>
      </w:r>
      <w:r w:rsidR="00553D3A" w:rsidRPr="00123DEF">
        <w:t xml:space="preserve"> </w:t>
      </w:r>
      <w:r w:rsidR="00D06AA5" w:rsidRPr="00123DEF">
        <w:t xml:space="preserve">ni </w:t>
      </w:r>
      <w:r w:rsidR="00553D3A" w:rsidRPr="00123DEF">
        <w:t xml:space="preserve">vivienda de protección oficial hasta junio de 2018, es decir, hasta tiempo después de encontrarse ocupando sin título legal y de que se hubiera iniciado el procedimiento judicial. Por tanto, en el momento de presentarse la comunicación individual, no existía un agotamiento de los recursos internos. </w:t>
      </w:r>
    </w:p>
    <w:p w14:paraId="32E4B2BC" w14:textId="57E2DE74" w:rsidR="006D275B" w:rsidRPr="00123DEF" w:rsidRDefault="00885C97" w:rsidP="00123DEF">
      <w:pPr>
        <w:pStyle w:val="SingleTxtG"/>
      </w:pPr>
      <w:r w:rsidRPr="00123DEF">
        <w:t>4.6</w:t>
      </w:r>
      <w:r w:rsidR="006D275B" w:rsidRPr="00123DEF">
        <w:tab/>
        <w:t xml:space="preserve">En relación con los derechos que asisten a la autora y sus nietos en virtud del </w:t>
      </w:r>
      <w:r w:rsidR="006C180B" w:rsidRPr="00123DEF">
        <w:t>artículo</w:t>
      </w:r>
      <w:r w:rsidR="00877B6F" w:rsidRPr="00123DEF">
        <w:t> </w:t>
      </w:r>
      <w:r w:rsidR="006D275B" w:rsidRPr="00123DEF">
        <w:t>11, párr</w:t>
      </w:r>
      <w:r w:rsidR="008E0ADE" w:rsidRPr="00123DEF">
        <w:t>afo</w:t>
      </w:r>
      <w:r w:rsidR="00C749A3" w:rsidRPr="00123DEF">
        <w:t> </w:t>
      </w:r>
      <w:r w:rsidR="006D275B" w:rsidRPr="00123DEF">
        <w:t xml:space="preserve">1, del Pacto, el Estado parte destaca que </w:t>
      </w:r>
      <w:r w:rsidR="008E0ADE" w:rsidRPr="00123DEF">
        <w:t>estos</w:t>
      </w:r>
      <w:r w:rsidR="006D275B" w:rsidRPr="00123DEF">
        <w:t xml:space="preserve"> cuentan con asistencia sanitaria pública y gratuita de calidad y los nietos de la autora disfrutan de escolarización pública y gratuita, que incluye el derecho a la alimentación </w:t>
      </w:r>
      <w:r w:rsidR="002334EC" w:rsidRPr="00123DEF">
        <w:t xml:space="preserve">subsidiada de los menores. La autora también ha tenido acceso a la justicia </w:t>
      </w:r>
      <w:r w:rsidR="006C180B" w:rsidRPr="00123DEF">
        <w:t>gratuita</w:t>
      </w:r>
      <w:r w:rsidR="002334EC" w:rsidRPr="00123DEF">
        <w:t xml:space="preserve"> y la asistencia jurídica </w:t>
      </w:r>
      <w:r w:rsidR="006C180B" w:rsidRPr="00123DEF">
        <w:t>gratuita</w:t>
      </w:r>
      <w:r w:rsidR="002334EC" w:rsidRPr="00123DEF">
        <w:t xml:space="preserve"> y tiene derecho al acceso a los suministros básicos </w:t>
      </w:r>
      <w:r w:rsidR="006C180B" w:rsidRPr="00123DEF">
        <w:t>gratuitos</w:t>
      </w:r>
      <w:r w:rsidR="002334EC" w:rsidRPr="00123DEF">
        <w:t xml:space="preserve"> o subsidiados mediante </w:t>
      </w:r>
      <w:r w:rsidR="008E0ADE" w:rsidRPr="00123DEF">
        <w:t xml:space="preserve">los </w:t>
      </w:r>
      <w:r w:rsidR="002334EC" w:rsidRPr="00123DEF">
        <w:t>llamado</w:t>
      </w:r>
      <w:r w:rsidR="008E0ADE" w:rsidRPr="00123DEF">
        <w:t>s</w:t>
      </w:r>
      <w:r w:rsidR="002334EC" w:rsidRPr="00123DEF">
        <w:t xml:space="preserve"> bono social de electricidad, </w:t>
      </w:r>
      <w:r w:rsidR="008E0ADE" w:rsidRPr="00123DEF">
        <w:t>b</w:t>
      </w:r>
      <w:r w:rsidR="002334EC" w:rsidRPr="00123DEF">
        <w:t xml:space="preserve">ono </w:t>
      </w:r>
      <w:r w:rsidR="008E0ADE" w:rsidRPr="00123DEF">
        <w:t>s</w:t>
      </w:r>
      <w:r w:rsidR="002334EC" w:rsidRPr="00123DEF">
        <w:t xml:space="preserve">ocial </w:t>
      </w:r>
      <w:r w:rsidR="008E0ADE" w:rsidRPr="00123DEF">
        <w:t>t</w:t>
      </w:r>
      <w:r w:rsidR="002334EC" w:rsidRPr="00123DEF">
        <w:t xml:space="preserve">érmico y bono social de agua. Además, la autora contaba con un trabajo remunerado del que aún no se conocen los detalles. Pese a esto, los </w:t>
      </w:r>
      <w:r w:rsidR="007E5CE4" w:rsidRPr="00123DEF">
        <w:t>S</w:t>
      </w:r>
      <w:r w:rsidR="002334EC" w:rsidRPr="00123DEF">
        <w:t xml:space="preserve">ervicios </w:t>
      </w:r>
      <w:r w:rsidR="007E5CE4" w:rsidRPr="00123DEF">
        <w:t>S</w:t>
      </w:r>
      <w:r w:rsidR="002334EC" w:rsidRPr="00123DEF">
        <w:t xml:space="preserve">ociales del Ayuntamiento de Rubí </w:t>
      </w:r>
      <w:r w:rsidR="00014CA7" w:rsidRPr="00123DEF">
        <w:t>tramitaron</w:t>
      </w:r>
      <w:r w:rsidR="002334EC" w:rsidRPr="00123DEF">
        <w:t xml:space="preserve"> un lote de alimentos para satisfacer las necesidades básicas de la familia durante seis meses y en septiembre de 2019 se tramitó una beca de comedor escolar para los nietos de la autora, y se le ofreció asumir </w:t>
      </w:r>
      <w:r w:rsidR="008A54B9" w:rsidRPr="00123DEF">
        <w:t>el </w:t>
      </w:r>
      <w:r w:rsidR="002334EC" w:rsidRPr="00123DEF">
        <w:t>50</w:t>
      </w:r>
      <w:r w:rsidR="008E0ADE" w:rsidRPr="00123DEF">
        <w:t> </w:t>
      </w:r>
      <w:r w:rsidR="002334EC" w:rsidRPr="00123DEF">
        <w:t>% del monto durante la tramitación de esa solicitud. El Estado parte considera que todo ello indica que las necesidades de la familia se encuentran, en la medida de los recursos disponibles, garantizadas con recurso</w:t>
      </w:r>
      <w:r w:rsidR="008E0ADE" w:rsidRPr="00123DEF">
        <w:t>s</w:t>
      </w:r>
      <w:r w:rsidR="002334EC" w:rsidRPr="00123DEF">
        <w:t xml:space="preserve"> públicos, </w:t>
      </w:r>
      <w:r w:rsidR="008E0ADE" w:rsidRPr="00123DEF">
        <w:t xml:space="preserve">a falta </w:t>
      </w:r>
      <w:r w:rsidR="002334EC" w:rsidRPr="00123DEF">
        <w:t xml:space="preserve">únicamente </w:t>
      </w:r>
      <w:r w:rsidR="008E0ADE" w:rsidRPr="00123DEF">
        <w:t xml:space="preserve">de </w:t>
      </w:r>
      <w:r w:rsidR="002334EC" w:rsidRPr="00123DEF">
        <w:t>la necesidad de alojamiento por dilucidar. En este sentido, subraya que de los hechos resulta que la autora no solicitó vivienda hasta después de h</w:t>
      </w:r>
      <w:r w:rsidR="00BD40DD" w:rsidRPr="00123DEF">
        <w:t xml:space="preserve">aber ocupado una vivienda ajena y subraya que la solicitud de vivienda pública de la autora fue aprobada en enero de 2019, </w:t>
      </w:r>
      <w:r w:rsidR="008E0ADE" w:rsidRPr="00123DEF">
        <w:t xml:space="preserve">por lo que se inscribió a </w:t>
      </w:r>
      <w:r w:rsidR="00BD40DD" w:rsidRPr="00123DEF">
        <w:t xml:space="preserve">la autora en lista de espera, y que también se autorizó la participación de la autora en el </w:t>
      </w:r>
      <w:r w:rsidR="008A54B9" w:rsidRPr="00123DEF">
        <w:t>programa </w:t>
      </w:r>
      <w:r w:rsidR="00BD40DD" w:rsidRPr="00123DEF">
        <w:t xml:space="preserve">60/40 consistente en la búsqueda en el mercado privado de vivienda de alquiler dentro del municipio adecuado a </w:t>
      </w:r>
      <w:r w:rsidR="008E0ADE" w:rsidRPr="00123DEF">
        <w:t xml:space="preserve">sus </w:t>
      </w:r>
      <w:r w:rsidR="00BD40DD" w:rsidRPr="00123DEF">
        <w:t xml:space="preserve">necesidades. </w:t>
      </w:r>
    </w:p>
    <w:p w14:paraId="0AA9A68C" w14:textId="3FC16BCE" w:rsidR="00857714" w:rsidRPr="00123DEF" w:rsidRDefault="00885C97">
      <w:pPr>
        <w:pStyle w:val="SingleTxtG"/>
      </w:pPr>
      <w:r w:rsidRPr="00123DEF">
        <w:t>4.7</w:t>
      </w:r>
      <w:r w:rsidR="008F7049" w:rsidRPr="00123DEF">
        <w:tab/>
      </w:r>
      <w:r w:rsidR="00857714" w:rsidRPr="00123DEF">
        <w:t xml:space="preserve">El Estado parte considera que las provisiones del </w:t>
      </w:r>
      <w:r w:rsidR="00C749A3" w:rsidRPr="00123DEF">
        <w:t>artículo </w:t>
      </w:r>
      <w:r w:rsidR="00857714" w:rsidRPr="00123DEF">
        <w:t>11 del Pacto no dan cobertura a las personas que se encuentran ocupando una vivienda de propiedad ajena de forma ilegal. El derecho a la propiedad, individual y colectiva, está contemplado en el artículo</w:t>
      </w:r>
      <w:r w:rsidR="00077B55" w:rsidRPr="00123DEF">
        <w:t> </w:t>
      </w:r>
      <w:r w:rsidR="00857714" w:rsidRPr="00123DEF">
        <w:t xml:space="preserve">17 de la Declaración Universal de Derechos Humanos y en el </w:t>
      </w:r>
      <w:r w:rsidR="00C749A3" w:rsidRPr="00123DEF">
        <w:t>artículo </w:t>
      </w:r>
      <w:r w:rsidR="00857714" w:rsidRPr="00123DEF">
        <w:t xml:space="preserve">33 de la Constitución del Estado parte. La protección de la propiedad se conforma a nivel internacional como un derecho humano fundamental, que permite a las personas titulares de la misma satisfacer sus necesidades básicas, razón por la cual debe ser protegido contra privaciones arbitrarias. Por esa razón, el </w:t>
      </w:r>
      <w:r w:rsidR="00C749A3" w:rsidRPr="00123DEF">
        <w:t>artículo </w:t>
      </w:r>
      <w:r w:rsidR="00857714" w:rsidRPr="00123DEF">
        <w:t xml:space="preserve">11, </w:t>
      </w:r>
      <w:r w:rsidR="00C749A3" w:rsidRPr="00123DEF">
        <w:t>párrafo </w:t>
      </w:r>
      <w:r w:rsidR="00857714" w:rsidRPr="00123DEF">
        <w:t xml:space="preserve">1, del Pacto no puede ser utilizado para amparar actos de usurpación de la propiedad ajena, como es el caso presente. En el mismo sentido, el Comité reconoce </w:t>
      </w:r>
      <w:r w:rsidR="00077B55" w:rsidRPr="00123DEF">
        <w:t>en su observación general núm.</w:t>
      </w:r>
      <w:r w:rsidR="008A54B9" w:rsidRPr="00123DEF">
        <w:t> </w:t>
      </w:r>
      <w:r w:rsidR="00077B55" w:rsidRPr="00123DEF">
        <w:t>7</w:t>
      </w:r>
      <w:r w:rsidR="008A54B9" w:rsidRPr="00123DEF">
        <w:t> </w:t>
      </w:r>
      <w:r w:rsidR="00077B55" w:rsidRPr="00123DEF">
        <w:t xml:space="preserve">(1997) </w:t>
      </w:r>
      <w:r w:rsidR="00857714" w:rsidRPr="00123DEF">
        <w:t xml:space="preserve">que los desalojos son pertinentes en ciertos casos, entre los que se encontraría la ocupación de una propiedad ajena, si bien deben practicarse conforme a la ley, </w:t>
      </w:r>
      <w:r w:rsidR="00FD22E5" w:rsidRPr="00123DEF">
        <w:t xml:space="preserve">permitiendo a </w:t>
      </w:r>
      <w:r w:rsidR="00857714" w:rsidRPr="00123DEF">
        <w:t xml:space="preserve">los afectados </w:t>
      </w:r>
      <w:r w:rsidR="00FD22E5" w:rsidRPr="00123DEF">
        <w:t xml:space="preserve">gozar </w:t>
      </w:r>
      <w:r w:rsidR="00857714" w:rsidRPr="00123DEF">
        <w:t xml:space="preserve">de </w:t>
      </w:r>
      <w:r w:rsidR="00FD22E5" w:rsidRPr="00123DEF">
        <w:t xml:space="preserve">los </w:t>
      </w:r>
      <w:r w:rsidR="00857714" w:rsidRPr="00123DEF">
        <w:t xml:space="preserve">recursos jurídicos adecuados y deben ejecutarse en </w:t>
      </w:r>
      <w:r w:rsidR="00FD22E5" w:rsidRPr="00123DEF">
        <w:t xml:space="preserve">el </w:t>
      </w:r>
      <w:r w:rsidR="00857714" w:rsidRPr="00123DEF">
        <w:t>momento oportuno con presencia de funcionarios competentes.</w:t>
      </w:r>
    </w:p>
    <w:p w14:paraId="296710F1" w14:textId="6CEAB519" w:rsidR="00857714" w:rsidRPr="00123DEF" w:rsidRDefault="00885C97">
      <w:pPr>
        <w:pStyle w:val="SingleTxtG"/>
      </w:pPr>
      <w:r w:rsidRPr="00123DEF">
        <w:t>4.8</w:t>
      </w:r>
      <w:r w:rsidR="00857714" w:rsidRPr="00123DEF">
        <w:tab/>
        <w:t xml:space="preserve">El Estado parte argumenta que el derecho a la vivienda no es un derecho absoluto a una vivienda concreta propiedad de otra persona, ni un derecho absoluto a que las autoridades otorguen en todo caso una vivienda a cualquier persona si los recursos públicos son insuficientes para proporcionar dicho derecho. El Estado parte considera que el </w:t>
      </w:r>
      <w:r w:rsidR="00C749A3" w:rsidRPr="00123DEF">
        <w:t>artículo </w:t>
      </w:r>
      <w:r w:rsidR="00857714" w:rsidRPr="00123DEF">
        <w:t xml:space="preserve">25, </w:t>
      </w:r>
      <w:r w:rsidR="00C749A3" w:rsidRPr="00123DEF">
        <w:t>párrafo </w:t>
      </w:r>
      <w:r w:rsidR="00857714" w:rsidRPr="00123DEF">
        <w:t xml:space="preserve">1, de la Declaración Universal de Derechos Humanos y el </w:t>
      </w:r>
      <w:r w:rsidR="00C749A3" w:rsidRPr="00123DEF">
        <w:t>artículo </w:t>
      </w:r>
      <w:r w:rsidR="00857714" w:rsidRPr="00123DEF">
        <w:t xml:space="preserve">11, </w:t>
      </w:r>
      <w:r w:rsidR="00C749A3" w:rsidRPr="00123DEF">
        <w:t>párrafo </w:t>
      </w:r>
      <w:r w:rsidR="00857714" w:rsidRPr="00123DEF">
        <w:t>1, del Pacto no reconocen un derecho subjetivo exigible, sino que configuran un mandato para los Estados de adoptar medidas apropiadas para promover políticas públicas encaminadas a facilitar el acceso de todos los ciudadanos a una vivienda digna. Según la jurisprudencia del Tribunal de Justicia de la Unión Europea</w:t>
      </w:r>
      <w:r w:rsidR="00857714" w:rsidRPr="00123DEF">
        <w:rPr>
          <w:rStyle w:val="FootnoteReference"/>
        </w:rPr>
        <w:footnoteReference w:id="8"/>
      </w:r>
      <w:r w:rsidR="00FD22E5" w:rsidRPr="00123DEF">
        <w:t>,</w:t>
      </w:r>
      <w:r w:rsidR="00857714" w:rsidRPr="00123DEF">
        <w:t xml:space="preserve"> el </w:t>
      </w:r>
      <w:r w:rsidR="00C749A3" w:rsidRPr="00123DEF">
        <w:t>artículo </w:t>
      </w:r>
      <w:r w:rsidR="00857714" w:rsidRPr="00123DEF">
        <w:t>34</w:t>
      </w:r>
      <w:r w:rsidR="00FD22E5" w:rsidRPr="00123DEF">
        <w:t>, párrafo </w:t>
      </w:r>
      <w:r w:rsidR="00857714" w:rsidRPr="00123DEF">
        <w:t>3</w:t>
      </w:r>
      <w:r w:rsidR="00FD22E5" w:rsidRPr="00123DEF">
        <w:t>,</w:t>
      </w:r>
      <w:r w:rsidR="00857714" w:rsidRPr="00123DEF">
        <w:t xml:space="preserve"> de la Carta de </w:t>
      </w:r>
      <w:r w:rsidR="00FD22E5" w:rsidRPr="00123DEF">
        <w:t xml:space="preserve">los </w:t>
      </w:r>
      <w:r w:rsidR="00857714" w:rsidRPr="00123DEF">
        <w:t xml:space="preserve">Derechos Fundamentales de la Unión Europea, que reconoce el derecho a una ayuda de vivienda, no garantiza el derecho a una vivienda sino el derecho a una ayuda de vivienda en el marco de las políticas sociales basadas en el </w:t>
      </w:r>
      <w:r w:rsidR="00C749A3" w:rsidRPr="00123DEF">
        <w:t>artículo </w:t>
      </w:r>
      <w:r w:rsidR="00857714" w:rsidRPr="00123DEF">
        <w:t xml:space="preserve">153 del Tratado de Funcionamiento de la Unión Europea. Este mandato de los Estados ha sido asumido de forma expresa por el </w:t>
      </w:r>
      <w:r w:rsidR="00C749A3" w:rsidRPr="00123DEF">
        <w:t>artículo </w:t>
      </w:r>
      <w:r w:rsidR="00857714" w:rsidRPr="00123DEF">
        <w:t>47 de la Constitución y diversos estatutos de autonomía. De conformidad con este artículo y de acuerdo con la jurisprudencia del Tribunal Constitucional</w:t>
      </w:r>
      <w:r w:rsidR="00857714" w:rsidRPr="00123DEF">
        <w:rPr>
          <w:rStyle w:val="FootnoteReference"/>
        </w:rPr>
        <w:footnoteReference w:id="9"/>
      </w:r>
      <w:r w:rsidR="00FD22E5" w:rsidRPr="00123DEF">
        <w:t>,</w:t>
      </w:r>
      <w:r w:rsidR="00857714" w:rsidRPr="00123DEF">
        <w:t xml:space="preserve"> el derecho a la vivienda es “un mandato o directriz constitucional” que debe tener un contenido predominantemente social, pero no constituye en sí mismo un título competencial autónomo en favor del Estado. Los poderes públicos están así obligados a promover las condiciones necesarias y a establecer las normas pertinentes para hacer efectivo el derecho de los españoles a disfrutar de una vivienda digna y adecuada, en particular regulando la utilización del suelo de acuerdo con el interés general para impedir la especulación. Por tanto, como derecho de realización progresiva, el Estado parte cumple íntegramente con sus obligaciones internacionales en la materia y se remite a las alegaciones remitidas en comunicaciones similares a la presente sobre los esfuerzos realizados en materia de vivienda.</w:t>
      </w:r>
    </w:p>
    <w:p w14:paraId="7201BD59" w14:textId="2BC21515" w:rsidR="008F7049" w:rsidRPr="00123DEF" w:rsidRDefault="00885C97">
      <w:pPr>
        <w:pStyle w:val="SingleTxtG"/>
      </w:pPr>
      <w:r w:rsidRPr="00123DEF">
        <w:t>4.9</w:t>
      </w:r>
      <w:r w:rsidR="00857714" w:rsidRPr="00123DEF">
        <w:tab/>
      </w:r>
      <w:r w:rsidR="008F7049" w:rsidRPr="00123DEF">
        <w:t xml:space="preserve">Siguiendo el mismo razonamiento sobre la naturaleza de las obligaciones del Estado parte </w:t>
      </w:r>
      <w:r w:rsidR="00FD22E5" w:rsidRPr="00123DEF">
        <w:t>en virtud d</w:t>
      </w:r>
      <w:r w:rsidR="008F7049" w:rsidRPr="00123DEF">
        <w:t xml:space="preserve">el </w:t>
      </w:r>
      <w:r w:rsidR="00C749A3" w:rsidRPr="00123DEF">
        <w:t>artículo </w:t>
      </w:r>
      <w:r w:rsidR="008F7049" w:rsidRPr="00123DEF">
        <w:t xml:space="preserve">11, </w:t>
      </w:r>
      <w:r w:rsidR="00C749A3" w:rsidRPr="00123DEF">
        <w:t>párrafo </w:t>
      </w:r>
      <w:r w:rsidR="008F7049" w:rsidRPr="00123DEF">
        <w:t>1, del Pacto, el Estado parte considera que se debe evaluar su cumplimiento mediante el examen de tres parámetros: a) el nivel mínimo de recursos de una persona para acceder a la vivienda en el mercado libre; b)</w:t>
      </w:r>
      <w:r w:rsidR="00586877" w:rsidRPr="00123DEF">
        <w:t xml:space="preserve"> </w:t>
      </w:r>
      <w:r w:rsidR="008F7049" w:rsidRPr="00123DEF">
        <w:t>el número de personas que se encuentran bajo este nivel; y c)</w:t>
      </w:r>
      <w:r w:rsidR="00586877" w:rsidRPr="00123DEF">
        <w:t xml:space="preserve"> </w:t>
      </w:r>
      <w:r w:rsidR="008F7049" w:rsidRPr="00123DEF">
        <w:t xml:space="preserve">las disponibilidades presupuestarias públicas para satisfacer dichas necesidades. </w:t>
      </w:r>
      <w:r w:rsidR="00014CA7" w:rsidRPr="00123DEF">
        <w:t>En consecuencia, habría que evaluar</w:t>
      </w:r>
      <w:r w:rsidR="008F7049" w:rsidRPr="00123DEF">
        <w:t xml:space="preserve"> si el </w:t>
      </w:r>
      <w:r w:rsidR="00014CA7" w:rsidRPr="00123DEF">
        <w:t>E</w:t>
      </w:r>
      <w:r w:rsidR="008F7049" w:rsidRPr="00123DEF">
        <w:t xml:space="preserve">stado aporta a la financiación de esas necesidades todos los recursos de los que dispone y, en caso de que esos recursos no sean suficientes para cubrir todas las necesidades, si la asignación de los recursos limitados se ha realizado con criterios objetivos y sin discriminación, por orden de necesidad. Es precisamente este razonamiento el que el Comité utiliza en su </w:t>
      </w:r>
      <w:r w:rsidR="00BF7641" w:rsidRPr="00123DEF">
        <w:t>o</w:t>
      </w:r>
      <w:r w:rsidR="008F7049" w:rsidRPr="00123DEF">
        <w:t xml:space="preserve">bservación </w:t>
      </w:r>
      <w:r w:rsidR="00BF7641" w:rsidRPr="00123DEF">
        <w:t>g</w:t>
      </w:r>
      <w:r w:rsidR="008F7049" w:rsidRPr="00123DEF">
        <w:t xml:space="preserve">eneral </w:t>
      </w:r>
      <w:r w:rsidR="00BF7641" w:rsidRPr="00123DEF">
        <w:t>núm</w:t>
      </w:r>
      <w:r w:rsidR="008F7049" w:rsidRPr="00123DEF">
        <w:t>.</w:t>
      </w:r>
      <w:r w:rsidR="008A54B9" w:rsidRPr="00123DEF">
        <w:t> 7 </w:t>
      </w:r>
      <w:r w:rsidR="00BF7641" w:rsidRPr="00123DEF">
        <w:t xml:space="preserve">(1997) </w:t>
      </w:r>
      <w:r w:rsidR="008F7049" w:rsidRPr="00123DEF">
        <w:t xml:space="preserve">en </w:t>
      </w:r>
      <w:r w:rsidR="00BF7641" w:rsidRPr="00123DEF">
        <w:t xml:space="preserve">la </w:t>
      </w:r>
      <w:r w:rsidR="008F7049" w:rsidRPr="00123DEF">
        <w:t xml:space="preserve">que </w:t>
      </w:r>
      <w:r w:rsidR="00BF7641" w:rsidRPr="00123DEF">
        <w:t xml:space="preserve">se </w:t>
      </w:r>
      <w:r w:rsidR="008F7049" w:rsidRPr="00123DEF">
        <w:t xml:space="preserve">considera que en </w:t>
      </w:r>
      <w:r w:rsidR="00BF7641" w:rsidRPr="00123DEF">
        <w:t xml:space="preserve">el </w:t>
      </w:r>
      <w:r w:rsidR="008F7049" w:rsidRPr="00123DEF">
        <w:t>caso de que un desalojo lícito d</w:t>
      </w:r>
      <w:r w:rsidR="00BF7641" w:rsidRPr="00123DEF">
        <w:t>é</w:t>
      </w:r>
      <w:r w:rsidR="008F7049" w:rsidRPr="00123DEF">
        <w:t xml:space="preserve"> lugar a que una persona se quede sin vivienda</w:t>
      </w:r>
      <w:r w:rsidR="00BF7641" w:rsidRPr="00123DEF">
        <w:t>,</w:t>
      </w:r>
      <w:r w:rsidR="008F7049" w:rsidRPr="00123DEF">
        <w:t xml:space="preserve"> los Estados tienen la obligación de adoptar todas las medidas necesarias, en la mayor medida que permitan sus recursos, para que se proporcione otra vivienda. </w:t>
      </w:r>
    </w:p>
    <w:p w14:paraId="47C9EA54" w14:textId="407E72C9" w:rsidR="008F7049" w:rsidRPr="00123DEF" w:rsidRDefault="00885C97">
      <w:pPr>
        <w:pStyle w:val="SingleTxtG"/>
      </w:pPr>
      <w:r w:rsidRPr="00123DEF">
        <w:t>4.10</w:t>
      </w:r>
      <w:r w:rsidR="008F7049" w:rsidRPr="00123DEF">
        <w:tab/>
        <w:t>El Estado parte considera que, al aplicar este razonamiento sobre el alcance del derecho a una vivienda adecuada al caso presente, para encontrar que existe una vulneración del Pacto será necesario que la autora acredite: a) que se encuentra en situación de necesidad; b)</w:t>
      </w:r>
      <w:r w:rsidR="00586877" w:rsidRPr="00123DEF">
        <w:t xml:space="preserve"> </w:t>
      </w:r>
      <w:r w:rsidR="008F7049" w:rsidRPr="00123DEF">
        <w:t xml:space="preserve">que las autoridades </w:t>
      </w:r>
      <w:r w:rsidR="00857DAD" w:rsidRPr="00123DEF">
        <w:t>no hayan dedicado recursos en la medida de sus posibilidades; c)</w:t>
      </w:r>
      <w:r w:rsidR="00586877" w:rsidRPr="00123DEF">
        <w:t xml:space="preserve"> </w:t>
      </w:r>
      <w:r w:rsidR="00857DAD" w:rsidRPr="00123DEF">
        <w:t>que, en caso de haberse dedicado el máximo de recursos disponible</w:t>
      </w:r>
      <w:r w:rsidR="007079CB" w:rsidRPr="00123DEF">
        <w:t>s</w:t>
      </w:r>
      <w:r w:rsidR="00857DAD" w:rsidRPr="00123DEF">
        <w:t xml:space="preserve"> sin cubrir todas las necesidades, </w:t>
      </w:r>
      <w:r w:rsidR="007079CB" w:rsidRPr="00123DEF">
        <w:t>e</w:t>
      </w:r>
      <w:r w:rsidR="00857DAD" w:rsidRPr="00123DEF">
        <w:t>stos no se hayan asignado con criterios racionales y objetivos</w:t>
      </w:r>
      <w:r w:rsidR="007079CB" w:rsidRPr="00123DEF">
        <w:t>;</w:t>
      </w:r>
      <w:r w:rsidR="00857DAD" w:rsidRPr="00123DEF">
        <w:t xml:space="preserve"> y d)</w:t>
      </w:r>
      <w:r w:rsidR="00586877" w:rsidRPr="00123DEF">
        <w:t xml:space="preserve"> </w:t>
      </w:r>
      <w:r w:rsidR="00857DAD" w:rsidRPr="00123DEF">
        <w:t xml:space="preserve">que la autora no se haya situado de forma voluntaria y consciente en la situación de la que se queja, impidiendo ser receptora de ayudas públicamente ofrecidas. </w:t>
      </w:r>
    </w:p>
    <w:p w14:paraId="282F810B" w14:textId="13ED311B" w:rsidR="000D2870" w:rsidRPr="00123DEF" w:rsidRDefault="00885C97">
      <w:pPr>
        <w:pStyle w:val="SingleTxtG"/>
      </w:pPr>
      <w:r w:rsidRPr="00123DEF">
        <w:t>4.11</w:t>
      </w:r>
      <w:r w:rsidR="000D2870" w:rsidRPr="00123DEF">
        <w:tab/>
        <w:t>El Estado parte relata las decisiones adoptadas para proteger el derecho a la vivienda. El Estado parte ha llevado a cabo medidas para facilitar el acceso al mercado residencial privado en régimen de propiedad, mediante desgravaciones fiscales y en régimen de alquiler</w:t>
      </w:r>
      <w:r w:rsidR="007079CB" w:rsidRPr="00123DEF">
        <w:t>,</w:t>
      </w:r>
      <w:r w:rsidR="000D2870" w:rsidRPr="00123DEF">
        <w:t xml:space="preserve"> mediante ayudas públicas para acceso al alquiler privado. También se han adoptado políticas para evitar la salida del mercado residencial privado en régimen de propiedad, mediante la moratoria de desalojos por impago de préstamos hipotecarios y la adopción del Código de Buenas Prácticas al que están adheridas más de 93</w:t>
      </w:r>
      <w:r w:rsidR="00586877" w:rsidRPr="00123DEF">
        <w:t xml:space="preserve"> </w:t>
      </w:r>
      <w:r w:rsidR="000D2870" w:rsidRPr="00123DEF">
        <w:t>entidades financieras. Además, para atender a las situaciones de necesidad de emergencia en los casos de desalojos legítimos y hasta un nuevo acceso a residencia estable, el Real Decreto-ley núm</w:t>
      </w:r>
      <w:r w:rsidR="008A54B9" w:rsidRPr="00123DEF">
        <w:t>. </w:t>
      </w:r>
      <w:r w:rsidR="000D2870" w:rsidRPr="00123DEF">
        <w:t xml:space="preserve">7/2019 estableció un mecanismo mediante el que las personas vulnerables pueden ver su desalojo suspendido por un mes en los casos en </w:t>
      </w:r>
      <w:r w:rsidR="00DE3843" w:rsidRPr="00123DEF">
        <w:t xml:space="preserve">los </w:t>
      </w:r>
      <w:r w:rsidR="000D2870" w:rsidRPr="00123DEF">
        <w:t xml:space="preserve">que el propietario es una persona física, o tres meses en los casos en </w:t>
      </w:r>
      <w:r w:rsidR="00DE3843" w:rsidRPr="00123DEF">
        <w:t xml:space="preserve">los </w:t>
      </w:r>
      <w:r w:rsidR="000D2870" w:rsidRPr="00123DEF">
        <w:t xml:space="preserve">que el propietario es una persona jurídica. </w:t>
      </w:r>
      <w:r w:rsidR="00896130" w:rsidRPr="00123DEF">
        <w:t xml:space="preserve">A estas ayudas se suman, en el contexto de Cataluña, las prestaciones de urgencia social que tienen como finalidad atender a situaciones de necesidades puntuales, urgentes y básicas en la </w:t>
      </w:r>
      <w:r w:rsidR="00DE3843" w:rsidRPr="00123DEF">
        <w:t>c</w:t>
      </w:r>
      <w:r w:rsidR="00896130" w:rsidRPr="00123DEF">
        <w:t>omuni</w:t>
      </w:r>
      <w:r w:rsidR="00362A7E" w:rsidRPr="00123DEF">
        <w:t>d</w:t>
      </w:r>
      <w:r w:rsidR="00896130" w:rsidRPr="00123DEF">
        <w:t xml:space="preserve">ad </w:t>
      </w:r>
      <w:r w:rsidR="00DE3843" w:rsidRPr="00123DEF">
        <w:t>a</w:t>
      </w:r>
      <w:r w:rsidR="00896130" w:rsidRPr="00123DEF">
        <w:t xml:space="preserve">utónoma. </w:t>
      </w:r>
      <w:r w:rsidR="000D2870" w:rsidRPr="00123DEF">
        <w:t>El Estado parte también se asegura de la promoción de un parque suficiente de vivienda pública mediante la inclusión en la legislación urbanística española de la necesidad de ceder gratuitamente para finalidades públicas parte de los suelos privados que se desea convertir en urbanos y mediante la financiación para la construcción de vivienda social en dicho suelo. Por último, el Estado parte establece criterios objetivos de evaluación de las necesidades de los solicitantes de vivienda social para otorgarla.</w:t>
      </w:r>
    </w:p>
    <w:p w14:paraId="41764562" w14:textId="5469F8CB" w:rsidR="00C00328" w:rsidRPr="00123DEF" w:rsidRDefault="000D2870">
      <w:pPr>
        <w:pStyle w:val="SingleTxtG"/>
      </w:pPr>
      <w:r w:rsidRPr="00123DEF">
        <w:t>4.</w:t>
      </w:r>
      <w:r w:rsidR="00885C97" w:rsidRPr="00123DEF">
        <w:t>12</w:t>
      </w:r>
      <w:r w:rsidRPr="00123DEF">
        <w:tab/>
      </w:r>
      <w:r w:rsidR="00896130" w:rsidRPr="00123DEF">
        <w:t xml:space="preserve">En el caso presente, la autora ha procedido a ocupar una propiedad inmobiliaria ajena sin haber anteriormente solicitado vivienda social. Esta ocupación, según el Estado parte, no se encuentra amparada por el </w:t>
      </w:r>
      <w:r w:rsidR="00C749A3" w:rsidRPr="00123DEF">
        <w:t>artículo </w:t>
      </w:r>
      <w:r w:rsidR="00896130" w:rsidRPr="00123DEF">
        <w:t xml:space="preserve">11, </w:t>
      </w:r>
      <w:r w:rsidR="00C749A3" w:rsidRPr="00123DEF">
        <w:t>párrafo </w:t>
      </w:r>
      <w:r w:rsidR="00896130" w:rsidRPr="00123DEF">
        <w:t xml:space="preserve">1, del Pacto y ha producido un perjuicio a la persona jurídica propietaria. </w:t>
      </w:r>
      <w:r w:rsidR="00C91246" w:rsidRPr="00123DEF">
        <w:t xml:space="preserve">Los </w:t>
      </w:r>
      <w:r w:rsidR="005B60AB" w:rsidRPr="00123DEF">
        <w:t>S</w:t>
      </w:r>
      <w:r w:rsidR="00C91246" w:rsidRPr="00123DEF">
        <w:t xml:space="preserve">ervicios </w:t>
      </w:r>
      <w:r w:rsidR="005B60AB" w:rsidRPr="00123DEF">
        <w:t>S</w:t>
      </w:r>
      <w:r w:rsidR="00C91246" w:rsidRPr="00123DEF">
        <w:t xml:space="preserve">ociales han estado presentes en todas las fechas de desalojo previstas y han realizado seguimiento y </w:t>
      </w:r>
      <w:r w:rsidR="00F535E4" w:rsidRPr="00123DEF">
        <w:t xml:space="preserve">han proporcionado </w:t>
      </w:r>
      <w:r w:rsidR="00C91246" w:rsidRPr="00123DEF">
        <w:t>asistencia desde 2017. La solicitud de vivienda pública ha sido resuelta de forma valorable, y se le ha aplicado a la autora el programa</w:t>
      </w:r>
      <w:r w:rsidR="00F535E4" w:rsidRPr="00123DEF">
        <w:t> </w:t>
      </w:r>
      <w:r w:rsidR="00C91246" w:rsidRPr="00123DEF">
        <w:t>60/40</w:t>
      </w:r>
      <w:r w:rsidR="00F535E4" w:rsidRPr="00123DEF">
        <w:t>,</w:t>
      </w:r>
      <w:r w:rsidR="00C91246" w:rsidRPr="00123DEF">
        <w:t xml:space="preserve"> consistente en la búsqueda en el mercado privado de vivienda de alquiler. Por último, la situación de la autora se debe en gran parte a su propia actuación, </w:t>
      </w:r>
      <w:r w:rsidR="00F535E4" w:rsidRPr="00123DEF">
        <w:t xml:space="preserve">con la </w:t>
      </w:r>
      <w:r w:rsidR="00C91246" w:rsidRPr="00123DEF">
        <w:t>ocupa</w:t>
      </w:r>
      <w:r w:rsidR="00F535E4" w:rsidRPr="00123DEF">
        <w:t>ción de</w:t>
      </w:r>
      <w:r w:rsidR="00C91246" w:rsidRPr="00123DEF">
        <w:t xml:space="preserve"> una vivienda desde al menos febrero de 2018 </w:t>
      </w:r>
      <w:r w:rsidR="00014CA7" w:rsidRPr="00123DEF">
        <w:t>sin haber solicitado</w:t>
      </w:r>
      <w:r w:rsidR="00C91246" w:rsidRPr="00123DEF">
        <w:t xml:space="preserve"> vivienda social. </w:t>
      </w:r>
      <w:r w:rsidR="00E65A0E" w:rsidRPr="00123DEF">
        <w:t>Por todo ello, el Estado parte concluye que las autoridades no han fal</w:t>
      </w:r>
      <w:r w:rsidR="004A3E8B" w:rsidRPr="00123DEF">
        <w:t>t</w:t>
      </w:r>
      <w:r w:rsidR="00E65A0E" w:rsidRPr="00123DEF">
        <w:t xml:space="preserve">ado a sus obligaciones en virtud del </w:t>
      </w:r>
      <w:r w:rsidR="00C749A3" w:rsidRPr="00123DEF">
        <w:t>artículo </w:t>
      </w:r>
      <w:r w:rsidR="00E65A0E" w:rsidRPr="00123DEF">
        <w:t xml:space="preserve">11, </w:t>
      </w:r>
      <w:r w:rsidR="00C749A3" w:rsidRPr="00123DEF">
        <w:t>párrafo </w:t>
      </w:r>
      <w:r w:rsidR="00E65A0E" w:rsidRPr="00123DEF">
        <w:t>1, del Pacto.</w:t>
      </w:r>
    </w:p>
    <w:p w14:paraId="715097E4" w14:textId="007A78DD" w:rsidR="00902488" w:rsidRPr="00123DEF" w:rsidRDefault="00453E9D">
      <w:pPr>
        <w:pStyle w:val="H23G"/>
      </w:pPr>
      <w:r w:rsidRPr="00123DEF">
        <w:tab/>
      </w:r>
      <w:r w:rsidRPr="00123DEF">
        <w:tab/>
      </w:r>
      <w:r w:rsidR="000839BC" w:rsidRPr="00123DEF">
        <w:t xml:space="preserve">Comentarios de la autora </w:t>
      </w:r>
      <w:r w:rsidR="00C60F8F" w:rsidRPr="00123DEF">
        <w:t>acerca de las observaciones del Estado parte</w:t>
      </w:r>
      <w:r w:rsidR="00586877" w:rsidRPr="00123DEF">
        <w:br/>
      </w:r>
      <w:r w:rsidR="000839BC" w:rsidRPr="00123DEF">
        <w:t>sobre la admisibilidad y el fondo</w:t>
      </w:r>
    </w:p>
    <w:p w14:paraId="3BDFF71F" w14:textId="4CD254F3" w:rsidR="00DE44B1" w:rsidRPr="00123DEF" w:rsidRDefault="00FC1AE7">
      <w:pPr>
        <w:pStyle w:val="SingleTxtG"/>
      </w:pPr>
      <w:r w:rsidRPr="00123DEF">
        <w:t>5</w:t>
      </w:r>
      <w:r w:rsidR="00811A36" w:rsidRPr="00123DEF">
        <w:t>.1</w:t>
      </w:r>
      <w:r w:rsidR="00811A36" w:rsidRPr="00123DEF">
        <w:tab/>
      </w:r>
      <w:r w:rsidRPr="00123DEF">
        <w:t>En sus</w:t>
      </w:r>
      <w:r w:rsidR="00DE44B1" w:rsidRPr="00123DEF">
        <w:t xml:space="preserve"> comentarios de 20 de marzo de 2020, la autora informa de que el desalojo no fue suspendido y se llevó a cabo el día señalado. Según la autora, el desalojo no f</w:t>
      </w:r>
      <w:r w:rsidR="00BF2D64" w:rsidRPr="00123DEF">
        <w:t>u</w:t>
      </w:r>
      <w:r w:rsidR="00DE44B1" w:rsidRPr="00123DEF">
        <w:t xml:space="preserve">e suspendido porque el Juzgado de Primera Instancia </w:t>
      </w:r>
      <w:r w:rsidR="00F535E4" w:rsidRPr="00123DEF">
        <w:t>núm</w:t>
      </w:r>
      <w:r w:rsidR="00DE44B1" w:rsidRPr="00123DEF">
        <w:t>.</w:t>
      </w:r>
      <w:r w:rsidR="008A54B9" w:rsidRPr="00123DEF">
        <w:t> </w:t>
      </w:r>
      <w:r w:rsidR="00DE44B1" w:rsidRPr="00123DEF">
        <w:t xml:space="preserve">8 de Rubí recibió </w:t>
      </w:r>
      <w:r w:rsidR="00BF2D64" w:rsidRPr="00123DEF">
        <w:t xml:space="preserve">de los Servicios Sociales </w:t>
      </w:r>
      <w:r w:rsidR="00DE44B1" w:rsidRPr="00123DEF">
        <w:t xml:space="preserve">la información de que la autora había sido realojada por sus medios en otra vivienda. No obstante, la autora afirma que esta </w:t>
      </w:r>
      <w:r w:rsidR="00472262" w:rsidRPr="00123DEF">
        <w:t>información</w:t>
      </w:r>
      <w:r w:rsidR="00DE44B1" w:rsidRPr="00123DEF">
        <w:t xml:space="preserve"> no era correcta, pues s</w:t>
      </w:r>
      <w:r w:rsidR="00F535E4" w:rsidRPr="00123DEF">
        <w:t>o</w:t>
      </w:r>
      <w:r w:rsidR="00DE44B1" w:rsidRPr="00123DEF">
        <w:t xml:space="preserve">lo habían sido acogidos por un día en una habitación de la vivienda de una vecina. </w:t>
      </w:r>
    </w:p>
    <w:p w14:paraId="1A182C51" w14:textId="64024150" w:rsidR="00335719" w:rsidRPr="00123DEF" w:rsidRDefault="00335719">
      <w:pPr>
        <w:pStyle w:val="SingleTxtG"/>
      </w:pPr>
      <w:r w:rsidRPr="00123DEF">
        <w:t>5.2</w:t>
      </w:r>
      <w:r w:rsidRPr="00123DEF">
        <w:tab/>
        <w:t xml:space="preserve">La autora asegura que los Servicios </w:t>
      </w:r>
      <w:r w:rsidR="007E5CE4" w:rsidRPr="00123DEF">
        <w:t>S</w:t>
      </w:r>
      <w:r w:rsidRPr="00123DEF">
        <w:t xml:space="preserve">ociales no hicieron ninguna gestión para comprobar la situación residencial de la familia y que perdieron todas las pertenencias que no pudieron recuperar de la vivienda antes del desalojo. La autora además afirma que, aunque la Mesa de Valoración de </w:t>
      </w:r>
      <w:r w:rsidR="00F535E4" w:rsidRPr="00123DEF">
        <w:t>s</w:t>
      </w:r>
      <w:r w:rsidRPr="00123DEF">
        <w:t xml:space="preserve">ituaciones de </w:t>
      </w:r>
      <w:r w:rsidR="00F535E4" w:rsidRPr="00123DEF">
        <w:t>e</w:t>
      </w:r>
      <w:r w:rsidRPr="00123DEF">
        <w:t>mergencia</w:t>
      </w:r>
      <w:r w:rsidR="00F535E4" w:rsidRPr="00123DEF">
        <w:t>s</w:t>
      </w:r>
      <w:r w:rsidRPr="00123DEF">
        <w:t xml:space="preserve"> </w:t>
      </w:r>
      <w:r w:rsidR="00F535E4" w:rsidRPr="00123DEF">
        <w:t>e</w:t>
      </w:r>
      <w:r w:rsidRPr="00123DEF">
        <w:t>conómica</w:t>
      </w:r>
      <w:r w:rsidR="00F535E4" w:rsidRPr="00123DEF">
        <w:t>s</w:t>
      </w:r>
      <w:r w:rsidRPr="00123DEF">
        <w:t xml:space="preserve"> </w:t>
      </w:r>
      <w:r w:rsidR="00BF2D64" w:rsidRPr="00123DEF">
        <w:t>y</w:t>
      </w:r>
      <w:r w:rsidRPr="00123DEF">
        <w:t xml:space="preserve"> </w:t>
      </w:r>
      <w:r w:rsidR="00F535E4" w:rsidRPr="00123DEF">
        <w:t>s</w:t>
      </w:r>
      <w:r w:rsidRPr="00123DEF">
        <w:t>ocial</w:t>
      </w:r>
      <w:r w:rsidR="00F535E4" w:rsidRPr="00123DEF">
        <w:t>es</w:t>
      </w:r>
      <w:r w:rsidRPr="00123DEF">
        <w:t xml:space="preserve"> de Catalu</w:t>
      </w:r>
      <w:r w:rsidR="00F535E4" w:rsidRPr="00123DEF">
        <w:t>ñ</w:t>
      </w:r>
      <w:r w:rsidRPr="00123DEF">
        <w:t>a reconoció su situación de emergencia, no se le ha proporcionado vivienda pública. Además, según la autora, nunca ha sido informada de que había sido aceptada en el programa</w:t>
      </w:r>
      <w:r w:rsidR="00F535E4" w:rsidRPr="00123DEF">
        <w:t> </w:t>
      </w:r>
      <w:r w:rsidRPr="00123DEF">
        <w:t>60/40, como se afirma en el informe de los Servicios Sociales</w:t>
      </w:r>
      <w:r w:rsidR="00F535E4" w:rsidRPr="00123DEF">
        <w:t>,</w:t>
      </w:r>
      <w:r w:rsidRPr="00123DEF">
        <w:t xml:space="preserve"> ni se le ha ofrecido el acceso a este programa. Tras recepción de las observaciones del Estado parte, la autora ha solicitado información a los Servicios </w:t>
      </w:r>
      <w:r w:rsidR="007E5CE4" w:rsidRPr="00123DEF">
        <w:t>S</w:t>
      </w:r>
      <w:r w:rsidRPr="00123DEF">
        <w:t>ociales en relación con el programa</w:t>
      </w:r>
      <w:r w:rsidR="00F535E4" w:rsidRPr="00123DEF">
        <w:t> </w:t>
      </w:r>
      <w:r w:rsidRPr="00123DEF">
        <w:t>60/40 y le han informado que, aunque esté aprobado por la Generalitat de Catalu</w:t>
      </w:r>
      <w:r w:rsidR="00F535E4" w:rsidRPr="00123DEF">
        <w:t>ny</w:t>
      </w:r>
      <w:r w:rsidRPr="00123DEF">
        <w:t xml:space="preserve">a, el programa no se aplica en su caso. </w:t>
      </w:r>
    </w:p>
    <w:p w14:paraId="2C68E0EA" w14:textId="45908549" w:rsidR="00335719" w:rsidRPr="00123DEF" w:rsidRDefault="00335719">
      <w:pPr>
        <w:pStyle w:val="SingleTxtG"/>
      </w:pPr>
      <w:r w:rsidRPr="00123DEF">
        <w:t>5.3</w:t>
      </w:r>
      <w:r w:rsidRPr="00123DEF">
        <w:tab/>
        <w:t>La autora considera que su derecho a la vivienda fue vulnerado mediante su desalojo, destinado a restituir la posesión de una vivienda a un fondo patrimonial que no aceptó arrendarla y que la mantiene vacía. Adem</w:t>
      </w:r>
      <w:r w:rsidR="001B3ECE" w:rsidRPr="00123DEF">
        <w:t xml:space="preserve">ás, considera que se desatendió la solicitud de medidas provisionales del Comité y que los Servicios Sociales actuaron negligentemente. La administración ha actuado, </w:t>
      </w:r>
      <w:r w:rsidR="00E01EB1" w:rsidRPr="00123DEF">
        <w:t xml:space="preserve">según </w:t>
      </w:r>
      <w:r w:rsidR="001B3ECE" w:rsidRPr="00123DEF">
        <w:t xml:space="preserve">la autora, de forma ambivalente, reconociendo por un lado acceso a una asistencia, y por otro lado no permitiendo ese acceso. </w:t>
      </w:r>
    </w:p>
    <w:p w14:paraId="4E894168" w14:textId="24080CE6" w:rsidR="00BE4626" w:rsidRPr="00123DEF" w:rsidRDefault="00BE4626">
      <w:pPr>
        <w:pStyle w:val="H1G"/>
      </w:pPr>
      <w:r w:rsidRPr="00123DEF">
        <w:tab/>
        <w:t>B.</w:t>
      </w:r>
      <w:r w:rsidRPr="00123DEF">
        <w:tab/>
      </w:r>
      <w:r w:rsidR="00C60F8F" w:rsidRPr="00123DEF">
        <w:t xml:space="preserve">Examen de la admisibilidad por </w:t>
      </w:r>
      <w:r w:rsidRPr="00123DEF">
        <w:t xml:space="preserve">el Comité </w:t>
      </w:r>
    </w:p>
    <w:p w14:paraId="029F08CE" w14:textId="63E38827" w:rsidR="00DA56DE" w:rsidRPr="00123DEF" w:rsidRDefault="00DA56DE">
      <w:pPr>
        <w:pStyle w:val="SingleTxtG"/>
      </w:pPr>
      <w:r w:rsidRPr="00123DEF">
        <w:t>6.1</w:t>
      </w:r>
      <w:r w:rsidRPr="00123DEF">
        <w:tab/>
        <w:t xml:space="preserve">Antes de examinar cualquier reclamación formulada en una comunicación, el Comité debe decidir, de conformidad con el </w:t>
      </w:r>
      <w:r w:rsidR="00C749A3" w:rsidRPr="00123DEF">
        <w:t>artículo </w:t>
      </w:r>
      <w:r w:rsidRPr="00123DEF">
        <w:t>9 de su reglamento provisional en virtud del Protocolo Facultativo, si el caso es o no admisible.</w:t>
      </w:r>
    </w:p>
    <w:p w14:paraId="2A216808" w14:textId="40D662C4" w:rsidR="00A523FF" w:rsidRPr="00123DEF" w:rsidRDefault="006C180B">
      <w:pPr>
        <w:pStyle w:val="SingleTxtG"/>
      </w:pPr>
      <w:r w:rsidRPr="00123DEF">
        <w:t>6.2</w:t>
      </w:r>
      <w:r w:rsidRPr="00123DEF">
        <w:tab/>
      </w:r>
      <w:r w:rsidR="009B1570" w:rsidRPr="00123DEF">
        <w:t xml:space="preserve">El </w:t>
      </w:r>
      <w:r w:rsidR="002B7412" w:rsidRPr="00123DEF">
        <w:t xml:space="preserve">Comité </w:t>
      </w:r>
      <w:r w:rsidR="009B1570" w:rsidRPr="00123DEF">
        <w:t xml:space="preserve">toma nota de que el Estado parte alega que la autora no agotó </w:t>
      </w:r>
      <w:r w:rsidR="002B7412" w:rsidRPr="00123DEF">
        <w:t xml:space="preserve">los </w:t>
      </w:r>
      <w:r w:rsidR="009B1570" w:rsidRPr="00123DEF">
        <w:t xml:space="preserve">recursos </w:t>
      </w:r>
      <w:r w:rsidR="002B7412" w:rsidRPr="00123DEF">
        <w:t xml:space="preserve">internos disponibles </w:t>
      </w:r>
      <w:r w:rsidR="009B1570" w:rsidRPr="00123DEF">
        <w:t xml:space="preserve">porque no solicitó asistencia de los </w:t>
      </w:r>
      <w:r w:rsidR="007E5CE4" w:rsidRPr="00123DEF">
        <w:t>S</w:t>
      </w:r>
      <w:r w:rsidR="009B1570" w:rsidRPr="00123DEF">
        <w:t xml:space="preserve">ervicios </w:t>
      </w:r>
      <w:r w:rsidR="007E5CE4" w:rsidRPr="00123DEF">
        <w:t>S</w:t>
      </w:r>
      <w:r w:rsidR="009B1570" w:rsidRPr="00123DEF">
        <w:t xml:space="preserve">ociales y vivienda de protección oficial hasta tiempo después de encontrarse ocupando sin título legal y de que se hubiera iniciado el procedimiento judicial. El Comité </w:t>
      </w:r>
      <w:r w:rsidR="004F1C9D" w:rsidRPr="00123DEF">
        <w:t>observa</w:t>
      </w:r>
      <w:r w:rsidR="009B1570" w:rsidRPr="00123DEF">
        <w:t xml:space="preserve"> que la autora </w:t>
      </w:r>
      <w:r w:rsidR="00A523FF" w:rsidRPr="00123DEF">
        <w:t xml:space="preserve">no responde a esta alegación del Estado parte ni aporta las razones por las que no solicitó asistencia de la administración pública en su búsqueda de vivienda con anterioridad a empezar a ocupar el bien inmueble. </w:t>
      </w:r>
    </w:p>
    <w:p w14:paraId="5EA0C04A" w14:textId="7EEA3BF3" w:rsidR="00942E85" w:rsidRPr="00123DEF" w:rsidRDefault="00942E85">
      <w:pPr>
        <w:pStyle w:val="SingleTxtG"/>
      </w:pPr>
      <w:r w:rsidRPr="00123DEF">
        <w:t>6.3</w:t>
      </w:r>
      <w:r w:rsidRPr="00123DEF">
        <w:tab/>
        <w:t xml:space="preserve">El Comité toma nota de que los </w:t>
      </w:r>
      <w:proofErr w:type="gramStart"/>
      <w:r w:rsidRPr="00123DEF">
        <w:t>Estados partes</w:t>
      </w:r>
      <w:proofErr w:type="gramEnd"/>
      <w:r w:rsidRPr="00123DEF">
        <w:t xml:space="preserve"> tienen una obligación positiva, conforme al </w:t>
      </w:r>
      <w:r w:rsidR="00C749A3" w:rsidRPr="00123DEF">
        <w:t>artículo </w:t>
      </w:r>
      <w:r w:rsidRPr="00123DEF">
        <w:t xml:space="preserve">2, </w:t>
      </w:r>
      <w:r w:rsidR="00C749A3" w:rsidRPr="00123DEF">
        <w:t>párrafo </w:t>
      </w:r>
      <w:r w:rsidRPr="00123DEF">
        <w:t xml:space="preserve">1, del Pacto, de adoptar medidas, tanto por separado como mediante la asistencia y la cooperación internacionales, especialmente económicas y técnicas, hasta el máximo de los recursos de que dispongan, para lograr progresivamente, por todos los medios apropiados la plena efectividad de los derechos reconocidos en el Pacto. No obstante, el Comité recuerda que los </w:t>
      </w:r>
      <w:proofErr w:type="gramStart"/>
      <w:r w:rsidRPr="00123DEF">
        <w:t>Estados partes</w:t>
      </w:r>
      <w:proofErr w:type="gramEnd"/>
      <w:r w:rsidRPr="00123DEF">
        <w:t xml:space="preserve"> pueden adoptar toda una serie de posibles medidas de política para hacer efectivos los derechos enunciados en el Pacto, como establece el </w:t>
      </w:r>
      <w:r w:rsidR="00C749A3" w:rsidRPr="00123DEF">
        <w:t>artículo </w:t>
      </w:r>
      <w:r w:rsidRPr="00123DEF">
        <w:t xml:space="preserve">8, </w:t>
      </w:r>
      <w:r w:rsidR="00C749A3" w:rsidRPr="00123DEF">
        <w:t>párrafo </w:t>
      </w:r>
      <w:r w:rsidRPr="00123DEF">
        <w:t xml:space="preserve">4, del Protocolo Facultativo. Por tanto, el Comité reconoce que los </w:t>
      </w:r>
      <w:proofErr w:type="gramStart"/>
      <w:r w:rsidRPr="00123DEF">
        <w:t>Estados partes</w:t>
      </w:r>
      <w:proofErr w:type="gramEnd"/>
      <w:r w:rsidRPr="00123DEF">
        <w:t xml:space="preserve"> pueden establecer vías administrativas para facilitar la protección del derecho a la vivienda, incluso requiriendo a los individuos que </w:t>
      </w:r>
      <w:r w:rsidR="002B7412" w:rsidRPr="00123DEF">
        <w:t xml:space="preserve">realicen </w:t>
      </w:r>
      <w:r w:rsidRPr="00123DEF">
        <w:t>ciertos trámites administrativos para notificar a las autoridades de su necesidad de asistencia en la protección de su derecho a la vivienda. Estos trámites no deben imponer a los individuos una carga excesiva o innecesaria y no deben tener efectos discriminatorios</w:t>
      </w:r>
      <w:r w:rsidRPr="00123DEF">
        <w:rPr>
          <w:rStyle w:val="FootnoteReference"/>
        </w:rPr>
        <w:footnoteReference w:id="10"/>
      </w:r>
      <w:r w:rsidR="004F1C9D" w:rsidRPr="00123DEF">
        <w:t>.</w:t>
      </w:r>
      <w:r w:rsidRPr="00123DEF">
        <w:t xml:space="preserve"> </w:t>
      </w:r>
    </w:p>
    <w:p w14:paraId="57FDCF5E" w14:textId="3F220B4A" w:rsidR="00942E85" w:rsidRPr="00123DEF" w:rsidRDefault="00942E85">
      <w:pPr>
        <w:pStyle w:val="SingleTxtG"/>
      </w:pPr>
      <w:r w:rsidRPr="00123DEF">
        <w:t>6.4</w:t>
      </w:r>
      <w:r w:rsidRPr="00123DEF">
        <w:tab/>
      </w:r>
      <w:r w:rsidR="00764120" w:rsidRPr="00123DEF">
        <w:t>En consecuencia</w:t>
      </w:r>
      <w:r w:rsidRPr="00123DEF">
        <w:t xml:space="preserve">, el </w:t>
      </w:r>
      <w:r w:rsidR="00C9152E" w:rsidRPr="00123DEF">
        <w:t xml:space="preserve">Comité considera que la falta de debida diligencia en solicitar asistencia a las autoridades administrativas </w:t>
      </w:r>
      <w:r w:rsidR="004F1C9D" w:rsidRPr="00123DEF">
        <w:t xml:space="preserve">nacionales </w:t>
      </w:r>
      <w:r w:rsidR="00C9152E" w:rsidRPr="00123DEF">
        <w:t xml:space="preserve">para asegurar el acceso a una vivienda alternativa en un plazo razonable constituiría un elemento importante tanto respecto del requisito de agotamiento de recursos internos exigido por el </w:t>
      </w:r>
      <w:r w:rsidR="00C749A3" w:rsidRPr="00123DEF">
        <w:t>artículo </w:t>
      </w:r>
      <w:r w:rsidR="00C9152E" w:rsidRPr="00123DEF">
        <w:t>3, párrafo</w:t>
      </w:r>
      <w:r w:rsidR="004F1C9D" w:rsidRPr="00123DEF">
        <w:t> </w:t>
      </w:r>
      <w:r w:rsidR="00C9152E" w:rsidRPr="00123DEF">
        <w:t xml:space="preserve">1, del Protocolo Facultativo, como en la sustanciación de la alegación de que el Estado parte ha faltado a sus obligaciones en virtud del </w:t>
      </w:r>
      <w:r w:rsidR="00C749A3" w:rsidRPr="00123DEF">
        <w:t>artículo </w:t>
      </w:r>
      <w:r w:rsidR="00C9152E" w:rsidRPr="00123DEF">
        <w:t xml:space="preserve">11, </w:t>
      </w:r>
      <w:r w:rsidR="00C749A3" w:rsidRPr="00123DEF">
        <w:t>párrafo </w:t>
      </w:r>
      <w:r w:rsidR="00C9152E" w:rsidRPr="00123DEF">
        <w:t>1, del Pacto</w:t>
      </w:r>
      <w:r w:rsidR="00C9152E" w:rsidRPr="00123DEF">
        <w:rPr>
          <w:rStyle w:val="FootnoteReference"/>
        </w:rPr>
        <w:footnoteReference w:id="11"/>
      </w:r>
      <w:r w:rsidR="004F1C9D" w:rsidRPr="00123DEF">
        <w:t>.</w:t>
      </w:r>
    </w:p>
    <w:p w14:paraId="5D031068" w14:textId="212CE05F" w:rsidR="0062135F" w:rsidRPr="00123DEF" w:rsidRDefault="00942E85">
      <w:pPr>
        <w:pStyle w:val="SingleTxtG"/>
      </w:pPr>
      <w:r w:rsidRPr="00123DEF">
        <w:t>6.</w:t>
      </w:r>
      <w:r w:rsidR="0057067F" w:rsidRPr="00123DEF">
        <w:t>5</w:t>
      </w:r>
      <w:r w:rsidRPr="00123DEF">
        <w:tab/>
        <w:t xml:space="preserve">De conformidad con el </w:t>
      </w:r>
      <w:r w:rsidR="00C749A3" w:rsidRPr="00123DEF">
        <w:t>artículo </w:t>
      </w:r>
      <w:r w:rsidRPr="00123DEF">
        <w:t xml:space="preserve">3, </w:t>
      </w:r>
      <w:r w:rsidR="00C749A3" w:rsidRPr="00123DEF">
        <w:t>párrafo </w:t>
      </w:r>
      <w:r w:rsidRPr="00123DEF">
        <w:t>2</w:t>
      </w:r>
      <w:r w:rsidR="004F1C9D" w:rsidRPr="00123DEF">
        <w:t> </w:t>
      </w:r>
      <w:r w:rsidRPr="00123DEF">
        <w:t xml:space="preserve">e), del Protocolo Facultativo, el Comité declarará inadmisible toda comunicación que sea manifiestamente infundada, no esté suficientemente fundamentada o se base exclusivamente en informes difundidos por los medios de comunicación. El Comité toma nota de que </w:t>
      </w:r>
      <w:r w:rsidR="00724731" w:rsidRPr="00123DEF">
        <w:t xml:space="preserve">el Estado parte alega que la existencia </w:t>
      </w:r>
      <w:r w:rsidR="004478C1" w:rsidRPr="00123DEF">
        <w:t xml:space="preserve">de </w:t>
      </w:r>
      <w:r w:rsidR="00504384" w:rsidRPr="00123DEF">
        <w:t xml:space="preserve">la situación de necesidad de asistencia de la autora no ha quedado sustanciada, toda vez que existen contradicciones </w:t>
      </w:r>
      <w:r w:rsidR="000236E1" w:rsidRPr="00123DEF">
        <w:t>entre la comunicación de la autora y otra información disponible sobre su situación laboral e ingresos en el momento del desalojo y con posterioridad a él</w:t>
      </w:r>
      <w:r w:rsidR="00BA7AE4" w:rsidRPr="00123DEF">
        <w:t xml:space="preserve"> y </w:t>
      </w:r>
      <w:r w:rsidR="00764120" w:rsidRPr="00123DEF">
        <w:t>solicitó</w:t>
      </w:r>
      <w:r w:rsidR="00BA7AE4" w:rsidRPr="00123DEF">
        <w:t xml:space="preserve"> que este punto </w:t>
      </w:r>
      <w:r w:rsidR="00764120" w:rsidRPr="00123DEF">
        <w:t>fuera</w:t>
      </w:r>
      <w:r w:rsidR="00BA7AE4" w:rsidRPr="00123DEF">
        <w:t xml:space="preserve"> aclarado por ella</w:t>
      </w:r>
      <w:r w:rsidR="000236E1" w:rsidRPr="00123DEF">
        <w:t xml:space="preserve">. El Comité toma nota de que la autora no ha dado respuesta a estas alegaciones y no ha explicado cuáles son sus ingresos y cuál era su situación laboral en el momento del desalojo o en la actualidad. </w:t>
      </w:r>
      <w:r w:rsidRPr="00123DEF">
        <w:t>El Comité también toma nota de que la autora</w:t>
      </w:r>
      <w:r w:rsidR="000236E1" w:rsidRPr="00123DEF">
        <w:t xml:space="preserve"> no aporta ningún detalle sobre su situación residencial con posterioridad al desalojo, más allá de afirmar que no ha recibido asistencia directa de la administración en ese sentido. </w:t>
      </w:r>
    </w:p>
    <w:p w14:paraId="6B241AA6" w14:textId="3B37B02C" w:rsidR="00DA56DE" w:rsidRPr="00123DEF" w:rsidRDefault="0057067F">
      <w:pPr>
        <w:pStyle w:val="SingleTxtG"/>
      </w:pPr>
      <w:r w:rsidRPr="00123DEF">
        <w:t>6.6</w:t>
      </w:r>
      <w:r w:rsidR="00AD6E09" w:rsidRPr="00123DEF">
        <w:tab/>
        <w:t>La autora tampoco ha aportado documentación alguna que fundamente que se ha encontrado, como consecuencia del desalojo, privada de su derecho a una vivienda adecuada, por encontrarse sin hogar o en una vivienda que no reuniera los elementos mínimos para constituir una vivienda adecuada a sus necesidades</w:t>
      </w:r>
      <w:r w:rsidR="000236E1" w:rsidRPr="00123DEF">
        <w:t xml:space="preserve"> y las de sus nietos</w:t>
      </w:r>
      <w:r w:rsidR="00AD6E09" w:rsidRPr="00123DEF">
        <w:t xml:space="preserve">. </w:t>
      </w:r>
      <w:r w:rsidR="00A43691" w:rsidRPr="00123DEF">
        <w:t>El Comité recuerda</w:t>
      </w:r>
      <w:r w:rsidR="00A43691" w:rsidRPr="00123DEF">
        <w:rPr>
          <w:rStyle w:val="FootnoteReference"/>
        </w:rPr>
        <w:footnoteReference w:id="12"/>
      </w:r>
      <w:r w:rsidR="00A43691" w:rsidRPr="00123DEF">
        <w:t xml:space="preserve"> que es el deber de los autores en primer lugar fundamentar sus alegaciones y aportar la documentación correspondiente. </w:t>
      </w:r>
      <w:r w:rsidR="00AD6E09" w:rsidRPr="00123DEF">
        <w:t xml:space="preserve">El </w:t>
      </w:r>
      <w:r w:rsidR="000236E1" w:rsidRPr="00123DEF">
        <w:t xml:space="preserve">Comité </w:t>
      </w:r>
      <w:r w:rsidR="00AD6E09" w:rsidRPr="00123DEF">
        <w:t xml:space="preserve">entiende que las comunicaciones pueden ser presentadas por personas que no en todos los casos estén representadas por abogados o juristas formados en derecho internacional de los derechos humanos. Por consiguiente, el Comité, siguiendo el principio </w:t>
      </w:r>
      <w:r w:rsidR="00AD6E09" w:rsidRPr="00123DEF">
        <w:rPr>
          <w:i/>
        </w:rPr>
        <w:t xml:space="preserve">pro </w:t>
      </w:r>
      <w:proofErr w:type="spellStart"/>
      <w:r w:rsidR="00AD6E09" w:rsidRPr="00123DEF">
        <w:rPr>
          <w:i/>
        </w:rPr>
        <w:t>victima</w:t>
      </w:r>
      <w:proofErr w:type="spellEnd"/>
      <w:r w:rsidR="00AD6E09" w:rsidRPr="00123DEF">
        <w:t>, no debe imponer formalidades innecesarias para no obstaculizar la presentación de comunicaciones al Comité. Sin embargo, para que el Comité examine el fondo de una comunicación, es necesario que los hechos y las reclamaciones presentadas demuestren que los autores pueden ser víctimas reales o potenciales de la violación de un derecho consagrado en el Pacto, o al menos aporten indicios razonables de ello</w:t>
      </w:r>
      <w:r w:rsidR="00AD6E09" w:rsidRPr="00123DEF">
        <w:rPr>
          <w:rStyle w:val="FootnoteReference"/>
        </w:rPr>
        <w:footnoteReference w:id="13"/>
      </w:r>
      <w:r w:rsidR="00AD6E09" w:rsidRPr="00123DEF">
        <w:t>. En el caso presente, el Comité toma nota de que</w:t>
      </w:r>
      <w:r w:rsidR="00AB611B" w:rsidRPr="00123DEF">
        <w:t xml:space="preserve"> existe una contradicción entre el relato inicial de la autora respecto a sus ingresos y las referencias a sus ingresos en la documentación aportada por el Estado parte. El Comité toma nota de que</w:t>
      </w:r>
      <w:r w:rsidR="00AD6E09" w:rsidRPr="00123DEF">
        <w:t xml:space="preserve">, aunque la autora se encuentra representada por </w:t>
      </w:r>
      <w:r w:rsidR="000236E1" w:rsidRPr="00123DEF">
        <w:t>abogada</w:t>
      </w:r>
      <w:r w:rsidR="00AD6E09" w:rsidRPr="00123DEF">
        <w:t xml:space="preserve"> tanto en los tr</w:t>
      </w:r>
      <w:r w:rsidR="004F1C9D" w:rsidRPr="00123DEF">
        <w:t>á</w:t>
      </w:r>
      <w:r w:rsidR="00AD6E09" w:rsidRPr="00123DEF">
        <w:t xml:space="preserve">mites </w:t>
      </w:r>
      <w:r w:rsidR="004F1C9D" w:rsidRPr="00123DEF">
        <w:t xml:space="preserve">internos </w:t>
      </w:r>
      <w:r w:rsidR="00AD6E09" w:rsidRPr="00123DEF">
        <w:t>como ante este Comité,</w:t>
      </w:r>
      <w:r w:rsidR="000236E1" w:rsidRPr="00123DEF">
        <w:t xml:space="preserve"> no ha</w:t>
      </w:r>
      <w:r w:rsidR="00AB611B" w:rsidRPr="00123DEF">
        <w:t xml:space="preserve"> resuelto ni explicado estas contradicciones en relación con sus ingresos. </w:t>
      </w:r>
      <w:r w:rsidR="00B92655" w:rsidRPr="00123DEF">
        <w:t xml:space="preserve">Por tanto, </w:t>
      </w:r>
      <w:r w:rsidR="00A339B7" w:rsidRPr="00123DEF">
        <w:t xml:space="preserve">el Comité considera que </w:t>
      </w:r>
      <w:r w:rsidR="00B92655" w:rsidRPr="00123DEF">
        <w:t>la</w:t>
      </w:r>
      <w:r w:rsidR="00AB611B" w:rsidRPr="00123DEF">
        <w:t xml:space="preserve"> autora no ha </w:t>
      </w:r>
      <w:r w:rsidR="000236E1" w:rsidRPr="00123DEF">
        <w:t xml:space="preserve">sustanciado </w:t>
      </w:r>
      <w:r w:rsidR="00A339B7" w:rsidRPr="00123DEF">
        <w:t xml:space="preserve">suficientemente </w:t>
      </w:r>
      <w:r w:rsidR="00B92655" w:rsidRPr="00123DEF">
        <w:t xml:space="preserve">la existencia de </w:t>
      </w:r>
      <w:r w:rsidR="000236E1" w:rsidRPr="00123DEF">
        <w:t>una situaci</w:t>
      </w:r>
      <w:r w:rsidR="00B92655" w:rsidRPr="00123DEF">
        <w:t xml:space="preserve">ón de necesidad por </w:t>
      </w:r>
      <w:r w:rsidR="00AB611B" w:rsidRPr="00123DEF">
        <w:t xml:space="preserve">falta de ingresos que le permitan el acceso </w:t>
      </w:r>
      <w:r w:rsidR="00764120" w:rsidRPr="00123DEF">
        <w:t>al mercado privado</w:t>
      </w:r>
      <w:r w:rsidR="00A339B7" w:rsidRPr="00123DEF">
        <w:t xml:space="preserve"> de vivienda</w:t>
      </w:r>
      <w:r w:rsidR="00B92655" w:rsidRPr="00123DEF">
        <w:t>. La autora tampoco ha explicado dónde ha residido con posterioridad al desalojo y</w:t>
      </w:r>
      <w:r w:rsidR="000236E1" w:rsidRPr="00123DEF">
        <w:t xml:space="preserve"> </w:t>
      </w:r>
      <w:r w:rsidR="00AD6E09" w:rsidRPr="00123DEF">
        <w:t xml:space="preserve">en qué forma su </w:t>
      </w:r>
      <w:r w:rsidR="00B92655" w:rsidRPr="00123DEF">
        <w:t>acceso</w:t>
      </w:r>
      <w:r w:rsidR="00AD6E09" w:rsidRPr="00123DEF">
        <w:t xml:space="preserve"> a una vivienda adec</w:t>
      </w:r>
      <w:r w:rsidR="00B92655" w:rsidRPr="00123DEF">
        <w:t>uada se ha visto afectado por este hecho</w:t>
      </w:r>
      <w:r w:rsidR="00AD6E09" w:rsidRPr="00123DEF">
        <w:t xml:space="preserve">. En consecuencia, considerando que no tiene suficientes </w:t>
      </w:r>
      <w:r w:rsidR="00AB611B" w:rsidRPr="00123DEF">
        <w:t>indicios</w:t>
      </w:r>
      <w:r w:rsidR="00AD6E09" w:rsidRPr="00123DEF">
        <w:t xml:space="preserve"> ante sí para </w:t>
      </w:r>
      <w:r w:rsidR="00AB611B" w:rsidRPr="00123DEF">
        <w:t>considerar</w:t>
      </w:r>
      <w:r w:rsidR="00AD6E09" w:rsidRPr="00123DEF">
        <w:t xml:space="preserve"> que, en el caso presente, el derecho a una vivienda adecuada de la autora</w:t>
      </w:r>
      <w:r w:rsidR="00764120" w:rsidRPr="00123DEF">
        <w:t xml:space="preserve"> o de sus nietos</w:t>
      </w:r>
      <w:r w:rsidR="00AD6E09" w:rsidRPr="00123DEF">
        <w:t xml:space="preserve"> se ha visto afectado o que este derecho se encuentre realmente amenazado, el Comité estima que la comunicación no está suficientemente fundamentada a efectos de la admisibilidad y que es inadmisible con arreglo al artículo</w:t>
      </w:r>
      <w:r w:rsidR="004F1C9D" w:rsidRPr="00123DEF">
        <w:t> </w:t>
      </w:r>
      <w:r w:rsidR="00AD6E09" w:rsidRPr="00123DEF">
        <w:t xml:space="preserve">3, </w:t>
      </w:r>
      <w:r w:rsidR="00C749A3" w:rsidRPr="00123DEF">
        <w:t>párrafo </w:t>
      </w:r>
      <w:r w:rsidR="00AD6E09" w:rsidRPr="00123DEF">
        <w:t>2</w:t>
      </w:r>
      <w:r w:rsidR="004F1C9D" w:rsidRPr="00123DEF">
        <w:t> </w:t>
      </w:r>
      <w:r w:rsidR="00AD6E09" w:rsidRPr="00123DEF">
        <w:t xml:space="preserve">e), del Protocolo Facultativo en relación con la alegación de la violación del </w:t>
      </w:r>
      <w:r w:rsidR="00C749A3" w:rsidRPr="00123DEF">
        <w:t>artículo </w:t>
      </w:r>
      <w:r w:rsidR="00AD6E09" w:rsidRPr="00123DEF">
        <w:t>11 del Pacto.</w:t>
      </w:r>
    </w:p>
    <w:p w14:paraId="769FC65E" w14:textId="34D3CED8" w:rsidR="003F5E92" w:rsidRPr="00123DEF" w:rsidRDefault="005F781E">
      <w:pPr>
        <w:pStyle w:val="H1G"/>
      </w:pPr>
      <w:r w:rsidRPr="00123DEF">
        <w:tab/>
      </w:r>
      <w:r w:rsidR="00DA56DE" w:rsidRPr="00123DEF">
        <w:t>C.</w:t>
      </w:r>
      <w:r w:rsidR="00DA56DE" w:rsidRPr="00123DEF">
        <w:tab/>
      </w:r>
      <w:r w:rsidR="00B10C18" w:rsidRPr="00123DEF">
        <w:t>M</w:t>
      </w:r>
      <w:r w:rsidR="003F5E92" w:rsidRPr="00123DEF">
        <w:t>edidas provisionales y desalojo de la autora</w:t>
      </w:r>
    </w:p>
    <w:p w14:paraId="6A89F7B0" w14:textId="595A0E3E" w:rsidR="003F5E92" w:rsidRPr="00123DEF" w:rsidRDefault="003F5E92">
      <w:pPr>
        <w:pStyle w:val="SingleTxtG"/>
      </w:pPr>
      <w:r w:rsidRPr="00123DEF">
        <w:t>7.1</w:t>
      </w:r>
      <w:r w:rsidRPr="00123DEF">
        <w:tab/>
        <w:t>El Comité recuerda que la adopción de medidas provisionales con arreglo al artículo 5 del Protocolo Facultativo es fundamental para el efectivo desempeño de la función encomendada al Comité en virtud de ese Protocolo</w:t>
      </w:r>
      <w:r w:rsidRPr="00123DEF">
        <w:rPr>
          <w:rStyle w:val="FootnoteReference"/>
        </w:rPr>
        <w:footnoteReference w:id="14"/>
      </w:r>
      <w:r w:rsidR="00B10C18" w:rsidRPr="00123DEF">
        <w:t>.</w:t>
      </w:r>
      <w:r w:rsidRPr="00123DEF">
        <w:t xml:space="preserve"> La razón de ser de las medidas provisionales es, </w:t>
      </w:r>
      <w:r w:rsidRPr="00123DEF">
        <w:rPr>
          <w:i/>
        </w:rPr>
        <w:t xml:space="preserve">inter </w:t>
      </w:r>
      <w:proofErr w:type="spellStart"/>
      <w:r w:rsidRPr="00123DEF">
        <w:rPr>
          <w:i/>
        </w:rPr>
        <w:t>alia</w:t>
      </w:r>
      <w:proofErr w:type="spellEnd"/>
      <w:r w:rsidRPr="00123DEF">
        <w:t>, la de proteger la integridad del proceso, permitiendo la efectividad del mecanismo en su protección de los derechos contenidos en el Pacto cuando existe un riesgo de daño irreparable</w:t>
      </w:r>
      <w:r w:rsidRPr="00123DEF">
        <w:rPr>
          <w:rStyle w:val="FootnoteReference"/>
        </w:rPr>
        <w:footnoteReference w:id="15"/>
      </w:r>
      <w:r w:rsidR="00B10C18" w:rsidRPr="00123DEF">
        <w:t>.</w:t>
      </w:r>
      <w:r w:rsidRPr="00123DEF">
        <w:t xml:space="preserve"> Al aceptar las obligaciones impuestas por el Protocolo Facultativo, los </w:t>
      </w:r>
      <w:proofErr w:type="gramStart"/>
      <w:r w:rsidRPr="00123DEF">
        <w:t>Estados partes</w:t>
      </w:r>
      <w:proofErr w:type="gramEnd"/>
      <w:r w:rsidRPr="00123DEF">
        <w:t xml:space="preserve"> se han comprometido a cooperar de buena fe con el Comité. Así, todo Estado parte que no adopte tales medidas provisionales solicitadas por el Comité incumple la obligación de respetar de buena fe el procedimiento de comunicaciones individuales establecido por el </w:t>
      </w:r>
      <w:r w:rsidR="00C749A3" w:rsidRPr="00123DEF">
        <w:t>artículo </w:t>
      </w:r>
      <w:r w:rsidRPr="00123DEF">
        <w:t xml:space="preserve">2 del Protocolo Facultativo, así como el </w:t>
      </w:r>
      <w:r w:rsidR="00C749A3" w:rsidRPr="00123DEF">
        <w:t>artículo </w:t>
      </w:r>
      <w:r w:rsidRPr="00123DEF">
        <w:t>5 que prevé la facultad del Comité de dictar dichas medidas</w:t>
      </w:r>
      <w:r w:rsidRPr="00123DEF">
        <w:rPr>
          <w:rStyle w:val="FootnoteReference"/>
        </w:rPr>
        <w:footnoteReference w:id="16"/>
      </w:r>
      <w:r w:rsidR="00B10C18" w:rsidRPr="00123DEF">
        <w:t>.</w:t>
      </w:r>
    </w:p>
    <w:p w14:paraId="49EFF85F" w14:textId="7ABDA82B" w:rsidR="003F5E92" w:rsidRPr="00123DEF" w:rsidRDefault="003F5E92">
      <w:pPr>
        <w:pStyle w:val="SingleTxtG"/>
      </w:pPr>
      <w:r w:rsidRPr="00123DEF">
        <w:t>7.2</w:t>
      </w:r>
      <w:r w:rsidRPr="00123DEF">
        <w:tab/>
        <w:t xml:space="preserve">El Comité tiene por tanto competencia para determinar si el Estado </w:t>
      </w:r>
      <w:r w:rsidR="00DA4B43" w:rsidRPr="00123DEF">
        <w:t>p</w:t>
      </w:r>
      <w:r w:rsidRPr="00123DEF">
        <w:t xml:space="preserve">arte ha incumplido con las obligaciones que le incumben en virtud de los </w:t>
      </w:r>
      <w:r w:rsidR="00C749A3" w:rsidRPr="00123DEF">
        <w:t>artículos </w:t>
      </w:r>
      <w:r w:rsidRPr="00123DEF">
        <w:t xml:space="preserve">2 y 5 del Protocolo Facultativo, dificultando que la futura decisión o dictamen aportara una protección efectiva, despojando al mecanismo de comunicaciones individuales de su </w:t>
      </w:r>
      <w:proofErr w:type="spellStart"/>
      <w:r w:rsidRPr="00123DEF">
        <w:rPr>
          <w:i/>
        </w:rPr>
        <w:t>raison</w:t>
      </w:r>
      <w:proofErr w:type="spellEnd"/>
      <w:r w:rsidRPr="00123DEF">
        <w:rPr>
          <w:i/>
        </w:rPr>
        <w:t xml:space="preserve"> </w:t>
      </w:r>
      <w:proofErr w:type="spellStart"/>
      <w:r w:rsidRPr="00123DEF">
        <w:rPr>
          <w:i/>
        </w:rPr>
        <w:t>d</w:t>
      </w:r>
      <w:r w:rsidR="00586877" w:rsidRPr="00123DEF">
        <w:rPr>
          <w:i/>
        </w:rPr>
        <w:t>’</w:t>
      </w:r>
      <w:r w:rsidRPr="00123DEF">
        <w:rPr>
          <w:i/>
        </w:rPr>
        <w:t>être</w:t>
      </w:r>
      <w:proofErr w:type="spellEnd"/>
      <w:r w:rsidRPr="00123DEF">
        <w:rPr>
          <w:rStyle w:val="FootnoteReference"/>
        </w:rPr>
        <w:footnoteReference w:id="17"/>
      </w:r>
      <w:r w:rsidR="00DA4B43" w:rsidRPr="00123DEF">
        <w:t>.</w:t>
      </w:r>
      <w:r w:rsidRPr="00123DEF">
        <w:t xml:space="preserve"> Esta competencia del Comité de examinar una violación autónoma del Protocolo </w:t>
      </w:r>
      <w:r w:rsidR="00DE27BA" w:rsidRPr="00123DEF">
        <w:t xml:space="preserve">Facultativo </w:t>
      </w:r>
      <w:r w:rsidRPr="00123DEF">
        <w:t xml:space="preserve">persiste incluso si el Comité declara la comunicación inadmisible, ya que el Protocolo </w:t>
      </w:r>
      <w:r w:rsidR="00DE27BA" w:rsidRPr="00123DEF">
        <w:t xml:space="preserve">Facultativo </w:t>
      </w:r>
      <w:r w:rsidRPr="00123DEF">
        <w:t xml:space="preserve">impone a los Estados una obligación autónoma de respetar las medidas provisionales. Es por ello </w:t>
      </w:r>
      <w:proofErr w:type="gramStart"/>
      <w:r w:rsidRPr="00123DEF">
        <w:t>que</w:t>
      </w:r>
      <w:proofErr w:type="gramEnd"/>
      <w:r w:rsidRPr="00123DEF">
        <w:t xml:space="preserve"> el Comité ha encontrado violaciones al Protocolo </w:t>
      </w:r>
      <w:r w:rsidR="00DE27BA" w:rsidRPr="00123DEF">
        <w:t xml:space="preserve">Facultativo </w:t>
      </w:r>
      <w:r w:rsidRPr="00123DEF">
        <w:t>incluso en casos en los que la comunicación fue declarada inadmisible en relación con los derechos consagrados en el Pacto</w:t>
      </w:r>
      <w:r w:rsidRPr="00123DEF">
        <w:rPr>
          <w:rStyle w:val="FootnoteReference"/>
        </w:rPr>
        <w:footnoteReference w:id="18"/>
      </w:r>
      <w:r w:rsidR="00530EF3" w:rsidRPr="00123DEF">
        <w:t>.</w:t>
      </w:r>
      <w:r w:rsidRPr="00123DEF">
        <w:t xml:space="preserve"> Es pues posible que el Comité encuentre que la comunicación inicial esté suficientemente fundamentada a efectos de ser registrada y que indique una situación que obligue a otorgar medidas provisionales para evitar un daño irreparable</w:t>
      </w:r>
      <w:r w:rsidRPr="00123DEF">
        <w:rPr>
          <w:rStyle w:val="FootnoteReference"/>
        </w:rPr>
        <w:footnoteReference w:id="19"/>
      </w:r>
      <w:r w:rsidR="00530EF3" w:rsidRPr="00123DEF">
        <w:t>.</w:t>
      </w:r>
      <w:r w:rsidRPr="00123DEF">
        <w:t xml:space="preserve"> Pero nada impide que un examen ulterior, a partir de nueva información suministrada por el Estado parte, lleve al Comité a concluir que la medida provisional no estaba justificada, o ya no es necesaria</w:t>
      </w:r>
      <w:r w:rsidRPr="00123DEF">
        <w:rPr>
          <w:rStyle w:val="FootnoteReference"/>
        </w:rPr>
        <w:footnoteReference w:id="20"/>
      </w:r>
      <w:r w:rsidR="00530EF3" w:rsidRPr="00123DEF">
        <w:t>.</w:t>
      </w:r>
      <w:r w:rsidRPr="00123DEF">
        <w:t xml:space="preserve"> Del mismo modo, la información aportada por las partes respecto a la admisibilidad y el fondo de la comunicación puede llevar incluso al Comité a concluir que la comunicación, que en un principio pareciera admisible </w:t>
      </w:r>
      <w:r w:rsidRPr="00123DEF">
        <w:rPr>
          <w:i/>
        </w:rPr>
        <w:t>prima facie</w:t>
      </w:r>
      <w:r w:rsidRPr="00123DEF">
        <w:t xml:space="preserve"> es inadmisible por falta de suficiente fundamentación, como sucedió en este caso</w:t>
      </w:r>
      <w:r w:rsidRPr="00123DEF">
        <w:rPr>
          <w:rStyle w:val="FootnoteReference"/>
        </w:rPr>
        <w:footnoteReference w:id="21"/>
      </w:r>
      <w:r w:rsidR="00530EF3" w:rsidRPr="00123DEF">
        <w:t>.</w:t>
      </w:r>
      <w:r w:rsidRPr="00123DEF">
        <w:t xml:space="preserve"> No es entonces contradictorio que el Comité otorgue medidas provisionales y luego declare inadmisible el caso</w:t>
      </w:r>
      <w:r w:rsidRPr="00123DEF">
        <w:rPr>
          <w:rStyle w:val="FootnoteReference"/>
        </w:rPr>
        <w:footnoteReference w:id="22"/>
      </w:r>
      <w:r w:rsidR="00530EF3" w:rsidRPr="00123DEF">
        <w:t>.</w:t>
      </w:r>
      <w:r w:rsidRPr="00123DEF">
        <w:t xml:space="preserve"> Precisamente por eso, el procedimiento previsto en el </w:t>
      </w:r>
      <w:r w:rsidR="00C749A3" w:rsidRPr="00123DEF">
        <w:t>artículo </w:t>
      </w:r>
      <w:r w:rsidRPr="00123DEF">
        <w:t>7 del reglamento provisional en virtud del Protocolo Facultativo permite al Estado oponerse a una medida provisional y solicitar su levantamiento, suministrando al Comité razones por las que las medidas provisionales no se encuentran justificadas y no existe un riesgo de daño irreparable</w:t>
      </w:r>
      <w:r w:rsidRPr="00123DEF">
        <w:rPr>
          <w:rStyle w:val="FootnoteReference"/>
        </w:rPr>
        <w:footnoteReference w:id="23"/>
      </w:r>
      <w:r w:rsidR="00530EF3" w:rsidRPr="00123DEF">
        <w:t>.</w:t>
      </w:r>
      <w:r w:rsidRPr="00123DEF">
        <w:t xml:space="preserve"> Además, el Estado parte puede aportar observaciones alegando la inadmisibilidad</w:t>
      </w:r>
      <w:r w:rsidR="00B002A9" w:rsidRPr="00123DEF">
        <w:t xml:space="preserve"> de</w:t>
      </w:r>
      <w:r w:rsidRPr="00123DEF">
        <w:t xml:space="preserve"> la comunicación</w:t>
      </w:r>
      <w:r w:rsidRPr="00123DEF">
        <w:rPr>
          <w:rStyle w:val="FootnoteReference"/>
        </w:rPr>
        <w:footnoteReference w:id="24"/>
      </w:r>
      <w:r w:rsidR="00530EF3" w:rsidRPr="00123DEF">
        <w:t>.</w:t>
      </w:r>
      <w:r w:rsidRPr="00123DEF">
        <w:t xml:space="preserve"> Por ello, el Comité recomienda al Estado parte establecer un protocolo para el cumplimiento de las solicitudes de medidas provisionales emitidas por el Comité, informando a todas las autoridades pertinentes de la necesidad de respetarlas para asegurar la integridad del procedimiento</w:t>
      </w:r>
      <w:r w:rsidRPr="00123DEF">
        <w:rPr>
          <w:rStyle w:val="FootnoteReference"/>
        </w:rPr>
        <w:footnoteReference w:id="25"/>
      </w:r>
      <w:r w:rsidR="00530EF3" w:rsidRPr="00123DEF">
        <w:t>.</w:t>
      </w:r>
    </w:p>
    <w:p w14:paraId="161841C3" w14:textId="10AB5D20" w:rsidR="003F5E92" w:rsidRPr="00123DEF" w:rsidRDefault="003F5E92">
      <w:pPr>
        <w:pStyle w:val="SingleTxtG"/>
      </w:pPr>
      <w:r w:rsidRPr="00123DEF">
        <w:t>7.3</w:t>
      </w:r>
      <w:r w:rsidRPr="00123DEF">
        <w:tab/>
        <w:t xml:space="preserve">En el presente caso, tras examinar el expediente, el Comité no tiene elementos para concluir que el Estado parte haya vulnerado su obligación internacional de respetar en buena fe la solicitud de medidas provisionales emitida en virtud de los </w:t>
      </w:r>
      <w:r w:rsidR="00C749A3" w:rsidRPr="00123DEF">
        <w:t>artículos </w:t>
      </w:r>
      <w:r w:rsidRPr="00123DEF">
        <w:t xml:space="preserve">2 y 5 del Protocolo Facultativo, que estaban destinadas a evitar un posible daño irreparable a los autores. </w:t>
      </w:r>
    </w:p>
    <w:p w14:paraId="631F5102" w14:textId="04A7DF87" w:rsidR="00DA56DE" w:rsidRPr="00123DEF" w:rsidRDefault="00A90DDE" w:rsidP="00123DEF">
      <w:pPr>
        <w:pStyle w:val="H1G"/>
      </w:pPr>
      <w:r w:rsidRPr="00123DEF">
        <w:tab/>
      </w:r>
      <w:r w:rsidR="004E326D">
        <w:t>D</w:t>
      </w:r>
      <w:r w:rsidR="003F5E92" w:rsidRPr="00123DEF">
        <w:t>.</w:t>
      </w:r>
      <w:r w:rsidR="003F5E92" w:rsidRPr="00123DEF">
        <w:tab/>
      </w:r>
      <w:r w:rsidR="00DA56DE" w:rsidRPr="00123DEF">
        <w:t xml:space="preserve">Conclusión </w:t>
      </w:r>
    </w:p>
    <w:p w14:paraId="22E64B86" w14:textId="3E56D0C7" w:rsidR="00BE6A1F" w:rsidRPr="00123DEF" w:rsidRDefault="003F5E92">
      <w:pPr>
        <w:pStyle w:val="SingleTxtG"/>
      </w:pPr>
      <w:r w:rsidRPr="00123DEF">
        <w:t>8</w:t>
      </w:r>
      <w:r w:rsidR="00DA56DE" w:rsidRPr="00123DEF">
        <w:t>.</w:t>
      </w:r>
      <w:r w:rsidR="00DA56DE" w:rsidRPr="00123DEF">
        <w:tab/>
      </w:r>
      <w:r w:rsidR="00BE6A1F" w:rsidRPr="00123DEF">
        <w:t>Por lo tanto</w:t>
      </w:r>
      <w:r w:rsidR="00DA56DE" w:rsidRPr="00123DEF">
        <w:t>, el Comité</w:t>
      </w:r>
      <w:r w:rsidR="00BE6A1F" w:rsidRPr="00123DEF">
        <w:t xml:space="preserve"> decide que:</w:t>
      </w:r>
    </w:p>
    <w:p w14:paraId="4373998F" w14:textId="6C6677BF" w:rsidR="00DA56DE" w:rsidRPr="00123DEF" w:rsidRDefault="00586877">
      <w:pPr>
        <w:pStyle w:val="SingleTxtG"/>
      </w:pPr>
      <w:r w:rsidRPr="00123DEF">
        <w:tab/>
      </w:r>
      <w:r w:rsidR="00BE6A1F" w:rsidRPr="00123DEF">
        <w:t>a)</w:t>
      </w:r>
      <w:r w:rsidRPr="00123DEF">
        <w:tab/>
        <w:t>L</w:t>
      </w:r>
      <w:r w:rsidR="00DA56DE" w:rsidRPr="00123DEF">
        <w:t xml:space="preserve">a comunicación es inadmisible de conformidad con el </w:t>
      </w:r>
      <w:r w:rsidR="00C749A3" w:rsidRPr="00123DEF">
        <w:t>artículo </w:t>
      </w:r>
      <w:r w:rsidR="00DA56DE" w:rsidRPr="00123DEF">
        <w:t xml:space="preserve">3, </w:t>
      </w:r>
      <w:r w:rsidR="00C749A3" w:rsidRPr="00123DEF">
        <w:t>párrafo </w:t>
      </w:r>
      <w:r w:rsidR="00DA56DE" w:rsidRPr="00123DEF">
        <w:t>2</w:t>
      </w:r>
      <w:r w:rsidR="00BE6A1F" w:rsidRPr="00123DEF">
        <w:t> </w:t>
      </w:r>
      <w:r w:rsidR="00DA56DE" w:rsidRPr="00123DEF">
        <w:t>e), del Protocolo Facultativo</w:t>
      </w:r>
      <w:r w:rsidR="00BE6A1F" w:rsidRPr="00123DEF">
        <w:t>;</w:t>
      </w:r>
    </w:p>
    <w:p w14:paraId="03B58DFB" w14:textId="669CBB1B" w:rsidR="00DA56DE" w:rsidRPr="00123DEF" w:rsidRDefault="00586877" w:rsidP="00586877">
      <w:pPr>
        <w:pStyle w:val="SingleTxtG"/>
        <w:rPr>
          <w:u w:val="single"/>
        </w:rPr>
      </w:pPr>
      <w:r w:rsidRPr="00123DEF">
        <w:tab/>
      </w:r>
      <w:r w:rsidR="00BE6A1F" w:rsidRPr="00123DEF">
        <w:t>b)</w:t>
      </w:r>
      <w:r w:rsidRPr="00123DEF">
        <w:tab/>
        <w:t>L</w:t>
      </w:r>
      <w:r w:rsidR="00DA56DE" w:rsidRPr="00123DEF">
        <w:t>a presente decisión será transmitida a</w:t>
      </w:r>
      <w:r w:rsidR="00B002A9" w:rsidRPr="00123DEF">
        <w:t xml:space="preserve"> </w:t>
      </w:r>
      <w:r w:rsidR="00DA56DE" w:rsidRPr="00123DEF">
        <w:t>l</w:t>
      </w:r>
      <w:r w:rsidR="00B002A9" w:rsidRPr="00123DEF">
        <w:t>a</w:t>
      </w:r>
      <w:r w:rsidR="00DA56DE" w:rsidRPr="00123DEF">
        <w:t xml:space="preserve"> autor</w:t>
      </w:r>
      <w:r w:rsidR="00B002A9" w:rsidRPr="00123DEF">
        <w:t>a</w:t>
      </w:r>
      <w:r w:rsidR="00DA56DE" w:rsidRPr="00123DEF">
        <w:t xml:space="preserve"> de la comunicación y al Estado parte.</w:t>
      </w:r>
    </w:p>
    <w:p w14:paraId="0B96DF93" w14:textId="360BAFCB" w:rsidR="00586877" w:rsidRPr="00123DEF" w:rsidRDefault="00586877">
      <w:pPr>
        <w:pStyle w:val="SingleTxtG"/>
        <w:suppressAutoHyphens/>
        <w:spacing w:before="240" w:after="0"/>
        <w:jc w:val="center"/>
        <w:rPr>
          <w:u w:val="single"/>
        </w:rPr>
      </w:pPr>
      <w:r w:rsidRPr="00123DEF">
        <w:rPr>
          <w:u w:val="single"/>
        </w:rPr>
        <w:tab/>
      </w:r>
      <w:r w:rsidRPr="00123DEF">
        <w:rPr>
          <w:u w:val="single"/>
        </w:rPr>
        <w:tab/>
      </w:r>
      <w:r w:rsidRPr="00123DEF">
        <w:rPr>
          <w:u w:val="single"/>
        </w:rPr>
        <w:tab/>
      </w:r>
    </w:p>
    <w:sectPr w:rsidR="00586877" w:rsidRPr="00123DEF" w:rsidSect="004677B6">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82D16" w14:textId="77777777" w:rsidR="00123DEF" w:rsidRPr="00093664" w:rsidRDefault="00123DEF" w:rsidP="00093664">
      <w:pPr>
        <w:pStyle w:val="Footer"/>
      </w:pPr>
    </w:p>
  </w:endnote>
  <w:endnote w:type="continuationSeparator" w:id="0">
    <w:p w14:paraId="49D0CDA8" w14:textId="77777777" w:rsidR="00123DEF" w:rsidRPr="00093664" w:rsidRDefault="00123DEF"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662B" w14:textId="311810EC" w:rsidR="00123DEF" w:rsidRPr="004677B6" w:rsidRDefault="00123DEF" w:rsidP="004677B6">
    <w:pPr>
      <w:pStyle w:val="Footer"/>
      <w:tabs>
        <w:tab w:val="right" w:pos="9638"/>
      </w:tabs>
    </w:pPr>
    <w:r w:rsidRPr="004677B6">
      <w:rPr>
        <w:b/>
        <w:sz w:val="18"/>
      </w:rPr>
      <w:fldChar w:fldCharType="begin"/>
    </w:r>
    <w:r w:rsidRPr="004677B6">
      <w:rPr>
        <w:b/>
        <w:sz w:val="18"/>
      </w:rPr>
      <w:instrText xml:space="preserve"> PAGE  \* MERGEFORMAT </w:instrText>
    </w:r>
    <w:r w:rsidRPr="004677B6">
      <w:rPr>
        <w:b/>
        <w:sz w:val="18"/>
      </w:rPr>
      <w:fldChar w:fldCharType="separate"/>
    </w:r>
    <w:r w:rsidR="00C03667">
      <w:rPr>
        <w:b/>
        <w:noProof/>
        <w:sz w:val="18"/>
      </w:rPr>
      <w:t>2</w:t>
    </w:r>
    <w:r w:rsidRPr="004677B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7D5F" w14:textId="67A9719E" w:rsidR="00123DEF" w:rsidRPr="004677B6" w:rsidRDefault="00123DEF" w:rsidP="004677B6">
    <w:pPr>
      <w:pStyle w:val="Footer"/>
      <w:tabs>
        <w:tab w:val="right" w:pos="9638"/>
      </w:tabs>
      <w:rPr>
        <w:b/>
        <w:sz w:val="18"/>
      </w:rPr>
    </w:pPr>
    <w:r>
      <w:tab/>
    </w:r>
    <w:r w:rsidRPr="004677B6">
      <w:rPr>
        <w:b/>
        <w:sz w:val="18"/>
      </w:rPr>
      <w:fldChar w:fldCharType="begin"/>
    </w:r>
    <w:r w:rsidRPr="004677B6">
      <w:rPr>
        <w:b/>
        <w:sz w:val="18"/>
      </w:rPr>
      <w:instrText xml:space="preserve"> PAGE  \* MERGEFORMAT </w:instrText>
    </w:r>
    <w:r w:rsidRPr="004677B6">
      <w:rPr>
        <w:b/>
        <w:sz w:val="18"/>
      </w:rPr>
      <w:fldChar w:fldCharType="separate"/>
    </w:r>
    <w:r w:rsidR="00C03667">
      <w:rPr>
        <w:b/>
        <w:noProof/>
        <w:sz w:val="18"/>
      </w:rPr>
      <w:t>5</w:t>
    </w:r>
    <w:r w:rsidRPr="004677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6C31" w14:textId="55327C84" w:rsidR="00123DEF" w:rsidRPr="00876511" w:rsidRDefault="00876511" w:rsidP="00876511">
    <w:pPr>
      <w:pStyle w:val="Footer"/>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18393  (</w:t>
    </w:r>
    <w:proofErr w:type="gramEnd"/>
    <w:r>
      <w:rPr>
        <w:sz w:val="20"/>
      </w:rPr>
      <w:t>S)</w:t>
    </w:r>
    <w:bookmarkStart w:id="2" w:name="_GoBack"/>
    <w:bookmarkEnd w:id="2"/>
    <w:r>
      <w:rPr>
        <w:sz w:val="20"/>
      </w:rPr>
      <w:tab/>
    </w:r>
    <w:r w:rsidRPr="00876511">
      <w:rPr>
        <w:noProof/>
        <w:sz w:val="20"/>
        <w:lang w:val="fr-CH" w:eastAsia="zh-CN"/>
      </w:rPr>
      <w:drawing>
        <wp:inline distT="0" distB="0" distL="0" distR="0" wp14:anchorId="206FAB5B" wp14:editId="770D7B27">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708CEE5A" wp14:editId="2F146EAD">
          <wp:extent cx="565150" cy="565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80EC8" w14:textId="77777777" w:rsidR="00123DEF" w:rsidRPr="001075E9" w:rsidRDefault="00123DEF" w:rsidP="001075E9">
      <w:pPr>
        <w:tabs>
          <w:tab w:val="right" w:pos="2155"/>
        </w:tabs>
        <w:spacing w:after="80" w:line="240" w:lineRule="auto"/>
        <w:ind w:left="680"/>
        <w:rPr>
          <w:u w:val="single"/>
        </w:rPr>
      </w:pPr>
      <w:r>
        <w:rPr>
          <w:u w:val="single"/>
        </w:rPr>
        <w:tab/>
      </w:r>
    </w:p>
  </w:footnote>
  <w:footnote w:type="continuationSeparator" w:id="0">
    <w:p w14:paraId="1B87D83E" w14:textId="77777777" w:rsidR="00123DEF" w:rsidRDefault="00123DEF" w:rsidP="00093664">
      <w:pPr>
        <w:tabs>
          <w:tab w:val="right" w:pos="2155"/>
        </w:tabs>
        <w:spacing w:after="80" w:line="240" w:lineRule="auto"/>
        <w:ind w:left="680"/>
        <w:rPr>
          <w:u w:val="single"/>
        </w:rPr>
      </w:pPr>
      <w:r>
        <w:rPr>
          <w:u w:val="single"/>
        </w:rPr>
        <w:tab/>
      </w:r>
    </w:p>
  </w:footnote>
  <w:footnote w:id="1">
    <w:p w14:paraId="620A3682" w14:textId="497B2ACE" w:rsidR="004D4324" w:rsidRDefault="00123DEF">
      <w:pPr>
        <w:pStyle w:val="FootnoteText"/>
      </w:pPr>
      <w:r w:rsidRPr="00123DEF">
        <w:tab/>
      </w:r>
      <w:r w:rsidR="004D4324">
        <w:t>*</w:t>
      </w:r>
      <w:r w:rsidR="004D4324">
        <w:tab/>
        <w:t>Publicado nuevamente por razones técnicas el 12 de enero de 2022.</w:t>
      </w:r>
    </w:p>
    <w:p w14:paraId="191DF2E7" w14:textId="3CDA0B1E" w:rsidR="00123DEF" w:rsidRPr="00123DEF" w:rsidRDefault="004D4324">
      <w:pPr>
        <w:pStyle w:val="FootnoteText"/>
        <w:rPr>
          <w:sz w:val="20"/>
        </w:rPr>
      </w:pPr>
      <w:r>
        <w:tab/>
      </w:r>
      <w:r w:rsidRPr="0001508C">
        <w:rPr>
          <w:rStyle w:val="FootnoteReference"/>
          <w:sz w:val="20"/>
          <w:vertAlign w:val="baseline"/>
        </w:rPr>
        <w:t>*</w:t>
      </w:r>
      <w:r w:rsidR="00123DEF" w:rsidRPr="00123DEF">
        <w:rPr>
          <w:rStyle w:val="FootnoteReference"/>
          <w:sz w:val="20"/>
          <w:vertAlign w:val="baseline"/>
        </w:rPr>
        <w:t>*</w:t>
      </w:r>
      <w:r w:rsidR="00123DEF" w:rsidRPr="00123DEF">
        <w:rPr>
          <w:rStyle w:val="FootnoteReference"/>
          <w:vertAlign w:val="baseline"/>
        </w:rPr>
        <w:tab/>
      </w:r>
      <w:r w:rsidR="00123DEF" w:rsidRPr="00123DEF">
        <w:rPr>
          <w:spacing w:val="-2"/>
        </w:rPr>
        <w:t>Adoptada por el Comité durante su 70º período de sesiones (27 de septiembre a 15 de octubre de 2021).</w:t>
      </w:r>
    </w:p>
  </w:footnote>
  <w:footnote w:id="2">
    <w:p w14:paraId="246DBAAB" w14:textId="12847F0F" w:rsidR="00123DEF" w:rsidRPr="00123DEF" w:rsidRDefault="00123DEF" w:rsidP="00123DEF">
      <w:pPr>
        <w:pStyle w:val="FootnoteText"/>
        <w:widowControl w:val="0"/>
        <w:suppressAutoHyphens/>
      </w:pPr>
      <w:r w:rsidRPr="00123DEF">
        <w:tab/>
      </w:r>
      <w:r w:rsidRPr="00123DEF">
        <w:rPr>
          <w:rStyle w:val="FootnoteReference"/>
        </w:rPr>
        <w:footnoteRef/>
      </w:r>
      <w:r w:rsidRPr="00123DEF">
        <w:tab/>
        <w:t>Estos hechos han sido reconstituidos sobre la base de la comunicación individual y la subsecuente información aportada por las partes en las observaciones y comentarios sobre el fondo de la comunicación.</w:t>
      </w:r>
    </w:p>
  </w:footnote>
  <w:footnote w:id="3">
    <w:p w14:paraId="209EED18" w14:textId="6F90E0B0" w:rsidR="00123DEF" w:rsidRPr="00123DEF" w:rsidRDefault="00123DEF" w:rsidP="00123DEF">
      <w:pPr>
        <w:pStyle w:val="FootnoteText"/>
        <w:widowControl w:val="0"/>
        <w:suppressAutoHyphens/>
      </w:pPr>
      <w:r w:rsidRPr="00123DEF">
        <w:tab/>
      </w:r>
      <w:r w:rsidRPr="00123DEF">
        <w:rPr>
          <w:rStyle w:val="FootnoteReference"/>
        </w:rPr>
        <w:footnoteRef/>
      </w:r>
      <w:r w:rsidRPr="00123DEF">
        <w:tab/>
        <w:t>La autora no ha informado de la fecha exacta. De acuerdo con el informe social de 23 de septiembre de 2019, la autora se encontraba en julio y agosto de 2018 ocupando una vivienda de su propiedad en trámite de ejecución hipotecaria y en abril de 2018 informó que se encontraba ocupando la vivienda objeto de esta comunicación.</w:t>
      </w:r>
    </w:p>
  </w:footnote>
  <w:footnote w:id="4">
    <w:p w14:paraId="3C557682" w14:textId="000B0FEF" w:rsidR="00123DEF" w:rsidRPr="00123DEF" w:rsidRDefault="00123DEF" w:rsidP="00123DEF">
      <w:pPr>
        <w:pStyle w:val="FootnoteText"/>
        <w:widowControl w:val="0"/>
        <w:suppressAutoHyphens/>
      </w:pPr>
      <w:r w:rsidRPr="00123DEF">
        <w:tab/>
      </w:r>
      <w:r w:rsidRPr="00123DEF">
        <w:rPr>
          <w:rStyle w:val="FootnoteReference"/>
        </w:rPr>
        <w:footnoteRef/>
      </w:r>
      <w:r w:rsidRPr="00123DEF">
        <w:tab/>
        <w:t>El desahucio por precario es un proceso judicial civil que se inicia por el propietario de un inmueble que solicita que una persona que ocupa un inmueble de su propiedad sin su consentimiento lo abandone. Esta ocupación sin consentimiento puede existir tanto por cesación de un consentimiento anterior del propietario, como por no haber existido consentimiento.</w:t>
      </w:r>
    </w:p>
  </w:footnote>
  <w:footnote w:id="5">
    <w:p w14:paraId="27DEBD14" w14:textId="36AA93C8" w:rsidR="00123DEF" w:rsidRPr="00123DEF" w:rsidRDefault="00123DEF" w:rsidP="00123DEF">
      <w:pPr>
        <w:pStyle w:val="FootnoteText"/>
        <w:widowControl w:val="0"/>
        <w:suppressAutoHyphens/>
      </w:pPr>
      <w:r w:rsidRPr="00123DEF">
        <w:tab/>
      </w:r>
      <w:r w:rsidRPr="00123DEF">
        <w:rPr>
          <w:rStyle w:val="FootnoteReference"/>
        </w:rPr>
        <w:footnoteRef/>
      </w:r>
      <w:r w:rsidRPr="00123DEF">
        <w:tab/>
        <w:t>La autora no informa sobre la resolución de este recurso de apelación.</w:t>
      </w:r>
    </w:p>
  </w:footnote>
  <w:footnote w:id="6">
    <w:p w14:paraId="0BFA6353" w14:textId="175DD4AC" w:rsidR="00123DEF" w:rsidRPr="00123DEF" w:rsidRDefault="00123DEF" w:rsidP="00123DEF">
      <w:pPr>
        <w:pStyle w:val="FootnoteText"/>
        <w:widowControl w:val="0"/>
        <w:suppressAutoHyphens/>
      </w:pPr>
      <w:r w:rsidRPr="00123DEF">
        <w:tab/>
      </w:r>
      <w:r w:rsidRPr="00123DEF">
        <w:rPr>
          <w:rStyle w:val="FootnoteReference"/>
        </w:rPr>
        <w:footnoteRef/>
      </w:r>
      <w:r w:rsidRPr="00123DEF">
        <w:tab/>
        <w:t xml:space="preserve">La autora no aporta </w:t>
      </w:r>
      <w:proofErr w:type="gramStart"/>
      <w:r w:rsidRPr="00123DEF">
        <w:t>mayor información</w:t>
      </w:r>
      <w:proofErr w:type="gramEnd"/>
      <w:r w:rsidRPr="00123DEF">
        <w:t>.</w:t>
      </w:r>
    </w:p>
  </w:footnote>
  <w:footnote w:id="7">
    <w:p w14:paraId="173D069C" w14:textId="2603CEA6" w:rsidR="00123DEF" w:rsidRPr="00123DEF" w:rsidRDefault="00123DEF" w:rsidP="00123DEF">
      <w:pPr>
        <w:pStyle w:val="FootnoteText"/>
        <w:widowControl w:val="0"/>
        <w:suppressAutoHyphens/>
      </w:pPr>
      <w:r w:rsidRPr="00123DEF">
        <w:tab/>
      </w:r>
      <w:r w:rsidRPr="00123DEF">
        <w:rPr>
          <w:rStyle w:val="FootnoteReference"/>
        </w:rPr>
        <w:footnoteRef/>
      </w:r>
      <w:r w:rsidRPr="00123DEF">
        <w:tab/>
        <w:t>La autora adjunta un informe de los Servicios Sociales de 22 de junio de 2018 que afirma que tiene unos ingresos mensuales de 430 euros al mes provenientes de un subsidio de desempleo.</w:t>
      </w:r>
    </w:p>
  </w:footnote>
  <w:footnote w:id="8">
    <w:p w14:paraId="1FC12412" w14:textId="509EB4F0" w:rsidR="00123DEF" w:rsidRPr="00123DEF" w:rsidRDefault="00123DEF">
      <w:pPr>
        <w:pStyle w:val="FootnoteText"/>
        <w:widowControl w:val="0"/>
        <w:tabs>
          <w:tab w:val="clear" w:pos="1021"/>
          <w:tab w:val="right" w:pos="1020"/>
        </w:tabs>
        <w:suppressAutoHyphens/>
      </w:pPr>
      <w:r w:rsidRPr="00123DEF">
        <w:tab/>
      </w:r>
      <w:r w:rsidRPr="00123DEF">
        <w:rPr>
          <w:rStyle w:val="FootnoteReference"/>
        </w:rPr>
        <w:footnoteRef/>
      </w:r>
      <w:r w:rsidRPr="00123DEF">
        <w:tab/>
        <w:t xml:space="preserve">Tribunal de Justicia de la Unión Europea, </w:t>
      </w:r>
      <w:r w:rsidRPr="00123DEF">
        <w:rPr>
          <w:i/>
        </w:rPr>
        <w:t>Sánchez Morcillo y Abril García c. Banco Bilbao Vizcaya Argentaria</w:t>
      </w:r>
      <w:r w:rsidRPr="00123DEF">
        <w:t xml:space="preserve">, auto C-539/14 de 16 de julio de 2015, párr. 49. </w:t>
      </w:r>
    </w:p>
  </w:footnote>
  <w:footnote w:id="9">
    <w:p w14:paraId="4F9193DD" w14:textId="7D94479E" w:rsidR="00123DEF" w:rsidRPr="00123DEF" w:rsidRDefault="00123DEF">
      <w:pPr>
        <w:pStyle w:val="FootnoteText"/>
        <w:widowControl w:val="0"/>
        <w:tabs>
          <w:tab w:val="clear" w:pos="1021"/>
          <w:tab w:val="right" w:pos="1020"/>
        </w:tabs>
        <w:suppressAutoHyphens/>
      </w:pPr>
      <w:r w:rsidRPr="00123DEF">
        <w:tab/>
      </w:r>
      <w:r w:rsidRPr="00123DEF">
        <w:rPr>
          <w:rStyle w:val="FootnoteReference"/>
        </w:rPr>
        <w:footnoteRef/>
      </w:r>
      <w:r w:rsidRPr="00123DEF">
        <w:tab/>
        <w:t xml:space="preserve">Tribunal Constitucional, sentencias </w:t>
      </w:r>
      <w:proofErr w:type="spellStart"/>
      <w:r w:rsidRPr="00123DEF">
        <w:t>núms</w:t>
      </w:r>
      <w:proofErr w:type="spellEnd"/>
      <w:r w:rsidRPr="00123DEF">
        <w:t xml:space="preserve">. 152/1988, 7/2010 y 33/2019. </w:t>
      </w:r>
    </w:p>
  </w:footnote>
  <w:footnote w:id="10">
    <w:p w14:paraId="1EE27083" w14:textId="3C8C778D" w:rsidR="00123DEF" w:rsidRPr="00123DEF" w:rsidRDefault="00123DEF" w:rsidP="00123DEF">
      <w:pPr>
        <w:pStyle w:val="FootnoteText"/>
        <w:widowControl w:val="0"/>
        <w:suppressAutoHyphens/>
      </w:pPr>
      <w:r w:rsidRPr="00123DEF">
        <w:tab/>
      </w:r>
      <w:r w:rsidRPr="00123DEF">
        <w:rPr>
          <w:rStyle w:val="FootnoteReference"/>
        </w:rPr>
        <w:footnoteRef/>
      </w:r>
      <w:r w:rsidRPr="00123DEF">
        <w:tab/>
      </w:r>
      <w:proofErr w:type="spellStart"/>
      <w:r w:rsidRPr="00123DEF">
        <w:rPr>
          <w:i/>
        </w:rPr>
        <w:t>Taghzouti</w:t>
      </w:r>
      <w:proofErr w:type="spellEnd"/>
      <w:r w:rsidRPr="00123DEF">
        <w:rPr>
          <w:i/>
        </w:rPr>
        <w:t xml:space="preserve"> </w:t>
      </w:r>
      <w:proofErr w:type="spellStart"/>
      <w:r w:rsidRPr="00123DEF">
        <w:rPr>
          <w:i/>
        </w:rPr>
        <w:t>Ezqouihel</w:t>
      </w:r>
      <w:proofErr w:type="spellEnd"/>
      <w:r w:rsidRPr="00123DEF">
        <w:rPr>
          <w:i/>
        </w:rPr>
        <w:t xml:space="preserve"> c. España</w:t>
      </w:r>
      <w:r w:rsidRPr="00123DEF">
        <w:t xml:space="preserve"> (E/C.12/69/D/56/2018), párr. 6.4.</w:t>
      </w:r>
    </w:p>
  </w:footnote>
  <w:footnote w:id="11">
    <w:p w14:paraId="300185E9" w14:textId="0A380531" w:rsidR="00123DEF" w:rsidRPr="00123DEF" w:rsidRDefault="00123DEF" w:rsidP="00123DEF">
      <w:pPr>
        <w:pStyle w:val="FootnoteText"/>
        <w:widowControl w:val="0"/>
        <w:suppressAutoHyphens/>
      </w:pPr>
      <w:r w:rsidRPr="00123DEF">
        <w:tab/>
      </w:r>
      <w:r w:rsidRPr="00123DEF">
        <w:rPr>
          <w:rStyle w:val="FootnoteReference"/>
        </w:rPr>
        <w:footnoteRef/>
      </w:r>
      <w:r w:rsidRPr="00123DEF">
        <w:tab/>
      </w:r>
      <w:r w:rsidRPr="00123DEF">
        <w:rPr>
          <w:i/>
        </w:rPr>
        <w:t>Ibid</w:t>
      </w:r>
      <w:r w:rsidRPr="00123DEF">
        <w:t>. párr. 6.3.</w:t>
      </w:r>
    </w:p>
  </w:footnote>
  <w:footnote w:id="12">
    <w:p w14:paraId="267D04D0" w14:textId="37ADE241" w:rsidR="00123DEF" w:rsidRPr="00123DEF" w:rsidRDefault="00123DEF" w:rsidP="00123DEF">
      <w:pPr>
        <w:pStyle w:val="FootnoteText"/>
        <w:widowControl w:val="0"/>
        <w:suppressAutoHyphens/>
      </w:pPr>
      <w:r w:rsidRPr="00123DEF">
        <w:tab/>
      </w:r>
      <w:r w:rsidRPr="00123DEF">
        <w:rPr>
          <w:rStyle w:val="FootnoteReference"/>
        </w:rPr>
        <w:footnoteRef/>
      </w:r>
      <w:r w:rsidRPr="00123DEF">
        <w:tab/>
      </w:r>
      <w:r w:rsidRPr="00123DEF">
        <w:rPr>
          <w:i/>
        </w:rPr>
        <w:t>A. M. O. y J. M. U. c. España</w:t>
      </w:r>
      <w:r w:rsidRPr="00123DEF">
        <w:t xml:space="preserve"> (E/C.12/68/D/45/2018), párr. 10.3; </w:t>
      </w:r>
      <w:r w:rsidRPr="00123DEF">
        <w:rPr>
          <w:i/>
        </w:rPr>
        <w:t>Arellano Medina c. el Ecuador</w:t>
      </w:r>
      <w:r w:rsidRPr="00123DEF">
        <w:t xml:space="preserve"> (E/C.12/63/D/7/2015), párr. 8.10; y </w:t>
      </w:r>
      <w:r w:rsidRPr="00123DEF">
        <w:rPr>
          <w:i/>
        </w:rPr>
        <w:t>Martínez Fernández c. España</w:t>
      </w:r>
      <w:r w:rsidRPr="00123DEF">
        <w:t xml:space="preserve"> (E/</w:t>
      </w:r>
      <w:proofErr w:type="spellStart"/>
      <w:r w:rsidRPr="00123DEF">
        <w:t>C.12</w:t>
      </w:r>
      <w:proofErr w:type="spellEnd"/>
      <w:r w:rsidRPr="00123DEF">
        <w:t xml:space="preserve">/64/D/19/2016), </w:t>
      </w:r>
      <w:proofErr w:type="spellStart"/>
      <w:r w:rsidRPr="00123DEF">
        <w:t>párrs</w:t>
      </w:r>
      <w:proofErr w:type="spellEnd"/>
      <w:r w:rsidRPr="00123DEF">
        <w:t>. 6.4 y 6.5.</w:t>
      </w:r>
    </w:p>
  </w:footnote>
  <w:footnote w:id="13">
    <w:p w14:paraId="3E7BD3A2" w14:textId="01E6E346" w:rsidR="00123DEF" w:rsidRPr="00123DEF" w:rsidRDefault="00123DEF" w:rsidP="00123DEF">
      <w:pPr>
        <w:pStyle w:val="FootnoteText"/>
        <w:widowControl w:val="0"/>
        <w:suppressAutoHyphens/>
      </w:pPr>
      <w:r w:rsidRPr="00123DEF">
        <w:tab/>
      </w:r>
      <w:r w:rsidRPr="00123DEF">
        <w:rPr>
          <w:rStyle w:val="FootnoteReference"/>
        </w:rPr>
        <w:footnoteRef/>
      </w:r>
      <w:r w:rsidRPr="00123DEF">
        <w:tab/>
      </w:r>
      <w:r w:rsidRPr="00123DEF">
        <w:rPr>
          <w:i/>
        </w:rPr>
        <w:t>S. C. y G. P. c. Italia</w:t>
      </w:r>
      <w:r w:rsidRPr="00123DEF">
        <w:t xml:space="preserve"> (E/C.12/65/D/22/2017), párr. 6.15; y </w:t>
      </w:r>
      <w:r w:rsidRPr="00123DEF">
        <w:rPr>
          <w:i/>
        </w:rPr>
        <w:t>S. S. R. c. España</w:t>
      </w:r>
      <w:r w:rsidRPr="00123DEF">
        <w:t xml:space="preserve"> (E/C.12/66/D/51/2018), párr. 6.4.</w:t>
      </w:r>
    </w:p>
  </w:footnote>
  <w:footnote w:id="14">
    <w:p w14:paraId="3B9F82DF" w14:textId="3C0110EC" w:rsidR="00123DEF" w:rsidRPr="00123DEF" w:rsidRDefault="00123DEF" w:rsidP="00123DEF">
      <w:pPr>
        <w:pStyle w:val="FootnoteText"/>
        <w:widowControl w:val="0"/>
        <w:suppressAutoHyphens/>
      </w:pPr>
      <w:r w:rsidRPr="00123DEF">
        <w:tab/>
      </w:r>
      <w:r w:rsidRPr="00123DEF">
        <w:rPr>
          <w:rStyle w:val="FootnoteReference"/>
        </w:rPr>
        <w:footnoteRef/>
      </w:r>
      <w:r w:rsidRPr="00123DEF">
        <w:tab/>
      </w:r>
      <w:r w:rsidR="004D4324" w:rsidRPr="00123DEF">
        <w:rPr>
          <w:i/>
        </w:rPr>
        <w:t>S. S. R. c. España</w:t>
      </w:r>
      <w:r w:rsidRPr="00123DEF">
        <w:t xml:space="preserve">, párr. 7.6; Comité contra la Tortura, </w:t>
      </w:r>
      <w:proofErr w:type="spellStart"/>
      <w:r w:rsidRPr="00123DEF">
        <w:rPr>
          <w:i/>
        </w:rPr>
        <w:t>Thirugnanasampanthar</w:t>
      </w:r>
      <w:proofErr w:type="spellEnd"/>
      <w:r w:rsidRPr="00123DEF">
        <w:rPr>
          <w:i/>
        </w:rPr>
        <w:t xml:space="preserve"> c. Australia</w:t>
      </w:r>
      <w:r w:rsidRPr="00123DEF">
        <w:t xml:space="preserve"> (CAT/C/61/D/614/2014), párr. 6.1.</w:t>
      </w:r>
    </w:p>
  </w:footnote>
  <w:footnote w:id="15">
    <w:p w14:paraId="716C8538" w14:textId="75EA0CF0" w:rsidR="00123DEF" w:rsidRPr="00123DEF" w:rsidRDefault="00123DEF" w:rsidP="00123DEF">
      <w:pPr>
        <w:pStyle w:val="FootnoteText"/>
        <w:widowControl w:val="0"/>
        <w:suppressAutoHyphens/>
      </w:pPr>
      <w:r w:rsidRPr="00123DEF">
        <w:tab/>
      </w:r>
      <w:r w:rsidRPr="00123DEF">
        <w:rPr>
          <w:rStyle w:val="FootnoteReference"/>
        </w:rPr>
        <w:footnoteRef/>
      </w:r>
      <w:r w:rsidRPr="00123DEF">
        <w:tab/>
      </w:r>
      <w:r w:rsidRPr="00123DEF">
        <w:rPr>
          <w:i/>
        </w:rPr>
        <w:t>S. S. R. c. España</w:t>
      </w:r>
      <w:r w:rsidRPr="00123DEF">
        <w:t xml:space="preserve">, párr. 7.6. Véase también, </w:t>
      </w:r>
      <w:r w:rsidRPr="00123DEF">
        <w:rPr>
          <w:i/>
        </w:rPr>
        <w:t>mutatis mutandis</w:t>
      </w:r>
      <w:r w:rsidRPr="00123DEF">
        <w:t xml:space="preserve">, Tribunal Europeo de Derechos Humanos (Gran Sala), </w:t>
      </w:r>
      <w:proofErr w:type="spellStart"/>
      <w:r w:rsidRPr="00123DEF">
        <w:rPr>
          <w:i/>
        </w:rPr>
        <w:t>Mamatkulov</w:t>
      </w:r>
      <w:proofErr w:type="spellEnd"/>
      <w:r w:rsidRPr="00123DEF">
        <w:rPr>
          <w:i/>
        </w:rPr>
        <w:t xml:space="preserve"> and </w:t>
      </w:r>
      <w:proofErr w:type="spellStart"/>
      <w:r w:rsidRPr="00123DEF">
        <w:rPr>
          <w:i/>
        </w:rPr>
        <w:t>Askarov</w:t>
      </w:r>
      <w:proofErr w:type="spellEnd"/>
      <w:r w:rsidRPr="00123DEF">
        <w:rPr>
          <w:i/>
        </w:rPr>
        <w:t xml:space="preserve"> v. </w:t>
      </w:r>
      <w:proofErr w:type="spellStart"/>
      <w:r w:rsidRPr="00123DEF">
        <w:rPr>
          <w:i/>
        </w:rPr>
        <w:t>Turkey</w:t>
      </w:r>
      <w:proofErr w:type="spellEnd"/>
      <w:r w:rsidRPr="00123DEF">
        <w:t xml:space="preserve"> (demandas </w:t>
      </w:r>
      <w:proofErr w:type="spellStart"/>
      <w:r w:rsidRPr="00123DEF">
        <w:t>núms</w:t>
      </w:r>
      <w:proofErr w:type="spellEnd"/>
      <w:r w:rsidRPr="00123DEF">
        <w:t xml:space="preserve">. 46827/99 y 46951/99), sentencia de 4 de febrero de 2005, párr. 128 (“los Estados parte se comprometen a abstenerse de entorpecer, por medio de actos u omisiones, el ejercicio efectivo de un individuo de su derecho a aplicar. Si un Estado parte no cumple con las medidas cautelares se considerará que está impidiendo al Tribunal efectuar un examen de la queja y entorpeciendo el ejercicio efectivo de su derecho </w:t>
      </w:r>
      <w:proofErr w:type="gramStart"/>
      <w:r w:rsidRPr="00123DEF">
        <w:t>y</w:t>
      </w:r>
      <w:proofErr w:type="gramEnd"/>
      <w:r w:rsidRPr="00123DEF">
        <w:t xml:space="preserve"> por tanto, que supone una violación del artículo 34 de la Convención”); y Comité contra la Tortura, </w:t>
      </w:r>
      <w:proofErr w:type="spellStart"/>
      <w:r w:rsidRPr="00123DEF">
        <w:rPr>
          <w:i/>
        </w:rPr>
        <w:t>Thirugnanasampanthar</w:t>
      </w:r>
      <w:proofErr w:type="spellEnd"/>
      <w:r w:rsidRPr="00123DEF">
        <w:rPr>
          <w:i/>
        </w:rPr>
        <w:t xml:space="preserve"> c. Australia</w:t>
      </w:r>
      <w:r w:rsidRPr="00123DEF">
        <w:t>, párr. 6.1.</w:t>
      </w:r>
    </w:p>
  </w:footnote>
  <w:footnote w:id="16">
    <w:p w14:paraId="6B3F97DF" w14:textId="50D6B0F7" w:rsidR="00123DEF" w:rsidRPr="00123DEF" w:rsidRDefault="00123DEF" w:rsidP="00123DEF">
      <w:pPr>
        <w:pStyle w:val="FootnoteText"/>
        <w:widowControl w:val="0"/>
        <w:suppressAutoHyphens/>
      </w:pPr>
      <w:r w:rsidRPr="00123DEF">
        <w:tab/>
      </w:r>
      <w:r w:rsidRPr="00123DEF">
        <w:rPr>
          <w:rStyle w:val="FootnoteReference"/>
        </w:rPr>
        <w:footnoteRef/>
      </w:r>
      <w:r w:rsidRPr="00123DEF">
        <w:tab/>
      </w:r>
      <w:r w:rsidRPr="00123DEF">
        <w:rPr>
          <w:i/>
        </w:rPr>
        <w:t>S. S. R. c. España</w:t>
      </w:r>
      <w:r w:rsidRPr="00123DEF">
        <w:t>, párr. 7.7. Véase también Comité de Derechos Humanos, observación general núm. 33</w:t>
      </w:r>
      <w:r w:rsidR="009E0512">
        <w:t xml:space="preserve"> (2008)</w:t>
      </w:r>
      <w:r w:rsidRPr="00123DEF">
        <w:t>, párr. 19.</w:t>
      </w:r>
    </w:p>
  </w:footnote>
  <w:footnote w:id="17">
    <w:p w14:paraId="01B240D3" w14:textId="2EFF50D8" w:rsidR="00123DEF" w:rsidRPr="00123DEF" w:rsidRDefault="00123DEF" w:rsidP="00123DEF">
      <w:pPr>
        <w:pStyle w:val="FootnoteText"/>
        <w:widowControl w:val="0"/>
        <w:suppressAutoHyphens/>
      </w:pPr>
      <w:r w:rsidRPr="00123DEF">
        <w:tab/>
      </w:r>
      <w:r w:rsidRPr="00123DEF">
        <w:rPr>
          <w:rStyle w:val="FootnoteReference"/>
        </w:rPr>
        <w:footnoteRef/>
      </w:r>
      <w:r w:rsidRPr="00123DEF">
        <w:tab/>
      </w:r>
      <w:r w:rsidRPr="00123DEF">
        <w:rPr>
          <w:i/>
        </w:rPr>
        <w:t>S. S. R. c. España</w:t>
      </w:r>
      <w:r w:rsidRPr="00123DEF">
        <w:t xml:space="preserve">, párr. 7.8; Comité contra la Tortura, </w:t>
      </w:r>
      <w:proofErr w:type="spellStart"/>
      <w:r w:rsidRPr="00123DEF">
        <w:rPr>
          <w:i/>
        </w:rPr>
        <w:t>Thirugnanasampanthar</w:t>
      </w:r>
      <w:proofErr w:type="spellEnd"/>
      <w:r w:rsidRPr="00123DEF">
        <w:rPr>
          <w:i/>
        </w:rPr>
        <w:t xml:space="preserve"> c. Australia</w:t>
      </w:r>
      <w:r w:rsidRPr="00123DEF">
        <w:t>, párr. 6.3.</w:t>
      </w:r>
    </w:p>
  </w:footnote>
  <w:footnote w:id="18">
    <w:p w14:paraId="2E6D870A" w14:textId="469DDB8C"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S. S. R. c. España</w:t>
      </w:r>
      <w:r w:rsidRPr="00123DEF">
        <w:t>, párr. 7.9.</w:t>
      </w:r>
    </w:p>
  </w:footnote>
  <w:footnote w:id="19">
    <w:p w14:paraId="3AE260CE" w14:textId="30FC5CBB"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Ibid</w:t>
      </w:r>
      <w:r w:rsidRPr="00123DEF">
        <w:t>.</w:t>
      </w:r>
    </w:p>
  </w:footnote>
  <w:footnote w:id="20">
    <w:p w14:paraId="19A884F9" w14:textId="5C7E47BA"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Ibid</w:t>
      </w:r>
      <w:r w:rsidRPr="00123DEF">
        <w:t>.</w:t>
      </w:r>
    </w:p>
  </w:footnote>
  <w:footnote w:id="21">
    <w:p w14:paraId="7101F888" w14:textId="73928395"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Ibid</w:t>
      </w:r>
      <w:r w:rsidRPr="00123DEF">
        <w:t>.</w:t>
      </w:r>
    </w:p>
  </w:footnote>
  <w:footnote w:id="22">
    <w:p w14:paraId="73A85C75" w14:textId="56CEE33D"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Ibid</w:t>
      </w:r>
      <w:r w:rsidRPr="00123DEF">
        <w:t>.</w:t>
      </w:r>
    </w:p>
  </w:footnote>
  <w:footnote w:id="23">
    <w:p w14:paraId="1CEFF9CE" w14:textId="59F07B97"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Ibid</w:t>
      </w:r>
      <w:r w:rsidRPr="00123DEF">
        <w:t>.</w:t>
      </w:r>
    </w:p>
  </w:footnote>
  <w:footnote w:id="24">
    <w:p w14:paraId="3D4F0CB5" w14:textId="79C2474A"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Ibid</w:t>
      </w:r>
      <w:r w:rsidRPr="00123DEF">
        <w:t>.</w:t>
      </w:r>
    </w:p>
  </w:footnote>
  <w:footnote w:id="25">
    <w:p w14:paraId="1CA7506D" w14:textId="04831686" w:rsidR="00123DEF" w:rsidRPr="00123DEF" w:rsidRDefault="00123DEF" w:rsidP="00123DEF">
      <w:pPr>
        <w:pStyle w:val="FootnoteText"/>
        <w:widowControl w:val="0"/>
        <w:suppressAutoHyphens/>
      </w:pPr>
      <w:r w:rsidRPr="00123DEF">
        <w:tab/>
      </w:r>
      <w:r w:rsidRPr="00123DEF">
        <w:rPr>
          <w:rStyle w:val="FootnoteReference"/>
        </w:rPr>
        <w:footnoteRef/>
      </w:r>
      <w:r w:rsidRPr="00123DEF">
        <w:t xml:space="preserve"> </w:t>
      </w:r>
      <w:r w:rsidRPr="00123DEF">
        <w:tab/>
      </w:r>
      <w:r w:rsidRPr="00123DEF">
        <w:rPr>
          <w:i/>
        </w:rPr>
        <w:t>Ibid</w:t>
      </w:r>
      <w:r w:rsidRPr="00123DEF">
        <w:t>.,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29F7" w14:textId="3EE33049" w:rsidR="00123DEF" w:rsidRPr="00FB0871" w:rsidRDefault="00123DEF">
    <w:pPr>
      <w:pStyle w:val="Header"/>
    </w:pPr>
    <w:r w:rsidRPr="00A533C4">
      <w:t>E/C.12/</w:t>
    </w:r>
    <w:r>
      <w:t>70</w:t>
    </w:r>
    <w:r w:rsidRPr="00A533C4">
      <w:t>/D/</w:t>
    </w:r>
    <w:r>
      <w:t>102</w:t>
    </w:r>
    <w:r w:rsidRPr="00A533C4">
      <w:t>/</w:t>
    </w:r>
    <w: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4CC9" w14:textId="670CDBC3" w:rsidR="00123DEF" w:rsidRPr="004677B6" w:rsidRDefault="00123DEF" w:rsidP="004677B6">
    <w:pPr>
      <w:pStyle w:val="Header"/>
      <w:jc w:val="right"/>
    </w:pPr>
    <w:r w:rsidRPr="00A533C4">
      <w:t>E/C.12/</w:t>
    </w:r>
    <w:r>
      <w:t>70</w:t>
    </w:r>
    <w:r w:rsidRPr="00A533C4">
      <w:t>/D/</w:t>
    </w:r>
    <w:r>
      <w:t>102</w:t>
    </w:r>
    <w:r w:rsidRPr="00A533C4">
      <w:t>/</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18F3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26FA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C814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F20B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E29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58E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A7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6C2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25D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16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60077E"/>
    <w:multiLevelType w:val="hybridMultilevel"/>
    <w:tmpl w:val="19FADB7E"/>
    <w:lvl w:ilvl="0" w:tplc="70EA4316">
      <w:start w:val="1"/>
      <w:numFmt w:val="decimal"/>
      <w:lvlText w:val="4.%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020FE"/>
    <w:multiLevelType w:val="hybridMultilevel"/>
    <w:tmpl w:val="BF64D84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6A7743B"/>
    <w:multiLevelType w:val="hybridMultilevel"/>
    <w:tmpl w:val="61A0A202"/>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0222D"/>
    <w:multiLevelType w:val="hybridMultilevel"/>
    <w:tmpl w:val="A058D416"/>
    <w:lvl w:ilvl="0" w:tplc="C99C2068">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7917523"/>
    <w:multiLevelType w:val="hybridMultilevel"/>
    <w:tmpl w:val="000AF674"/>
    <w:lvl w:ilvl="0" w:tplc="A7C6FE7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71139"/>
    <w:multiLevelType w:val="hybridMultilevel"/>
    <w:tmpl w:val="DFF416FE"/>
    <w:lvl w:ilvl="0" w:tplc="5226D07C">
      <w:start w:val="1"/>
      <w:numFmt w:val="decimal"/>
      <w:lvlText w:val="7.%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D3DE4"/>
    <w:multiLevelType w:val="hybridMultilevel"/>
    <w:tmpl w:val="5ED4857C"/>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3233DB"/>
    <w:multiLevelType w:val="hybridMultilevel"/>
    <w:tmpl w:val="0EB80F58"/>
    <w:lvl w:ilvl="0" w:tplc="43824F48">
      <w:start w:val="1"/>
      <w:numFmt w:val="decimal"/>
      <w:lvlText w:val="6.%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F5F3CC1"/>
    <w:multiLevelType w:val="hybridMultilevel"/>
    <w:tmpl w:val="FB162B1C"/>
    <w:lvl w:ilvl="0" w:tplc="473E7222">
      <w:start w:val="1"/>
      <w:numFmt w:val="decimal"/>
      <w:lvlText w:val="2.%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2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4"/>
  </w:num>
  <w:num w:numId="18">
    <w:abstractNumId w:val="11"/>
  </w:num>
  <w:num w:numId="19">
    <w:abstractNumId w:val="20"/>
  </w:num>
  <w:num w:numId="20">
    <w:abstractNumId w:val="17"/>
  </w:num>
  <w:num w:numId="21">
    <w:abstractNumId w:val="12"/>
  </w:num>
  <w:num w:numId="22">
    <w:abstractNumId w:val="16"/>
  </w:num>
  <w:num w:numId="23">
    <w:abstractNumId w:val="18"/>
  </w:num>
  <w:num w:numId="24">
    <w:abstractNumId w:val="13"/>
  </w:num>
  <w:num w:numId="25">
    <w:abstractNumId w:val="10"/>
  </w:num>
  <w:num w:numId="26">
    <w:abstractNumId w:val="21"/>
  </w:num>
  <w:num w:numId="27">
    <w:abstractNumId w:val="19"/>
  </w:num>
  <w:num w:numId="28">
    <w:abstractNumId w:val="15"/>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n-GB"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F3"/>
    <w:rsid w:val="0000001A"/>
    <w:rsid w:val="000009F9"/>
    <w:rsid w:val="00002A7A"/>
    <w:rsid w:val="00003927"/>
    <w:rsid w:val="00004CAC"/>
    <w:rsid w:val="0000683B"/>
    <w:rsid w:val="00010F3B"/>
    <w:rsid w:val="00010FD5"/>
    <w:rsid w:val="00011511"/>
    <w:rsid w:val="00012953"/>
    <w:rsid w:val="00014CA7"/>
    <w:rsid w:val="0001508C"/>
    <w:rsid w:val="0001611E"/>
    <w:rsid w:val="00017679"/>
    <w:rsid w:val="000220BD"/>
    <w:rsid w:val="000225BD"/>
    <w:rsid w:val="000236E1"/>
    <w:rsid w:val="000241E4"/>
    <w:rsid w:val="00026ACE"/>
    <w:rsid w:val="00027B7D"/>
    <w:rsid w:val="000312AB"/>
    <w:rsid w:val="00032D03"/>
    <w:rsid w:val="000337A3"/>
    <w:rsid w:val="0003399A"/>
    <w:rsid w:val="00033F6A"/>
    <w:rsid w:val="00034821"/>
    <w:rsid w:val="0003775F"/>
    <w:rsid w:val="00037AC7"/>
    <w:rsid w:val="00040392"/>
    <w:rsid w:val="00041CCD"/>
    <w:rsid w:val="00045246"/>
    <w:rsid w:val="00047CD7"/>
    <w:rsid w:val="00052CB3"/>
    <w:rsid w:val="00056E99"/>
    <w:rsid w:val="00060246"/>
    <w:rsid w:val="0006453E"/>
    <w:rsid w:val="00064FB5"/>
    <w:rsid w:val="000677A6"/>
    <w:rsid w:val="00067C13"/>
    <w:rsid w:val="00070BA5"/>
    <w:rsid w:val="000729E6"/>
    <w:rsid w:val="00073EA7"/>
    <w:rsid w:val="00077311"/>
    <w:rsid w:val="00077B55"/>
    <w:rsid w:val="00080A0C"/>
    <w:rsid w:val="0008108F"/>
    <w:rsid w:val="00082076"/>
    <w:rsid w:val="000837D7"/>
    <w:rsid w:val="000839BC"/>
    <w:rsid w:val="00084075"/>
    <w:rsid w:val="0008650D"/>
    <w:rsid w:val="00093664"/>
    <w:rsid w:val="0009388B"/>
    <w:rsid w:val="00095A2E"/>
    <w:rsid w:val="00095A9E"/>
    <w:rsid w:val="00096D60"/>
    <w:rsid w:val="000977AA"/>
    <w:rsid w:val="000A3D4B"/>
    <w:rsid w:val="000A5712"/>
    <w:rsid w:val="000B0149"/>
    <w:rsid w:val="000B1711"/>
    <w:rsid w:val="000B19C7"/>
    <w:rsid w:val="000B27F7"/>
    <w:rsid w:val="000B31D6"/>
    <w:rsid w:val="000B4E6E"/>
    <w:rsid w:val="000B57E7"/>
    <w:rsid w:val="000B7CC1"/>
    <w:rsid w:val="000C04E9"/>
    <w:rsid w:val="000C37E3"/>
    <w:rsid w:val="000C5314"/>
    <w:rsid w:val="000C54D1"/>
    <w:rsid w:val="000C56D9"/>
    <w:rsid w:val="000C5D05"/>
    <w:rsid w:val="000C6291"/>
    <w:rsid w:val="000D0B7C"/>
    <w:rsid w:val="000D15B1"/>
    <w:rsid w:val="000D1B82"/>
    <w:rsid w:val="000D1DD3"/>
    <w:rsid w:val="000D2870"/>
    <w:rsid w:val="000D2C23"/>
    <w:rsid w:val="000D2CC1"/>
    <w:rsid w:val="000D359E"/>
    <w:rsid w:val="000E2E2C"/>
    <w:rsid w:val="000E5D91"/>
    <w:rsid w:val="000E5F24"/>
    <w:rsid w:val="000E65E4"/>
    <w:rsid w:val="000F09DF"/>
    <w:rsid w:val="000F1D81"/>
    <w:rsid w:val="000F280E"/>
    <w:rsid w:val="000F3834"/>
    <w:rsid w:val="000F3AC2"/>
    <w:rsid w:val="000F4777"/>
    <w:rsid w:val="000F5023"/>
    <w:rsid w:val="000F61B2"/>
    <w:rsid w:val="000F7AFE"/>
    <w:rsid w:val="0010612F"/>
    <w:rsid w:val="001075E9"/>
    <w:rsid w:val="00114845"/>
    <w:rsid w:val="0011662F"/>
    <w:rsid w:val="00116AD8"/>
    <w:rsid w:val="001230F7"/>
    <w:rsid w:val="00123DEF"/>
    <w:rsid w:val="001256E5"/>
    <w:rsid w:val="00130E25"/>
    <w:rsid w:val="001310C6"/>
    <w:rsid w:val="00133CF8"/>
    <w:rsid w:val="00134524"/>
    <w:rsid w:val="00141533"/>
    <w:rsid w:val="00143426"/>
    <w:rsid w:val="00143FE5"/>
    <w:rsid w:val="00146F78"/>
    <w:rsid w:val="00152694"/>
    <w:rsid w:val="0016240E"/>
    <w:rsid w:val="001642F1"/>
    <w:rsid w:val="0016563B"/>
    <w:rsid w:val="0016641C"/>
    <w:rsid w:val="00167F95"/>
    <w:rsid w:val="00174E19"/>
    <w:rsid w:val="0017759A"/>
    <w:rsid w:val="00177E6F"/>
    <w:rsid w:val="00180183"/>
    <w:rsid w:val="0018065F"/>
    <w:rsid w:val="00187943"/>
    <w:rsid w:val="00196389"/>
    <w:rsid w:val="00197A24"/>
    <w:rsid w:val="00197D70"/>
    <w:rsid w:val="001A01A6"/>
    <w:rsid w:val="001A16BF"/>
    <w:rsid w:val="001A2A19"/>
    <w:rsid w:val="001A2F07"/>
    <w:rsid w:val="001A43C5"/>
    <w:rsid w:val="001A5D16"/>
    <w:rsid w:val="001A6ABF"/>
    <w:rsid w:val="001A72EC"/>
    <w:rsid w:val="001B0EA7"/>
    <w:rsid w:val="001B2251"/>
    <w:rsid w:val="001B3ECE"/>
    <w:rsid w:val="001B497E"/>
    <w:rsid w:val="001B5063"/>
    <w:rsid w:val="001B70B1"/>
    <w:rsid w:val="001C7A89"/>
    <w:rsid w:val="001D0870"/>
    <w:rsid w:val="001D1D3B"/>
    <w:rsid w:val="001D45C4"/>
    <w:rsid w:val="001D59AD"/>
    <w:rsid w:val="001E35B5"/>
    <w:rsid w:val="001E4078"/>
    <w:rsid w:val="001E43E5"/>
    <w:rsid w:val="001F3EC3"/>
    <w:rsid w:val="001F626C"/>
    <w:rsid w:val="001F6EB0"/>
    <w:rsid w:val="001F7C9A"/>
    <w:rsid w:val="00202B5A"/>
    <w:rsid w:val="00204FE5"/>
    <w:rsid w:val="00205748"/>
    <w:rsid w:val="00205FDF"/>
    <w:rsid w:val="00207921"/>
    <w:rsid w:val="00207FF5"/>
    <w:rsid w:val="00213DB8"/>
    <w:rsid w:val="002211D4"/>
    <w:rsid w:val="0022183C"/>
    <w:rsid w:val="002233C0"/>
    <w:rsid w:val="00224AB9"/>
    <w:rsid w:val="002258AB"/>
    <w:rsid w:val="002267E2"/>
    <w:rsid w:val="00231920"/>
    <w:rsid w:val="00231AF1"/>
    <w:rsid w:val="00232966"/>
    <w:rsid w:val="002334EC"/>
    <w:rsid w:val="00234727"/>
    <w:rsid w:val="002352EC"/>
    <w:rsid w:val="00237DA2"/>
    <w:rsid w:val="00241344"/>
    <w:rsid w:val="00242021"/>
    <w:rsid w:val="00244ABA"/>
    <w:rsid w:val="00246E6B"/>
    <w:rsid w:val="00250FCE"/>
    <w:rsid w:val="0025330F"/>
    <w:rsid w:val="00254A51"/>
    <w:rsid w:val="00254DC4"/>
    <w:rsid w:val="00257471"/>
    <w:rsid w:val="0026158B"/>
    <w:rsid w:val="00262065"/>
    <w:rsid w:val="00262908"/>
    <w:rsid w:val="00264D85"/>
    <w:rsid w:val="002657C2"/>
    <w:rsid w:val="00270534"/>
    <w:rsid w:val="00273DF8"/>
    <w:rsid w:val="00274EC9"/>
    <w:rsid w:val="002757D3"/>
    <w:rsid w:val="002768B8"/>
    <w:rsid w:val="00277A2E"/>
    <w:rsid w:val="00277F51"/>
    <w:rsid w:val="0028134F"/>
    <w:rsid w:val="002862E4"/>
    <w:rsid w:val="002904FA"/>
    <w:rsid w:val="0029436A"/>
    <w:rsid w:val="002967E3"/>
    <w:rsid w:val="002A278D"/>
    <w:rsid w:val="002A2EFC"/>
    <w:rsid w:val="002A39B9"/>
    <w:rsid w:val="002A5729"/>
    <w:rsid w:val="002A5AA6"/>
    <w:rsid w:val="002A678A"/>
    <w:rsid w:val="002A6CFA"/>
    <w:rsid w:val="002A78D4"/>
    <w:rsid w:val="002B0DB2"/>
    <w:rsid w:val="002B3589"/>
    <w:rsid w:val="002B7412"/>
    <w:rsid w:val="002C13E2"/>
    <w:rsid w:val="002C1497"/>
    <w:rsid w:val="002C415B"/>
    <w:rsid w:val="002C43BF"/>
    <w:rsid w:val="002C43DE"/>
    <w:rsid w:val="002C5EB2"/>
    <w:rsid w:val="002D16F0"/>
    <w:rsid w:val="002D2A34"/>
    <w:rsid w:val="002D52BC"/>
    <w:rsid w:val="002D5AAC"/>
    <w:rsid w:val="002D6313"/>
    <w:rsid w:val="002D657F"/>
    <w:rsid w:val="002E10A7"/>
    <w:rsid w:val="002E1212"/>
    <w:rsid w:val="002E21E2"/>
    <w:rsid w:val="002E551A"/>
    <w:rsid w:val="002E6180"/>
    <w:rsid w:val="002E6735"/>
    <w:rsid w:val="002E77DE"/>
    <w:rsid w:val="002F042A"/>
    <w:rsid w:val="002F056D"/>
    <w:rsid w:val="002F1D5D"/>
    <w:rsid w:val="0030010D"/>
    <w:rsid w:val="00301299"/>
    <w:rsid w:val="00301E6C"/>
    <w:rsid w:val="00302986"/>
    <w:rsid w:val="00303DC5"/>
    <w:rsid w:val="003056D5"/>
    <w:rsid w:val="00305A92"/>
    <w:rsid w:val="00307AC1"/>
    <w:rsid w:val="003109EE"/>
    <w:rsid w:val="00313431"/>
    <w:rsid w:val="00313BCF"/>
    <w:rsid w:val="00313FDC"/>
    <w:rsid w:val="003157B5"/>
    <w:rsid w:val="00316E5C"/>
    <w:rsid w:val="00320A43"/>
    <w:rsid w:val="00320C83"/>
    <w:rsid w:val="00320E6E"/>
    <w:rsid w:val="00322004"/>
    <w:rsid w:val="00322ED5"/>
    <w:rsid w:val="0032372D"/>
    <w:rsid w:val="00331525"/>
    <w:rsid w:val="003322C6"/>
    <w:rsid w:val="00335719"/>
    <w:rsid w:val="00337C67"/>
    <w:rsid w:val="003402C2"/>
    <w:rsid w:val="00340A58"/>
    <w:rsid w:val="00343DD9"/>
    <w:rsid w:val="0034555D"/>
    <w:rsid w:val="00345C70"/>
    <w:rsid w:val="00346E06"/>
    <w:rsid w:val="00347221"/>
    <w:rsid w:val="00350982"/>
    <w:rsid w:val="003538EB"/>
    <w:rsid w:val="00354095"/>
    <w:rsid w:val="00355307"/>
    <w:rsid w:val="00356592"/>
    <w:rsid w:val="00362A7E"/>
    <w:rsid w:val="003669E2"/>
    <w:rsid w:val="00367091"/>
    <w:rsid w:val="003703B9"/>
    <w:rsid w:val="003722B2"/>
    <w:rsid w:val="0037235F"/>
    <w:rsid w:val="0037304B"/>
    <w:rsid w:val="00373670"/>
    <w:rsid w:val="00376284"/>
    <w:rsid w:val="00377451"/>
    <w:rsid w:val="00381272"/>
    <w:rsid w:val="00381428"/>
    <w:rsid w:val="003818B9"/>
    <w:rsid w:val="00381C24"/>
    <w:rsid w:val="00382F57"/>
    <w:rsid w:val="00383796"/>
    <w:rsid w:val="0039018B"/>
    <w:rsid w:val="00390ED0"/>
    <w:rsid w:val="0039229D"/>
    <w:rsid w:val="00393ED5"/>
    <w:rsid w:val="00394CFE"/>
    <w:rsid w:val="003958D0"/>
    <w:rsid w:val="00395CF3"/>
    <w:rsid w:val="0039771F"/>
    <w:rsid w:val="003A64C5"/>
    <w:rsid w:val="003A6EA3"/>
    <w:rsid w:val="003B2B0B"/>
    <w:rsid w:val="003B3204"/>
    <w:rsid w:val="003B3F5E"/>
    <w:rsid w:val="003B7031"/>
    <w:rsid w:val="003B7231"/>
    <w:rsid w:val="003C1148"/>
    <w:rsid w:val="003C25AB"/>
    <w:rsid w:val="003C2A29"/>
    <w:rsid w:val="003C4E01"/>
    <w:rsid w:val="003C5375"/>
    <w:rsid w:val="003C75C2"/>
    <w:rsid w:val="003C7A62"/>
    <w:rsid w:val="003D064D"/>
    <w:rsid w:val="003D0DBB"/>
    <w:rsid w:val="003D26EB"/>
    <w:rsid w:val="003D3350"/>
    <w:rsid w:val="003D3D3D"/>
    <w:rsid w:val="003D4A8D"/>
    <w:rsid w:val="003D53FE"/>
    <w:rsid w:val="003E0AB3"/>
    <w:rsid w:val="003E1B4F"/>
    <w:rsid w:val="003E4FD0"/>
    <w:rsid w:val="003F1204"/>
    <w:rsid w:val="003F163E"/>
    <w:rsid w:val="003F5E92"/>
    <w:rsid w:val="003F6226"/>
    <w:rsid w:val="00401DF8"/>
    <w:rsid w:val="00403D32"/>
    <w:rsid w:val="00403FE2"/>
    <w:rsid w:val="00404787"/>
    <w:rsid w:val="004049D0"/>
    <w:rsid w:val="004062F0"/>
    <w:rsid w:val="004065F8"/>
    <w:rsid w:val="00407679"/>
    <w:rsid w:val="0041031F"/>
    <w:rsid w:val="00413533"/>
    <w:rsid w:val="00415EFB"/>
    <w:rsid w:val="00416442"/>
    <w:rsid w:val="004219C5"/>
    <w:rsid w:val="00433471"/>
    <w:rsid w:val="0043638F"/>
    <w:rsid w:val="004401AE"/>
    <w:rsid w:val="00440371"/>
    <w:rsid w:val="00440DB8"/>
    <w:rsid w:val="0044153E"/>
    <w:rsid w:val="00446411"/>
    <w:rsid w:val="0044641F"/>
    <w:rsid w:val="004478C1"/>
    <w:rsid w:val="00451943"/>
    <w:rsid w:val="00453E9D"/>
    <w:rsid w:val="00454358"/>
    <w:rsid w:val="00454E07"/>
    <w:rsid w:val="004554AB"/>
    <w:rsid w:val="00456C3F"/>
    <w:rsid w:val="004606FF"/>
    <w:rsid w:val="00462FFC"/>
    <w:rsid w:val="00464CBE"/>
    <w:rsid w:val="00464DEA"/>
    <w:rsid w:val="00465F2B"/>
    <w:rsid w:val="004677B6"/>
    <w:rsid w:val="00470C81"/>
    <w:rsid w:val="00472262"/>
    <w:rsid w:val="0047415B"/>
    <w:rsid w:val="004750CD"/>
    <w:rsid w:val="004806A1"/>
    <w:rsid w:val="004873CC"/>
    <w:rsid w:val="00495978"/>
    <w:rsid w:val="0049641D"/>
    <w:rsid w:val="004A2B64"/>
    <w:rsid w:val="004A2DDF"/>
    <w:rsid w:val="004A3E8B"/>
    <w:rsid w:val="004B0251"/>
    <w:rsid w:val="004B0B0F"/>
    <w:rsid w:val="004B1771"/>
    <w:rsid w:val="004B19F2"/>
    <w:rsid w:val="004B2082"/>
    <w:rsid w:val="004B253F"/>
    <w:rsid w:val="004B304A"/>
    <w:rsid w:val="004B32DB"/>
    <w:rsid w:val="004B448A"/>
    <w:rsid w:val="004C10EF"/>
    <w:rsid w:val="004C1BD0"/>
    <w:rsid w:val="004C1C11"/>
    <w:rsid w:val="004C293B"/>
    <w:rsid w:val="004C356D"/>
    <w:rsid w:val="004C6D36"/>
    <w:rsid w:val="004C7463"/>
    <w:rsid w:val="004D2611"/>
    <w:rsid w:val="004D30AD"/>
    <w:rsid w:val="004D36B5"/>
    <w:rsid w:val="004D4324"/>
    <w:rsid w:val="004D46C0"/>
    <w:rsid w:val="004D623B"/>
    <w:rsid w:val="004D760F"/>
    <w:rsid w:val="004E326D"/>
    <w:rsid w:val="004E4033"/>
    <w:rsid w:val="004E4B69"/>
    <w:rsid w:val="004E6808"/>
    <w:rsid w:val="004E6DE3"/>
    <w:rsid w:val="004F1C9D"/>
    <w:rsid w:val="004F6042"/>
    <w:rsid w:val="004F61CB"/>
    <w:rsid w:val="004F7BE8"/>
    <w:rsid w:val="005005C5"/>
    <w:rsid w:val="0050108D"/>
    <w:rsid w:val="005016AF"/>
    <w:rsid w:val="0050176A"/>
    <w:rsid w:val="00504384"/>
    <w:rsid w:val="005076AF"/>
    <w:rsid w:val="005169CC"/>
    <w:rsid w:val="0052159C"/>
    <w:rsid w:val="00521AAE"/>
    <w:rsid w:val="00522F9E"/>
    <w:rsid w:val="005247CA"/>
    <w:rsid w:val="00525379"/>
    <w:rsid w:val="0052599F"/>
    <w:rsid w:val="00527FB2"/>
    <w:rsid w:val="0053060A"/>
    <w:rsid w:val="00530D2C"/>
    <w:rsid w:val="00530EF3"/>
    <w:rsid w:val="00530F9F"/>
    <w:rsid w:val="0053158F"/>
    <w:rsid w:val="00531C4A"/>
    <w:rsid w:val="00532BEB"/>
    <w:rsid w:val="005351C6"/>
    <w:rsid w:val="00545596"/>
    <w:rsid w:val="00545A1C"/>
    <w:rsid w:val="0055120B"/>
    <w:rsid w:val="00551461"/>
    <w:rsid w:val="005534DE"/>
    <w:rsid w:val="00553D3A"/>
    <w:rsid w:val="005554DD"/>
    <w:rsid w:val="00557654"/>
    <w:rsid w:val="00560669"/>
    <w:rsid w:val="0056096F"/>
    <w:rsid w:val="00562534"/>
    <w:rsid w:val="00562D4D"/>
    <w:rsid w:val="00562DB2"/>
    <w:rsid w:val="00564555"/>
    <w:rsid w:val="0057067F"/>
    <w:rsid w:val="005717EA"/>
    <w:rsid w:val="00572161"/>
    <w:rsid w:val="0057240A"/>
    <w:rsid w:val="00572E19"/>
    <w:rsid w:val="00575FF3"/>
    <w:rsid w:val="00576134"/>
    <w:rsid w:val="00576246"/>
    <w:rsid w:val="005771DF"/>
    <w:rsid w:val="0057769D"/>
    <w:rsid w:val="0058045E"/>
    <w:rsid w:val="005818A0"/>
    <w:rsid w:val="00586877"/>
    <w:rsid w:val="00587A3E"/>
    <w:rsid w:val="00594204"/>
    <w:rsid w:val="0059545A"/>
    <w:rsid w:val="00595C91"/>
    <w:rsid w:val="005960DE"/>
    <w:rsid w:val="00597114"/>
    <w:rsid w:val="005A22E8"/>
    <w:rsid w:val="005A6F27"/>
    <w:rsid w:val="005B2A4E"/>
    <w:rsid w:val="005B3968"/>
    <w:rsid w:val="005B4E9A"/>
    <w:rsid w:val="005B5F24"/>
    <w:rsid w:val="005B60AB"/>
    <w:rsid w:val="005B68AA"/>
    <w:rsid w:val="005B735D"/>
    <w:rsid w:val="005C27E3"/>
    <w:rsid w:val="005C4903"/>
    <w:rsid w:val="005C637E"/>
    <w:rsid w:val="005D0FA5"/>
    <w:rsid w:val="005D5B2E"/>
    <w:rsid w:val="005D5BE3"/>
    <w:rsid w:val="005D60B6"/>
    <w:rsid w:val="005D6784"/>
    <w:rsid w:val="005D7C5E"/>
    <w:rsid w:val="005E1AF3"/>
    <w:rsid w:val="005E2585"/>
    <w:rsid w:val="005E6552"/>
    <w:rsid w:val="005E7432"/>
    <w:rsid w:val="005E7FCE"/>
    <w:rsid w:val="005F0B42"/>
    <w:rsid w:val="005F1CE2"/>
    <w:rsid w:val="005F1D00"/>
    <w:rsid w:val="005F35E5"/>
    <w:rsid w:val="005F781E"/>
    <w:rsid w:val="005F7E41"/>
    <w:rsid w:val="00600E13"/>
    <w:rsid w:val="006060C0"/>
    <w:rsid w:val="00610079"/>
    <w:rsid w:val="00611423"/>
    <w:rsid w:val="00612ACD"/>
    <w:rsid w:val="0061619D"/>
    <w:rsid w:val="0062135F"/>
    <w:rsid w:val="00624531"/>
    <w:rsid w:val="00631F8A"/>
    <w:rsid w:val="00632E3F"/>
    <w:rsid w:val="0063705D"/>
    <w:rsid w:val="00641B39"/>
    <w:rsid w:val="00642A27"/>
    <w:rsid w:val="0064421C"/>
    <w:rsid w:val="00645C46"/>
    <w:rsid w:val="0064603B"/>
    <w:rsid w:val="00655DBA"/>
    <w:rsid w:val="00656CA3"/>
    <w:rsid w:val="00660DDC"/>
    <w:rsid w:val="006611D4"/>
    <w:rsid w:val="00661DC0"/>
    <w:rsid w:val="006634D7"/>
    <w:rsid w:val="0066492F"/>
    <w:rsid w:val="0067009F"/>
    <w:rsid w:val="00671283"/>
    <w:rsid w:val="00684D27"/>
    <w:rsid w:val="0068612A"/>
    <w:rsid w:val="00687058"/>
    <w:rsid w:val="006919A8"/>
    <w:rsid w:val="006976EE"/>
    <w:rsid w:val="00697FE4"/>
    <w:rsid w:val="006A2476"/>
    <w:rsid w:val="006A585A"/>
    <w:rsid w:val="006A61C7"/>
    <w:rsid w:val="006B0870"/>
    <w:rsid w:val="006B7F88"/>
    <w:rsid w:val="006C1516"/>
    <w:rsid w:val="006C180B"/>
    <w:rsid w:val="006D275B"/>
    <w:rsid w:val="006D2FFC"/>
    <w:rsid w:val="006D453A"/>
    <w:rsid w:val="006E090D"/>
    <w:rsid w:val="006E27AD"/>
    <w:rsid w:val="006E32BA"/>
    <w:rsid w:val="006E5BEC"/>
    <w:rsid w:val="006F05EE"/>
    <w:rsid w:val="006F1036"/>
    <w:rsid w:val="006F214B"/>
    <w:rsid w:val="006F285D"/>
    <w:rsid w:val="006F35EE"/>
    <w:rsid w:val="006F4AEA"/>
    <w:rsid w:val="006F53DB"/>
    <w:rsid w:val="006F7B5A"/>
    <w:rsid w:val="00701C9C"/>
    <w:rsid w:val="00703C89"/>
    <w:rsid w:val="007079CB"/>
    <w:rsid w:val="00710318"/>
    <w:rsid w:val="00710CF8"/>
    <w:rsid w:val="00714374"/>
    <w:rsid w:val="007147ED"/>
    <w:rsid w:val="00714EC9"/>
    <w:rsid w:val="0071574D"/>
    <w:rsid w:val="00715CDD"/>
    <w:rsid w:val="00716253"/>
    <w:rsid w:val="00716C6F"/>
    <w:rsid w:val="00717033"/>
    <w:rsid w:val="00721823"/>
    <w:rsid w:val="00724731"/>
    <w:rsid w:val="00726B91"/>
    <w:rsid w:val="00727EB4"/>
    <w:rsid w:val="00732D43"/>
    <w:rsid w:val="00736D85"/>
    <w:rsid w:val="0073750B"/>
    <w:rsid w:val="007376B3"/>
    <w:rsid w:val="00737E94"/>
    <w:rsid w:val="007414F1"/>
    <w:rsid w:val="00745735"/>
    <w:rsid w:val="007464CC"/>
    <w:rsid w:val="00746A5C"/>
    <w:rsid w:val="007478AE"/>
    <w:rsid w:val="00753F83"/>
    <w:rsid w:val="007544C8"/>
    <w:rsid w:val="007558F3"/>
    <w:rsid w:val="00757036"/>
    <w:rsid w:val="007571AD"/>
    <w:rsid w:val="007576B0"/>
    <w:rsid w:val="00760BEA"/>
    <w:rsid w:val="00764120"/>
    <w:rsid w:val="00771DED"/>
    <w:rsid w:val="0077264D"/>
    <w:rsid w:val="00772A7E"/>
    <w:rsid w:val="00774C29"/>
    <w:rsid w:val="00774E7D"/>
    <w:rsid w:val="00776A5F"/>
    <w:rsid w:val="007770A0"/>
    <w:rsid w:val="00780730"/>
    <w:rsid w:val="007807B5"/>
    <w:rsid w:val="00784055"/>
    <w:rsid w:val="00784A89"/>
    <w:rsid w:val="007863AB"/>
    <w:rsid w:val="00787740"/>
    <w:rsid w:val="0079124E"/>
    <w:rsid w:val="00791E38"/>
    <w:rsid w:val="007931A4"/>
    <w:rsid w:val="00793F2F"/>
    <w:rsid w:val="0079678A"/>
    <w:rsid w:val="007A24E2"/>
    <w:rsid w:val="007B0A1E"/>
    <w:rsid w:val="007B17F6"/>
    <w:rsid w:val="007B3A89"/>
    <w:rsid w:val="007B722C"/>
    <w:rsid w:val="007B7C14"/>
    <w:rsid w:val="007C11D4"/>
    <w:rsid w:val="007C139A"/>
    <w:rsid w:val="007C2307"/>
    <w:rsid w:val="007C4B2D"/>
    <w:rsid w:val="007C53D9"/>
    <w:rsid w:val="007C7F26"/>
    <w:rsid w:val="007D1C00"/>
    <w:rsid w:val="007D4601"/>
    <w:rsid w:val="007D6339"/>
    <w:rsid w:val="007D783C"/>
    <w:rsid w:val="007E1869"/>
    <w:rsid w:val="007E2647"/>
    <w:rsid w:val="007E388D"/>
    <w:rsid w:val="007E530D"/>
    <w:rsid w:val="007E5CE4"/>
    <w:rsid w:val="007E5E68"/>
    <w:rsid w:val="007E6EC7"/>
    <w:rsid w:val="007E71A8"/>
    <w:rsid w:val="007E7566"/>
    <w:rsid w:val="007F2767"/>
    <w:rsid w:val="008002A7"/>
    <w:rsid w:val="008017DC"/>
    <w:rsid w:val="00802199"/>
    <w:rsid w:val="008036BD"/>
    <w:rsid w:val="008060FB"/>
    <w:rsid w:val="00806827"/>
    <w:rsid w:val="008103FD"/>
    <w:rsid w:val="008112CD"/>
    <w:rsid w:val="00811A36"/>
    <w:rsid w:val="008137FC"/>
    <w:rsid w:val="00816269"/>
    <w:rsid w:val="00820D46"/>
    <w:rsid w:val="00822BB3"/>
    <w:rsid w:val="00825DC2"/>
    <w:rsid w:val="008269FB"/>
    <w:rsid w:val="00830923"/>
    <w:rsid w:val="008334E1"/>
    <w:rsid w:val="0083454C"/>
    <w:rsid w:val="00834B71"/>
    <w:rsid w:val="00836DD4"/>
    <w:rsid w:val="0083712F"/>
    <w:rsid w:val="00837625"/>
    <w:rsid w:val="00844E2B"/>
    <w:rsid w:val="008455A5"/>
    <w:rsid w:val="00846B7F"/>
    <w:rsid w:val="008470C6"/>
    <w:rsid w:val="00850837"/>
    <w:rsid w:val="008542CC"/>
    <w:rsid w:val="00855728"/>
    <w:rsid w:val="0085660A"/>
    <w:rsid w:val="00856F57"/>
    <w:rsid w:val="0085750E"/>
    <w:rsid w:val="00857714"/>
    <w:rsid w:val="00857DAD"/>
    <w:rsid w:val="00861AD5"/>
    <w:rsid w:val="00863A5C"/>
    <w:rsid w:val="0086445C"/>
    <w:rsid w:val="00864BEC"/>
    <w:rsid w:val="00865330"/>
    <w:rsid w:val="008668C1"/>
    <w:rsid w:val="00866D30"/>
    <w:rsid w:val="008670F7"/>
    <w:rsid w:val="00867CD8"/>
    <w:rsid w:val="00872158"/>
    <w:rsid w:val="00873C27"/>
    <w:rsid w:val="00876511"/>
    <w:rsid w:val="00877B6F"/>
    <w:rsid w:val="00883C04"/>
    <w:rsid w:val="008843F7"/>
    <w:rsid w:val="00885C97"/>
    <w:rsid w:val="0089484C"/>
    <w:rsid w:val="00896130"/>
    <w:rsid w:val="00897CB1"/>
    <w:rsid w:val="00897ECE"/>
    <w:rsid w:val="008A08D7"/>
    <w:rsid w:val="008A3DC4"/>
    <w:rsid w:val="008A3EFD"/>
    <w:rsid w:val="008A54B9"/>
    <w:rsid w:val="008A6591"/>
    <w:rsid w:val="008B6C36"/>
    <w:rsid w:val="008B7B87"/>
    <w:rsid w:val="008C14FF"/>
    <w:rsid w:val="008C16C7"/>
    <w:rsid w:val="008C2F7F"/>
    <w:rsid w:val="008C57FF"/>
    <w:rsid w:val="008C6E5D"/>
    <w:rsid w:val="008C712B"/>
    <w:rsid w:val="008C7133"/>
    <w:rsid w:val="008C7205"/>
    <w:rsid w:val="008C7A43"/>
    <w:rsid w:val="008D193E"/>
    <w:rsid w:val="008D47D1"/>
    <w:rsid w:val="008D4AEF"/>
    <w:rsid w:val="008D6748"/>
    <w:rsid w:val="008E0ADE"/>
    <w:rsid w:val="008E4FC4"/>
    <w:rsid w:val="008E5F30"/>
    <w:rsid w:val="008F0B17"/>
    <w:rsid w:val="008F22CF"/>
    <w:rsid w:val="008F2426"/>
    <w:rsid w:val="008F2B92"/>
    <w:rsid w:val="008F2C3B"/>
    <w:rsid w:val="008F311D"/>
    <w:rsid w:val="008F5610"/>
    <w:rsid w:val="008F6D04"/>
    <w:rsid w:val="008F7049"/>
    <w:rsid w:val="008F77E7"/>
    <w:rsid w:val="00902488"/>
    <w:rsid w:val="00902CEB"/>
    <w:rsid w:val="009063A7"/>
    <w:rsid w:val="00906890"/>
    <w:rsid w:val="00911D1F"/>
    <w:rsid w:val="0091539E"/>
    <w:rsid w:val="0091561E"/>
    <w:rsid w:val="009171BF"/>
    <w:rsid w:val="009179A3"/>
    <w:rsid w:val="009215F6"/>
    <w:rsid w:val="00922A5E"/>
    <w:rsid w:val="00923484"/>
    <w:rsid w:val="009248C0"/>
    <w:rsid w:val="0092675E"/>
    <w:rsid w:val="00927AAE"/>
    <w:rsid w:val="00927B5A"/>
    <w:rsid w:val="00932AF4"/>
    <w:rsid w:val="0094271B"/>
    <w:rsid w:val="00942AB6"/>
    <w:rsid w:val="00942E85"/>
    <w:rsid w:val="009442D0"/>
    <w:rsid w:val="0094685C"/>
    <w:rsid w:val="00950F23"/>
    <w:rsid w:val="00951972"/>
    <w:rsid w:val="0095445C"/>
    <w:rsid w:val="0095492C"/>
    <w:rsid w:val="0095737F"/>
    <w:rsid w:val="00957728"/>
    <w:rsid w:val="00961A50"/>
    <w:rsid w:val="009628E6"/>
    <w:rsid w:val="00963CB3"/>
    <w:rsid w:val="0096400F"/>
    <w:rsid w:val="009646E9"/>
    <w:rsid w:val="00965D42"/>
    <w:rsid w:val="00966713"/>
    <w:rsid w:val="009668EA"/>
    <w:rsid w:val="00966A75"/>
    <w:rsid w:val="00966CDC"/>
    <w:rsid w:val="009674D8"/>
    <w:rsid w:val="0097665B"/>
    <w:rsid w:val="00980565"/>
    <w:rsid w:val="009814F5"/>
    <w:rsid w:val="00982FC9"/>
    <w:rsid w:val="00982FDC"/>
    <w:rsid w:val="00986976"/>
    <w:rsid w:val="00987051"/>
    <w:rsid w:val="00992028"/>
    <w:rsid w:val="00992635"/>
    <w:rsid w:val="00994D91"/>
    <w:rsid w:val="009A253A"/>
    <w:rsid w:val="009A36CD"/>
    <w:rsid w:val="009A3789"/>
    <w:rsid w:val="009A4811"/>
    <w:rsid w:val="009A569A"/>
    <w:rsid w:val="009A6115"/>
    <w:rsid w:val="009A6271"/>
    <w:rsid w:val="009A739F"/>
    <w:rsid w:val="009B1570"/>
    <w:rsid w:val="009B263E"/>
    <w:rsid w:val="009B369E"/>
    <w:rsid w:val="009B74D2"/>
    <w:rsid w:val="009B78C7"/>
    <w:rsid w:val="009C2612"/>
    <w:rsid w:val="009C3DFC"/>
    <w:rsid w:val="009C4A53"/>
    <w:rsid w:val="009D0ECB"/>
    <w:rsid w:val="009D352B"/>
    <w:rsid w:val="009D48C4"/>
    <w:rsid w:val="009D4EAF"/>
    <w:rsid w:val="009E0512"/>
    <w:rsid w:val="009E20C5"/>
    <w:rsid w:val="009E23AB"/>
    <w:rsid w:val="009E368C"/>
    <w:rsid w:val="009E5A09"/>
    <w:rsid w:val="009E78C4"/>
    <w:rsid w:val="009F08C2"/>
    <w:rsid w:val="009F12C8"/>
    <w:rsid w:val="009F165C"/>
    <w:rsid w:val="009F2CB0"/>
    <w:rsid w:val="009F2F1A"/>
    <w:rsid w:val="009F5DEA"/>
    <w:rsid w:val="009F6498"/>
    <w:rsid w:val="009F73E1"/>
    <w:rsid w:val="00A00CB2"/>
    <w:rsid w:val="00A01423"/>
    <w:rsid w:val="00A052EC"/>
    <w:rsid w:val="00A06E99"/>
    <w:rsid w:val="00A078BF"/>
    <w:rsid w:val="00A07E71"/>
    <w:rsid w:val="00A10C74"/>
    <w:rsid w:val="00A163D6"/>
    <w:rsid w:val="00A16B8E"/>
    <w:rsid w:val="00A25096"/>
    <w:rsid w:val="00A25950"/>
    <w:rsid w:val="00A339B7"/>
    <w:rsid w:val="00A34D97"/>
    <w:rsid w:val="00A3547A"/>
    <w:rsid w:val="00A374B1"/>
    <w:rsid w:val="00A401D9"/>
    <w:rsid w:val="00A411EF"/>
    <w:rsid w:val="00A43691"/>
    <w:rsid w:val="00A454EA"/>
    <w:rsid w:val="00A45F59"/>
    <w:rsid w:val="00A471B2"/>
    <w:rsid w:val="00A500CE"/>
    <w:rsid w:val="00A5222B"/>
    <w:rsid w:val="00A523FF"/>
    <w:rsid w:val="00A533C4"/>
    <w:rsid w:val="00A54D51"/>
    <w:rsid w:val="00A55B41"/>
    <w:rsid w:val="00A563D6"/>
    <w:rsid w:val="00A60A17"/>
    <w:rsid w:val="00A639A3"/>
    <w:rsid w:val="00A645FF"/>
    <w:rsid w:val="00A710D1"/>
    <w:rsid w:val="00A71242"/>
    <w:rsid w:val="00A71DE9"/>
    <w:rsid w:val="00A754B8"/>
    <w:rsid w:val="00A75739"/>
    <w:rsid w:val="00A76AD3"/>
    <w:rsid w:val="00A77078"/>
    <w:rsid w:val="00A7714A"/>
    <w:rsid w:val="00A8378C"/>
    <w:rsid w:val="00A8490F"/>
    <w:rsid w:val="00A90DDE"/>
    <w:rsid w:val="00A917B3"/>
    <w:rsid w:val="00A94D5B"/>
    <w:rsid w:val="00A958C4"/>
    <w:rsid w:val="00A9625F"/>
    <w:rsid w:val="00AA0523"/>
    <w:rsid w:val="00AA2B9F"/>
    <w:rsid w:val="00AB4B51"/>
    <w:rsid w:val="00AB4B78"/>
    <w:rsid w:val="00AB4EB2"/>
    <w:rsid w:val="00AB5628"/>
    <w:rsid w:val="00AB611B"/>
    <w:rsid w:val="00AB7486"/>
    <w:rsid w:val="00AB7BC5"/>
    <w:rsid w:val="00AC0EBA"/>
    <w:rsid w:val="00AC0F1F"/>
    <w:rsid w:val="00AC3C8C"/>
    <w:rsid w:val="00AC4DF7"/>
    <w:rsid w:val="00AC58DC"/>
    <w:rsid w:val="00AC6060"/>
    <w:rsid w:val="00AC7128"/>
    <w:rsid w:val="00AD0161"/>
    <w:rsid w:val="00AD2E9E"/>
    <w:rsid w:val="00AD6E09"/>
    <w:rsid w:val="00AD7E28"/>
    <w:rsid w:val="00AE6D99"/>
    <w:rsid w:val="00AE731B"/>
    <w:rsid w:val="00AF0918"/>
    <w:rsid w:val="00AF1BE1"/>
    <w:rsid w:val="00AF3BEA"/>
    <w:rsid w:val="00AF53E8"/>
    <w:rsid w:val="00AF6D85"/>
    <w:rsid w:val="00AF7F60"/>
    <w:rsid w:val="00B002A9"/>
    <w:rsid w:val="00B01BEB"/>
    <w:rsid w:val="00B04A5B"/>
    <w:rsid w:val="00B05775"/>
    <w:rsid w:val="00B10C18"/>
    <w:rsid w:val="00B10CC7"/>
    <w:rsid w:val="00B136BC"/>
    <w:rsid w:val="00B20FA6"/>
    <w:rsid w:val="00B21390"/>
    <w:rsid w:val="00B22B31"/>
    <w:rsid w:val="00B24B0B"/>
    <w:rsid w:val="00B25FC3"/>
    <w:rsid w:val="00B27762"/>
    <w:rsid w:val="00B32487"/>
    <w:rsid w:val="00B32B2F"/>
    <w:rsid w:val="00B435EE"/>
    <w:rsid w:val="00B452D2"/>
    <w:rsid w:val="00B47397"/>
    <w:rsid w:val="00B47C4D"/>
    <w:rsid w:val="00B53886"/>
    <w:rsid w:val="00B538B9"/>
    <w:rsid w:val="00B54679"/>
    <w:rsid w:val="00B54E96"/>
    <w:rsid w:val="00B57538"/>
    <w:rsid w:val="00B60EF9"/>
    <w:rsid w:val="00B62458"/>
    <w:rsid w:val="00B63219"/>
    <w:rsid w:val="00B6350A"/>
    <w:rsid w:val="00B63889"/>
    <w:rsid w:val="00B638D6"/>
    <w:rsid w:val="00B646A1"/>
    <w:rsid w:val="00B70605"/>
    <w:rsid w:val="00B72442"/>
    <w:rsid w:val="00B7293E"/>
    <w:rsid w:val="00B73892"/>
    <w:rsid w:val="00B75EDF"/>
    <w:rsid w:val="00B771DD"/>
    <w:rsid w:val="00B80B35"/>
    <w:rsid w:val="00B87FE8"/>
    <w:rsid w:val="00B91740"/>
    <w:rsid w:val="00B92655"/>
    <w:rsid w:val="00B93741"/>
    <w:rsid w:val="00B93DF7"/>
    <w:rsid w:val="00B948DD"/>
    <w:rsid w:val="00B94A81"/>
    <w:rsid w:val="00B969BB"/>
    <w:rsid w:val="00BA05A5"/>
    <w:rsid w:val="00BA0632"/>
    <w:rsid w:val="00BA1D60"/>
    <w:rsid w:val="00BA1F07"/>
    <w:rsid w:val="00BA66CB"/>
    <w:rsid w:val="00BA7759"/>
    <w:rsid w:val="00BA7AE4"/>
    <w:rsid w:val="00BB0901"/>
    <w:rsid w:val="00BB7F37"/>
    <w:rsid w:val="00BC161C"/>
    <w:rsid w:val="00BC1660"/>
    <w:rsid w:val="00BC27B1"/>
    <w:rsid w:val="00BC6BD2"/>
    <w:rsid w:val="00BD33EE"/>
    <w:rsid w:val="00BD37F6"/>
    <w:rsid w:val="00BD40DD"/>
    <w:rsid w:val="00BD51A3"/>
    <w:rsid w:val="00BD7094"/>
    <w:rsid w:val="00BE2E88"/>
    <w:rsid w:val="00BE31EF"/>
    <w:rsid w:val="00BE4626"/>
    <w:rsid w:val="00BE67F4"/>
    <w:rsid w:val="00BE69F4"/>
    <w:rsid w:val="00BE6A1F"/>
    <w:rsid w:val="00BF2D64"/>
    <w:rsid w:val="00BF32A1"/>
    <w:rsid w:val="00BF6CA9"/>
    <w:rsid w:val="00BF7641"/>
    <w:rsid w:val="00C00328"/>
    <w:rsid w:val="00C0060A"/>
    <w:rsid w:val="00C00D49"/>
    <w:rsid w:val="00C03667"/>
    <w:rsid w:val="00C05D18"/>
    <w:rsid w:val="00C077AE"/>
    <w:rsid w:val="00C11FD7"/>
    <w:rsid w:val="00C1378F"/>
    <w:rsid w:val="00C21C1F"/>
    <w:rsid w:val="00C227CB"/>
    <w:rsid w:val="00C23135"/>
    <w:rsid w:val="00C23DA4"/>
    <w:rsid w:val="00C24545"/>
    <w:rsid w:val="00C30322"/>
    <w:rsid w:val="00C31111"/>
    <w:rsid w:val="00C3138D"/>
    <w:rsid w:val="00C33245"/>
    <w:rsid w:val="00C3430F"/>
    <w:rsid w:val="00C36B94"/>
    <w:rsid w:val="00C377E3"/>
    <w:rsid w:val="00C40D9B"/>
    <w:rsid w:val="00C43052"/>
    <w:rsid w:val="00C5107A"/>
    <w:rsid w:val="00C53120"/>
    <w:rsid w:val="00C56703"/>
    <w:rsid w:val="00C57548"/>
    <w:rsid w:val="00C60F0C"/>
    <w:rsid w:val="00C60F8F"/>
    <w:rsid w:val="00C638A5"/>
    <w:rsid w:val="00C64D07"/>
    <w:rsid w:val="00C66C11"/>
    <w:rsid w:val="00C7166C"/>
    <w:rsid w:val="00C72171"/>
    <w:rsid w:val="00C72A8E"/>
    <w:rsid w:val="00C749A3"/>
    <w:rsid w:val="00C75551"/>
    <w:rsid w:val="00C805C9"/>
    <w:rsid w:val="00C861AB"/>
    <w:rsid w:val="00C866DE"/>
    <w:rsid w:val="00C90203"/>
    <w:rsid w:val="00C91246"/>
    <w:rsid w:val="00C9152E"/>
    <w:rsid w:val="00C92AE1"/>
    <w:rsid w:val="00C9478F"/>
    <w:rsid w:val="00C94D66"/>
    <w:rsid w:val="00C95092"/>
    <w:rsid w:val="00C96177"/>
    <w:rsid w:val="00C96548"/>
    <w:rsid w:val="00C97FF3"/>
    <w:rsid w:val="00CA1679"/>
    <w:rsid w:val="00CA3100"/>
    <w:rsid w:val="00CB142B"/>
    <w:rsid w:val="00CB42C8"/>
    <w:rsid w:val="00CB5AB5"/>
    <w:rsid w:val="00CB766F"/>
    <w:rsid w:val="00CB7B84"/>
    <w:rsid w:val="00CC0B33"/>
    <w:rsid w:val="00CC2608"/>
    <w:rsid w:val="00CC2A26"/>
    <w:rsid w:val="00CC4BCF"/>
    <w:rsid w:val="00CC7F08"/>
    <w:rsid w:val="00CD0D14"/>
    <w:rsid w:val="00CD189A"/>
    <w:rsid w:val="00CD4E0E"/>
    <w:rsid w:val="00CE286B"/>
    <w:rsid w:val="00CE34F5"/>
    <w:rsid w:val="00CF3241"/>
    <w:rsid w:val="00CF6266"/>
    <w:rsid w:val="00CF7602"/>
    <w:rsid w:val="00D0156F"/>
    <w:rsid w:val="00D02BF8"/>
    <w:rsid w:val="00D05702"/>
    <w:rsid w:val="00D05932"/>
    <w:rsid w:val="00D06AA5"/>
    <w:rsid w:val="00D06FD1"/>
    <w:rsid w:val="00D10281"/>
    <w:rsid w:val="00D10872"/>
    <w:rsid w:val="00D111AD"/>
    <w:rsid w:val="00D157D1"/>
    <w:rsid w:val="00D20551"/>
    <w:rsid w:val="00D23D08"/>
    <w:rsid w:val="00D262A1"/>
    <w:rsid w:val="00D30A34"/>
    <w:rsid w:val="00D346A0"/>
    <w:rsid w:val="00D348EB"/>
    <w:rsid w:val="00D3519A"/>
    <w:rsid w:val="00D37A9C"/>
    <w:rsid w:val="00D41FF1"/>
    <w:rsid w:val="00D42075"/>
    <w:rsid w:val="00D4224D"/>
    <w:rsid w:val="00D4264A"/>
    <w:rsid w:val="00D4461C"/>
    <w:rsid w:val="00D46833"/>
    <w:rsid w:val="00D57728"/>
    <w:rsid w:val="00D60C0E"/>
    <w:rsid w:val="00D64060"/>
    <w:rsid w:val="00D645F4"/>
    <w:rsid w:val="00D7003F"/>
    <w:rsid w:val="00D7010B"/>
    <w:rsid w:val="00D70140"/>
    <w:rsid w:val="00D72F4E"/>
    <w:rsid w:val="00D738F9"/>
    <w:rsid w:val="00D759B3"/>
    <w:rsid w:val="00D764C8"/>
    <w:rsid w:val="00D779CC"/>
    <w:rsid w:val="00D825ED"/>
    <w:rsid w:val="00D83AE0"/>
    <w:rsid w:val="00D83B6B"/>
    <w:rsid w:val="00D8459B"/>
    <w:rsid w:val="00D87E04"/>
    <w:rsid w:val="00D90138"/>
    <w:rsid w:val="00D91F19"/>
    <w:rsid w:val="00D93910"/>
    <w:rsid w:val="00D95B80"/>
    <w:rsid w:val="00D9678B"/>
    <w:rsid w:val="00D96A2C"/>
    <w:rsid w:val="00D97076"/>
    <w:rsid w:val="00D974AE"/>
    <w:rsid w:val="00DA1A5C"/>
    <w:rsid w:val="00DA250C"/>
    <w:rsid w:val="00DA2524"/>
    <w:rsid w:val="00DA4B43"/>
    <w:rsid w:val="00DA56DE"/>
    <w:rsid w:val="00DA5D03"/>
    <w:rsid w:val="00DB225D"/>
    <w:rsid w:val="00DB27E1"/>
    <w:rsid w:val="00DB4CC1"/>
    <w:rsid w:val="00DB562B"/>
    <w:rsid w:val="00DB6D30"/>
    <w:rsid w:val="00DC31CB"/>
    <w:rsid w:val="00DC57C4"/>
    <w:rsid w:val="00DC5ED7"/>
    <w:rsid w:val="00DC6544"/>
    <w:rsid w:val="00DD07EB"/>
    <w:rsid w:val="00DD3654"/>
    <w:rsid w:val="00DD7A8A"/>
    <w:rsid w:val="00DE0238"/>
    <w:rsid w:val="00DE061C"/>
    <w:rsid w:val="00DE27BA"/>
    <w:rsid w:val="00DE3843"/>
    <w:rsid w:val="00DE44B1"/>
    <w:rsid w:val="00DE71BC"/>
    <w:rsid w:val="00DF5024"/>
    <w:rsid w:val="00DF5878"/>
    <w:rsid w:val="00E0077A"/>
    <w:rsid w:val="00E01EB1"/>
    <w:rsid w:val="00E024D0"/>
    <w:rsid w:val="00E0294E"/>
    <w:rsid w:val="00E03111"/>
    <w:rsid w:val="00E041EF"/>
    <w:rsid w:val="00E04A42"/>
    <w:rsid w:val="00E04F38"/>
    <w:rsid w:val="00E06888"/>
    <w:rsid w:val="00E13D28"/>
    <w:rsid w:val="00E17A92"/>
    <w:rsid w:val="00E21FBE"/>
    <w:rsid w:val="00E227EE"/>
    <w:rsid w:val="00E2298B"/>
    <w:rsid w:val="00E22F27"/>
    <w:rsid w:val="00E311A5"/>
    <w:rsid w:val="00E32A18"/>
    <w:rsid w:val="00E32FCF"/>
    <w:rsid w:val="00E3587C"/>
    <w:rsid w:val="00E372F0"/>
    <w:rsid w:val="00E372F3"/>
    <w:rsid w:val="00E3734F"/>
    <w:rsid w:val="00E44C17"/>
    <w:rsid w:val="00E461AA"/>
    <w:rsid w:val="00E54A99"/>
    <w:rsid w:val="00E55881"/>
    <w:rsid w:val="00E577B3"/>
    <w:rsid w:val="00E604C3"/>
    <w:rsid w:val="00E61DEF"/>
    <w:rsid w:val="00E62F8C"/>
    <w:rsid w:val="00E64C0F"/>
    <w:rsid w:val="00E65A0E"/>
    <w:rsid w:val="00E66020"/>
    <w:rsid w:val="00E67B3F"/>
    <w:rsid w:val="00E717AC"/>
    <w:rsid w:val="00E71BD1"/>
    <w:rsid w:val="00E72E67"/>
    <w:rsid w:val="00E73F76"/>
    <w:rsid w:val="00E742EE"/>
    <w:rsid w:val="00E767A6"/>
    <w:rsid w:val="00E76892"/>
    <w:rsid w:val="00E77F49"/>
    <w:rsid w:val="00E8423C"/>
    <w:rsid w:val="00E8732A"/>
    <w:rsid w:val="00E87E33"/>
    <w:rsid w:val="00E9212F"/>
    <w:rsid w:val="00E933A0"/>
    <w:rsid w:val="00E93616"/>
    <w:rsid w:val="00E968EC"/>
    <w:rsid w:val="00E97F9A"/>
    <w:rsid w:val="00EA0F66"/>
    <w:rsid w:val="00EA1F03"/>
    <w:rsid w:val="00EA245C"/>
    <w:rsid w:val="00EA2596"/>
    <w:rsid w:val="00EA2611"/>
    <w:rsid w:val="00EA5264"/>
    <w:rsid w:val="00EA70E3"/>
    <w:rsid w:val="00EA7FE8"/>
    <w:rsid w:val="00EB1913"/>
    <w:rsid w:val="00EB535A"/>
    <w:rsid w:val="00EB7648"/>
    <w:rsid w:val="00EC3D18"/>
    <w:rsid w:val="00EC7221"/>
    <w:rsid w:val="00EC73F9"/>
    <w:rsid w:val="00ED2D5F"/>
    <w:rsid w:val="00ED30CE"/>
    <w:rsid w:val="00ED72AE"/>
    <w:rsid w:val="00EE3ADB"/>
    <w:rsid w:val="00EE65CA"/>
    <w:rsid w:val="00EF085F"/>
    <w:rsid w:val="00EF0AF2"/>
    <w:rsid w:val="00EF10D5"/>
    <w:rsid w:val="00EF1360"/>
    <w:rsid w:val="00EF3220"/>
    <w:rsid w:val="00EF799C"/>
    <w:rsid w:val="00F0172A"/>
    <w:rsid w:val="00F05D19"/>
    <w:rsid w:val="00F073AA"/>
    <w:rsid w:val="00F1274B"/>
    <w:rsid w:val="00F13DCD"/>
    <w:rsid w:val="00F2073B"/>
    <w:rsid w:val="00F25E69"/>
    <w:rsid w:val="00F26194"/>
    <w:rsid w:val="00F2724F"/>
    <w:rsid w:val="00F312D3"/>
    <w:rsid w:val="00F31CFB"/>
    <w:rsid w:val="00F32CD2"/>
    <w:rsid w:val="00F331BA"/>
    <w:rsid w:val="00F33585"/>
    <w:rsid w:val="00F335CA"/>
    <w:rsid w:val="00F3494F"/>
    <w:rsid w:val="00F3524F"/>
    <w:rsid w:val="00F354F7"/>
    <w:rsid w:val="00F415F2"/>
    <w:rsid w:val="00F442A0"/>
    <w:rsid w:val="00F535E4"/>
    <w:rsid w:val="00F5384A"/>
    <w:rsid w:val="00F546C4"/>
    <w:rsid w:val="00F5495D"/>
    <w:rsid w:val="00F56A93"/>
    <w:rsid w:val="00F60419"/>
    <w:rsid w:val="00F62EAB"/>
    <w:rsid w:val="00F66442"/>
    <w:rsid w:val="00F670B5"/>
    <w:rsid w:val="00F67D5D"/>
    <w:rsid w:val="00F67FF7"/>
    <w:rsid w:val="00F70DF7"/>
    <w:rsid w:val="00F7104B"/>
    <w:rsid w:val="00F71A5B"/>
    <w:rsid w:val="00F722ED"/>
    <w:rsid w:val="00F741B4"/>
    <w:rsid w:val="00F75984"/>
    <w:rsid w:val="00F807CE"/>
    <w:rsid w:val="00F8089D"/>
    <w:rsid w:val="00F81FB7"/>
    <w:rsid w:val="00F84DFA"/>
    <w:rsid w:val="00F85A9C"/>
    <w:rsid w:val="00F85C9B"/>
    <w:rsid w:val="00F90942"/>
    <w:rsid w:val="00F911C8"/>
    <w:rsid w:val="00F9245C"/>
    <w:rsid w:val="00F94882"/>
    <w:rsid w:val="00F95BC0"/>
    <w:rsid w:val="00FA0C5C"/>
    <w:rsid w:val="00FA3690"/>
    <w:rsid w:val="00FA4649"/>
    <w:rsid w:val="00FA63FD"/>
    <w:rsid w:val="00FA66EB"/>
    <w:rsid w:val="00FA72C2"/>
    <w:rsid w:val="00FA7A5D"/>
    <w:rsid w:val="00FB0871"/>
    <w:rsid w:val="00FB4D09"/>
    <w:rsid w:val="00FB65AD"/>
    <w:rsid w:val="00FB6CD8"/>
    <w:rsid w:val="00FB701D"/>
    <w:rsid w:val="00FB7ACF"/>
    <w:rsid w:val="00FC0482"/>
    <w:rsid w:val="00FC1AE7"/>
    <w:rsid w:val="00FC2B9C"/>
    <w:rsid w:val="00FC53C2"/>
    <w:rsid w:val="00FC6114"/>
    <w:rsid w:val="00FC6473"/>
    <w:rsid w:val="00FD03AC"/>
    <w:rsid w:val="00FD1CF7"/>
    <w:rsid w:val="00FD22E5"/>
    <w:rsid w:val="00FD2EF7"/>
    <w:rsid w:val="00FD3C04"/>
    <w:rsid w:val="00FD622B"/>
    <w:rsid w:val="00FE3D34"/>
    <w:rsid w:val="00FE5747"/>
    <w:rsid w:val="00FE5AB6"/>
    <w:rsid w:val="00FE7E9E"/>
    <w:rsid w:val="00FF071F"/>
    <w:rsid w:val="00FF091A"/>
    <w:rsid w:val="00FF0FFF"/>
    <w:rsid w:val="00FF1484"/>
    <w:rsid w:val="00FF19EA"/>
    <w:rsid w:val="00FF75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BC2E46"/>
  <w15:docId w15:val="{926C3456-CEC6-49ED-9728-8329F571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877"/>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58687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586877"/>
    <w:pPr>
      <w:keepNext/>
      <w:outlineLvl w:val="1"/>
    </w:pPr>
    <w:rPr>
      <w:rFonts w:cs="Arial"/>
      <w:bCs/>
      <w:iCs/>
      <w:szCs w:val="28"/>
    </w:rPr>
  </w:style>
  <w:style w:type="paragraph" w:styleId="Heading3">
    <w:name w:val="heading 3"/>
    <w:basedOn w:val="Normal"/>
    <w:next w:val="Normal"/>
    <w:semiHidden/>
    <w:rsid w:val="00586877"/>
    <w:pPr>
      <w:keepNext/>
      <w:spacing w:before="240" w:after="60"/>
      <w:outlineLvl w:val="2"/>
    </w:pPr>
    <w:rPr>
      <w:rFonts w:ascii="Arial" w:hAnsi="Arial" w:cs="Arial"/>
      <w:b/>
      <w:bCs/>
      <w:sz w:val="26"/>
      <w:szCs w:val="26"/>
    </w:rPr>
  </w:style>
  <w:style w:type="paragraph" w:styleId="Heading4">
    <w:name w:val="heading 4"/>
    <w:basedOn w:val="Normal"/>
    <w:next w:val="Normal"/>
    <w:semiHidden/>
    <w:rsid w:val="00586877"/>
    <w:pPr>
      <w:keepNext/>
      <w:spacing w:before="240" w:after="60"/>
      <w:outlineLvl w:val="3"/>
    </w:pPr>
    <w:rPr>
      <w:b/>
      <w:bCs/>
      <w:sz w:val="28"/>
      <w:szCs w:val="28"/>
    </w:rPr>
  </w:style>
  <w:style w:type="paragraph" w:styleId="Heading5">
    <w:name w:val="heading 5"/>
    <w:basedOn w:val="Normal"/>
    <w:next w:val="Normal"/>
    <w:semiHidden/>
    <w:rsid w:val="00586877"/>
    <w:pPr>
      <w:spacing w:before="240" w:after="60"/>
      <w:outlineLvl w:val="4"/>
    </w:pPr>
    <w:rPr>
      <w:b/>
      <w:bCs/>
      <w:i/>
      <w:iCs/>
      <w:sz w:val="26"/>
      <w:szCs w:val="26"/>
    </w:rPr>
  </w:style>
  <w:style w:type="paragraph" w:styleId="Heading6">
    <w:name w:val="heading 6"/>
    <w:basedOn w:val="Normal"/>
    <w:next w:val="Normal"/>
    <w:semiHidden/>
    <w:rsid w:val="00586877"/>
    <w:pPr>
      <w:spacing w:before="240" w:after="60"/>
      <w:outlineLvl w:val="5"/>
    </w:pPr>
    <w:rPr>
      <w:b/>
      <w:bCs/>
      <w:sz w:val="22"/>
      <w:szCs w:val="22"/>
    </w:rPr>
  </w:style>
  <w:style w:type="paragraph" w:styleId="Heading7">
    <w:name w:val="heading 7"/>
    <w:basedOn w:val="Normal"/>
    <w:next w:val="Normal"/>
    <w:semiHidden/>
    <w:rsid w:val="00586877"/>
    <w:pPr>
      <w:spacing w:before="240" w:after="60"/>
      <w:outlineLvl w:val="6"/>
    </w:pPr>
    <w:rPr>
      <w:sz w:val="24"/>
      <w:szCs w:val="24"/>
    </w:rPr>
  </w:style>
  <w:style w:type="paragraph" w:styleId="Heading8">
    <w:name w:val="heading 8"/>
    <w:basedOn w:val="Normal"/>
    <w:next w:val="Normal"/>
    <w:semiHidden/>
    <w:rsid w:val="00586877"/>
    <w:pPr>
      <w:spacing w:before="240" w:after="60"/>
      <w:outlineLvl w:val="7"/>
    </w:pPr>
    <w:rPr>
      <w:i/>
      <w:iCs/>
      <w:sz w:val="24"/>
      <w:szCs w:val="24"/>
    </w:rPr>
  </w:style>
  <w:style w:type="paragraph" w:styleId="Heading9">
    <w:name w:val="heading 9"/>
    <w:basedOn w:val="Normal"/>
    <w:next w:val="Normal"/>
    <w:semiHidden/>
    <w:rsid w:val="0058687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586877"/>
    <w:rPr>
      <w:rFonts w:ascii="Times New Roman" w:hAnsi="Times New Roman"/>
      <w:sz w:val="18"/>
      <w:vertAlign w:val="superscript"/>
    </w:rPr>
  </w:style>
  <w:style w:type="paragraph" w:customStyle="1" w:styleId="HMG">
    <w:name w:val="_ H __M_G"/>
    <w:basedOn w:val="Normal"/>
    <w:next w:val="Normal"/>
    <w:qFormat/>
    <w:rsid w:val="0058687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687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58687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58687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58687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586877"/>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586877"/>
    <w:pPr>
      <w:pBdr>
        <w:bottom w:val="single" w:sz="4" w:space="4" w:color="auto"/>
      </w:pBdr>
      <w:spacing w:line="240" w:lineRule="auto"/>
    </w:pPr>
    <w:rPr>
      <w:b/>
      <w:sz w:val="18"/>
    </w:rPr>
  </w:style>
  <w:style w:type="paragraph" w:customStyle="1" w:styleId="SingleTxtG">
    <w:name w:val="_ Single Txt_G"/>
    <w:basedOn w:val="Normal"/>
    <w:link w:val="SingleTxtGChar"/>
    <w:qFormat/>
    <w:rsid w:val="00586877"/>
    <w:pPr>
      <w:tabs>
        <w:tab w:val="left" w:pos="1701"/>
        <w:tab w:val="left" w:pos="2268"/>
        <w:tab w:val="left" w:pos="2835"/>
      </w:tabs>
      <w:spacing w:after="120"/>
      <w:ind w:left="1134" w:right="1134"/>
      <w:jc w:val="both"/>
    </w:pPr>
  </w:style>
  <w:style w:type="paragraph" w:customStyle="1" w:styleId="SMG">
    <w:name w:val="__S_M_G"/>
    <w:basedOn w:val="Normal"/>
    <w:next w:val="Normal"/>
    <w:rsid w:val="00586877"/>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86877"/>
    <w:pPr>
      <w:keepNext/>
      <w:keepLines/>
      <w:spacing w:before="240" w:after="240" w:line="580" w:lineRule="exact"/>
      <w:ind w:left="1134" w:right="1134"/>
    </w:pPr>
    <w:rPr>
      <w:b/>
      <w:sz w:val="56"/>
    </w:rPr>
  </w:style>
  <w:style w:type="paragraph" w:customStyle="1" w:styleId="SSG">
    <w:name w:val="__S_S_G"/>
    <w:basedOn w:val="Normal"/>
    <w:next w:val="Normal"/>
    <w:rsid w:val="00586877"/>
    <w:pPr>
      <w:keepNext/>
      <w:keepLines/>
      <w:spacing w:before="240" w:after="240" w:line="300" w:lineRule="exact"/>
      <w:ind w:left="1134" w:right="1134"/>
    </w:pPr>
    <w:rPr>
      <w:b/>
      <w:sz w:val="28"/>
    </w:rPr>
  </w:style>
  <w:style w:type="paragraph" w:styleId="Footer">
    <w:name w:val="footer"/>
    <w:aliases w:val="3_G"/>
    <w:basedOn w:val="Normal"/>
    <w:next w:val="Normal"/>
    <w:qFormat/>
    <w:rsid w:val="00586877"/>
    <w:rPr>
      <w:sz w:val="16"/>
    </w:rPr>
  </w:style>
  <w:style w:type="paragraph" w:customStyle="1" w:styleId="XLargeG">
    <w:name w:val="__XLarge_G"/>
    <w:basedOn w:val="Normal"/>
    <w:next w:val="Normal"/>
    <w:rsid w:val="00586877"/>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586877"/>
    <w:pPr>
      <w:tabs>
        <w:tab w:val="right" w:pos="1021"/>
      </w:tabs>
      <w:spacing w:line="220" w:lineRule="exact"/>
      <w:ind w:left="1134" w:right="1134" w:hanging="1134"/>
    </w:pPr>
    <w:rPr>
      <w:sz w:val="18"/>
    </w:rPr>
  </w:style>
  <w:style w:type="table" w:styleId="TableGrid">
    <w:name w:val="Table Grid"/>
    <w:basedOn w:val="TableNormal"/>
    <w:rsid w:val="00586877"/>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86877"/>
    <w:pPr>
      <w:numPr>
        <w:numId w:val="3"/>
      </w:numPr>
    </w:pPr>
  </w:style>
  <w:style w:type="numbering" w:styleId="1ai">
    <w:name w:val="Outline List 1"/>
    <w:basedOn w:val="NoList"/>
    <w:semiHidden/>
    <w:rsid w:val="00586877"/>
    <w:pPr>
      <w:numPr>
        <w:numId w:val="4"/>
      </w:numPr>
    </w:pPr>
  </w:style>
  <w:style w:type="character" w:styleId="HTMLAcronym">
    <w:name w:val="HTML Acronym"/>
    <w:basedOn w:val="DefaultParagraphFont"/>
    <w:semiHidden/>
    <w:rsid w:val="00586877"/>
  </w:style>
  <w:style w:type="numbering" w:styleId="ArticleSection">
    <w:name w:val="Outline List 3"/>
    <w:basedOn w:val="NoList"/>
    <w:semiHidden/>
    <w:rsid w:val="00586877"/>
    <w:pPr>
      <w:numPr>
        <w:numId w:val="5"/>
      </w:numPr>
    </w:pPr>
  </w:style>
  <w:style w:type="paragraph" w:styleId="Closing">
    <w:name w:val="Closing"/>
    <w:basedOn w:val="Normal"/>
    <w:semiHidden/>
    <w:rsid w:val="00586877"/>
    <w:pPr>
      <w:ind w:left="4252"/>
    </w:pPr>
  </w:style>
  <w:style w:type="character" w:styleId="HTMLCite">
    <w:name w:val="HTML Cite"/>
    <w:semiHidden/>
    <w:rsid w:val="00586877"/>
    <w:rPr>
      <w:i/>
      <w:iCs/>
    </w:rPr>
  </w:style>
  <w:style w:type="character" w:styleId="HTMLCode">
    <w:name w:val="HTML Code"/>
    <w:semiHidden/>
    <w:rsid w:val="00586877"/>
    <w:rPr>
      <w:rFonts w:ascii="Courier New" w:hAnsi="Courier New" w:cs="Courier New"/>
      <w:sz w:val="20"/>
      <w:szCs w:val="20"/>
    </w:rPr>
  </w:style>
  <w:style w:type="paragraph" w:styleId="ListContinue">
    <w:name w:val="List Continue"/>
    <w:basedOn w:val="Normal"/>
    <w:semiHidden/>
    <w:rsid w:val="00586877"/>
    <w:pPr>
      <w:spacing w:after="120"/>
      <w:ind w:left="283"/>
    </w:pPr>
  </w:style>
  <w:style w:type="paragraph" w:styleId="ListContinue2">
    <w:name w:val="List Continue 2"/>
    <w:basedOn w:val="Normal"/>
    <w:semiHidden/>
    <w:rsid w:val="00586877"/>
    <w:pPr>
      <w:spacing w:after="120"/>
      <w:ind w:left="566"/>
    </w:pPr>
  </w:style>
  <w:style w:type="paragraph" w:styleId="ListContinue3">
    <w:name w:val="List Continue 3"/>
    <w:basedOn w:val="Normal"/>
    <w:semiHidden/>
    <w:rsid w:val="00586877"/>
    <w:pPr>
      <w:spacing w:after="120"/>
      <w:ind w:left="849"/>
    </w:pPr>
  </w:style>
  <w:style w:type="paragraph" w:styleId="ListContinue4">
    <w:name w:val="List Continue 4"/>
    <w:basedOn w:val="Normal"/>
    <w:semiHidden/>
    <w:rsid w:val="00586877"/>
    <w:pPr>
      <w:spacing w:after="120"/>
      <w:ind w:left="1132"/>
    </w:pPr>
  </w:style>
  <w:style w:type="paragraph" w:styleId="ListContinue5">
    <w:name w:val="List Continue 5"/>
    <w:basedOn w:val="Normal"/>
    <w:semiHidden/>
    <w:rsid w:val="00586877"/>
    <w:pPr>
      <w:spacing w:after="120"/>
      <w:ind w:left="1415"/>
    </w:pPr>
  </w:style>
  <w:style w:type="character" w:styleId="HTMLDefinition">
    <w:name w:val="HTML Definition"/>
    <w:semiHidden/>
    <w:rsid w:val="00586877"/>
    <w:rPr>
      <w:i/>
      <w:iCs/>
    </w:rPr>
  </w:style>
  <w:style w:type="paragraph" w:styleId="HTMLAddress">
    <w:name w:val="HTML Address"/>
    <w:basedOn w:val="Normal"/>
    <w:semiHidden/>
    <w:rsid w:val="00586877"/>
    <w:rPr>
      <w:i/>
      <w:iCs/>
    </w:rPr>
  </w:style>
  <w:style w:type="paragraph" w:styleId="EnvelopeAddress">
    <w:name w:val="envelope address"/>
    <w:basedOn w:val="Normal"/>
    <w:semiHidden/>
    <w:rsid w:val="00586877"/>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86877"/>
    <w:rPr>
      <w:rFonts w:ascii="Courier New" w:hAnsi="Courier New" w:cs="Courier New"/>
    </w:rPr>
  </w:style>
  <w:style w:type="paragraph" w:styleId="MessageHeader">
    <w:name w:val="Message Header"/>
    <w:basedOn w:val="Normal"/>
    <w:semiHidden/>
    <w:rsid w:val="005868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86877"/>
  </w:style>
  <w:style w:type="character" w:styleId="Emphasis">
    <w:name w:val="Emphasis"/>
    <w:semiHidden/>
    <w:rsid w:val="00586877"/>
    <w:rPr>
      <w:i/>
      <w:iCs/>
    </w:rPr>
  </w:style>
  <w:style w:type="paragraph" w:styleId="Date">
    <w:name w:val="Date"/>
    <w:basedOn w:val="Normal"/>
    <w:next w:val="Normal"/>
    <w:semiHidden/>
    <w:rsid w:val="00586877"/>
  </w:style>
  <w:style w:type="paragraph" w:styleId="Signature">
    <w:name w:val="Signature"/>
    <w:basedOn w:val="Normal"/>
    <w:semiHidden/>
    <w:rsid w:val="00586877"/>
    <w:pPr>
      <w:ind w:left="4252"/>
    </w:pPr>
  </w:style>
  <w:style w:type="paragraph" w:styleId="E-mailSignature">
    <w:name w:val="E-mail Signature"/>
    <w:basedOn w:val="Normal"/>
    <w:semiHidden/>
    <w:rsid w:val="00586877"/>
  </w:style>
  <w:style w:type="character" w:styleId="Hyperlink">
    <w:name w:val="Hyperlink"/>
    <w:rsid w:val="00586877"/>
    <w:rPr>
      <w:color w:val="0000FF"/>
      <w:u w:val="none"/>
    </w:rPr>
  </w:style>
  <w:style w:type="character" w:styleId="FollowedHyperlink">
    <w:name w:val="FollowedHyperlink"/>
    <w:rsid w:val="00586877"/>
    <w:rPr>
      <w:color w:val="0000FF"/>
      <w:u w:val="none"/>
    </w:rPr>
  </w:style>
  <w:style w:type="paragraph" w:styleId="HTMLPreformatted">
    <w:name w:val="HTML Preformatted"/>
    <w:basedOn w:val="Normal"/>
    <w:semiHidden/>
    <w:rsid w:val="00586877"/>
    <w:rPr>
      <w:rFonts w:ascii="Courier New" w:hAnsi="Courier New" w:cs="Courier New"/>
    </w:rPr>
  </w:style>
  <w:style w:type="paragraph" w:styleId="List">
    <w:name w:val="List"/>
    <w:basedOn w:val="Normal"/>
    <w:semiHidden/>
    <w:rsid w:val="00586877"/>
    <w:pPr>
      <w:ind w:left="283" w:hanging="283"/>
    </w:pPr>
  </w:style>
  <w:style w:type="paragraph" w:styleId="List2">
    <w:name w:val="List 2"/>
    <w:basedOn w:val="Normal"/>
    <w:semiHidden/>
    <w:rsid w:val="00586877"/>
    <w:pPr>
      <w:ind w:left="566" w:hanging="283"/>
    </w:pPr>
  </w:style>
  <w:style w:type="paragraph" w:styleId="List3">
    <w:name w:val="List 3"/>
    <w:basedOn w:val="Normal"/>
    <w:semiHidden/>
    <w:rsid w:val="00586877"/>
    <w:pPr>
      <w:ind w:left="849" w:hanging="283"/>
    </w:pPr>
  </w:style>
  <w:style w:type="paragraph" w:styleId="List4">
    <w:name w:val="List 4"/>
    <w:basedOn w:val="Normal"/>
    <w:semiHidden/>
    <w:rsid w:val="00586877"/>
    <w:pPr>
      <w:ind w:left="1132" w:hanging="283"/>
    </w:pPr>
  </w:style>
  <w:style w:type="paragraph" w:styleId="List5">
    <w:name w:val="List 5"/>
    <w:basedOn w:val="Normal"/>
    <w:semiHidden/>
    <w:rsid w:val="00586877"/>
    <w:pPr>
      <w:ind w:left="1415" w:hanging="283"/>
    </w:pPr>
  </w:style>
  <w:style w:type="paragraph" w:styleId="ListNumber">
    <w:name w:val="List Number"/>
    <w:basedOn w:val="Normal"/>
    <w:semiHidden/>
    <w:rsid w:val="00586877"/>
    <w:pPr>
      <w:numPr>
        <w:numId w:val="29"/>
      </w:numPr>
    </w:pPr>
  </w:style>
  <w:style w:type="paragraph" w:styleId="ListNumber2">
    <w:name w:val="List Number 2"/>
    <w:basedOn w:val="Normal"/>
    <w:semiHidden/>
    <w:rsid w:val="00586877"/>
    <w:pPr>
      <w:numPr>
        <w:numId w:val="30"/>
      </w:numPr>
    </w:pPr>
  </w:style>
  <w:style w:type="paragraph" w:styleId="ListNumber3">
    <w:name w:val="List Number 3"/>
    <w:basedOn w:val="Normal"/>
    <w:semiHidden/>
    <w:rsid w:val="00586877"/>
    <w:pPr>
      <w:numPr>
        <w:numId w:val="31"/>
      </w:numPr>
    </w:pPr>
  </w:style>
  <w:style w:type="paragraph" w:styleId="ListNumber4">
    <w:name w:val="List Number 4"/>
    <w:basedOn w:val="Normal"/>
    <w:semiHidden/>
    <w:rsid w:val="00586877"/>
    <w:pPr>
      <w:numPr>
        <w:numId w:val="32"/>
      </w:numPr>
    </w:pPr>
  </w:style>
  <w:style w:type="paragraph" w:styleId="ListNumber5">
    <w:name w:val="List Number 5"/>
    <w:basedOn w:val="Normal"/>
    <w:semiHidden/>
    <w:rsid w:val="00586877"/>
    <w:pPr>
      <w:numPr>
        <w:numId w:val="33"/>
      </w:numPr>
    </w:pPr>
  </w:style>
  <w:style w:type="paragraph" w:styleId="ListBullet">
    <w:name w:val="List Bullet"/>
    <w:basedOn w:val="Normal"/>
    <w:semiHidden/>
    <w:rsid w:val="00586877"/>
    <w:pPr>
      <w:numPr>
        <w:numId w:val="34"/>
      </w:numPr>
    </w:pPr>
  </w:style>
  <w:style w:type="paragraph" w:styleId="ListBullet2">
    <w:name w:val="List Bullet 2"/>
    <w:basedOn w:val="Normal"/>
    <w:semiHidden/>
    <w:rsid w:val="00586877"/>
    <w:pPr>
      <w:numPr>
        <w:numId w:val="35"/>
      </w:numPr>
    </w:pPr>
  </w:style>
  <w:style w:type="paragraph" w:styleId="ListBullet3">
    <w:name w:val="List Bullet 3"/>
    <w:basedOn w:val="Normal"/>
    <w:semiHidden/>
    <w:rsid w:val="00586877"/>
    <w:pPr>
      <w:numPr>
        <w:numId w:val="36"/>
      </w:numPr>
    </w:pPr>
  </w:style>
  <w:style w:type="paragraph" w:styleId="ListBullet4">
    <w:name w:val="List Bullet 4"/>
    <w:basedOn w:val="Normal"/>
    <w:semiHidden/>
    <w:rsid w:val="00586877"/>
    <w:pPr>
      <w:numPr>
        <w:numId w:val="37"/>
      </w:numPr>
    </w:pPr>
  </w:style>
  <w:style w:type="paragraph" w:styleId="ListBullet5">
    <w:name w:val="List Bullet 5"/>
    <w:basedOn w:val="Normal"/>
    <w:semiHidden/>
    <w:rsid w:val="00586877"/>
    <w:pPr>
      <w:numPr>
        <w:numId w:val="38"/>
      </w:numPr>
    </w:pPr>
  </w:style>
  <w:style w:type="character" w:styleId="HTMLTypewriter">
    <w:name w:val="HTML Typewriter"/>
    <w:semiHidden/>
    <w:rsid w:val="00586877"/>
    <w:rPr>
      <w:rFonts w:ascii="Courier New" w:hAnsi="Courier New" w:cs="Courier New"/>
      <w:sz w:val="20"/>
      <w:szCs w:val="20"/>
    </w:rPr>
  </w:style>
  <w:style w:type="paragraph" w:styleId="NormalWeb">
    <w:name w:val="Normal (Web)"/>
    <w:basedOn w:val="Normal"/>
    <w:semiHidden/>
    <w:rsid w:val="00586877"/>
    <w:rPr>
      <w:sz w:val="24"/>
      <w:szCs w:val="24"/>
    </w:rPr>
  </w:style>
  <w:style w:type="character" w:styleId="LineNumber">
    <w:name w:val="line number"/>
    <w:basedOn w:val="DefaultParagraphFont"/>
    <w:semiHidden/>
    <w:rsid w:val="00586877"/>
  </w:style>
  <w:style w:type="character" w:styleId="PageNumber">
    <w:name w:val="page number"/>
    <w:aliases w:val="7_G"/>
    <w:qFormat/>
    <w:rsid w:val="00586877"/>
    <w:rPr>
      <w:b/>
      <w:sz w:val="18"/>
    </w:rPr>
  </w:style>
  <w:style w:type="character" w:styleId="EndnoteReference">
    <w:name w:val="endnote reference"/>
    <w:aliases w:val="1_G"/>
    <w:qFormat/>
    <w:rsid w:val="00586877"/>
    <w:rPr>
      <w:rFonts w:ascii="Times New Roman" w:hAnsi="Times New Roman"/>
      <w:sz w:val="18"/>
      <w:vertAlign w:val="superscript"/>
    </w:rPr>
  </w:style>
  <w:style w:type="paragraph" w:styleId="EnvelopeReturn">
    <w:name w:val="envelope return"/>
    <w:basedOn w:val="Normal"/>
    <w:semiHidden/>
    <w:rsid w:val="00586877"/>
    <w:rPr>
      <w:rFonts w:ascii="Arial" w:hAnsi="Arial" w:cs="Arial"/>
    </w:rPr>
  </w:style>
  <w:style w:type="paragraph" w:styleId="Salutation">
    <w:name w:val="Salutation"/>
    <w:basedOn w:val="Normal"/>
    <w:next w:val="Normal"/>
    <w:semiHidden/>
    <w:rsid w:val="00586877"/>
  </w:style>
  <w:style w:type="paragraph" w:styleId="BodyTextIndent2">
    <w:name w:val="Body Text Indent 2"/>
    <w:basedOn w:val="Normal"/>
    <w:semiHidden/>
    <w:rsid w:val="00586877"/>
    <w:pPr>
      <w:spacing w:after="120" w:line="480" w:lineRule="auto"/>
      <w:ind w:left="283"/>
    </w:pPr>
  </w:style>
  <w:style w:type="paragraph" w:styleId="BodyTextIndent3">
    <w:name w:val="Body Text Indent 3"/>
    <w:basedOn w:val="Normal"/>
    <w:semiHidden/>
    <w:rsid w:val="00586877"/>
    <w:pPr>
      <w:spacing w:after="120"/>
      <w:ind w:left="283"/>
    </w:pPr>
    <w:rPr>
      <w:sz w:val="16"/>
      <w:szCs w:val="16"/>
    </w:rPr>
  </w:style>
  <w:style w:type="paragraph" w:styleId="BodyTextIndent">
    <w:name w:val="Body Text Indent"/>
    <w:basedOn w:val="Normal"/>
    <w:semiHidden/>
    <w:rsid w:val="00586877"/>
    <w:pPr>
      <w:spacing w:after="120"/>
      <w:ind w:left="283"/>
    </w:pPr>
  </w:style>
  <w:style w:type="paragraph" w:styleId="NormalIndent">
    <w:name w:val="Normal Indent"/>
    <w:basedOn w:val="Normal"/>
    <w:semiHidden/>
    <w:rsid w:val="00586877"/>
    <w:pPr>
      <w:ind w:left="567"/>
    </w:pPr>
  </w:style>
  <w:style w:type="paragraph" w:styleId="Subtitle">
    <w:name w:val="Subtitle"/>
    <w:basedOn w:val="Normal"/>
    <w:semiHidden/>
    <w:rsid w:val="00586877"/>
    <w:pPr>
      <w:spacing w:after="60"/>
      <w:jc w:val="center"/>
      <w:outlineLvl w:val="1"/>
    </w:pPr>
    <w:rPr>
      <w:rFonts w:ascii="Arial" w:hAnsi="Arial" w:cs="Arial"/>
      <w:sz w:val="24"/>
      <w:szCs w:val="24"/>
    </w:rPr>
  </w:style>
  <w:style w:type="table" w:styleId="TableSimple1">
    <w:name w:val="Table Simple 1"/>
    <w:basedOn w:val="TableNormal"/>
    <w:semiHidden/>
    <w:rsid w:val="00586877"/>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877"/>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877"/>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86877"/>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877"/>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877"/>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877"/>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86877"/>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877"/>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877"/>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877"/>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877"/>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86877"/>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877"/>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877"/>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877"/>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877"/>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877"/>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877"/>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877"/>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86877"/>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877"/>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877"/>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86877"/>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877"/>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877"/>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877"/>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877"/>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877"/>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877"/>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877"/>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86877"/>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86877"/>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86877"/>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86877"/>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877"/>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877"/>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86877"/>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877"/>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877"/>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86877"/>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877"/>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877"/>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86877"/>
    <w:rPr>
      <w:rFonts w:ascii="Courier New" w:hAnsi="Courier New" w:cs="Courier New"/>
      <w:sz w:val="20"/>
      <w:szCs w:val="20"/>
    </w:rPr>
  </w:style>
  <w:style w:type="paragraph" w:styleId="BlockText">
    <w:name w:val="Block Text"/>
    <w:basedOn w:val="Normal"/>
    <w:semiHidden/>
    <w:rsid w:val="00586877"/>
    <w:pPr>
      <w:spacing w:after="120"/>
      <w:ind w:left="1440" w:right="1440"/>
    </w:pPr>
  </w:style>
  <w:style w:type="character" w:styleId="Strong">
    <w:name w:val="Strong"/>
    <w:semiHidden/>
    <w:rsid w:val="00586877"/>
    <w:rPr>
      <w:b/>
      <w:bCs/>
    </w:rPr>
  </w:style>
  <w:style w:type="paragraph" w:styleId="BodyText">
    <w:name w:val="Body Text"/>
    <w:basedOn w:val="Normal"/>
    <w:semiHidden/>
    <w:rsid w:val="00586877"/>
    <w:pPr>
      <w:spacing w:after="120"/>
    </w:pPr>
  </w:style>
  <w:style w:type="paragraph" w:styleId="BodyText2">
    <w:name w:val="Body Text 2"/>
    <w:basedOn w:val="Normal"/>
    <w:semiHidden/>
    <w:rsid w:val="00586877"/>
    <w:pPr>
      <w:spacing w:after="120" w:line="480" w:lineRule="auto"/>
    </w:pPr>
  </w:style>
  <w:style w:type="paragraph" w:styleId="BodyText3">
    <w:name w:val="Body Text 3"/>
    <w:basedOn w:val="Normal"/>
    <w:semiHidden/>
    <w:rsid w:val="00586877"/>
    <w:pPr>
      <w:spacing w:after="120"/>
    </w:pPr>
    <w:rPr>
      <w:sz w:val="16"/>
      <w:szCs w:val="16"/>
    </w:rPr>
  </w:style>
  <w:style w:type="paragraph" w:styleId="BodyTextFirstIndent">
    <w:name w:val="Body Text First Indent"/>
    <w:basedOn w:val="BodyText"/>
    <w:semiHidden/>
    <w:rsid w:val="00586877"/>
    <w:pPr>
      <w:ind w:firstLine="210"/>
    </w:pPr>
  </w:style>
  <w:style w:type="paragraph" w:styleId="BodyTextFirstIndent2">
    <w:name w:val="Body Text First Indent 2"/>
    <w:basedOn w:val="BodyTextIndent"/>
    <w:semiHidden/>
    <w:rsid w:val="00586877"/>
    <w:pPr>
      <w:ind w:firstLine="210"/>
    </w:pPr>
  </w:style>
  <w:style w:type="paragraph" w:styleId="EndnoteText">
    <w:name w:val="endnote text"/>
    <w:aliases w:val="2_G"/>
    <w:basedOn w:val="FootnoteText"/>
    <w:qFormat/>
    <w:rsid w:val="00586877"/>
  </w:style>
  <w:style w:type="paragraph" w:styleId="PlainText">
    <w:name w:val="Plain Text"/>
    <w:basedOn w:val="Normal"/>
    <w:semiHidden/>
    <w:rsid w:val="00586877"/>
    <w:rPr>
      <w:rFonts w:ascii="Courier New" w:hAnsi="Courier New" w:cs="Courier New"/>
    </w:rPr>
  </w:style>
  <w:style w:type="paragraph" w:styleId="Title">
    <w:name w:val="Title"/>
    <w:basedOn w:val="Normal"/>
    <w:semiHidden/>
    <w:rsid w:val="00586877"/>
    <w:pPr>
      <w:spacing w:before="240" w:after="60"/>
      <w:jc w:val="center"/>
      <w:outlineLvl w:val="0"/>
    </w:pPr>
    <w:rPr>
      <w:rFonts w:ascii="Arial" w:hAnsi="Arial" w:cs="Arial"/>
      <w:b/>
      <w:bCs/>
      <w:kern w:val="28"/>
      <w:sz w:val="32"/>
      <w:szCs w:val="32"/>
    </w:rPr>
  </w:style>
  <w:style w:type="character" w:styleId="HTMLVariable">
    <w:name w:val="HTML Variable"/>
    <w:semiHidden/>
    <w:rsid w:val="00586877"/>
    <w:rPr>
      <w:i/>
      <w:iCs/>
    </w:rPr>
  </w:style>
  <w:style w:type="paragraph" w:customStyle="1" w:styleId="Bullet1G">
    <w:name w:val="_Bullet 1_G"/>
    <w:basedOn w:val="Normal"/>
    <w:qFormat/>
    <w:rsid w:val="00586877"/>
    <w:pPr>
      <w:numPr>
        <w:numId w:val="23"/>
      </w:numPr>
      <w:spacing w:after="120"/>
      <w:ind w:right="1134"/>
      <w:jc w:val="both"/>
    </w:pPr>
    <w:rPr>
      <w:lang w:eastAsia="en-US"/>
    </w:rPr>
  </w:style>
  <w:style w:type="paragraph" w:customStyle="1" w:styleId="Bullet2G">
    <w:name w:val="_Bullet 2_G"/>
    <w:basedOn w:val="Normal"/>
    <w:qFormat/>
    <w:rsid w:val="00586877"/>
    <w:pPr>
      <w:numPr>
        <w:numId w:val="24"/>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link w:val="FootnoteText"/>
    <w:rsid w:val="004677B6"/>
    <w:rPr>
      <w:rFonts w:eastAsia="SimSun"/>
      <w:sz w:val="18"/>
      <w:lang w:val="es-ES" w:eastAsia="es-ES"/>
    </w:rPr>
  </w:style>
  <w:style w:type="character" w:customStyle="1" w:styleId="HChGChar">
    <w:name w:val="_ H _Ch_G Char"/>
    <w:link w:val="HChG"/>
    <w:rsid w:val="00FB0871"/>
    <w:rPr>
      <w:rFonts w:eastAsia="SimSun"/>
      <w:b/>
      <w:sz w:val="28"/>
      <w:lang w:val="es-ES" w:eastAsia="es-ES"/>
    </w:rPr>
  </w:style>
  <w:style w:type="character" w:customStyle="1" w:styleId="SingleTxtGChar">
    <w:name w:val="_ Single Txt_G Char"/>
    <w:link w:val="SingleTxtG"/>
    <w:locked/>
    <w:rsid w:val="00FB0871"/>
    <w:rPr>
      <w:rFonts w:eastAsia="SimSun"/>
      <w:lang w:val="es-ES" w:eastAsia="es-ES"/>
    </w:rPr>
  </w:style>
  <w:style w:type="paragraph" w:styleId="ListParagraph">
    <w:name w:val="List Paragraph"/>
    <w:basedOn w:val="Normal"/>
    <w:uiPriority w:val="34"/>
    <w:qFormat/>
    <w:rsid w:val="00FB0871"/>
    <w:pPr>
      <w:ind w:left="720"/>
      <w:contextualSpacing/>
    </w:pPr>
  </w:style>
  <w:style w:type="paragraph" w:styleId="CommentText">
    <w:name w:val="annotation text"/>
    <w:basedOn w:val="Normal"/>
    <w:link w:val="CommentTextChar"/>
    <w:uiPriority w:val="99"/>
    <w:unhideWhenUsed/>
    <w:rsid w:val="00726B91"/>
  </w:style>
  <w:style w:type="character" w:customStyle="1" w:styleId="CommentTextChar">
    <w:name w:val="Comment Text Char"/>
    <w:link w:val="CommentText"/>
    <w:uiPriority w:val="99"/>
    <w:rsid w:val="00726B91"/>
    <w:rPr>
      <w:lang w:val="es-ES" w:eastAsia="es-ES"/>
    </w:rPr>
  </w:style>
  <w:style w:type="character" w:styleId="CommentReference">
    <w:name w:val="annotation reference"/>
    <w:semiHidden/>
    <w:unhideWhenUsed/>
    <w:rsid w:val="00726B91"/>
    <w:rPr>
      <w:sz w:val="16"/>
      <w:szCs w:val="16"/>
    </w:rPr>
  </w:style>
  <w:style w:type="paragraph" w:styleId="CommentSubject">
    <w:name w:val="annotation subject"/>
    <w:basedOn w:val="CommentText"/>
    <w:next w:val="CommentText"/>
    <w:link w:val="CommentSubjectChar"/>
    <w:semiHidden/>
    <w:unhideWhenUsed/>
    <w:rsid w:val="00527FB2"/>
    <w:pPr>
      <w:spacing w:line="240" w:lineRule="auto"/>
    </w:pPr>
    <w:rPr>
      <w:b/>
      <w:bCs/>
    </w:rPr>
  </w:style>
  <w:style w:type="character" w:customStyle="1" w:styleId="CommentSubjectChar">
    <w:name w:val="Comment Subject Char"/>
    <w:link w:val="CommentSubject"/>
    <w:semiHidden/>
    <w:rsid w:val="00527FB2"/>
    <w:rPr>
      <w:b/>
      <w:bCs/>
      <w:lang w:val="es-ES" w:eastAsia="es-ES"/>
    </w:rPr>
  </w:style>
  <w:style w:type="character" w:customStyle="1" w:styleId="UnresolvedMention1">
    <w:name w:val="Unresolved Mention1"/>
    <w:uiPriority w:val="99"/>
    <w:semiHidden/>
    <w:unhideWhenUsed/>
    <w:rsid w:val="008E0ADE"/>
    <w:rPr>
      <w:color w:val="605E5C"/>
      <w:shd w:val="clear" w:color="auto" w:fill="E1DFDD"/>
    </w:rPr>
  </w:style>
  <w:style w:type="paragraph" w:customStyle="1" w:styleId="ParNoG">
    <w:name w:val="_ParNo_G"/>
    <w:basedOn w:val="Normal"/>
    <w:qFormat/>
    <w:rsid w:val="00586877"/>
    <w:pPr>
      <w:numPr>
        <w:numId w:val="25"/>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eastAsia="en-US"/>
    </w:rPr>
  </w:style>
  <w:style w:type="paragraph" w:styleId="IntenseQuote">
    <w:name w:val="Intense Quote"/>
    <w:basedOn w:val="Normal"/>
    <w:next w:val="Normal"/>
    <w:link w:val="IntenseQuoteChar"/>
    <w:uiPriority w:val="30"/>
    <w:semiHidden/>
    <w:rsid w:val="0058687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86877"/>
    <w:rPr>
      <w:rFonts w:eastAsia="SimSun"/>
      <w:b/>
      <w:bCs/>
      <w:i/>
      <w:iCs/>
      <w:color w:val="4F81BD"/>
      <w:lang w:val="es-ES" w:eastAsia="es-ES"/>
    </w:rPr>
  </w:style>
  <w:style w:type="character" w:styleId="IntenseEmphasis">
    <w:name w:val="Intense Emphasis"/>
    <w:uiPriority w:val="21"/>
    <w:semiHidden/>
    <w:rsid w:val="00586877"/>
    <w:rPr>
      <w:b/>
      <w:bCs/>
      <w:i/>
      <w:iCs/>
      <w:color w:val="4F81BD"/>
    </w:rPr>
  </w:style>
  <w:style w:type="character" w:customStyle="1" w:styleId="Heading1Char">
    <w:name w:val="Heading 1 Char"/>
    <w:aliases w:val="Cuadro_G Char"/>
    <w:link w:val="Heading1"/>
    <w:rsid w:val="00586877"/>
    <w:rPr>
      <w:rFonts w:eastAsia="SimSu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73640">
      <w:bodyDiv w:val="1"/>
      <w:marLeft w:val="0"/>
      <w:marRight w:val="0"/>
      <w:marTop w:val="0"/>
      <w:marBottom w:val="0"/>
      <w:divBdr>
        <w:top w:val="none" w:sz="0" w:space="0" w:color="auto"/>
        <w:left w:val="none" w:sz="0" w:space="0" w:color="auto"/>
        <w:bottom w:val="none" w:sz="0" w:space="0" w:color="auto"/>
        <w:right w:val="none" w:sz="0" w:space="0" w:color="auto"/>
      </w:divBdr>
    </w:div>
    <w:div w:id="743990218">
      <w:bodyDiv w:val="1"/>
      <w:marLeft w:val="0"/>
      <w:marRight w:val="0"/>
      <w:marTop w:val="0"/>
      <w:marBottom w:val="0"/>
      <w:divBdr>
        <w:top w:val="none" w:sz="0" w:space="0" w:color="auto"/>
        <w:left w:val="none" w:sz="0" w:space="0" w:color="auto"/>
        <w:bottom w:val="none" w:sz="0" w:space="0" w:color="auto"/>
        <w:right w:val="none" w:sz="0" w:space="0" w:color="auto"/>
      </w:divBdr>
    </w:div>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 w:id="1304774727">
      <w:bodyDiv w:val="1"/>
      <w:marLeft w:val="0"/>
      <w:marRight w:val="0"/>
      <w:marTop w:val="0"/>
      <w:marBottom w:val="0"/>
      <w:divBdr>
        <w:top w:val="none" w:sz="0" w:space="0" w:color="auto"/>
        <w:left w:val="none" w:sz="0" w:space="0" w:color="auto"/>
        <w:bottom w:val="none" w:sz="0" w:space="0" w:color="auto"/>
        <w:right w:val="none" w:sz="0" w:space="0" w:color="auto"/>
      </w:divBdr>
    </w:div>
    <w:div w:id="1422217720">
      <w:bodyDiv w:val="1"/>
      <w:marLeft w:val="0"/>
      <w:marRight w:val="0"/>
      <w:marTop w:val="0"/>
      <w:marBottom w:val="0"/>
      <w:divBdr>
        <w:top w:val="none" w:sz="0" w:space="0" w:color="auto"/>
        <w:left w:val="none" w:sz="0" w:space="0" w:color="auto"/>
        <w:bottom w:val="none" w:sz="0" w:space="0" w:color="auto"/>
        <w:right w:val="none" w:sz="0" w:space="0" w:color="auto"/>
      </w:divBdr>
    </w:div>
    <w:div w:id="1692996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E89B9A523FF84E9CADE6C6FDF39262" ma:contentTypeVersion="0" ma:contentTypeDescription="Create a new document." ma:contentTypeScope="" ma:versionID="157b957a9bf4e2f23b81061c963d69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C87F8-3156-46B4-AFFD-8F095E3377E5}">
  <ds:schemaRefs>
    <ds:schemaRef ds:uri="http://schemas.microsoft.com/sharepoint/v3/contenttype/forms"/>
  </ds:schemaRefs>
</ds:datastoreItem>
</file>

<file path=customXml/itemProps2.xml><?xml version="1.0" encoding="utf-8"?>
<ds:datastoreItem xmlns:ds="http://schemas.openxmlformats.org/officeDocument/2006/customXml" ds:itemID="{8D410D37-245F-4F28-90E4-2524190347B2}">
  <ds:schemaRefs>
    <ds:schemaRef ds:uri="http://schemas.openxmlformats.org/officeDocument/2006/bibliography"/>
  </ds:schemaRefs>
</ds:datastoreItem>
</file>

<file path=customXml/itemProps3.xml><?xml version="1.0" encoding="utf-8"?>
<ds:datastoreItem xmlns:ds="http://schemas.openxmlformats.org/officeDocument/2006/customXml" ds:itemID="{4302FA99-D615-4B0C-87A7-4ACB16D4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B49C62-78AF-41A8-A914-5BF4F7D034E3}">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E.dotm</Template>
  <TotalTime>6</TotalTime>
  <Pages>9</Pages>
  <Words>5134</Words>
  <Characters>26187</Characters>
  <Application>Microsoft Office Word</Application>
  <DocSecurity>0</DocSecurity>
  <Lines>409</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E/C.12/70/DR/102/2019/Rev.1</vt:lpstr>
      <vt:lpstr>E/C.12/70/DR/102/2019/Rev.1</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E/C.12/70/D/102/2019</dc:title>
  <dc:subject/>
  <dc:creator>Carlos Ariel BRAGUNDE LOPEZ</dc:creator>
  <cp:keywords/>
  <dc:description/>
  <cp:lastModifiedBy>Maria Luisa Zeballos Moreno</cp:lastModifiedBy>
  <cp:revision>3</cp:revision>
  <cp:lastPrinted>2022-01-12T10:17:00Z</cp:lastPrinted>
  <dcterms:created xsi:type="dcterms:W3CDTF">2022-01-12T10:17:00Z</dcterms:created>
  <dcterms:modified xsi:type="dcterms:W3CDTF">2022-01-12T10:21:00Z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0x010100B6E89B9A523FF84E9CADE6C6FDF39262</vt:lpwstr>
  </property>
</Properties>
</file>