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6CCFBF19" w14:textId="77777777" w:rsidTr="0002432E">
        <w:trPr>
          <w:trHeight w:hRule="exact" w:val="851"/>
        </w:trPr>
        <w:tc>
          <w:tcPr>
            <w:tcW w:w="1276" w:type="dxa"/>
            <w:tcBorders>
              <w:bottom w:val="single" w:sz="4" w:space="0" w:color="auto"/>
            </w:tcBorders>
          </w:tcPr>
          <w:p w14:paraId="22EB518F" w14:textId="77777777" w:rsidR="0080236C" w:rsidRPr="00DB58B5" w:rsidRDefault="0080236C" w:rsidP="003579EB"/>
        </w:tc>
        <w:tc>
          <w:tcPr>
            <w:tcW w:w="2268" w:type="dxa"/>
            <w:tcBorders>
              <w:bottom w:val="single" w:sz="4" w:space="0" w:color="auto"/>
            </w:tcBorders>
            <w:vAlign w:val="bottom"/>
          </w:tcPr>
          <w:p w14:paraId="38A49878"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D7A02F2" w14:textId="59AA05D6" w:rsidR="0080236C" w:rsidRPr="00DB58B5" w:rsidRDefault="003579EB" w:rsidP="003579EB">
            <w:pPr>
              <w:jc w:val="right"/>
            </w:pPr>
            <w:r w:rsidRPr="003579EB">
              <w:rPr>
                <w:sz w:val="40"/>
              </w:rPr>
              <w:t>E</w:t>
            </w:r>
            <w:r>
              <w:t>/C.12/70/D/102/2019</w:t>
            </w:r>
          </w:p>
        </w:tc>
      </w:tr>
      <w:tr w:rsidR="0080236C" w:rsidRPr="00DB58B5" w14:paraId="70069BA0" w14:textId="77777777" w:rsidTr="0002432E">
        <w:trPr>
          <w:trHeight w:hRule="exact" w:val="2835"/>
        </w:trPr>
        <w:tc>
          <w:tcPr>
            <w:tcW w:w="1276" w:type="dxa"/>
            <w:tcBorders>
              <w:top w:val="single" w:sz="4" w:space="0" w:color="auto"/>
              <w:bottom w:val="single" w:sz="12" w:space="0" w:color="auto"/>
            </w:tcBorders>
          </w:tcPr>
          <w:p w14:paraId="78E32355" w14:textId="77777777" w:rsidR="0080236C" w:rsidRPr="00DB58B5" w:rsidRDefault="0080236C" w:rsidP="0002432E">
            <w:pPr>
              <w:spacing w:before="120"/>
              <w:jc w:val="center"/>
            </w:pPr>
            <w:r>
              <w:rPr>
                <w:noProof/>
                <w:lang w:eastAsia="fr-CH"/>
              </w:rPr>
              <w:drawing>
                <wp:inline distT="0" distB="0" distL="0" distR="0" wp14:anchorId="6AF31EEC" wp14:editId="0BF62D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CF5A75"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51C6EF4" w14:textId="77777777" w:rsidR="0080236C" w:rsidRDefault="003579EB" w:rsidP="0002432E">
            <w:pPr>
              <w:spacing w:before="240"/>
            </w:pPr>
            <w:r>
              <w:t>Distr. générale</w:t>
            </w:r>
          </w:p>
          <w:p w14:paraId="07147D08" w14:textId="77777777" w:rsidR="003579EB" w:rsidRDefault="003579EB" w:rsidP="003579EB">
            <w:pPr>
              <w:spacing w:line="240" w:lineRule="exact"/>
            </w:pPr>
            <w:r>
              <w:t>8 décembre 2021</w:t>
            </w:r>
          </w:p>
          <w:p w14:paraId="0B4000AA" w14:textId="77777777" w:rsidR="003579EB" w:rsidRDefault="003579EB" w:rsidP="003579EB">
            <w:pPr>
              <w:spacing w:line="240" w:lineRule="exact"/>
            </w:pPr>
            <w:r>
              <w:t>Français</w:t>
            </w:r>
          </w:p>
          <w:p w14:paraId="79CE079A" w14:textId="42B1C69E" w:rsidR="003579EB" w:rsidRPr="00DB58B5" w:rsidRDefault="003579EB" w:rsidP="003579EB">
            <w:pPr>
              <w:spacing w:line="240" w:lineRule="exact"/>
            </w:pPr>
            <w:r>
              <w:t xml:space="preserve">Original : </w:t>
            </w:r>
            <w:r w:rsidR="00D32A3F">
              <w:t>espagnol</w:t>
            </w:r>
          </w:p>
        </w:tc>
      </w:tr>
    </w:tbl>
    <w:p w14:paraId="366D6DFC" w14:textId="77777777" w:rsidR="003579EB" w:rsidRPr="00737953" w:rsidRDefault="003579EB" w:rsidP="003579EB">
      <w:pPr>
        <w:spacing w:before="120"/>
        <w:rPr>
          <w:b/>
          <w:lang w:val="fr-FR"/>
        </w:rPr>
      </w:pPr>
      <w:r w:rsidRPr="00E4666C">
        <w:rPr>
          <w:b/>
          <w:sz w:val="24"/>
          <w:szCs w:val="24"/>
        </w:rPr>
        <w:t>Comité des droits économiques, sociaux et culturels</w:t>
      </w:r>
    </w:p>
    <w:p w14:paraId="1F211C3D" w14:textId="1A8AF845" w:rsidR="003579EB" w:rsidRDefault="003579EB" w:rsidP="003579EB">
      <w:pPr>
        <w:pStyle w:val="HChG"/>
        <w:rPr>
          <w:sz w:val="20"/>
          <w:lang w:val="fr-FR"/>
        </w:rPr>
      </w:pPr>
      <w:bookmarkStart w:id="0" w:name="_Hlk95986886"/>
      <w:r w:rsidRPr="00737953">
        <w:rPr>
          <w:lang w:val="fr-FR"/>
        </w:rPr>
        <w:tab/>
      </w:r>
      <w:r w:rsidRPr="00737953">
        <w:rPr>
          <w:lang w:val="fr-FR"/>
        </w:rPr>
        <w:tab/>
      </w:r>
      <w:r>
        <w:t>Décision adoptée par le Comité en vertu du Protocole facultatif se rapportant au Pacte international relatif aux</w:t>
      </w:r>
      <w:r>
        <w:t> </w:t>
      </w:r>
      <w:r>
        <w:t xml:space="preserve">droits économiques, sociaux et culturels, </w:t>
      </w:r>
      <w:r>
        <w:br/>
      </w:r>
      <w:r>
        <w:t>concernant la</w:t>
      </w:r>
      <w:r w:rsidRPr="00737953">
        <w:rPr>
          <w:lang w:val="fr-FR"/>
        </w:rPr>
        <w:t xml:space="preserve"> </w:t>
      </w:r>
      <w:r>
        <w:rPr>
          <w:lang w:val="fr-FR"/>
        </w:rPr>
        <w:t>c</w:t>
      </w:r>
      <w:r w:rsidRPr="00737953">
        <w:rPr>
          <w:lang w:val="fr-FR"/>
        </w:rPr>
        <w:t xml:space="preserve">ommunication </w:t>
      </w:r>
      <w:r w:rsidRPr="004D1208">
        <w:rPr>
          <w:rFonts w:eastAsia="MS Mincho"/>
          <w:lang w:val="fr-FR"/>
        </w:rPr>
        <w:t>n</w:t>
      </w:r>
      <w:r w:rsidRPr="004D1208">
        <w:rPr>
          <w:rFonts w:eastAsia="MS Mincho"/>
          <w:vertAlign w:val="superscript"/>
          <w:lang w:val="fr-FR"/>
        </w:rPr>
        <w:t>o</w:t>
      </w:r>
      <w:r>
        <w:rPr>
          <w:lang w:val="fr-FR"/>
        </w:rPr>
        <w:t> </w:t>
      </w:r>
      <w:r w:rsidRPr="00737953">
        <w:rPr>
          <w:lang w:val="fr-FR"/>
        </w:rPr>
        <w:t>102/2019</w:t>
      </w:r>
      <w:r w:rsidRPr="003579EB">
        <w:rPr>
          <w:rStyle w:val="Appelnotedebasdep"/>
          <w:b w:val="0"/>
          <w:bCs/>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5"/>
        <w:gridCol w:w="3690"/>
      </w:tblGrid>
      <w:tr w:rsidR="003579EB" w14:paraId="5CE04CC4" w14:textId="77777777" w:rsidTr="00044CCF">
        <w:tc>
          <w:tcPr>
            <w:tcW w:w="3115" w:type="dxa"/>
          </w:tcPr>
          <w:p w14:paraId="544512C5" w14:textId="77777777" w:rsidR="003579EB" w:rsidRDefault="003579EB" w:rsidP="00044CCF">
            <w:pPr>
              <w:pStyle w:val="SingleTxtG"/>
              <w:ind w:left="0" w:right="0"/>
              <w:jc w:val="left"/>
              <w:rPr>
                <w:i/>
              </w:rPr>
            </w:pPr>
            <w:r>
              <w:rPr>
                <w:i/>
              </w:rPr>
              <w:t>Communication présentée par</w:t>
            </w:r>
            <w:r>
              <w:t> :</w:t>
            </w:r>
          </w:p>
        </w:tc>
        <w:tc>
          <w:tcPr>
            <w:tcW w:w="3690" w:type="dxa"/>
          </w:tcPr>
          <w:p w14:paraId="78EDFBC2" w14:textId="7BCB3016" w:rsidR="003579EB" w:rsidRDefault="003579EB" w:rsidP="00044CCF">
            <w:pPr>
              <w:pStyle w:val="SingleTxtG"/>
              <w:ind w:left="0" w:right="0"/>
              <w:jc w:val="left"/>
            </w:pPr>
            <w:r w:rsidRPr="00737953">
              <w:rPr>
                <w:lang w:val="fr-FR"/>
              </w:rPr>
              <w:t xml:space="preserve">Gladis Patricia Loor Chila </w:t>
            </w:r>
            <w:r w:rsidR="00E0590B">
              <w:rPr>
                <w:lang w:val="fr-FR"/>
              </w:rPr>
              <w:br/>
              <w:t>(</w:t>
            </w:r>
            <w:r w:rsidRPr="00737953">
              <w:rPr>
                <w:lang w:val="fr-FR"/>
              </w:rPr>
              <w:t>représentée par Carmen Oriol Fita</w:t>
            </w:r>
            <w:r w:rsidR="00E0590B">
              <w:rPr>
                <w:lang w:val="fr-FR"/>
              </w:rPr>
              <w:t>)</w:t>
            </w:r>
          </w:p>
        </w:tc>
      </w:tr>
      <w:tr w:rsidR="003579EB" w14:paraId="7AAD3BE5" w14:textId="77777777" w:rsidTr="00044CCF">
        <w:tc>
          <w:tcPr>
            <w:tcW w:w="3115" w:type="dxa"/>
          </w:tcPr>
          <w:p w14:paraId="23EDEED2" w14:textId="77777777" w:rsidR="003579EB" w:rsidRDefault="003579EB" w:rsidP="00044CCF">
            <w:pPr>
              <w:pStyle w:val="SingleTxtG"/>
              <w:ind w:left="0" w:right="0"/>
              <w:jc w:val="left"/>
              <w:rPr>
                <w:i/>
              </w:rPr>
            </w:pPr>
            <w:r>
              <w:rPr>
                <w:i/>
              </w:rPr>
              <w:t>Victime(s) présumée(s)</w:t>
            </w:r>
            <w:r>
              <w:t> :</w:t>
            </w:r>
          </w:p>
        </w:tc>
        <w:tc>
          <w:tcPr>
            <w:tcW w:w="3690" w:type="dxa"/>
          </w:tcPr>
          <w:p w14:paraId="79EFAC2D" w14:textId="0414E41C" w:rsidR="003579EB" w:rsidRDefault="003579EB" w:rsidP="00044CCF">
            <w:pPr>
              <w:pStyle w:val="SingleTxtG"/>
              <w:ind w:left="0" w:right="0"/>
              <w:jc w:val="left"/>
            </w:pPr>
            <w:r w:rsidRPr="00737953">
              <w:rPr>
                <w:lang w:val="fr-FR"/>
              </w:rPr>
              <w:t>L</w:t>
            </w:r>
            <w:r w:rsidR="00EF491F">
              <w:rPr>
                <w:lang w:val="fr-FR"/>
              </w:rPr>
              <w:t>’</w:t>
            </w:r>
            <w:r w:rsidRPr="00737953">
              <w:rPr>
                <w:lang w:val="fr-FR"/>
              </w:rPr>
              <w:t>auteur</w:t>
            </w:r>
            <w:r>
              <w:rPr>
                <w:lang w:val="fr-FR"/>
              </w:rPr>
              <w:t>e</w:t>
            </w:r>
            <w:r w:rsidRPr="00737953">
              <w:rPr>
                <w:lang w:val="fr-FR"/>
              </w:rPr>
              <w:t xml:space="preserve"> et ses petits-enfants</w:t>
            </w:r>
          </w:p>
        </w:tc>
      </w:tr>
      <w:tr w:rsidR="003579EB" w14:paraId="192B75C5" w14:textId="77777777" w:rsidTr="00044CCF">
        <w:tc>
          <w:tcPr>
            <w:tcW w:w="3115" w:type="dxa"/>
          </w:tcPr>
          <w:p w14:paraId="62DFC2A4" w14:textId="77777777" w:rsidR="003579EB" w:rsidRDefault="003579EB" w:rsidP="00044CCF">
            <w:pPr>
              <w:pStyle w:val="SingleTxtG"/>
              <w:ind w:left="0" w:right="0"/>
              <w:jc w:val="left"/>
              <w:rPr>
                <w:i/>
              </w:rPr>
            </w:pPr>
            <w:r>
              <w:rPr>
                <w:i/>
              </w:rPr>
              <w:t>État partie</w:t>
            </w:r>
            <w:r>
              <w:t> :</w:t>
            </w:r>
          </w:p>
        </w:tc>
        <w:tc>
          <w:tcPr>
            <w:tcW w:w="3690" w:type="dxa"/>
          </w:tcPr>
          <w:p w14:paraId="3D3AF08F" w14:textId="77777777" w:rsidR="003579EB" w:rsidRDefault="003579EB" w:rsidP="00044CCF">
            <w:pPr>
              <w:pStyle w:val="SingleTxtG"/>
              <w:ind w:left="0" w:right="0"/>
              <w:jc w:val="left"/>
            </w:pPr>
            <w:r>
              <w:t>Espagne</w:t>
            </w:r>
          </w:p>
        </w:tc>
      </w:tr>
      <w:tr w:rsidR="003579EB" w14:paraId="240DED13" w14:textId="77777777" w:rsidTr="00044CCF">
        <w:tc>
          <w:tcPr>
            <w:tcW w:w="3115" w:type="dxa"/>
          </w:tcPr>
          <w:p w14:paraId="3351B58C" w14:textId="77777777" w:rsidR="003579EB" w:rsidRDefault="003579EB" w:rsidP="00044CCF">
            <w:pPr>
              <w:pStyle w:val="SingleTxtG"/>
              <w:ind w:left="0" w:right="0"/>
              <w:jc w:val="left"/>
              <w:rPr>
                <w:i/>
              </w:rPr>
            </w:pPr>
            <w:r>
              <w:rPr>
                <w:i/>
              </w:rPr>
              <w:t>Date de la communication</w:t>
            </w:r>
            <w:r>
              <w:t> :</w:t>
            </w:r>
          </w:p>
        </w:tc>
        <w:tc>
          <w:tcPr>
            <w:tcW w:w="3690" w:type="dxa"/>
          </w:tcPr>
          <w:p w14:paraId="60AE916D" w14:textId="77777777" w:rsidR="003579EB" w:rsidRDefault="003579EB" w:rsidP="00044CCF">
            <w:pPr>
              <w:pStyle w:val="SingleTxtG"/>
              <w:ind w:left="0" w:right="0"/>
              <w:jc w:val="left"/>
            </w:pPr>
            <w:r w:rsidRPr="00737953">
              <w:rPr>
                <w:lang w:val="fr-FR"/>
              </w:rPr>
              <w:t>21</w:t>
            </w:r>
            <w:r>
              <w:rPr>
                <w:lang w:val="fr-FR"/>
              </w:rPr>
              <w:t> </w:t>
            </w:r>
            <w:r w:rsidRPr="00737953">
              <w:rPr>
                <w:lang w:val="fr-FR"/>
              </w:rPr>
              <w:t>septembre 2018 (date de la lettre initiale)</w:t>
            </w:r>
          </w:p>
        </w:tc>
      </w:tr>
      <w:tr w:rsidR="003579EB" w14:paraId="2B2796CE" w14:textId="77777777" w:rsidTr="00044CCF">
        <w:tc>
          <w:tcPr>
            <w:tcW w:w="3115" w:type="dxa"/>
          </w:tcPr>
          <w:p w14:paraId="454CA9A6" w14:textId="77777777" w:rsidR="003579EB" w:rsidRDefault="003579EB" w:rsidP="00044CCF">
            <w:pPr>
              <w:pStyle w:val="SingleTxtG"/>
              <w:ind w:left="0" w:right="0"/>
              <w:jc w:val="left"/>
              <w:rPr>
                <w:i/>
              </w:rPr>
            </w:pPr>
            <w:r>
              <w:rPr>
                <w:i/>
              </w:rPr>
              <w:t>Date de la décision</w:t>
            </w:r>
            <w:r>
              <w:t> :</w:t>
            </w:r>
          </w:p>
        </w:tc>
        <w:tc>
          <w:tcPr>
            <w:tcW w:w="3690" w:type="dxa"/>
            <w:vAlign w:val="bottom"/>
          </w:tcPr>
          <w:p w14:paraId="2915248A" w14:textId="77777777" w:rsidR="003579EB" w:rsidRDefault="003579EB" w:rsidP="00044CCF">
            <w:pPr>
              <w:pStyle w:val="SingleTxtG"/>
              <w:ind w:left="0" w:right="0"/>
              <w:jc w:val="left"/>
            </w:pPr>
            <w:r>
              <w:rPr>
                <w:lang w:val="fr-FR"/>
              </w:rPr>
              <w:t>12</w:t>
            </w:r>
            <w:r w:rsidRPr="00737953">
              <w:rPr>
                <w:lang w:val="fr-FR"/>
              </w:rPr>
              <w:t xml:space="preserve"> octobre 2021</w:t>
            </w:r>
          </w:p>
        </w:tc>
      </w:tr>
      <w:tr w:rsidR="003579EB" w14:paraId="76773178" w14:textId="77777777" w:rsidTr="00044CCF">
        <w:tc>
          <w:tcPr>
            <w:tcW w:w="3115" w:type="dxa"/>
          </w:tcPr>
          <w:p w14:paraId="28D11A0E" w14:textId="77777777" w:rsidR="003579EB" w:rsidRDefault="003579EB" w:rsidP="00044CCF">
            <w:pPr>
              <w:pStyle w:val="SingleTxtG"/>
              <w:ind w:left="0" w:right="0"/>
              <w:jc w:val="left"/>
              <w:rPr>
                <w:i/>
              </w:rPr>
            </w:pPr>
            <w:r>
              <w:rPr>
                <w:i/>
              </w:rPr>
              <w:t>Objet</w:t>
            </w:r>
            <w:r>
              <w:t> :</w:t>
            </w:r>
          </w:p>
        </w:tc>
        <w:tc>
          <w:tcPr>
            <w:tcW w:w="3690" w:type="dxa"/>
            <w:vAlign w:val="bottom"/>
          </w:tcPr>
          <w:p w14:paraId="78E14DEB" w14:textId="30E02541" w:rsidR="003579EB" w:rsidRDefault="003579EB" w:rsidP="00044CCF">
            <w:pPr>
              <w:pStyle w:val="SingleTxtG"/>
              <w:ind w:left="0" w:right="0"/>
              <w:jc w:val="left"/>
            </w:pPr>
            <w:r w:rsidRPr="00FA4D2A">
              <w:rPr>
                <w:lang w:val="fr-FR"/>
              </w:rPr>
              <w:t>Expulsion de l</w:t>
            </w:r>
            <w:r w:rsidR="00EF491F" w:rsidRPr="00FA4D2A">
              <w:rPr>
                <w:lang w:val="fr-FR"/>
              </w:rPr>
              <w:t>’</w:t>
            </w:r>
            <w:r w:rsidRPr="00FA4D2A">
              <w:rPr>
                <w:lang w:val="fr-FR"/>
              </w:rPr>
              <w:t>auteure de son logement</w:t>
            </w:r>
          </w:p>
        </w:tc>
      </w:tr>
      <w:tr w:rsidR="003579EB" w14:paraId="477A12AA" w14:textId="77777777" w:rsidTr="00044CCF">
        <w:tc>
          <w:tcPr>
            <w:tcW w:w="3115" w:type="dxa"/>
          </w:tcPr>
          <w:p w14:paraId="55B1C799" w14:textId="77777777" w:rsidR="003579EB" w:rsidRDefault="003579EB" w:rsidP="00044CCF">
            <w:pPr>
              <w:pStyle w:val="SingleTxtG"/>
              <w:ind w:left="0" w:right="0"/>
              <w:jc w:val="left"/>
              <w:rPr>
                <w:i/>
              </w:rPr>
            </w:pPr>
            <w:r>
              <w:rPr>
                <w:i/>
              </w:rPr>
              <w:t>Question(s) de procédure</w:t>
            </w:r>
            <w:r>
              <w:t> :</w:t>
            </w:r>
          </w:p>
        </w:tc>
        <w:tc>
          <w:tcPr>
            <w:tcW w:w="3690" w:type="dxa"/>
            <w:vAlign w:val="bottom"/>
          </w:tcPr>
          <w:p w14:paraId="20430DED" w14:textId="19049D5D" w:rsidR="003579EB" w:rsidRDefault="003579EB" w:rsidP="00044CCF">
            <w:pPr>
              <w:pStyle w:val="SingleTxtG"/>
              <w:ind w:left="0" w:right="0"/>
              <w:jc w:val="left"/>
            </w:pPr>
            <w:r w:rsidRPr="00FA4D2A">
              <w:rPr>
                <w:lang w:val="fr-FR"/>
              </w:rPr>
              <w:t>Défaut de fondement</w:t>
            </w:r>
            <w:r w:rsidR="00FA4D2A" w:rsidRPr="00FA4D2A">
              <w:rPr>
                <w:lang w:val="fr-FR"/>
              </w:rPr>
              <w:t xml:space="preserve"> ; </w:t>
            </w:r>
            <w:r w:rsidR="00FA4D2A" w:rsidRPr="00FA4D2A">
              <w:rPr>
                <w:lang w:val="fr-FR"/>
              </w:rPr>
              <w:t>épuisement des recours</w:t>
            </w:r>
          </w:p>
        </w:tc>
      </w:tr>
      <w:tr w:rsidR="003579EB" w14:paraId="094D52BC" w14:textId="77777777" w:rsidTr="00044CCF">
        <w:tc>
          <w:tcPr>
            <w:tcW w:w="3115" w:type="dxa"/>
          </w:tcPr>
          <w:p w14:paraId="312AEE3B" w14:textId="77777777" w:rsidR="003579EB" w:rsidRDefault="003579EB" w:rsidP="00044CCF">
            <w:pPr>
              <w:pStyle w:val="SingleTxtG"/>
              <w:ind w:left="0" w:right="0"/>
              <w:jc w:val="left"/>
              <w:rPr>
                <w:i/>
              </w:rPr>
            </w:pPr>
            <w:r>
              <w:rPr>
                <w:i/>
              </w:rPr>
              <w:t>Question(s) de fond</w:t>
            </w:r>
            <w:r>
              <w:t> :</w:t>
            </w:r>
          </w:p>
        </w:tc>
        <w:tc>
          <w:tcPr>
            <w:tcW w:w="3690" w:type="dxa"/>
            <w:vAlign w:val="bottom"/>
          </w:tcPr>
          <w:p w14:paraId="57022B8B" w14:textId="77777777" w:rsidR="003579EB" w:rsidRDefault="003579EB" w:rsidP="00044CCF">
            <w:pPr>
              <w:pStyle w:val="SingleTxtG"/>
              <w:ind w:left="0" w:right="0"/>
              <w:jc w:val="left"/>
            </w:pPr>
            <w:r w:rsidRPr="00737953">
              <w:rPr>
                <w:lang w:val="fr-FR"/>
              </w:rPr>
              <w:t>Droit à un logement convenable</w:t>
            </w:r>
          </w:p>
        </w:tc>
      </w:tr>
      <w:tr w:rsidR="003579EB" w14:paraId="1C737CF5" w14:textId="77777777" w:rsidTr="00044CCF">
        <w:tc>
          <w:tcPr>
            <w:tcW w:w="3115" w:type="dxa"/>
          </w:tcPr>
          <w:p w14:paraId="766BA499" w14:textId="77777777" w:rsidR="003579EB" w:rsidRDefault="003579EB" w:rsidP="00044CCF">
            <w:pPr>
              <w:pStyle w:val="SingleTxtG"/>
              <w:ind w:left="0" w:right="0"/>
              <w:jc w:val="left"/>
              <w:rPr>
                <w:i/>
              </w:rPr>
            </w:pPr>
            <w:r>
              <w:rPr>
                <w:i/>
              </w:rPr>
              <w:t>Article(s) du Pacte</w:t>
            </w:r>
            <w:r>
              <w:t> :</w:t>
            </w:r>
          </w:p>
        </w:tc>
        <w:tc>
          <w:tcPr>
            <w:tcW w:w="3690" w:type="dxa"/>
            <w:vAlign w:val="bottom"/>
          </w:tcPr>
          <w:p w14:paraId="1A968B87" w14:textId="77777777" w:rsidR="003579EB" w:rsidRDefault="003579EB" w:rsidP="00044CCF">
            <w:pPr>
              <w:pStyle w:val="SingleTxtG"/>
              <w:ind w:left="0" w:right="0"/>
              <w:jc w:val="left"/>
            </w:pPr>
            <w:r w:rsidRPr="00737953">
              <w:rPr>
                <w:lang w:val="fr-FR"/>
              </w:rPr>
              <w:t>11 (par.</w:t>
            </w:r>
            <w:r>
              <w:rPr>
                <w:lang w:val="fr-FR"/>
              </w:rPr>
              <w:t> </w:t>
            </w:r>
            <w:r w:rsidRPr="00737953">
              <w:rPr>
                <w:lang w:val="fr-FR"/>
              </w:rPr>
              <w:t>1)</w:t>
            </w:r>
          </w:p>
        </w:tc>
      </w:tr>
      <w:tr w:rsidR="003579EB" w14:paraId="3A05D0F8" w14:textId="77777777" w:rsidTr="00044CCF">
        <w:tc>
          <w:tcPr>
            <w:tcW w:w="3115" w:type="dxa"/>
          </w:tcPr>
          <w:p w14:paraId="158D7E5A" w14:textId="77777777" w:rsidR="003579EB" w:rsidRPr="00F27E76" w:rsidRDefault="003579EB" w:rsidP="00044CCF">
            <w:pPr>
              <w:pStyle w:val="SingleTxtG"/>
              <w:ind w:left="0" w:right="0"/>
              <w:jc w:val="left"/>
              <w:rPr>
                <w:iCs/>
              </w:rPr>
            </w:pPr>
            <w:r>
              <w:rPr>
                <w:i/>
              </w:rPr>
              <w:t>Article(s) du Protocole facultatif </w:t>
            </w:r>
            <w:r>
              <w:rPr>
                <w:iCs/>
              </w:rPr>
              <w:t>:</w:t>
            </w:r>
          </w:p>
        </w:tc>
        <w:tc>
          <w:tcPr>
            <w:tcW w:w="3690" w:type="dxa"/>
            <w:vAlign w:val="bottom"/>
          </w:tcPr>
          <w:p w14:paraId="7034F0C6" w14:textId="43B5368A" w:rsidR="003579EB" w:rsidRDefault="003579EB" w:rsidP="00044CCF">
            <w:pPr>
              <w:pStyle w:val="SingleTxtG"/>
              <w:ind w:left="0" w:right="0"/>
              <w:jc w:val="left"/>
            </w:pPr>
            <w:r w:rsidRPr="00737953">
              <w:rPr>
                <w:lang w:val="fr-FR"/>
              </w:rPr>
              <w:t>3 (par.</w:t>
            </w:r>
            <w:r>
              <w:rPr>
                <w:lang w:val="fr-FR"/>
              </w:rPr>
              <w:t> </w:t>
            </w:r>
            <w:r w:rsidRPr="00737953">
              <w:rPr>
                <w:lang w:val="fr-FR"/>
              </w:rPr>
              <w:t>1 et 2</w:t>
            </w:r>
            <w:r>
              <w:rPr>
                <w:lang w:val="fr-FR"/>
              </w:rPr>
              <w:t> </w:t>
            </w:r>
            <w:r w:rsidRPr="00737953">
              <w:rPr>
                <w:lang w:val="fr-FR"/>
              </w:rPr>
              <w:t>e))</w:t>
            </w:r>
          </w:p>
        </w:tc>
      </w:tr>
      <w:bookmarkEnd w:id="0"/>
    </w:tbl>
    <w:p w14:paraId="488D2C8E" w14:textId="2232AD7F" w:rsidR="003579EB" w:rsidRDefault="003579EB" w:rsidP="00AC3823"/>
    <w:p w14:paraId="7110EA92" w14:textId="6D8BD50E" w:rsidR="003579EB" w:rsidRDefault="003579EB" w:rsidP="00AC3823">
      <w:r>
        <w:br w:type="page"/>
      </w:r>
    </w:p>
    <w:p w14:paraId="400079EC" w14:textId="4C29EDE4" w:rsidR="003579EB" w:rsidRPr="00737953" w:rsidRDefault="003579EB" w:rsidP="003579EB">
      <w:pPr>
        <w:pStyle w:val="SingleTxtG"/>
        <w:rPr>
          <w:lang w:val="fr-FR"/>
        </w:rPr>
      </w:pPr>
      <w:r w:rsidRPr="00737953">
        <w:rPr>
          <w:lang w:val="fr-FR"/>
        </w:rPr>
        <w:lastRenderedPageBreak/>
        <w:t>1.1</w:t>
      </w:r>
      <w:r w:rsidRPr="00737953">
        <w:rPr>
          <w:lang w:val="fr-FR"/>
        </w:rPr>
        <w:tab/>
        <w:t>L</w:t>
      </w:r>
      <w:r w:rsidR="00EF491F">
        <w:rPr>
          <w:lang w:val="fr-FR"/>
        </w:rPr>
        <w:t>’</w:t>
      </w:r>
      <w:r w:rsidRPr="00737953">
        <w:rPr>
          <w:lang w:val="fr-FR"/>
        </w:rPr>
        <w:t>auteure de la communication est Gladis Patricia Loor Chila, de nationalités espagnole et équatorienne, née le 10</w:t>
      </w:r>
      <w:r>
        <w:rPr>
          <w:lang w:val="fr-FR"/>
        </w:rPr>
        <w:t> </w:t>
      </w:r>
      <w:r w:rsidRPr="00737953">
        <w:rPr>
          <w:lang w:val="fr-FR"/>
        </w:rPr>
        <w:t>octobre 1966. Elle agit en son nom propre et au nom de ses petits-enfants mineurs, nés respectivement le 11</w:t>
      </w:r>
      <w:r>
        <w:rPr>
          <w:lang w:val="fr-FR"/>
        </w:rPr>
        <w:t> </w:t>
      </w:r>
      <w:r w:rsidRPr="00737953">
        <w:rPr>
          <w:lang w:val="fr-FR"/>
        </w:rPr>
        <w:t>septembre 2003 et le 2</w:t>
      </w:r>
      <w:r>
        <w:rPr>
          <w:lang w:val="fr-FR"/>
        </w:rPr>
        <w:t> </w:t>
      </w:r>
      <w:r w:rsidRPr="00737953">
        <w:rPr>
          <w:lang w:val="fr-FR"/>
        </w:rPr>
        <w:t>avril 2009, dont elle a la charge. Elle affirme que l</w:t>
      </w:r>
      <w:r w:rsidR="00EF491F">
        <w:rPr>
          <w:lang w:val="fr-FR"/>
        </w:rPr>
        <w:t>’</w:t>
      </w:r>
      <w:r w:rsidRPr="00737953">
        <w:rPr>
          <w:lang w:val="fr-FR"/>
        </w:rPr>
        <w:t>État partie a violé les droits qu</w:t>
      </w:r>
      <w:r w:rsidR="00EF491F">
        <w:rPr>
          <w:lang w:val="fr-FR"/>
        </w:rPr>
        <w:t>’</w:t>
      </w:r>
      <w:r w:rsidRPr="00737953">
        <w:rPr>
          <w:lang w:val="fr-FR"/>
        </w:rPr>
        <w:t>elle et ses petits-enfants tiennent de l</w:t>
      </w:r>
      <w:r w:rsidR="00EF491F">
        <w:rPr>
          <w:lang w:val="fr-FR"/>
        </w:rPr>
        <w:t>’</w:t>
      </w:r>
      <w:r w:rsidRPr="00737953">
        <w:rPr>
          <w:lang w:val="fr-FR"/>
        </w:rPr>
        <w:t>article</w:t>
      </w:r>
      <w:r>
        <w:rPr>
          <w:lang w:val="fr-FR"/>
        </w:rPr>
        <w:t> </w:t>
      </w:r>
      <w:r w:rsidRPr="00737953">
        <w:rPr>
          <w:lang w:val="fr-FR"/>
        </w:rPr>
        <w:t>11 (par.</w:t>
      </w:r>
      <w:r>
        <w:rPr>
          <w:lang w:val="fr-FR"/>
        </w:rPr>
        <w:t> </w:t>
      </w:r>
      <w:r w:rsidRPr="00737953">
        <w:rPr>
          <w:lang w:val="fr-FR"/>
        </w:rPr>
        <w:t>1) du Pacte. Le Protocole facultatif est entré en vigueur pour l</w:t>
      </w:r>
      <w:r w:rsidR="00EF491F">
        <w:rPr>
          <w:lang w:val="fr-FR"/>
        </w:rPr>
        <w:t>’</w:t>
      </w:r>
      <w:r w:rsidRPr="00737953">
        <w:rPr>
          <w:lang w:val="fr-FR"/>
        </w:rPr>
        <w:t>État partie le 5</w:t>
      </w:r>
      <w:r>
        <w:rPr>
          <w:lang w:val="fr-FR"/>
        </w:rPr>
        <w:t> </w:t>
      </w:r>
      <w:r w:rsidRPr="00737953">
        <w:rPr>
          <w:lang w:val="fr-FR"/>
        </w:rPr>
        <w:t>mai 2013. L</w:t>
      </w:r>
      <w:r w:rsidR="00EF491F">
        <w:rPr>
          <w:lang w:val="fr-FR"/>
        </w:rPr>
        <w:t>’</w:t>
      </w:r>
      <w:r w:rsidRPr="00737953">
        <w:rPr>
          <w:lang w:val="fr-FR"/>
        </w:rPr>
        <w:t>auteure est représentée par un conseil.</w:t>
      </w:r>
    </w:p>
    <w:p w14:paraId="6D52241B" w14:textId="54D78E9F" w:rsidR="003579EB" w:rsidRPr="00737953" w:rsidRDefault="003579EB" w:rsidP="003579EB">
      <w:pPr>
        <w:pStyle w:val="SingleTxtG"/>
        <w:rPr>
          <w:lang w:val="fr-FR"/>
        </w:rPr>
      </w:pPr>
      <w:r w:rsidRPr="00737953">
        <w:rPr>
          <w:lang w:val="fr-FR"/>
        </w:rPr>
        <w:t>1.2</w:t>
      </w:r>
      <w:r w:rsidRPr="00737953">
        <w:rPr>
          <w:lang w:val="fr-FR"/>
        </w:rPr>
        <w:tab/>
        <w:t>Le 5</w:t>
      </w:r>
      <w:r>
        <w:rPr>
          <w:lang w:val="fr-FR"/>
        </w:rPr>
        <w:t> </w:t>
      </w:r>
      <w:r w:rsidRPr="00737953">
        <w:rPr>
          <w:lang w:val="fr-FR"/>
        </w:rPr>
        <w:t>février 2019, le Comité, agissant par l</w:t>
      </w:r>
      <w:r w:rsidR="00EF491F">
        <w:rPr>
          <w:lang w:val="fr-FR"/>
        </w:rPr>
        <w:t>’</w:t>
      </w:r>
      <w:r w:rsidRPr="00737953">
        <w:rPr>
          <w:lang w:val="fr-FR"/>
        </w:rPr>
        <w:t>intermédiaire de son Groupe de travail chargé des communications émanant de particuliers, a enregistré la communication et, prenant note de l</w:t>
      </w:r>
      <w:r w:rsidR="00EF491F">
        <w:rPr>
          <w:lang w:val="fr-FR"/>
        </w:rPr>
        <w:t>’</w:t>
      </w:r>
      <w:r w:rsidRPr="00737953">
        <w:rPr>
          <w:lang w:val="fr-FR"/>
        </w:rPr>
        <w:t>imminence de l</w:t>
      </w:r>
      <w:r w:rsidR="00EF491F">
        <w:rPr>
          <w:lang w:val="fr-FR"/>
        </w:rPr>
        <w:t>’</w:t>
      </w:r>
      <w:r w:rsidRPr="00737953">
        <w:rPr>
          <w:lang w:val="fr-FR"/>
        </w:rPr>
        <w:t>expulsion et des allégations selon lesquelles aucune solution de relogement n</w:t>
      </w:r>
      <w:r w:rsidR="00EF491F">
        <w:rPr>
          <w:lang w:val="fr-FR"/>
        </w:rPr>
        <w:t>’</w:t>
      </w:r>
      <w:r w:rsidRPr="00737953">
        <w:rPr>
          <w:lang w:val="fr-FR"/>
        </w:rPr>
        <w:t>était proposée et le risque de préjudice irréparable était bien réel, a demandé à l</w:t>
      </w:r>
      <w:r w:rsidR="00EF491F">
        <w:rPr>
          <w:lang w:val="fr-FR"/>
        </w:rPr>
        <w:t>’</w:t>
      </w:r>
      <w:r w:rsidRPr="00737953">
        <w:rPr>
          <w:lang w:val="fr-FR"/>
        </w:rPr>
        <w:t>État partie de surseoir à l</w:t>
      </w:r>
      <w:r w:rsidR="00EF491F">
        <w:rPr>
          <w:lang w:val="fr-FR"/>
        </w:rPr>
        <w:t>’</w:t>
      </w:r>
      <w:r w:rsidRPr="00737953">
        <w:rPr>
          <w:lang w:val="fr-FR"/>
        </w:rPr>
        <w:t>expulsion de l</w:t>
      </w:r>
      <w:r w:rsidR="00EF491F">
        <w:rPr>
          <w:lang w:val="fr-FR"/>
        </w:rPr>
        <w:t>’</w:t>
      </w:r>
      <w:r w:rsidRPr="00737953">
        <w:rPr>
          <w:lang w:val="fr-FR"/>
        </w:rPr>
        <w:t>auteure tant que la communication serait à l</w:t>
      </w:r>
      <w:r w:rsidR="00EF491F">
        <w:rPr>
          <w:lang w:val="fr-FR"/>
        </w:rPr>
        <w:t>’</w:t>
      </w:r>
      <w:r w:rsidRPr="00737953">
        <w:rPr>
          <w:lang w:val="fr-FR"/>
        </w:rPr>
        <w:t>examen ou, à défaut, d</w:t>
      </w:r>
      <w:r w:rsidR="00EF491F">
        <w:rPr>
          <w:lang w:val="fr-FR"/>
        </w:rPr>
        <w:t>’</w:t>
      </w:r>
      <w:r w:rsidRPr="00737953">
        <w:rPr>
          <w:lang w:val="fr-FR"/>
        </w:rPr>
        <w:t>attribuer un logement convenable à l</w:t>
      </w:r>
      <w:r w:rsidR="00EF491F">
        <w:rPr>
          <w:lang w:val="fr-FR"/>
        </w:rPr>
        <w:t>’</w:t>
      </w:r>
      <w:r w:rsidRPr="00737953">
        <w:rPr>
          <w:lang w:val="fr-FR"/>
        </w:rPr>
        <w:t>auteure, après l</w:t>
      </w:r>
      <w:r w:rsidR="00EF491F">
        <w:rPr>
          <w:lang w:val="fr-FR"/>
        </w:rPr>
        <w:t>’</w:t>
      </w:r>
      <w:r w:rsidRPr="00737953">
        <w:rPr>
          <w:lang w:val="fr-FR"/>
        </w:rPr>
        <w:t>avoir dûment consultée, afin qu</w:t>
      </w:r>
      <w:r w:rsidR="00EF491F">
        <w:rPr>
          <w:lang w:val="fr-FR"/>
        </w:rPr>
        <w:t>’</w:t>
      </w:r>
      <w:r>
        <w:rPr>
          <w:lang w:val="fr-FR"/>
        </w:rPr>
        <w:t>ell</w:t>
      </w:r>
      <w:r w:rsidRPr="00737953">
        <w:rPr>
          <w:lang w:val="fr-FR"/>
        </w:rPr>
        <w:t>e et ses petits-enfants ne subissent pas un préjudice irréparable.</w:t>
      </w:r>
    </w:p>
    <w:p w14:paraId="034003B1" w14:textId="2035AEB5" w:rsidR="003579EB" w:rsidRPr="00737953" w:rsidRDefault="003579EB" w:rsidP="003579EB">
      <w:pPr>
        <w:pStyle w:val="SingleTxtG"/>
        <w:rPr>
          <w:lang w:val="fr-FR"/>
        </w:rPr>
      </w:pPr>
      <w:r w:rsidRPr="00737953">
        <w:rPr>
          <w:lang w:val="fr-FR"/>
        </w:rPr>
        <w:t>1.3</w:t>
      </w:r>
      <w:r w:rsidRPr="00737953">
        <w:rPr>
          <w:lang w:val="fr-FR"/>
        </w:rPr>
        <w:tab/>
        <w:t>Dans l</w:t>
      </w:r>
      <w:r>
        <w:rPr>
          <w:lang w:val="fr-FR"/>
        </w:rPr>
        <w:t>a</w:t>
      </w:r>
      <w:r w:rsidRPr="00737953">
        <w:rPr>
          <w:lang w:val="fr-FR"/>
        </w:rPr>
        <w:t xml:space="preserve"> présente </w:t>
      </w:r>
      <w:r>
        <w:rPr>
          <w:lang w:val="fr-FR"/>
        </w:rPr>
        <w:t>décision</w:t>
      </w:r>
      <w:r w:rsidRPr="00737953">
        <w:rPr>
          <w:lang w:val="fr-FR"/>
        </w:rPr>
        <w:t>, le Comité fait d</w:t>
      </w:r>
      <w:r w:rsidR="00EF491F">
        <w:rPr>
          <w:lang w:val="fr-FR"/>
        </w:rPr>
        <w:t>’</w:t>
      </w:r>
      <w:r w:rsidRPr="00737953">
        <w:rPr>
          <w:lang w:val="fr-FR"/>
        </w:rPr>
        <w:t>abord la synthèse des renseignements fournis et des arguments avancés par les parties, sans exprimer ses vues</w:t>
      </w:r>
      <w:r>
        <w:rPr>
          <w:lang w:val="fr-FR"/>
        </w:rPr>
        <w:t> ;</w:t>
      </w:r>
      <w:r w:rsidRPr="00737953">
        <w:rPr>
          <w:lang w:val="fr-FR"/>
        </w:rPr>
        <w:t xml:space="preserve"> il</w:t>
      </w:r>
      <w:r>
        <w:rPr>
          <w:lang w:val="fr-FR"/>
        </w:rPr>
        <w:t> </w:t>
      </w:r>
      <w:r w:rsidRPr="00737953">
        <w:rPr>
          <w:lang w:val="fr-FR"/>
        </w:rPr>
        <w:t>examine ensuite les questions de recevabilité que la communication soulève</w:t>
      </w:r>
      <w:r>
        <w:rPr>
          <w:lang w:val="fr-FR"/>
        </w:rPr>
        <w:t> ;</w:t>
      </w:r>
      <w:r w:rsidRPr="00737953">
        <w:rPr>
          <w:lang w:val="fr-FR"/>
        </w:rPr>
        <w:t xml:space="preserve"> enfin, il expose ses conclusions.</w:t>
      </w:r>
    </w:p>
    <w:p w14:paraId="49DA55B9" w14:textId="77777777" w:rsidR="003579EB" w:rsidRPr="00737953" w:rsidRDefault="003579EB" w:rsidP="003579EB">
      <w:pPr>
        <w:pStyle w:val="H1G"/>
        <w:rPr>
          <w:lang w:val="fr-FR"/>
        </w:rPr>
      </w:pPr>
      <w:r w:rsidRPr="00737953">
        <w:rPr>
          <w:lang w:val="fr-FR"/>
        </w:rPr>
        <w:tab/>
        <w:t>A.</w:t>
      </w:r>
      <w:r w:rsidRPr="00737953">
        <w:rPr>
          <w:lang w:val="fr-FR"/>
        </w:rPr>
        <w:tab/>
        <w:t>Résumé des renseignements et des arguments présentés par les parties</w:t>
      </w:r>
    </w:p>
    <w:p w14:paraId="58176B6E" w14:textId="77777777" w:rsidR="003579EB" w:rsidRPr="00737953" w:rsidRDefault="003579EB" w:rsidP="003579EB">
      <w:pPr>
        <w:pStyle w:val="H23G"/>
        <w:rPr>
          <w:lang w:val="fr-FR"/>
        </w:rPr>
      </w:pPr>
      <w:r w:rsidRPr="00737953">
        <w:rPr>
          <w:lang w:val="fr-FR"/>
        </w:rPr>
        <w:tab/>
      </w:r>
      <w:r w:rsidRPr="00737953">
        <w:rPr>
          <w:lang w:val="fr-FR"/>
        </w:rPr>
        <w:tab/>
        <w:t>Exposé des faits</w:t>
      </w:r>
      <w:r w:rsidRPr="00F27E76">
        <w:rPr>
          <w:rStyle w:val="Appelnotedebasdep"/>
          <w:b w:val="0"/>
          <w:bCs/>
        </w:rPr>
        <w:footnoteReference w:id="3"/>
      </w:r>
    </w:p>
    <w:p w14:paraId="158147E9" w14:textId="2465F576" w:rsidR="003579EB" w:rsidRPr="00737953" w:rsidRDefault="003579EB" w:rsidP="003579EB">
      <w:pPr>
        <w:pStyle w:val="H4G"/>
        <w:rPr>
          <w:b/>
          <w:lang w:val="fr-FR"/>
        </w:rPr>
      </w:pPr>
      <w:r w:rsidRPr="00737953">
        <w:rPr>
          <w:lang w:val="fr-FR"/>
        </w:rPr>
        <w:tab/>
      </w:r>
      <w:r w:rsidRPr="00737953">
        <w:rPr>
          <w:lang w:val="fr-FR"/>
        </w:rPr>
        <w:tab/>
      </w:r>
      <w:bookmarkStart w:id="1" w:name="OLE_LINK3"/>
      <w:bookmarkStart w:id="2" w:name="OLE_LINK4"/>
      <w:r w:rsidRPr="00737953">
        <w:rPr>
          <w:lang w:val="fr-FR"/>
        </w:rPr>
        <w:t>Faits antérieurs à l</w:t>
      </w:r>
      <w:r w:rsidR="00EF491F">
        <w:rPr>
          <w:lang w:val="fr-FR"/>
        </w:rPr>
        <w:t>’</w:t>
      </w:r>
      <w:r w:rsidRPr="00737953">
        <w:rPr>
          <w:lang w:val="fr-FR"/>
        </w:rPr>
        <w:t>enregistrement de la communication</w:t>
      </w:r>
    </w:p>
    <w:bookmarkEnd w:id="1"/>
    <w:bookmarkEnd w:id="2"/>
    <w:p w14:paraId="1BB06D2B" w14:textId="2201BA91" w:rsidR="003579EB" w:rsidRPr="00737953" w:rsidRDefault="003579EB" w:rsidP="003579EB">
      <w:pPr>
        <w:pStyle w:val="SingleTxtG"/>
        <w:rPr>
          <w:lang w:val="fr-FR"/>
        </w:rPr>
      </w:pPr>
      <w:r w:rsidRPr="00737953">
        <w:rPr>
          <w:lang w:val="fr-FR"/>
        </w:rPr>
        <w:t>2.1</w:t>
      </w:r>
      <w:r w:rsidRPr="00737953">
        <w:rPr>
          <w:lang w:val="fr-FR"/>
        </w:rPr>
        <w:tab/>
        <w:t>À une date indéterminée entre août 2017 et février 2018, l</w:t>
      </w:r>
      <w:r w:rsidR="00EF491F">
        <w:rPr>
          <w:lang w:val="fr-FR"/>
        </w:rPr>
        <w:t>’</w:t>
      </w:r>
      <w:r w:rsidRPr="00737953">
        <w:rPr>
          <w:lang w:val="fr-FR"/>
        </w:rPr>
        <w:t>auteure a commencé à occuper illégalement un logement</w:t>
      </w:r>
      <w:r w:rsidRPr="00CC043C">
        <w:rPr>
          <w:rStyle w:val="Appelnotedebasdep"/>
        </w:rPr>
        <w:footnoteReference w:id="4"/>
      </w:r>
      <w:r w:rsidRPr="00737953">
        <w:rPr>
          <w:lang w:val="fr-FR"/>
        </w:rPr>
        <w:t>.</w:t>
      </w:r>
    </w:p>
    <w:p w14:paraId="5A58D4F3" w14:textId="173B4D25" w:rsidR="003579EB" w:rsidRPr="00737953" w:rsidRDefault="003579EB" w:rsidP="003579EB">
      <w:pPr>
        <w:pStyle w:val="SingleTxtG"/>
        <w:rPr>
          <w:lang w:val="fr-FR"/>
        </w:rPr>
      </w:pPr>
      <w:r w:rsidRPr="00737953">
        <w:rPr>
          <w:lang w:val="fr-FR"/>
        </w:rPr>
        <w:t>2.2</w:t>
      </w:r>
      <w:r w:rsidRPr="00737953">
        <w:rPr>
          <w:lang w:val="fr-FR"/>
        </w:rPr>
        <w:tab/>
        <w:t>Le 6</w:t>
      </w:r>
      <w:r>
        <w:rPr>
          <w:lang w:val="fr-FR"/>
        </w:rPr>
        <w:t> </w:t>
      </w:r>
      <w:r w:rsidRPr="00737953">
        <w:rPr>
          <w:lang w:val="fr-FR"/>
        </w:rPr>
        <w:t>février 2018, le fonds propriétaire du logement a engagé contre l</w:t>
      </w:r>
      <w:r w:rsidR="00EF491F">
        <w:rPr>
          <w:lang w:val="fr-FR"/>
        </w:rPr>
        <w:t>’</w:t>
      </w:r>
      <w:r w:rsidRPr="00737953">
        <w:rPr>
          <w:lang w:val="fr-FR"/>
        </w:rPr>
        <w:t>auteure une procédure d</w:t>
      </w:r>
      <w:r w:rsidR="00EF491F">
        <w:rPr>
          <w:lang w:val="fr-FR"/>
        </w:rPr>
        <w:t>’</w:t>
      </w:r>
      <w:r w:rsidRPr="00737953">
        <w:rPr>
          <w:lang w:val="fr-FR"/>
        </w:rPr>
        <w:t>expulsion pour occupation à titre précaire</w:t>
      </w:r>
      <w:r w:rsidRPr="00CC043C">
        <w:rPr>
          <w:rStyle w:val="Appelnotedebasdep"/>
        </w:rPr>
        <w:footnoteReference w:id="5"/>
      </w:r>
      <w:r w:rsidRPr="00737953">
        <w:rPr>
          <w:lang w:val="fr-FR"/>
        </w:rPr>
        <w:t xml:space="preserve"> afin de reprendre possession du logement. Le 27</w:t>
      </w:r>
      <w:r>
        <w:rPr>
          <w:lang w:val="fr-FR"/>
        </w:rPr>
        <w:t> </w:t>
      </w:r>
      <w:r w:rsidRPr="00737953">
        <w:rPr>
          <w:lang w:val="fr-FR"/>
        </w:rPr>
        <w:t xml:space="preserve">juin 2018, le tribunal de première instance </w:t>
      </w:r>
      <w:r w:rsidRPr="00C93ACD">
        <w:rPr>
          <w:rFonts w:eastAsia="MS Mincho"/>
          <w:lang w:val="fr-FR"/>
        </w:rPr>
        <w:t>n</w:t>
      </w:r>
      <w:r w:rsidRPr="00C93ACD">
        <w:rPr>
          <w:rFonts w:eastAsia="MS Mincho"/>
          <w:vertAlign w:val="superscript"/>
          <w:lang w:val="fr-FR"/>
        </w:rPr>
        <w:t>o</w:t>
      </w:r>
      <w:r>
        <w:rPr>
          <w:lang w:val="fr-FR"/>
        </w:rPr>
        <w:t> </w:t>
      </w:r>
      <w:r w:rsidRPr="00737953">
        <w:rPr>
          <w:lang w:val="fr-FR"/>
        </w:rPr>
        <w:t xml:space="preserve">8 de Rubí (Barcelone) a </w:t>
      </w:r>
      <w:r>
        <w:rPr>
          <w:lang w:val="fr-FR"/>
        </w:rPr>
        <w:t>donné gain de cause au plaignant</w:t>
      </w:r>
      <w:r w:rsidRPr="00737953">
        <w:rPr>
          <w:lang w:val="fr-FR"/>
        </w:rPr>
        <w:t>, considérant qu</w:t>
      </w:r>
      <w:r w:rsidR="00EF491F">
        <w:rPr>
          <w:lang w:val="fr-FR"/>
        </w:rPr>
        <w:t>’</w:t>
      </w:r>
      <w:r>
        <w:rPr>
          <w:lang w:val="fr-FR"/>
        </w:rPr>
        <w:t>i</w:t>
      </w:r>
      <w:r w:rsidRPr="00737953">
        <w:rPr>
          <w:lang w:val="fr-FR"/>
        </w:rPr>
        <w:t>l avait dûment démontré sa qualité de propriétaire du bien en cause, et attendu que la défenderesse n</w:t>
      </w:r>
      <w:r w:rsidR="00EF491F">
        <w:rPr>
          <w:lang w:val="fr-FR"/>
        </w:rPr>
        <w:t>’</w:t>
      </w:r>
      <w:r w:rsidRPr="00737953">
        <w:rPr>
          <w:lang w:val="fr-FR"/>
        </w:rPr>
        <w:t>avait produit aucun élément permettant d</w:t>
      </w:r>
      <w:r w:rsidR="00EF491F">
        <w:rPr>
          <w:lang w:val="fr-FR"/>
        </w:rPr>
        <w:t>’</w:t>
      </w:r>
      <w:r w:rsidRPr="00737953">
        <w:rPr>
          <w:lang w:val="fr-FR"/>
        </w:rPr>
        <w:t>établir qu</w:t>
      </w:r>
      <w:r w:rsidR="00EF491F">
        <w:rPr>
          <w:lang w:val="fr-FR"/>
        </w:rPr>
        <w:t>’</w:t>
      </w:r>
      <w:r w:rsidRPr="00737953">
        <w:rPr>
          <w:lang w:val="fr-FR"/>
        </w:rPr>
        <w:t>elle détenait un titre ou un droit d</w:t>
      </w:r>
      <w:r w:rsidR="00EF491F">
        <w:rPr>
          <w:lang w:val="fr-FR"/>
        </w:rPr>
        <w:t>’</w:t>
      </w:r>
      <w:r w:rsidRPr="00737953">
        <w:rPr>
          <w:lang w:val="fr-FR"/>
        </w:rPr>
        <w:t xml:space="preserve">occupation. Le tribunal a donc </w:t>
      </w:r>
      <w:r>
        <w:rPr>
          <w:lang w:val="fr-FR"/>
        </w:rPr>
        <w:t>ordonné</w:t>
      </w:r>
      <w:r w:rsidRPr="00737953">
        <w:rPr>
          <w:lang w:val="fr-FR"/>
        </w:rPr>
        <w:t xml:space="preserve"> l</w:t>
      </w:r>
      <w:r w:rsidR="00EF491F">
        <w:rPr>
          <w:lang w:val="fr-FR"/>
        </w:rPr>
        <w:t>’</w:t>
      </w:r>
      <w:r w:rsidRPr="00737953">
        <w:rPr>
          <w:lang w:val="fr-FR"/>
        </w:rPr>
        <w:t xml:space="preserve">expulsion et </w:t>
      </w:r>
      <w:r>
        <w:rPr>
          <w:lang w:val="fr-FR"/>
        </w:rPr>
        <w:t>décidé que celle-ci aurait lieu le</w:t>
      </w:r>
      <w:r w:rsidRPr="00737953">
        <w:rPr>
          <w:lang w:val="fr-FR"/>
        </w:rPr>
        <w:t xml:space="preserve"> 25</w:t>
      </w:r>
      <w:r>
        <w:rPr>
          <w:lang w:val="fr-FR"/>
        </w:rPr>
        <w:t> </w:t>
      </w:r>
      <w:r w:rsidRPr="00737953">
        <w:rPr>
          <w:lang w:val="fr-FR"/>
        </w:rPr>
        <w:t xml:space="preserve">septembre 2018, </w:t>
      </w:r>
      <w:r>
        <w:rPr>
          <w:lang w:val="fr-FR"/>
        </w:rPr>
        <w:t>si</w:t>
      </w:r>
      <w:r w:rsidRPr="00737953">
        <w:rPr>
          <w:lang w:val="fr-FR"/>
        </w:rPr>
        <w:t xml:space="preserve"> </w:t>
      </w:r>
      <w:r>
        <w:rPr>
          <w:lang w:val="fr-FR"/>
        </w:rPr>
        <w:t xml:space="preserve">entre-temps </w:t>
      </w:r>
      <w:r w:rsidRPr="00737953">
        <w:rPr>
          <w:lang w:val="fr-FR"/>
        </w:rPr>
        <w:t>l</w:t>
      </w:r>
      <w:r w:rsidR="00EF491F">
        <w:rPr>
          <w:lang w:val="fr-FR"/>
        </w:rPr>
        <w:t>’</w:t>
      </w:r>
      <w:r w:rsidRPr="00737953">
        <w:rPr>
          <w:lang w:val="fr-FR"/>
        </w:rPr>
        <w:t>auteure n</w:t>
      </w:r>
      <w:r w:rsidR="00EF491F">
        <w:rPr>
          <w:lang w:val="fr-FR"/>
        </w:rPr>
        <w:t>’</w:t>
      </w:r>
      <w:r w:rsidRPr="00737953">
        <w:rPr>
          <w:lang w:val="fr-FR"/>
        </w:rPr>
        <w:t>a</w:t>
      </w:r>
      <w:r>
        <w:rPr>
          <w:lang w:val="fr-FR"/>
        </w:rPr>
        <w:t>v</w:t>
      </w:r>
      <w:r w:rsidRPr="00737953">
        <w:rPr>
          <w:lang w:val="fr-FR"/>
        </w:rPr>
        <w:t xml:space="preserve">ait pas libéré le logement et </w:t>
      </w:r>
      <w:r>
        <w:rPr>
          <w:lang w:val="fr-FR"/>
        </w:rPr>
        <w:t xml:space="preserve">si </w:t>
      </w:r>
      <w:r w:rsidRPr="00737953">
        <w:rPr>
          <w:lang w:val="fr-FR"/>
        </w:rPr>
        <w:t xml:space="preserve">le jugement devenait </w:t>
      </w:r>
      <w:r>
        <w:rPr>
          <w:lang w:val="fr-FR"/>
        </w:rPr>
        <w:t>définitif</w:t>
      </w:r>
      <w:r w:rsidRPr="00737953">
        <w:rPr>
          <w:lang w:val="fr-FR"/>
        </w:rPr>
        <w:t>. L</w:t>
      </w:r>
      <w:r w:rsidR="00EF491F">
        <w:rPr>
          <w:lang w:val="fr-FR"/>
        </w:rPr>
        <w:t>’</w:t>
      </w:r>
      <w:r w:rsidRPr="00737953">
        <w:rPr>
          <w:lang w:val="fr-FR"/>
        </w:rPr>
        <w:t>auteure a fait appel du jugement rendu</w:t>
      </w:r>
      <w:r w:rsidRPr="00CC043C">
        <w:rPr>
          <w:rStyle w:val="Appelnotedebasdep"/>
        </w:rPr>
        <w:footnoteReference w:id="6"/>
      </w:r>
      <w:r w:rsidRPr="00737953">
        <w:rPr>
          <w:lang w:val="fr-FR"/>
        </w:rPr>
        <w:t>.</w:t>
      </w:r>
    </w:p>
    <w:p w14:paraId="1CEE4F50" w14:textId="62BB7294" w:rsidR="003579EB" w:rsidRPr="00737953" w:rsidRDefault="003579EB" w:rsidP="003579EB">
      <w:pPr>
        <w:pStyle w:val="SingleTxtG"/>
        <w:rPr>
          <w:lang w:val="fr-FR"/>
        </w:rPr>
      </w:pPr>
      <w:r w:rsidRPr="00737953">
        <w:rPr>
          <w:lang w:val="fr-FR"/>
        </w:rPr>
        <w:t>2.3</w:t>
      </w:r>
      <w:r w:rsidRPr="00737953">
        <w:rPr>
          <w:lang w:val="fr-FR"/>
        </w:rPr>
        <w:tab/>
        <w:t>Le 25</w:t>
      </w:r>
      <w:r>
        <w:rPr>
          <w:lang w:val="fr-FR"/>
        </w:rPr>
        <w:t> </w:t>
      </w:r>
      <w:r w:rsidRPr="00737953">
        <w:rPr>
          <w:lang w:val="fr-FR"/>
        </w:rPr>
        <w:t xml:space="preserve">octobre 2018, le tribunal de première instance </w:t>
      </w:r>
      <w:r w:rsidRPr="00213794">
        <w:rPr>
          <w:rFonts w:eastAsia="MS Mincho"/>
          <w:lang w:val="fr-FR"/>
        </w:rPr>
        <w:t>n</w:t>
      </w:r>
      <w:r w:rsidRPr="00213794">
        <w:rPr>
          <w:rFonts w:eastAsia="MS Mincho"/>
          <w:vertAlign w:val="superscript"/>
          <w:lang w:val="fr-FR"/>
        </w:rPr>
        <w:t>o</w:t>
      </w:r>
      <w:r>
        <w:rPr>
          <w:lang w:val="fr-FR"/>
        </w:rPr>
        <w:t> </w:t>
      </w:r>
      <w:r w:rsidRPr="00737953">
        <w:rPr>
          <w:lang w:val="fr-FR"/>
        </w:rPr>
        <w:t>8 de Rubí a fait droit à la demande introduite par le fonds propriétaire</w:t>
      </w:r>
      <w:r>
        <w:rPr>
          <w:lang w:val="fr-FR"/>
        </w:rPr>
        <w:t xml:space="preserve"> du logement</w:t>
      </w:r>
      <w:r w:rsidRPr="00737953">
        <w:rPr>
          <w:lang w:val="fr-FR"/>
        </w:rPr>
        <w:t xml:space="preserve"> aux fins de l</w:t>
      </w:r>
      <w:r w:rsidR="00EF491F">
        <w:rPr>
          <w:lang w:val="fr-FR"/>
        </w:rPr>
        <w:t>’</w:t>
      </w:r>
      <w:r w:rsidRPr="00737953">
        <w:rPr>
          <w:lang w:val="fr-FR"/>
        </w:rPr>
        <w:t>exécution provisoire du jugement dans l</w:t>
      </w:r>
      <w:r w:rsidR="00EF491F">
        <w:rPr>
          <w:lang w:val="fr-FR"/>
        </w:rPr>
        <w:t>’</w:t>
      </w:r>
      <w:r w:rsidRPr="00737953">
        <w:rPr>
          <w:lang w:val="fr-FR"/>
        </w:rPr>
        <w:t>attente de la décision de la juridiction d</w:t>
      </w:r>
      <w:r w:rsidR="00EF491F">
        <w:rPr>
          <w:lang w:val="fr-FR"/>
        </w:rPr>
        <w:t>’</w:t>
      </w:r>
      <w:r w:rsidRPr="00737953">
        <w:rPr>
          <w:lang w:val="fr-FR"/>
        </w:rPr>
        <w:t xml:space="preserve">appel, </w:t>
      </w:r>
      <w:r>
        <w:rPr>
          <w:lang w:val="fr-FR"/>
        </w:rPr>
        <w:t xml:space="preserve">lequel </w:t>
      </w:r>
      <w:r w:rsidRPr="00737953">
        <w:rPr>
          <w:lang w:val="fr-FR"/>
        </w:rPr>
        <w:t>ordonna</w:t>
      </w:r>
      <w:r>
        <w:rPr>
          <w:lang w:val="fr-FR"/>
        </w:rPr>
        <w:t>i</w:t>
      </w:r>
      <w:r w:rsidRPr="00737953">
        <w:rPr>
          <w:lang w:val="fr-FR"/>
        </w:rPr>
        <w:t>t à l</w:t>
      </w:r>
      <w:r w:rsidR="00EF491F">
        <w:rPr>
          <w:lang w:val="fr-FR"/>
        </w:rPr>
        <w:t>’</w:t>
      </w:r>
      <w:r w:rsidRPr="00737953">
        <w:rPr>
          <w:lang w:val="fr-FR"/>
        </w:rPr>
        <w:t>auteure de libérer le logement, faute de quoi elle serait expulsée le 9</w:t>
      </w:r>
      <w:r>
        <w:rPr>
          <w:lang w:val="fr-FR"/>
        </w:rPr>
        <w:t> </w:t>
      </w:r>
      <w:r w:rsidRPr="00737953">
        <w:rPr>
          <w:lang w:val="fr-FR"/>
        </w:rPr>
        <w:t>janvier 2019. L</w:t>
      </w:r>
      <w:r w:rsidR="00EF491F">
        <w:rPr>
          <w:lang w:val="fr-FR"/>
        </w:rPr>
        <w:t>’</w:t>
      </w:r>
      <w:r w:rsidRPr="00737953">
        <w:rPr>
          <w:lang w:val="fr-FR"/>
        </w:rPr>
        <w:t>auteure a introduit un recours pour contester l</w:t>
      </w:r>
      <w:r w:rsidR="00EF491F">
        <w:rPr>
          <w:lang w:val="fr-FR"/>
        </w:rPr>
        <w:t>’</w:t>
      </w:r>
      <w:r w:rsidRPr="00737953">
        <w:rPr>
          <w:lang w:val="fr-FR"/>
        </w:rPr>
        <w:t>exécution provisoire. Le 17</w:t>
      </w:r>
      <w:r>
        <w:rPr>
          <w:lang w:val="fr-FR"/>
        </w:rPr>
        <w:t> </w:t>
      </w:r>
      <w:r w:rsidRPr="00737953">
        <w:rPr>
          <w:lang w:val="fr-FR"/>
        </w:rPr>
        <w:t xml:space="preserve">décembre 2018, le tribunal de première instance </w:t>
      </w:r>
      <w:r w:rsidRPr="00213794">
        <w:rPr>
          <w:rFonts w:eastAsia="MS Mincho"/>
          <w:lang w:val="fr-FR"/>
        </w:rPr>
        <w:t>n</w:t>
      </w:r>
      <w:r w:rsidRPr="00213794">
        <w:rPr>
          <w:rFonts w:eastAsia="MS Mincho"/>
          <w:vertAlign w:val="superscript"/>
          <w:lang w:val="fr-FR"/>
        </w:rPr>
        <w:t>o</w:t>
      </w:r>
      <w:r>
        <w:rPr>
          <w:lang w:val="fr-FR"/>
        </w:rPr>
        <w:t> </w:t>
      </w:r>
      <w:r w:rsidRPr="00737953">
        <w:rPr>
          <w:lang w:val="fr-FR"/>
        </w:rPr>
        <w:t>8 de Rubí a confirmé l</w:t>
      </w:r>
      <w:r w:rsidR="00EF491F">
        <w:rPr>
          <w:lang w:val="fr-FR"/>
        </w:rPr>
        <w:t>’</w:t>
      </w:r>
      <w:r w:rsidRPr="00737953">
        <w:rPr>
          <w:lang w:val="fr-FR"/>
        </w:rPr>
        <w:t xml:space="preserve">exécution provisoire, </w:t>
      </w:r>
      <w:r>
        <w:rPr>
          <w:lang w:val="fr-FR"/>
        </w:rPr>
        <w:t>déclarant</w:t>
      </w:r>
      <w:r w:rsidRPr="00737953">
        <w:rPr>
          <w:lang w:val="fr-FR"/>
        </w:rPr>
        <w:t xml:space="preserve"> que le jugement rendu était sans ambiguïté et qu</w:t>
      </w:r>
      <w:r w:rsidR="00EF491F">
        <w:rPr>
          <w:lang w:val="fr-FR"/>
        </w:rPr>
        <w:t>’</w:t>
      </w:r>
      <w:r w:rsidRPr="00737953">
        <w:rPr>
          <w:lang w:val="fr-FR"/>
        </w:rPr>
        <w:t>il était peu probable que le recours en appel aboutisse, que l</w:t>
      </w:r>
      <w:r w:rsidR="00EF491F">
        <w:rPr>
          <w:lang w:val="fr-FR"/>
        </w:rPr>
        <w:t>’</w:t>
      </w:r>
      <w:r w:rsidRPr="00737953">
        <w:rPr>
          <w:lang w:val="fr-FR"/>
        </w:rPr>
        <w:t xml:space="preserve">auteure </w:t>
      </w:r>
      <w:r>
        <w:rPr>
          <w:lang w:val="fr-FR"/>
        </w:rPr>
        <w:t>bénéficiait de</w:t>
      </w:r>
      <w:r w:rsidRPr="00737953">
        <w:rPr>
          <w:lang w:val="fr-FR"/>
        </w:rPr>
        <w:t xml:space="preserve"> l</w:t>
      </w:r>
      <w:r w:rsidR="00EF491F">
        <w:rPr>
          <w:lang w:val="fr-FR"/>
        </w:rPr>
        <w:t>’</w:t>
      </w:r>
      <w:r w:rsidRPr="00737953">
        <w:rPr>
          <w:lang w:val="fr-FR"/>
        </w:rPr>
        <w:t>aide des services sociaux, et qu</w:t>
      </w:r>
      <w:r w:rsidR="00EF491F">
        <w:rPr>
          <w:lang w:val="fr-FR"/>
        </w:rPr>
        <w:t>’</w:t>
      </w:r>
      <w:r w:rsidRPr="00737953">
        <w:rPr>
          <w:lang w:val="fr-FR"/>
        </w:rPr>
        <w:t>elle aurait toujours la possibilité d</w:t>
      </w:r>
      <w:r w:rsidR="00EF491F">
        <w:rPr>
          <w:lang w:val="fr-FR"/>
        </w:rPr>
        <w:t>’</w:t>
      </w:r>
      <w:r w:rsidRPr="00737953">
        <w:rPr>
          <w:lang w:val="fr-FR"/>
        </w:rPr>
        <w:t>occuper de nouveau le logement en question si elle obtenait gain de cause en appel.</w:t>
      </w:r>
    </w:p>
    <w:p w14:paraId="7D656C27" w14:textId="4646515F" w:rsidR="003579EB" w:rsidRPr="00737953" w:rsidRDefault="003579EB" w:rsidP="003579EB">
      <w:pPr>
        <w:pStyle w:val="SingleTxtG"/>
        <w:rPr>
          <w:lang w:val="fr-FR"/>
        </w:rPr>
      </w:pPr>
      <w:r w:rsidRPr="00737953">
        <w:rPr>
          <w:lang w:val="fr-FR"/>
        </w:rPr>
        <w:lastRenderedPageBreak/>
        <w:t>2.4</w:t>
      </w:r>
      <w:r w:rsidRPr="00737953">
        <w:rPr>
          <w:lang w:val="fr-FR"/>
        </w:rPr>
        <w:tab/>
        <w:t>Le 3</w:t>
      </w:r>
      <w:r>
        <w:rPr>
          <w:lang w:val="fr-FR"/>
        </w:rPr>
        <w:t> </w:t>
      </w:r>
      <w:r w:rsidRPr="00737953">
        <w:rPr>
          <w:lang w:val="fr-FR"/>
        </w:rPr>
        <w:t xml:space="preserve">janvier 2019, le tribunal de première instance </w:t>
      </w:r>
      <w:r w:rsidRPr="00F44DBF">
        <w:rPr>
          <w:rFonts w:eastAsia="MS Mincho"/>
          <w:lang w:val="fr-FR"/>
        </w:rPr>
        <w:t>n</w:t>
      </w:r>
      <w:r w:rsidRPr="00F44DBF">
        <w:rPr>
          <w:rFonts w:eastAsia="MS Mincho"/>
          <w:vertAlign w:val="superscript"/>
          <w:lang w:val="fr-FR"/>
        </w:rPr>
        <w:t>o</w:t>
      </w:r>
      <w:r>
        <w:rPr>
          <w:lang w:val="fr-FR"/>
        </w:rPr>
        <w:t> </w:t>
      </w:r>
      <w:r w:rsidRPr="00737953">
        <w:rPr>
          <w:lang w:val="fr-FR"/>
        </w:rPr>
        <w:t>8 de Rubí a demandé aux services sociaux d</w:t>
      </w:r>
      <w:r w:rsidR="00EF491F">
        <w:rPr>
          <w:lang w:val="fr-FR"/>
        </w:rPr>
        <w:t>’</w:t>
      </w:r>
      <w:r w:rsidRPr="00737953">
        <w:rPr>
          <w:lang w:val="fr-FR"/>
        </w:rPr>
        <w:t>établir un rapport d</w:t>
      </w:r>
      <w:r w:rsidR="00EF491F">
        <w:rPr>
          <w:lang w:val="fr-FR"/>
        </w:rPr>
        <w:t>’</w:t>
      </w:r>
      <w:r w:rsidRPr="00737953">
        <w:rPr>
          <w:lang w:val="fr-FR"/>
        </w:rPr>
        <w:t>évaluation du risque social et de proposer des mesures permettant d</w:t>
      </w:r>
      <w:r w:rsidR="00EF491F">
        <w:rPr>
          <w:lang w:val="fr-FR"/>
        </w:rPr>
        <w:t>’</w:t>
      </w:r>
      <w:r w:rsidRPr="00737953">
        <w:rPr>
          <w:lang w:val="fr-FR"/>
        </w:rPr>
        <w:t>écarter ce risque. Le 7</w:t>
      </w:r>
      <w:r>
        <w:rPr>
          <w:lang w:val="fr-FR"/>
        </w:rPr>
        <w:t> </w:t>
      </w:r>
      <w:r w:rsidRPr="00737953">
        <w:rPr>
          <w:lang w:val="fr-FR"/>
        </w:rPr>
        <w:t>janvier 2019, les services sociaux et l</w:t>
      </w:r>
      <w:r w:rsidR="00EF491F">
        <w:rPr>
          <w:lang w:val="fr-FR"/>
        </w:rPr>
        <w:t>’</w:t>
      </w:r>
      <w:r w:rsidRPr="00737953">
        <w:rPr>
          <w:lang w:val="fr-FR"/>
        </w:rPr>
        <w:t>auteure ont demandé la suspension de l</w:t>
      </w:r>
      <w:r w:rsidR="00EF491F">
        <w:rPr>
          <w:lang w:val="fr-FR"/>
        </w:rPr>
        <w:t>’</w:t>
      </w:r>
      <w:r w:rsidRPr="00737953">
        <w:rPr>
          <w:lang w:val="fr-FR"/>
        </w:rPr>
        <w:t xml:space="preserve">expulsion compte tenu de la présence de mineurs et faute de solution de relogement. </w:t>
      </w:r>
      <w:r>
        <w:rPr>
          <w:lang w:val="fr-FR"/>
        </w:rPr>
        <w:t>À</w:t>
      </w:r>
      <w:r w:rsidRPr="00737953">
        <w:rPr>
          <w:lang w:val="fr-FR"/>
        </w:rPr>
        <w:t xml:space="preserve"> la même date, le tribunal de première instance </w:t>
      </w:r>
      <w:r w:rsidRPr="00304508">
        <w:rPr>
          <w:rFonts w:eastAsia="MS Mincho"/>
          <w:lang w:val="fr-FR"/>
        </w:rPr>
        <w:t>n</w:t>
      </w:r>
      <w:r w:rsidRPr="00304508">
        <w:rPr>
          <w:rFonts w:eastAsia="MS Mincho"/>
          <w:vertAlign w:val="superscript"/>
          <w:lang w:val="fr-FR"/>
        </w:rPr>
        <w:t>o</w:t>
      </w:r>
      <w:r>
        <w:rPr>
          <w:lang w:val="fr-FR"/>
        </w:rPr>
        <w:t> </w:t>
      </w:r>
      <w:r w:rsidRPr="00737953">
        <w:rPr>
          <w:lang w:val="fr-FR"/>
        </w:rPr>
        <w:t>8 de Rubí a décidé de ne pas reporter l</w:t>
      </w:r>
      <w:r w:rsidR="00EF491F">
        <w:rPr>
          <w:lang w:val="fr-FR"/>
        </w:rPr>
        <w:t>’</w:t>
      </w:r>
      <w:r w:rsidRPr="00737953">
        <w:rPr>
          <w:lang w:val="fr-FR"/>
        </w:rPr>
        <w:t>expulsion, le délai prévu par l</w:t>
      </w:r>
      <w:r w:rsidR="00EF491F">
        <w:rPr>
          <w:lang w:val="fr-FR"/>
        </w:rPr>
        <w:t>’</w:t>
      </w:r>
      <w:r w:rsidRPr="00737953">
        <w:rPr>
          <w:lang w:val="fr-FR"/>
        </w:rPr>
        <w:t>article</w:t>
      </w:r>
      <w:r>
        <w:rPr>
          <w:lang w:val="fr-FR"/>
        </w:rPr>
        <w:t> </w:t>
      </w:r>
      <w:r w:rsidRPr="00737953">
        <w:rPr>
          <w:lang w:val="fr-FR"/>
        </w:rPr>
        <w:t>704 de la loi de procédure civile (un mois renouvelable une fois) ayant déjà été dépassé.</w:t>
      </w:r>
    </w:p>
    <w:p w14:paraId="36F307EF" w14:textId="642EB708" w:rsidR="003579EB" w:rsidRPr="00737953" w:rsidRDefault="003579EB" w:rsidP="003579EB">
      <w:pPr>
        <w:pStyle w:val="SingleTxtG"/>
        <w:rPr>
          <w:lang w:val="fr-FR"/>
        </w:rPr>
      </w:pPr>
      <w:r w:rsidRPr="00737953">
        <w:rPr>
          <w:lang w:val="fr-FR"/>
        </w:rPr>
        <w:t>2.5</w:t>
      </w:r>
      <w:r w:rsidRPr="00737953">
        <w:rPr>
          <w:lang w:val="fr-FR"/>
        </w:rPr>
        <w:tab/>
        <w:t>Le 9</w:t>
      </w:r>
      <w:r>
        <w:rPr>
          <w:lang w:val="fr-FR"/>
        </w:rPr>
        <w:t> </w:t>
      </w:r>
      <w:r w:rsidRPr="00737953">
        <w:rPr>
          <w:lang w:val="fr-FR"/>
        </w:rPr>
        <w:t>janvier 2019, l</w:t>
      </w:r>
      <w:r w:rsidR="00EF491F">
        <w:rPr>
          <w:lang w:val="fr-FR"/>
        </w:rPr>
        <w:t>’</w:t>
      </w:r>
      <w:r w:rsidRPr="00737953">
        <w:rPr>
          <w:lang w:val="fr-FR"/>
        </w:rPr>
        <w:t>auteure n</w:t>
      </w:r>
      <w:r w:rsidR="00EF491F">
        <w:rPr>
          <w:lang w:val="fr-FR"/>
        </w:rPr>
        <w:t>’</w:t>
      </w:r>
      <w:r w:rsidRPr="00737953">
        <w:rPr>
          <w:lang w:val="fr-FR"/>
        </w:rPr>
        <w:t>avait pas libéré le logement</w:t>
      </w:r>
      <w:r>
        <w:rPr>
          <w:lang w:val="fr-FR"/>
        </w:rPr>
        <w:t> ;</w:t>
      </w:r>
      <w:r w:rsidRPr="00737953">
        <w:rPr>
          <w:lang w:val="fr-FR"/>
        </w:rPr>
        <w:t xml:space="preserve"> l</w:t>
      </w:r>
      <w:r w:rsidR="00EF491F">
        <w:rPr>
          <w:lang w:val="fr-FR"/>
        </w:rPr>
        <w:t>’</w:t>
      </w:r>
      <w:r w:rsidRPr="00737953">
        <w:rPr>
          <w:lang w:val="fr-FR"/>
        </w:rPr>
        <w:t>expulsion n</w:t>
      </w:r>
      <w:r w:rsidR="00EF491F">
        <w:rPr>
          <w:lang w:val="fr-FR"/>
        </w:rPr>
        <w:t>’</w:t>
      </w:r>
      <w:r w:rsidRPr="00737953">
        <w:rPr>
          <w:lang w:val="fr-FR"/>
        </w:rPr>
        <w:t>a toutefois pas eu lieu, la commission judiciaire n</w:t>
      </w:r>
      <w:r w:rsidR="00EF491F">
        <w:rPr>
          <w:lang w:val="fr-FR"/>
        </w:rPr>
        <w:t>’</w:t>
      </w:r>
      <w:r w:rsidRPr="00737953">
        <w:rPr>
          <w:lang w:val="fr-FR"/>
        </w:rPr>
        <w:t>ayant pu bénéficier du concours des forces de l</w:t>
      </w:r>
      <w:r w:rsidR="00EF491F">
        <w:rPr>
          <w:lang w:val="fr-FR"/>
        </w:rPr>
        <w:t>’</w:t>
      </w:r>
      <w:r w:rsidRPr="00737953">
        <w:rPr>
          <w:lang w:val="fr-FR"/>
        </w:rPr>
        <w:t>ordre</w:t>
      </w:r>
      <w:r w:rsidRPr="00CC043C">
        <w:rPr>
          <w:rStyle w:val="Appelnotedebasdep"/>
        </w:rPr>
        <w:footnoteReference w:id="7"/>
      </w:r>
      <w:r w:rsidRPr="00737953">
        <w:rPr>
          <w:lang w:val="fr-FR"/>
        </w:rPr>
        <w:t>. Le 10</w:t>
      </w:r>
      <w:r>
        <w:rPr>
          <w:lang w:val="fr-FR"/>
        </w:rPr>
        <w:t> </w:t>
      </w:r>
      <w:r w:rsidRPr="00737953">
        <w:rPr>
          <w:lang w:val="fr-FR"/>
        </w:rPr>
        <w:t>janvier 2019, la nouvelle date de l</w:t>
      </w:r>
      <w:r w:rsidR="00EF491F">
        <w:rPr>
          <w:lang w:val="fr-FR"/>
        </w:rPr>
        <w:t>’</w:t>
      </w:r>
      <w:r w:rsidRPr="00737953">
        <w:rPr>
          <w:lang w:val="fr-FR"/>
        </w:rPr>
        <w:t>expulsion a été fixée au 6</w:t>
      </w:r>
      <w:r>
        <w:rPr>
          <w:lang w:val="fr-FR"/>
        </w:rPr>
        <w:t> </w:t>
      </w:r>
      <w:r w:rsidRPr="00737953">
        <w:rPr>
          <w:lang w:val="fr-FR"/>
        </w:rPr>
        <w:t>février 2019.</w:t>
      </w:r>
    </w:p>
    <w:p w14:paraId="248427BB" w14:textId="35138DB4" w:rsidR="003579EB" w:rsidRPr="00737953" w:rsidRDefault="003579EB" w:rsidP="003579EB">
      <w:pPr>
        <w:pStyle w:val="H4G"/>
        <w:rPr>
          <w:b/>
          <w:lang w:val="fr-FR"/>
        </w:rPr>
      </w:pPr>
      <w:r>
        <w:rPr>
          <w:lang w:val="fr-FR"/>
        </w:rPr>
        <w:tab/>
      </w:r>
      <w:r>
        <w:rPr>
          <w:lang w:val="fr-FR"/>
        </w:rPr>
        <w:tab/>
      </w:r>
      <w:r w:rsidRPr="00737953">
        <w:rPr>
          <w:lang w:val="fr-FR"/>
        </w:rPr>
        <w:t>Faits postérieurs à l</w:t>
      </w:r>
      <w:r w:rsidR="00EF491F">
        <w:rPr>
          <w:lang w:val="fr-FR"/>
        </w:rPr>
        <w:t>’</w:t>
      </w:r>
      <w:r w:rsidRPr="00737953">
        <w:rPr>
          <w:lang w:val="fr-FR"/>
        </w:rPr>
        <w:t>enregistrement de la communication</w:t>
      </w:r>
    </w:p>
    <w:p w14:paraId="7CF4E47B" w14:textId="189E0377" w:rsidR="003579EB" w:rsidRPr="00737953" w:rsidRDefault="003579EB" w:rsidP="003579EB">
      <w:pPr>
        <w:pStyle w:val="SingleTxtG"/>
        <w:rPr>
          <w:lang w:val="fr-FR"/>
        </w:rPr>
      </w:pPr>
      <w:r w:rsidRPr="00737953">
        <w:rPr>
          <w:lang w:val="fr-FR"/>
        </w:rPr>
        <w:t>2.6</w:t>
      </w:r>
      <w:r w:rsidRPr="00737953">
        <w:rPr>
          <w:lang w:val="fr-FR"/>
        </w:rPr>
        <w:tab/>
        <w:t>Le 5</w:t>
      </w:r>
      <w:r>
        <w:rPr>
          <w:lang w:val="fr-FR"/>
        </w:rPr>
        <w:t> </w:t>
      </w:r>
      <w:r w:rsidRPr="00737953">
        <w:rPr>
          <w:lang w:val="fr-FR"/>
        </w:rPr>
        <w:t xml:space="preserve">février 2019, les services sociaux ont informé le tribunal de première instance </w:t>
      </w:r>
      <w:r w:rsidRPr="00304508">
        <w:rPr>
          <w:rFonts w:eastAsia="MS Mincho"/>
          <w:lang w:val="fr-FR"/>
        </w:rPr>
        <w:t>n</w:t>
      </w:r>
      <w:r w:rsidRPr="00304508">
        <w:rPr>
          <w:rFonts w:eastAsia="MS Mincho"/>
          <w:vertAlign w:val="superscript"/>
          <w:lang w:val="fr-FR"/>
        </w:rPr>
        <w:t>o</w:t>
      </w:r>
      <w:r>
        <w:rPr>
          <w:lang w:val="fr-FR"/>
        </w:rPr>
        <w:t> </w:t>
      </w:r>
      <w:r w:rsidRPr="00737953">
        <w:rPr>
          <w:lang w:val="fr-FR"/>
        </w:rPr>
        <w:t>8 de Rubí que leur présence ne serait pas nécessaire le jour de l</w:t>
      </w:r>
      <w:r w:rsidR="00EF491F">
        <w:rPr>
          <w:lang w:val="fr-FR"/>
        </w:rPr>
        <w:t>’</w:t>
      </w:r>
      <w:r w:rsidRPr="00737953">
        <w:rPr>
          <w:lang w:val="fr-FR"/>
        </w:rPr>
        <w:t>expulsion, puisque l</w:t>
      </w:r>
      <w:r w:rsidR="00EF491F">
        <w:rPr>
          <w:lang w:val="fr-FR"/>
        </w:rPr>
        <w:t>’</w:t>
      </w:r>
      <w:r w:rsidRPr="00737953">
        <w:rPr>
          <w:lang w:val="fr-FR"/>
        </w:rPr>
        <w:t>auteure, aidée par des amis, avait pu trouver une solution de relogement temporaire. Le</w:t>
      </w:r>
      <w:r>
        <w:rPr>
          <w:lang w:val="fr-FR"/>
        </w:rPr>
        <w:t> </w:t>
      </w:r>
      <w:r w:rsidRPr="00737953">
        <w:rPr>
          <w:lang w:val="fr-FR"/>
        </w:rPr>
        <w:t>6</w:t>
      </w:r>
      <w:r>
        <w:rPr>
          <w:lang w:val="fr-FR"/>
        </w:rPr>
        <w:t> </w:t>
      </w:r>
      <w:r w:rsidRPr="00737953">
        <w:rPr>
          <w:lang w:val="fr-FR"/>
        </w:rPr>
        <w:t>février 2019 à 13</w:t>
      </w:r>
      <w:r>
        <w:rPr>
          <w:lang w:val="fr-FR"/>
        </w:rPr>
        <w:t> </w:t>
      </w:r>
      <w:r w:rsidRPr="00737953">
        <w:rPr>
          <w:lang w:val="fr-FR"/>
        </w:rPr>
        <w:t>heures, une commission judiciaire s</w:t>
      </w:r>
      <w:r w:rsidR="00EF491F">
        <w:rPr>
          <w:lang w:val="fr-FR"/>
        </w:rPr>
        <w:t>’</w:t>
      </w:r>
      <w:r w:rsidRPr="00737953">
        <w:rPr>
          <w:lang w:val="fr-FR"/>
        </w:rPr>
        <w:t>est présentée pour procéder à l</w:t>
      </w:r>
      <w:r w:rsidR="00EF491F">
        <w:rPr>
          <w:lang w:val="fr-FR"/>
        </w:rPr>
        <w:t>’</w:t>
      </w:r>
      <w:r w:rsidRPr="00737953">
        <w:rPr>
          <w:lang w:val="fr-FR"/>
        </w:rPr>
        <w:t>expulsion</w:t>
      </w:r>
      <w:r>
        <w:rPr>
          <w:lang w:val="fr-FR"/>
        </w:rPr>
        <w:t> ;</w:t>
      </w:r>
      <w:r w:rsidRPr="00737953">
        <w:rPr>
          <w:lang w:val="fr-FR"/>
        </w:rPr>
        <w:t xml:space="preserve"> elle a trouvé le logement </w:t>
      </w:r>
      <w:r>
        <w:rPr>
          <w:lang w:val="fr-FR"/>
        </w:rPr>
        <w:t>vide</w:t>
      </w:r>
      <w:r w:rsidRPr="00737953">
        <w:rPr>
          <w:lang w:val="fr-FR"/>
        </w:rPr>
        <w:t>, a constaté la présence de quelques meubles et effets personnels, mais aucune trace d</w:t>
      </w:r>
      <w:r w:rsidR="00EF491F">
        <w:rPr>
          <w:lang w:val="fr-FR"/>
        </w:rPr>
        <w:t>’</w:t>
      </w:r>
      <w:r w:rsidRPr="00737953">
        <w:rPr>
          <w:lang w:val="fr-FR"/>
        </w:rPr>
        <w:t>éventuels occupants.</w:t>
      </w:r>
    </w:p>
    <w:p w14:paraId="59EE41B0" w14:textId="77777777" w:rsidR="003579EB" w:rsidRPr="00737953" w:rsidRDefault="003579EB" w:rsidP="003579EB">
      <w:pPr>
        <w:pStyle w:val="H23G"/>
        <w:rPr>
          <w:lang w:val="fr-FR"/>
        </w:rPr>
      </w:pPr>
      <w:r w:rsidRPr="00737953">
        <w:rPr>
          <w:lang w:val="fr-FR"/>
        </w:rPr>
        <w:tab/>
      </w:r>
      <w:r w:rsidRPr="00737953">
        <w:rPr>
          <w:lang w:val="fr-FR"/>
        </w:rPr>
        <w:tab/>
        <w:t>Teneur de la plainte</w:t>
      </w:r>
    </w:p>
    <w:p w14:paraId="245AD248" w14:textId="3E91340C" w:rsidR="003579EB" w:rsidRPr="00737953" w:rsidRDefault="003579EB" w:rsidP="003579EB">
      <w:pPr>
        <w:pStyle w:val="SingleTxtG"/>
        <w:rPr>
          <w:lang w:val="fr-FR"/>
        </w:rPr>
      </w:pPr>
      <w:r w:rsidRPr="00737953">
        <w:rPr>
          <w:lang w:val="fr-FR"/>
        </w:rPr>
        <w:t>3.1</w:t>
      </w:r>
      <w:r w:rsidRPr="00737953">
        <w:rPr>
          <w:lang w:val="fr-FR"/>
        </w:rPr>
        <w:tab/>
        <w:t>L</w:t>
      </w:r>
      <w:r w:rsidR="00EF491F">
        <w:rPr>
          <w:lang w:val="fr-FR"/>
        </w:rPr>
        <w:t>’</w:t>
      </w:r>
      <w:r w:rsidRPr="00737953">
        <w:rPr>
          <w:lang w:val="fr-FR"/>
        </w:rPr>
        <w:t>auteure affirme que son expulsion est une mesure disproportionnée, contraire à l</w:t>
      </w:r>
      <w:r w:rsidR="00EF491F">
        <w:rPr>
          <w:lang w:val="fr-FR"/>
        </w:rPr>
        <w:t>’</w:t>
      </w:r>
      <w:r w:rsidRPr="00737953">
        <w:rPr>
          <w:lang w:val="fr-FR"/>
        </w:rPr>
        <w:t>article</w:t>
      </w:r>
      <w:r>
        <w:rPr>
          <w:lang w:val="fr-FR"/>
        </w:rPr>
        <w:t> </w:t>
      </w:r>
      <w:r w:rsidRPr="00737953">
        <w:rPr>
          <w:lang w:val="fr-FR"/>
        </w:rPr>
        <w:t>25 (par.</w:t>
      </w:r>
      <w:r>
        <w:rPr>
          <w:lang w:val="fr-FR"/>
        </w:rPr>
        <w:t> </w:t>
      </w:r>
      <w:r w:rsidRPr="00737953">
        <w:rPr>
          <w:lang w:val="fr-FR"/>
        </w:rPr>
        <w:t>1) de la Déclaration universelle des droits de l</w:t>
      </w:r>
      <w:r w:rsidR="00EF491F">
        <w:rPr>
          <w:lang w:val="fr-FR"/>
        </w:rPr>
        <w:t>’</w:t>
      </w:r>
      <w:r w:rsidRPr="00737953">
        <w:rPr>
          <w:lang w:val="fr-FR"/>
        </w:rPr>
        <w:t>homme, à l</w:t>
      </w:r>
      <w:r w:rsidR="00EF491F">
        <w:rPr>
          <w:lang w:val="fr-FR"/>
        </w:rPr>
        <w:t>’</w:t>
      </w:r>
      <w:r w:rsidRPr="00737953">
        <w:rPr>
          <w:lang w:val="fr-FR"/>
        </w:rPr>
        <w:t>article</w:t>
      </w:r>
      <w:r>
        <w:rPr>
          <w:lang w:val="fr-FR"/>
        </w:rPr>
        <w:t> </w:t>
      </w:r>
      <w:r w:rsidRPr="00737953">
        <w:rPr>
          <w:lang w:val="fr-FR"/>
        </w:rPr>
        <w:t>9 de la Convention relative aux droits de l</w:t>
      </w:r>
      <w:r w:rsidR="00EF491F">
        <w:rPr>
          <w:lang w:val="fr-FR"/>
        </w:rPr>
        <w:t>’</w:t>
      </w:r>
      <w:r w:rsidRPr="00737953">
        <w:rPr>
          <w:lang w:val="fr-FR"/>
        </w:rPr>
        <w:t xml:space="preserve">enfant, </w:t>
      </w:r>
      <w:r>
        <w:rPr>
          <w:lang w:val="fr-FR"/>
        </w:rPr>
        <w:t xml:space="preserve">à </w:t>
      </w:r>
      <w:r w:rsidRPr="00737953">
        <w:rPr>
          <w:lang w:val="fr-FR"/>
        </w:rPr>
        <w:t>l</w:t>
      </w:r>
      <w:r w:rsidR="00EF491F">
        <w:rPr>
          <w:lang w:val="fr-FR"/>
        </w:rPr>
        <w:t>’</w:t>
      </w:r>
      <w:r w:rsidRPr="00737953">
        <w:rPr>
          <w:lang w:val="fr-FR"/>
        </w:rPr>
        <w:t>article</w:t>
      </w:r>
      <w:r>
        <w:rPr>
          <w:lang w:val="fr-FR"/>
        </w:rPr>
        <w:t> </w:t>
      </w:r>
      <w:r w:rsidRPr="00737953">
        <w:rPr>
          <w:lang w:val="fr-FR"/>
        </w:rPr>
        <w:t>8 de la Convention européenne des droits de l</w:t>
      </w:r>
      <w:r w:rsidR="00EF491F">
        <w:rPr>
          <w:lang w:val="fr-FR"/>
        </w:rPr>
        <w:t>’</w:t>
      </w:r>
      <w:r w:rsidRPr="00737953">
        <w:rPr>
          <w:lang w:val="fr-FR"/>
        </w:rPr>
        <w:t xml:space="preserve">homme, </w:t>
      </w:r>
      <w:r>
        <w:rPr>
          <w:lang w:val="fr-FR"/>
        </w:rPr>
        <w:t xml:space="preserve">à </w:t>
      </w:r>
      <w:r w:rsidRPr="00737953">
        <w:rPr>
          <w:lang w:val="fr-FR"/>
        </w:rPr>
        <w:t>l</w:t>
      </w:r>
      <w:r w:rsidR="00EF491F">
        <w:rPr>
          <w:lang w:val="fr-FR"/>
        </w:rPr>
        <w:t>’</w:t>
      </w:r>
      <w:r w:rsidRPr="00737953">
        <w:rPr>
          <w:lang w:val="fr-FR"/>
        </w:rPr>
        <w:t>article</w:t>
      </w:r>
      <w:r>
        <w:rPr>
          <w:lang w:val="fr-FR"/>
        </w:rPr>
        <w:t> </w:t>
      </w:r>
      <w:r w:rsidRPr="00737953">
        <w:rPr>
          <w:lang w:val="fr-FR"/>
        </w:rPr>
        <w:t>11 (par.</w:t>
      </w:r>
      <w:r>
        <w:rPr>
          <w:lang w:val="fr-FR"/>
        </w:rPr>
        <w:t> </w:t>
      </w:r>
      <w:r w:rsidRPr="00737953">
        <w:rPr>
          <w:lang w:val="fr-FR"/>
        </w:rPr>
        <w:t xml:space="preserve">1) du Pacte et </w:t>
      </w:r>
      <w:r>
        <w:rPr>
          <w:lang w:val="fr-FR"/>
        </w:rPr>
        <w:t xml:space="preserve">à </w:t>
      </w:r>
      <w:r w:rsidRPr="00737953">
        <w:rPr>
          <w:lang w:val="fr-FR"/>
        </w:rPr>
        <w:t>l</w:t>
      </w:r>
      <w:r w:rsidR="00EF491F">
        <w:rPr>
          <w:lang w:val="fr-FR"/>
        </w:rPr>
        <w:t>’</w:t>
      </w:r>
      <w:r w:rsidRPr="00737953">
        <w:rPr>
          <w:lang w:val="fr-FR"/>
        </w:rPr>
        <w:t>article</w:t>
      </w:r>
      <w:r>
        <w:rPr>
          <w:lang w:val="fr-FR"/>
        </w:rPr>
        <w:t> </w:t>
      </w:r>
      <w:r w:rsidRPr="00737953">
        <w:rPr>
          <w:lang w:val="fr-FR"/>
        </w:rPr>
        <w:t>47 de la Constitution espagnole.</w:t>
      </w:r>
    </w:p>
    <w:p w14:paraId="4B41E9B9" w14:textId="064E2EC4" w:rsidR="003579EB" w:rsidRPr="00737953" w:rsidRDefault="003579EB" w:rsidP="003579EB">
      <w:pPr>
        <w:pStyle w:val="SingleTxtG"/>
        <w:rPr>
          <w:lang w:val="fr-FR"/>
        </w:rPr>
      </w:pPr>
      <w:r w:rsidRPr="00737953">
        <w:rPr>
          <w:lang w:val="fr-FR"/>
        </w:rPr>
        <w:t>3.2</w:t>
      </w:r>
      <w:r w:rsidRPr="00737953">
        <w:rPr>
          <w:lang w:val="fr-FR"/>
        </w:rPr>
        <w:tab/>
        <w:t>L</w:t>
      </w:r>
      <w:r w:rsidR="00EF491F">
        <w:rPr>
          <w:lang w:val="fr-FR"/>
        </w:rPr>
        <w:t>’</w:t>
      </w:r>
      <w:r w:rsidRPr="00737953">
        <w:rPr>
          <w:lang w:val="fr-FR"/>
        </w:rPr>
        <w:t>auteure estime que, puisque l</w:t>
      </w:r>
      <w:r w:rsidR="00EF491F">
        <w:rPr>
          <w:lang w:val="fr-FR"/>
        </w:rPr>
        <w:t>’</w:t>
      </w:r>
      <w:r w:rsidRPr="00737953">
        <w:rPr>
          <w:lang w:val="fr-FR"/>
        </w:rPr>
        <w:t>administration publique elle-même considère que sa famille risque l</w:t>
      </w:r>
      <w:r w:rsidR="00EF491F">
        <w:rPr>
          <w:lang w:val="fr-FR"/>
        </w:rPr>
        <w:t>’</w:t>
      </w:r>
      <w:r w:rsidRPr="00737953">
        <w:rPr>
          <w:lang w:val="fr-FR"/>
        </w:rPr>
        <w:t>exclusion en matière de logement et qu</w:t>
      </w:r>
      <w:r w:rsidR="00EF491F">
        <w:rPr>
          <w:lang w:val="fr-FR"/>
        </w:rPr>
        <w:t>’</w:t>
      </w:r>
      <w:r w:rsidRPr="00737953">
        <w:rPr>
          <w:lang w:val="fr-FR"/>
        </w:rPr>
        <w:t xml:space="preserve">elle </w:t>
      </w:r>
      <w:r>
        <w:rPr>
          <w:lang w:val="fr-FR"/>
        </w:rPr>
        <w:t xml:space="preserve">pourrait sous peu </w:t>
      </w:r>
      <w:r w:rsidRPr="00737953">
        <w:rPr>
          <w:lang w:val="fr-FR"/>
        </w:rPr>
        <w:t>se retrouve</w:t>
      </w:r>
      <w:r>
        <w:rPr>
          <w:lang w:val="fr-FR"/>
        </w:rPr>
        <w:t>r</w:t>
      </w:r>
      <w:r w:rsidRPr="00737953">
        <w:rPr>
          <w:lang w:val="fr-FR"/>
        </w:rPr>
        <w:t xml:space="preserve"> sans domicile, ses revenus n</w:t>
      </w:r>
      <w:r w:rsidR="00EF491F">
        <w:rPr>
          <w:lang w:val="fr-FR"/>
        </w:rPr>
        <w:t>’</w:t>
      </w:r>
      <w:r w:rsidRPr="00737953">
        <w:rPr>
          <w:lang w:val="fr-FR"/>
        </w:rPr>
        <w:t>étant pas suffisants pour lui permettre d</w:t>
      </w:r>
      <w:r w:rsidR="00EF491F">
        <w:rPr>
          <w:lang w:val="fr-FR"/>
        </w:rPr>
        <w:t>’</w:t>
      </w:r>
      <w:r w:rsidRPr="00737953">
        <w:rPr>
          <w:lang w:val="fr-FR"/>
        </w:rPr>
        <w:t>accéder au marché privé du logement, il est incohérent qu</w:t>
      </w:r>
      <w:r w:rsidR="00EF491F">
        <w:rPr>
          <w:lang w:val="fr-FR"/>
        </w:rPr>
        <w:t>’</w:t>
      </w:r>
      <w:r w:rsidRPr="00737953">
        <w:rPr>
          <w:lang w:val="fr-FR"/>
        </w:rPr>
        <w:t>une autre autorité de cette même administration ait ordonné qu</w:t>
      </w:r>
      <w:r w:rsidR="00EF491F">
        <w:rPr>
          <w:lang w:val="fr-FR"/>
        </w:rPr>
        <w:t>’</w:t>
      </w:r>
      <w:r w:rsidRPr="00737953">
        <w:rPr>
          <w:lang w:val="fr-FR"/>
        </w:rPr>
        <w:t>elle soit expulsée. L</w:t>
      </w:r>
      <w:r w:rsidR="00EF491F">
        <w:rPr>
          <w:lang w:val="fr-FR"/>
        </w:rPr>
        <w:t>’</w:t>
      </w:r>
      <w:r w:rsidRPr="00737953">
        <w:rPr>
          <w:lang w:val="fr-FR"/>
        </w:rPr>
        <w:t>auteure affirme que ses revenus se limitent au montant de l</w:t>
      </w:r>
      <w:r w:rsidR="00EF491F">
        <w:rPr>
          <w:lang w:val="fr-FR"/>
        </w:rPr>
        <w:t>’</w:t>
      </w:r>
      <w:r w:rsidRPr="00737953">
        <w:rPr>
          <w:lang w:val="fr-FR"/>
        </w:rPr>
        <w:t>allocation qu</w:t>
      </w:r>
      <w:r w:rsidR="00EF491F">
        <w:rPr>
          <w:lang w:val="fr-FR"/>
        </w:rPr>
        <w:t>’</w:t>
      </w:r>
      <w:r w:rsidRPr="00737953">
        <w:rPr>
          <w:lang w:val="fr-FR"/>
        </w:rPr>
        <w:t>elle reçoit au titre de l</w:t>
      </w:r>
      <w:r w:rsidR="00EF491F">
        <w:rPr>
          <w:lang w:val="fr-FR"/>
        </w:rPr>
        <w:t>’</w:t>
      </w:r>
      <w:r w:rsidRPr="00737953">
        <w:rPr>
          <w:lang w:val="fr-FR"/>
        </w:rPr>
        <w:t>entretien des mineurs dont elle a la charge</w:t>
      </w:r>
      <w:r w:rsidRPr="00CC043C">
        <w:rPr>
          <w:rStyle w:val="Appelnotedebasdep"/>
        </w:rPr>
        <w:footnoteReference w:id="8"/>
      </w:r>
      <w:r w:rsidRPr="00737953">
        <w:rPr>
          <w:lang w:val="fr-FR"/>
        </w:rPr>
        <w:t>. Elle souligne à ce propos que sa situation est bien différente de celle du fonds propriétaire</w:t>
      </w:r>
      <w:r>
        <w:rPr>
          <w:lang w:val="fr-FR"/>
        </w:rPr>
        <w:t xml:space="preserve"> du logement</w:t>
      </w:r>
      <w:r w:rsidRPr="00737953">
        <w:rPr>
          <w:lang w:val="fr-FR"/>
        </w:rPr>
        <w:t xml:space="preserve">, </w:t>
      </w:r>
      <w:r>
        <w:rPr>
          <w:lang w:val="fr-FR"/>
        </w:rPr>
        <w:t>qui détient d</w:t>
      </w:r>
      <w:r w:rsidR="00EF491F">
        <w:rPr>
          <w:lang w:val="fr-FR"/>
        </w:rPr>
        <w:t>’</w:t>
      </w:r>
      <w:r>
        <w:rPr>
          <w:lang w:val="fr-FR"/>
        </w:rPr>
        <w:t>importants actifs et</w:t>
      </w:r>
      <w:r w:rsidRPr="00737953">
        <w:rPr>
          <w:lang w:val="fr-FR"/>
        </w:rPr>
        <w:t xml:space="preserve"> n</w:t>
      </w:r>
      <w:r w:rsidR="00EF491F">
        <w:rPr>
          <w:lang w:val="fr-FR"/>
        </w:rPr>
        <w:t>’</w:t>
      </w:r>
      <w:r w:rsidRPr="00737953">
        <w:rPr>
          <w:lang w:val="fr-FR"/>
        </w:rPr>
        <w:t>utilise pas le</w:t>
      </w:r>
      <w:r>
        <w:rPr>
          <w:lang w:val="fr-FR"/>
        </w:rPr>
        <w:t>dit</w:t>
      </w:r>
      <w:r w:rsidRPr="00737953">
        <w:rPr>
          <w:lang w:val="fr-FR"/>
        </w:rPr>
        <w:t xml:space="preserve"> logement, et que, si ce fonds souhaitait mettre </w:t>
      </w:r>
      <w:r>
        <w:rPr>
          <w:lang w:val="fr-FR"/>
        </w:rPr>
        <w:t>celui-ci</w:t>
      </w:r>
      <w:r w:rsidRPr="00737953">
        <w:rPr>
          <w:lang w:val="fr-FR"/>
        </w:rPr>
        <w:t xml:space="preserve"> en location, il pourrait tout à fait le lui louer à elle.</w:t>
      </w:r>
    </w:p>
    <w:p w14:paraId="3AB048AE" w14:textId="71CC8BD0" w:rsidR="003579EB" w:rsidRPr="00737953" w:rsidRDefault="003579EB" w:rsidP="003579EB">
      <w:pPr>
        <w:pStyle w:val="SingleTxtG"/>
        <w:rPr>
          <w:lang w:val="fr-FR"/>
        </w:rPr>
      </w:pPr>
      <w:r w:rsidRPr="00737953">
        <w:rPr>
          <w:lang w:val="fr-FR"/>
        </w:rPr>
        <w:t>3.3</w:t>
      </w:r>
      <w:r w:rsidRPr="00737953">
        <w:rPr>
          <w:lang w:val="fr-FR"/>
        </w:rPr>
        <w:tab/>
        <w:t>L</w:t>
      </w:r>
      <w:r w:rsidR="00EF491F">
        <w:rPr>
          <w:lang w:val="fr-FR"/>
        </w:rPr>
        <w:t>’</w:t>
      </w:r>
      <w:r w:rsidRPr="00737953">
        <w:rPr>
          <w:lang w:val="fr-FR"/>
        </w:rPr>
        <w:t>auteure souligne également que le jugement qui fait l</w:t>
      </w:r>
      <w:r w:rsidR="00EF491F">
        <w:rPr>
          <w:lang w:val="fr-FR"/>
        </w:rPr>
        <w:t>’</w:t>
      </w:r>
      <w:r w:rsidRPr="00737953">
        <w:rPr>
          <w:lang w:val="fr-FR"/>
        </w:rPr>
        <w:t>objet d</w:t>
      </w:r>
      <w:r w:rsidR="00EF491F">
        <w:rPr>
          <w:lang w:val="fr-FR"/>
        </w:rPr>
        <w:t>’</w:t>
      </w:r>
      <w:r w:rsidRPr="00737953">
        <w:rPr>
          <w:lang w:val="fr-FR"/>
        </w:rPr>
        <w:t>une exécution provisoire n</w:t>
      </w:r>
      <w:r w:rsidR="00EF491F">
        <w:rPr>
          <w:lang w:val="fr-FR"/>
        </w:rPr>
        <w:t>’</w:t>
      </w:r>
      <w:r w:rsidRPr="00737953">
        <w:rPr>
          <w:lang w:val="fr-FR"/>
        </w:rPr>
        <w:t>est pas définitif et qu</w:t>
      </w:r>
      <w:r w:rsidR="00EF491F">
        <w:rPr>
          <w:lang w:val="fr-FR"/>
        </w:rPr>
        <w:t>’</w:t>
      </w:r>
      <w:r w:rsidRPr="00737953">
        <w:rPr>
          <w:lang w:val="fr-FR"/>
        </w:rPr>
        <w:t>en l</w:t>
      </w:r>
      <w:r w:rsidR="00EF491F">
        <w:rPr>
          <w:lang w:val="fr-FR"/>
        </w:rPr>
        <w:t>’</w:t>
      </w:r>
      <w:r w:rsidRPr="00737953">
        <w:rPr>
          <w:lang w:val="fr-FR"/>
        </w:rPr>
        <w:t>espèce, il n</w:t>
      </w:r>
      <w:r w:rsidR="00EF491F">
        <w:rPr>
          <w:lang w:val="fr-FR"/>
        </w:rPr>
        <w:t>’</w:t>
      </w:r>
      <w:r w:rsidRPr="00737953">
        <w:rPr>
          <w:lang w:val="fr-FR"/>
        </w:rPr>
        <w:t>est pas urgent pour le fonds propriétaire du logement de récupérer son bien qui, de surcroît, n</w:t>
      </w:r>
      <w:r w:rsidR="00EF491F">
        <w:rPr>
          <w:lang w:val="fr-FR"/>
        </w:rPr>
        <w:t>’</w:t>
      </w:r>
      <w:r w:rsidRPr="00737953">
        <w:rPr>
          <w:lang w:val="fr-FR"/>
        </w:rPr>
        <w:t>est pas fongible et ne perdra pas sa valeur le temps que le jugement devienne définitif.</w:t>
      </w:r>
    </w:p>
    <w:p w14:paraId="17E11953" w14:textId="1A4B8D77" w:rsidR="003579EB" w:rsidRPr="00737953" w:rsidRDefault="003579EB" w:rsidP="003579EB">
      <w:pPr>
        <w:pStyle w:val="SingleTxtG"/>
        <w:rPr>
          <w:lang w:val="fr-FR"/>
        </w:rPr>
      </w:pPr>
      <w:r w:rsidRPr="00737953">
        <w:rPr>
          <w:lang w:val="fr-FR"/>
        </w:rPr>
        <w:t>3.4</w:t>
      </w:r>
      <w:r w:rsidRPr="00737953">
        <w:rPr>
          <w:lang w:val="fr-FR"/>
        </w:rPr>
        <w:tab/>
        <w:t>L</w:t>
      </w:r>
      <w:r w:rsidR="00EF491F">
        <w:rPr>
          <w:lang w:val="fr-FR"/>
        </w:rPr>
        <w:t>’</w:t>
      </w:r>
      <w:r w:rsidRPr="00737953">
        <w:rPr>
          <w:lang w:val="fr-FR"/>
        </w:rPr>
        <w:t xml:space="preserve">auteure estime que son expulsion entraînerait un préjudice grave et irréparable et </w:t>
      </w:r>
      <w:r>
        <w:rPr>
          <w:lang w:val="fr-FR"/>
        </w:rPr>
        <w:t>porterait</w:t>
      </w:r>
      <w:r w:rsidRPr="00737953">
        <w:rPr>
          <w:lang w:val="fr-FR"/>
        </w:rPr>
        <w:t xml:space="preserve"> atteinte à ses droits et à ceux de ses petits-enfants, surtout si on la sépare de </w:t>
      </w:r>
      <w:r>
        <w:rPr>
          <w:lang w:val="fr-FR"/>
        </w:rPr>
        <w:t>ceux</w:t>
      </w:r>
      <w:r>
        <w:rPr>
          <w:lang w:val="fr-FR"/>
        </w:rPr>
        <w:noBreakHyphen/>
        <w:t>ci</w:t>
      </w:r>
      <w:r w:rsidRPr="00737953">
        <w:rPr>
          <w:lang w:val="fr-FR"/>
        </w:rPr>
        <w:t xml:space="preserve"> faute de logement.</w:t>
      </w:r>
    </w:p>
    <w:p w14:paraId="31953E06" w14:textId="210FFDEE" w:rsidR="003579EB" w:rsidRPr="00737953" w:rsidRDefault="003579EB" w:rsidP="003579EB">
      <w:pPr>
        <w:pStyle w:val="H23G"/>
        <w:rPr>
          <w:lang w:val="fr-FR"/>
        </w:rPr>
      </w:pPr>
      <w:r w:rsidRPr="00737953">
        <w:rPr>
          <w:lang w:val="fr-FR"/>
        </w:rPr>
        <w:tab/>
      </w:r>
      <w:r w:rsidRPr="00737953">
        <w:rPr>
          <w:lang w:val="fr-FR"/>
        </w:rPr>
        <w:tab/>
        <w:t>Observations de l</w:t>
      </w:r>
      <w:r w:rsidR="00EF491F">
        <w:rPr>
          <w:lang w:val="fr-FR"/>
        </w:rPr>
        <w:t>’</w:t>
      </w:r>
      <w:r w:rsidRPr="00737953">
        <w:rPr>
          <w:lang w:val="fr-FR"/>
        </w:rPr>
        <w:t>État partie sur la recevabilité et sur le fond</w:t>
      </w:r>
    </w:p>
    <w:p w14:paraId="457940D9" w14:textId="07CB175C" w:rsidR="003579EB" w:rsidRPr="00737953" w:rsidRDefault="003579EB" w:rsidP="003579EB">
      <w:pPr>
        <w:pStyle w:val="SingleTxtG"/>
        <w:rPr>
          <w:lang w:val="fr-FR"/>
        </w:rPr>
      </w:pPr>
      <w:r w:rsidRPr="00737953">
        <w:rPr>
          <w:lang w:val="fr-FR"/>
        </w:rPr>
        <w:t>4.1</w:t>
      </w:r>
      <w:r w:rsidRPr="00737953">
        <w:rPr>
          <w:lang w:val="fr-FR"/>
        </w:rPr>
        <w:tab/>
        <w:t xml:space="preserve">Dans </w:t>
      </w:r>
      <w:r>
        <w:rPr>
          <w:lang w:val="fr-FR"/>
        </w:rPr>
        <w:t>d</w:t>
      </w:r>
      <w:r w:rsidRPr="00737953">
        <w:rPr>
          <w:lang w:val="fr-FR"/>
        </w:rPr>
        <w:t>es observations datées du 3</w:t>
      </w:r>
      <w:r>
        <w:rPr>
          <w:lang w:val="fr-FR"/>
        </w:rPr>
        <w:t> </w:t>
      </w:r>
      <w:r w:rsidRPr="00737953">
        <w:rPr>
          <w:lang w:val="fr-FR"/>
        </w:rPr>
        <w:t>octobre 2019, l</w:t>
      </w:r>
      <w:r w:rsidR="00EF491F">
        <w:rPr>
          <w:lang w:val="fr-FR"/>
        </w:rPr>
        <w:t>’</w:t>
      </w:r>
      <w:r w:rsidRPr="00737953">
        <w:rPr>
          <w:lang w:val="fr-FR"/>
        </w:rPr>
        <w:t>État partie demande au Comité de considérer que la communication est irrecevable ou, à défaut, qu</w:t>
      </w:r>
      <w:r w:rsidR="00EF491F">
        <w:rPr>
          <w:lang w:val="fr-FR"/>
        </w:rPr>
        <w:t>’</w:t>
      </w:r>
      <w:r w:rsidRPr="00737953">
        <w:rPr>
          <w:lang w:val="fr-FR"/>
        </w:rPr>
        <w:t>elle ne met en évidence aucune violation du Pacte.</w:t>
      </w:r>
    </w:p>
    <w:p w14:paraId="57B9A869" w14:textId="41B9761D" w:rsidR="003579EB" w:rsidRPr="00737953" w:rsidRDefault="003579EB" w:rsidP="003579EB">
      <w:pPr>
        <w:pStyle w:val="SingleTxtG"/>
        <w:rPr>
          <w:lang w:val="fr-FR"/>
        </w:rPr>
      </w:pPr>
      <w:r w:rsidRPr="00737953">
        <w:rPr>
          <w:lang w:val="fr-FR"/>
        </w:rPr>
        <w:t>4.2</w:t>
      </w:r>
      <w:r w:rsidRPr="00737953">
        <w:rPr>
          <w:lang w:val="fr-FR"/>
        </w:rPr>
        <w:tab/>
        <w:t>L</w:t>
      </w:r>
      <w:r w:rsidR="00EF491F">
        <w:rPr>
          <w:lang w:val="fr-FR"/>
        </w:rPr>
        <w:t>’</w:t>
      </w:r>
      <w:r w:rsidRPr="00737953">
        <w:rPr>
          <w:lang w:val="fr-FR"/>
        </w:rPr>
        <w:t>État partie fait savoir qu</w:t>
      </w:r>
      <w:r w:rsidR="00EF491F">
        <w:rPr>
          <w:lang w:val="fr-FR"/>
        </w:rPr>
        <w:t>’</w:t>
      </w:r>
      <w:r w:rsidRPr="00737953">
        <w:rPr>
          <w:lang w:val="fr-FR"/>
        </w:rPr>
        <w:t>il ressort de l</w:t>
      </w:r>
      <w:r w:rsidR="00EF491F">
        <w:rPr>
          <w:lang w:val="fr-FR"/>
        </w:rPr>
        <w:t>’</w:t>
      </w:r>
      <w:r w:rsidRPr="00737953">
        <w:rPr>
          <w:lang w:val="fr-FR"/>
        </w:rPr>
        <w:t>ordonnance du 6</w:t>
      </w:r>
      <w:r>
        <w:rPr>
          <w:lang w:val="fr-FR"/>
        </w:rPr>
        <w:t> </w:t>
      </w:r>
      <w:r w:rsidRPr="00737953">
        <w:rPr>
          <w:lang w:val="fr-FR"/>
        </w:rPr>
        <w:t>février 2019, versée au dossier judiciaire que</w:t>
      </w:r>
      <w:r>
        <w:rPr>
          <w:lang w:val="fr-FR"/>
        </w:rPr>
        <w:t>,</w:t>
      </w:r>
      <w:r w:rsidRPr="00737953">
        <w:rPr>
          <w:lang w:val="fr-FR"/>
        </w:rPr>
        <w:t xml:space="preserve"> d</w:t>
      </w:r>
      <w:r w:rsidR="00EF491F">
        <w:rPr>
          <w:lang w:val="fr-FR"/>
        </w:rPr>
        <w:t>’</w:t>
      </w:r>
      <w:r w:rsidRPr="00737953">
        <w:rPr>
          <w:lang w:val="fr-FR"/>
        </w:rPr>
        <w:t>après les informations communiquées par les services sociaux</w:t>
      </w:r>
      <w:r>
        <w:rPr>
          <w:lang w:val="fr-FR"/>
        </w:rPr>
        <w:t>,</w:t>
      </w:r>
      <w:r w:rsidRPr="00737953">
        <w:rPr>
          <w:lang w:val="fr-FR"/>
        </w:rPr>
        <w:t xml:space="preserve"> l</w:t>
      </w:r>
      <w:r w:rsidR="00EF491F">
        <w:rPr>
          <w:lang w:val="fr-FR"/>
        </w:rPr>
        <w:t>’</w:t>
      </w:r>
      <w:r w:rsidRPr="00737953">
        <w:rPr>
          <w:lang w:val="fr-FR"/>
        </w:rPr>
        <w:t>auteure et ses petits-enfants ont été relogés.</w:t>
      </w:r>
    </w:p>
    <w:p w14:paraId="087EAD59" w14:textId="2029477B" w:rsidR="003579EB" w:rsidRPr="00737953" w:rsidRDefault="003579EB" w:rsidP="003579EB">
      <w:pPr>
        <w:pStyle w:val="SingleTxtG"/>
        <w:rPr>
          <w:lang w:val="fr-FR"/>
        </w:rPr>
      </w:pPr>
      <w:r w:rsidRPr="00737953">
        <w:rPr>
          <w:lang w:val="fr-FR"/>
        </w:rPr>
        <w:lastRenderedPageBreak/>
        <w:t>4.3</w:t>
      </w:r>
      <w:r w:rsidRPr="00737953">
        <w:rPr>
          <w:lang w:val="fr-FR"/>
        </w:rPr>
        <w:tab/>
        <w:t>L</w:t>
      </w:r>
      <w:r w:rsidR="00EF491F">
        <w:rPr>
          <w:lang w:val="fr-FR"/>
        </w:rPr>
        <w:t>’</w:t>
      </w:r>
      <w:r w:rsidRPr="00737953">
        <w:rPr>
          <w:lang w:val="fr-FR"/>
        </w:rPr>
        <w:t>État partie souligne que l</w:t>
      </w:r>
      <w:r w:rsidR="00EF491F">
        <w:rPr>
          <w:lang w:val="fr-FR"/>
        </w:rPr>
        <w:t>’</w:t>
      </w:r>
      <w:r w:rsidRPr="00737953">
        <w:rPr>
          <w:lang w:val="fr-FR"/>
        </w:rPr>
        <w:t>auteure recevait une allocation de chômage d</w:t>
      </w:r>
      <w:r w:rsidR="00EF491F">
        <w:rPr>
          <w:lang w:val="fr-FR"/>
        </w:rPr>
        <w:t>’</w:t>
      </w:r>
      <w:r w:rsidRPr="00737953">
        <w:rPr>
          <w:lang w:val="fr-FR"/>
        </w:rPr>
        <w:t>un montant de 430,27</w:t>
      </w:r>
      <w:r>
        <w:rPr>
          <w:lang w:val="fr-FR"/>
        </w:rPr>
        <w:t> euros</w:t>
      </w:r>
      <w:r w:rsidRPr="00737953">
        <w:rPr>
          <w:lang w:val="fr-FR"/>
        </w:rPr>
        <w:t xml:space="preserve"> au moment de l</w:t>
      </w:r>
      <w:r w:rsidR="00EF491F">
        <w:rPr>
          <w:lang w:val="fr-FR"/>
        </w:rPr>
        <w:t>’</w:t>
      </w:r>
      <w:r w:rsidRPr="00737953">
        <w:rPr>
          <w:lang w:val="fr-FR"/>
        </w:rPr>
        <w:t>expulsion et qu</w:t>
      </w:r>
      <w:r w:rsidR="00EF491F">
        <w:rPr>
          <w:lang w:val="fr-FR"/>
        </w:rPr>
        <w:t>’</w:t>
      </w:r>
      <w:r w:rsidRPr="00737953">
        <w:rPr>
          <w:lang w:val="fr-FR"/>
        </w:rPr>
        <w:t>en outre, selon un rapport des services sociaux daté du 27</w:t>
      </w:r>
      <w:r>
        <w:rPr>
          <w:lang w:val="fr-FR"/>
        </w:rPr>
        <w:t> </w:t>
      </w:r>
      <w:r w:rsidRPr="00737953">
        <w:rPr>
          <w:lang w:val="fr-FR"/>
        </w:rPr>
        <w:t xml:space="preserve">septembre 2019, elle avait signé en septembre 2018 un contrat de travail temporaire à temps plein. </w:t>
      </w:r>
      <w:r>
        <w:rPr>
          <w:lang w:val="fr-FR"/>
        </w:rPr>
        <w:t>S</w:t>
      </w:r>
      <w:r w:rsidRPr="00737953">
        <w:rPr>
          <w:lang w:val="fr-FR"/>
        </w:rPr>
        <w:t>elon le même rapport des services sociaux, elle n</w:t>
      </w:r>
      <w:r w:rsidR="00EF491F">
        <w:rPr>
          <w:lang w:val="fr-FR"/>
        </w:rPr>
        <w:t>’</w:t>
      </w:r>
      <w:r w:rsidRPr="00737953">
        <w:rPr>
          <w:lang w:val="fr-FR"/>
        </w:rPr>
        <w:t xml:space="preserve">a </w:t>
      </w:r>
      <w:r>
        <w:rPr>
          <w:lang w:val="fr-FR"/>
        </w:rPr>
        <w:t>d</w:t>
      </w:r>
      <w:r w:rsidR="00EF491F">
        <w:rPr>
          <w:lang w:val="fr-FR"/>
        </w:rPr>
        <w:t>’</w:t>
      </w:r>
      <w:r>
        <w:rPr>
          <w:lang w:val="fr-FR"/>
        </w:rPr>
        <w:t xml:space="preserve">ailleurs </w:t>
      </w:r>
      <w:r w:rsidRPr="00737953">
        <w:rPr>
          <w:lang w:val="fr-FR"/>
        </w:rPr>
        <w:t>pas assisté à l</w:t>
      </w:r>
      <w:r w:rsidR="00EF491F">
        <w:rPr>
          <w:lang w:val="fr-FR"/>
        </w:rPr>
        <w:t>’</w:t>
      </w:r>
      <w:r w:rsidRPr="00737953">
        <w:rPr>
          <w:lang w:val="fr-FR"/>
        </w:rPr>
        <w:t>expulsion</w:t>
      </w:r>
      <w:r>
        <w:rPr>
          <w:lang w:val="fr-FR"/>
        </w:rPr>
        <w:t xml:space="preserve"> </w:t>
      </w:r>
      <w:r w:rsidRPr="00737953">
        <w:rPr>
          <w:lang w:val="fr-FR"/>
        </w:rPr>
        <w:t>le 6</w:t>
      </w:r>
      <w:r>
        <w:rPr>
          <w:lang w:val="fr-FR"/>
        </w:rPr>
        <w:t> </w:t>
      </w:r>
      <w:r w:rsidRPr="00737953">
        <w:rPr>
          <w:lang w:val="fr-FR"/>
        </w:rPr>
        <w:t>février 2019 parce que l</w:t>
      </w:r>
      <w:r w:rsidR="00EF491F">
        <w:rPr>
          <w:lang w:val="fr-FR"/>
        </w:rPr>
        <w:t>’</w:t>
      </w:r>
      <w:r w:rsidRPr="00737953">
        <w:rPr>
          <w:lang w:val="fr-FR"/>
        </w:rPr>
        <w:t>horaire coïncidait avec ses horaires de travail</w:t>
      </w:r>
      <w:r>
        <w:rPr>
          <w:lang w:val="fr-FR"/>
        </w:rPr>
        <w:t> ;</w:t>
      </w:r>
      <w:r w:rsidRPr="00737953">
        <w:rPr>
          <w:lang w:val="fr-FR"/>
        </w:rPr>
        <w:t xml:space="preserve"> or, dans la communication datée du 1</w:t>
      </w:r>
      <w:r w:rsidRPr="00737953">
        <w:rPr>
          <w:vertAlign w:val="superscript"/>
          <w:lang w:val="fr-FR"/>
        </w:rPr>
        <w:t>er</w:t>
      </w:r>
      <w:r>
        <w:rPr>
          <w:lang w:val="fr-FR"/>
        </w:rPr>
        <w:t> </w:t>
      </w:r>
      <w:r w:rsidRPr="00737953">
        <w:rPr>
          <w:lang w:val="fr-FR"/>
        </w:rPr>
        <w:t>février 2019 qu</w:t>
      </w:r>
      <w:r w:rsidR="00EF491F">
        <w:rPr>
          <w:lang w:val="fr-FR"/>
        </w:rPr>
        <w:t>’</w:t>
      </w:r>
      <w:r w:rsidRPr="00737953">
        <w:rPr>
          <w:lang w:val="fr-FR"/>
        </w:rPr>
        <w:t>elle a soumise au Comité, l</w:t>
      </w:r>
      <w:r w:rsidR="00EF491F">
        <w:rPr>
          <w:lang w:val="fr-FR"/>
        </w:rPr>
        <w:t>’</w:t>
      </w:r>
      <w:r w:rsidRPr="00737953">
        <w:rPr>
          <w:lang w:val="fr-FR"/>
        </w:rPr>
        <w:t>auteure affirmait ne pas avoir d</w:t>
      </w:r>
      <w:r w:rsidR="00EF491F">
        <w:rPr>
          <w:lang w:val="fr-FR"/>
        </w:rPr>
        <w:t>’</w:t>
      </w:r>
      <w:r w:rsidRPr="00737953">
        <w:rPr>
          <w:lang w:val="fr-FR"/>
        </w:rPr>
        <w:t>autres revenus que ceux provenant de l</w:t>
      </w:r>
      <w:r w:rsidR="00EF491F">
        <w:rPr>
          <w:lang w:val="fr-FR"/>
        </w:rPr>
        <w:t>’</w:t>
      </w:r>
      <w:r w:rsidRPr="00737953">
        <w:rPr>
          <w:lang w:val="fr-FR"/>
        </w:rPr>
        <w:t xml:space="preserve">allocation de chômage dont elle bénéficiait. </w:t>
      </w:r>
      <w:r>
        <w:rPr>
          <w:lang w:val="fr-FR"/>
        </w:rPr>
        <w:t>Par conséquent</w:t>
      </w:r>
      <w:r w:rsidRPr="00737953">
        <w:rPr>
          <w:lang w:val="fr-FR"/>
        </w:rPr>
        <w:t>, l</w:t>
      </w:r>
      <w:r w:rsidR="00EF491F">
        <w:rPr>
          <w:lang w:val="fr-FR"/>
        </w:rPr>
        <w:t>’</w:t>
      </w:r>
      <w:r w:rsidRPr="00737953">
        <w:rPr>
          <w:lang w:val="fr-FR"/>
        </w:rPr>
        <w:t>État partie estime qu</w:t>
      </w:r>
      <w:r w:rsidR="00EF491F">
        <w:rPr>
          <w:lang w:val="fr-FR"/>
        </w:rPr>
        <w:t>’</w:t>
      </w:r>
      <w:r w:rsidRPr="00737953">
        <w:rPr>
          <w:lang w:val="fr-FR"/>
        </w:rPr>
        <w:t>il incombe à l</w:t>
      </w:r>
      <w:r w:rsidR="00EF491F">
        <w:rPr>
          <w:lang w:val="fr-FR"/>
        </w:rPr>
        <w:t>’</w:t>
      </w:r>
      <w:r w:rsidRPr="00737953">
        <w:rPr>
          <w:lang w:val="fr-FR"/>
        </w:rPr>
        <w:t>auteure d</w:t>
      </w:r>
      <w:r w:rsidR="00EF491F">
        <w:rPr>
          <w:lang w:val="fr-FR"/>
        </w:rPr>
        <w:t>’</w:t>
      </w:r>
      <w:r>
        <w:rPr>
          <w:lang w:val="fr-FR"/>
        </w:rPr>
        <w:t xml:space="preserve">apporter la preuve de </w:t>
      </w:r>
      <w:r w:rsidRPr="00737953">
        <w:rPr>
          <w:lang w:val="fr-FR"/>
        </w:rPr>
        <w:t>sa situation économique réelle.</w:t>
      </w:r>
    </w:p>
    <w:p w14:paraId="7ECCE3B4" w14:textId="1466811A" w:rsidR="003579EB" w:rsidRPr="00737953" w:rsidRDefault="003579EB" w:rsidP="003579EB">
      <w:pPr>
        <w:pStyle w:val="SingleTxtG"/>
        <w:rPr>
          <w:lang w:val="fr-FR"/>
        </w:rPr>
      </w:pPr>
      <w:r w:rsidRPr="00737953">
        <w:rPr>
          <w:lang w:val="fr-FR"/>
        </w:rPr>
        <w:t>4.4</w:t>
      </w:r>
      <w:r w:rsidRPr="00737953">
        <w:rPr>
          <w:lang w:val="fr-FR"/>
        </w:rPr>
        <w:tab/>
        <w:t>L</w:t>
      </w:r>
      <w:r w:rsidR="00EF491F">
        <w:rPr>
          <w:lang w:val="fr-FR"/>
        </w:rPr>
        <w:t>’</w:t>
      </w:r>
      <w:r w:rsidRPr="00737953">
        <w:rPr>
          <w:lang w:val="fr-FR"/>
        </w:rPr>
        <w:t>État partie souligne également que l</w:t>
      </w:r>
      <w:r w:rsidR="00EF491F">
        <w:rPr>
          <w:lang w:val="fr-FR"/>
        </w:rPr>
        <w:t>’</w:t>
      </w:r>
      <w:r w:rsidRPr="00737953">
        <w:rPr>
          <w:lang w:val="fr-FR"/>
        </w:rPr>
        <w:t>auteure connaissait la date de l</w:t>
      </w:r>
      <w:r w:rsidR="00EF491F">
        <w:rPr>
          <w:lang w:val="fr-FR"/>
        </w:rPr>
        <w:t>’</w:t>
      </w:r>
      <w:r w:rsidRPr="00737953">
        <w:rPr>
          <w:lang w:val="fr-FR"/>
        </w:rPr>
        <w:t>expulsion depuis le 25</w:t>
      </w:r>
      <w:r>
        <w:rPr>
          <w:lang w:val="fr-FR"/>
        </w:rPr>
        <w:t> </w:t>
      </w:r>
      <w:r w:rsidRPr="00737953">
        <w:rPr>
          <w:lang w:val="fr-FR"/>
        </w:rPr>
        <w:t>octobre 2018 et qu</w:t>
      </w:r>
      <w:r w:rsidR="00EF491F">
        <w:rPr>
          <w:lang w:val="fr-FR"/>
        </w:rPr>
        <w:t>’</w:t>
      </w:r>
      <w:r w:rsidRPr="00737953">
        <w:rPr>
          <w:lang w:val="fr-FR"/>
        </w:rPr>
        <w:t>elle a néanmoins attendu le 1</w:t>
      </w:r>
      <w:r w:rsidRPr="00737953">
        <w:rPr>
          <w:vertAlign w:val="superscript"/>
          <w:lang w:val="fr-FR"/>
        </w:rPr>
        <w:t>er</w:t>
      </w:r>
      <w:r>
        <w:rPr>
          <w:lang w:val="fr-FR"/>
        </w:rPr>
        <w:t> </w:t>
      </w:r>
      <w:r w:rsidRPr="00737953">
        <w:rPr>
          <w:lang w:val="fr-FR"/>
        </w:rPr>
        <w:t>février 2019 pour soumettre sa communication, ce qui fait que l</w:t>
      </w:r>
      <w:r w:rsidR="00EF491F">
        <w:rPr>
          <w:lang w:val="fr-FR"/>
        </w:rPr>
        <w:t>’</w:t>
      </w:r>
      <w:r w:rsidRPr="00737953">
        <w:rPr>
          <w:lang w:val="fr-FR"/>
        </w:rPr>
        <w:t xml:space="preserve">État partie a reçu </w:t>
      </w:r>
      <w:r>
        <w:rPr>
          <w:lang w:val="fr-FR"/>
        </w:rPr>
        <w:t>la</w:t>
      </w:r>
      <w:r w:rsidRPr="00737953">
        <w:rPr>
          <w:lang w:val="fr-FR"/>
        </w:rPr>
        <w:t xml:space="preserve"> demande de mesures provisoires moins de </w:t>
      </w:r>
      <w:r>
        <w:rPr>
          <w:lang w:val="fr-FR"/>
        </w:rPr>
        <w:t>vingt-quatre h</w:t>
      </w:r>
      <w:r w:rsidRPr="00737953">
        <w:rPr>
          <w:lang w:val="fr-FR"/>
        </w:rPr>
        <w:t>eures avant l</w:t>
      </w:r>
      <w:r w:rsidR="00EF491F">
        <w:rPr>
          <w:lang w:val="fr-FR"/>
        </w:rPr>
        <w:t>’</w:t>
      </w:r>
      <w:r w:rsidRPr="00737953">
        <w:rPr>
          <w:lang w:val="fr-FR"/>
        </w:rPr>
        <w:t>expulsion</w:t>
      </w:r>
      <w:r>
        <w:rPr>
          <w:lang w:val="fr-FR"/>
        </w:rPr>
        <w:t xml:space="preserve"> ; </w:t>
      </w:r>
      <w:r w:rsidRPr="00737953">
        <w:rPr>
          <w:lang w:val="fr-FR"/>
        </w:rPr>
        <w:t>il lui était difficile de réagir dans un délai si</w:t>
      </w:r>
      <w:r>
        <w:rPr>
          <w:lang w:val="fr-FR"/>
        </w:rPr>
        <w:t> </w:t>
      </w:r>
      <w:r w:rsidRPr="00737953">
        <w:rPr>
          <w:lang w:val="fr-FR"/>
        </w:rPr>
        <w:t>court.</w:t>
      </w:r>
    </w:p>
    <w:p w14:paraId="15486F52" w14:textId="4AB554FF" w:rsidR="003579EB" w:rsidRPr="00737953" w:rsidRDefault="003579EB" w:rsidP="003579EB">
      <w:pPr>
        <w:pStyle w:val="SingleTxtG"/>
        <w:rPr>
          <w:lang w:val="fr-FR"/>
        </w:rPr>
      </w:pPr>
      <w:r w:rsidRPr="00737953">
        <w:rPr>
          <w:lang w:val="fr-FR"/>
        </w:rPr>
        <w:t>4.5</w:t>
      </w:r>
      <w:r w:rsidRPr="00737953">
        <w:rPr>
          <w:lang w:val="fr-FR"/>
        </w:rPr>
        <w:tab/>
        <w:t>L</w:t>
      </w:r>
      <w:r w:rsidR="00EF491F">
        <w:rPr>
          <w:lang w:val="fr-FR"/>
        </w:rPr>
        <w:t>’</w:t>
      </w:r>
      <w:r w:rsidRPr="00737953">
        <w:rPr>
          <w:lang w:val="fr-FR"/>
        </w:rPr>
        <w:t>État partie estime que l</w:t>
      </w:r>
      <w:r w:rsidR="00EF491F">
        <w:rPr>
          <w:lang w:val="fr-FR"/>
        </w:rPr>
        <w:t>’</w:t>
      </w:r>
      <w:r w:rsidRPr="00737953">
        <w:rPr>
          <w:lang w:val="fr-FR"/>
        </w:rPr>
        <w:t>auteure n</w:t>
      </w:r>
      <w:r w:rsidR="00EF491F">
        <w:rPr>
          <w:lang w:val="fr-FR"/>
        </w:rPr>
        <w:t>’</w:t>
      </w:r>
      <w:r w:rsidRPr="00737953">
        <w:rPr>
          <w:lang w:val="fr-FR"/>
        </w:rPr>
        <w:t>a pas épuisé les recours internes</w:t>
      </w:r>
      <w:r>
        <w:rPr>
          <w:lang w:val="fr-FR"/>
        </w:rPr>
        <w:t> :</w:t>
      </w:r>
      <w:r w:rsidRPr="00737953">
        <w:rPr>
          <w:lang w:val="fr-FR"/>
        </w:rPr>
        <w:t xml:space="preserve"> elle a en effet attendu avril 2018 pour demander l</w:t>
      </w:r>
      <w:r w:rsidR="00EF491F">
        <w:rPr>
          <w:lang w:val="fr-FR"/>
        </w:rPr>
        <w:t>’</w:t>
      </w:r>
      <w:r w:rsidRPr="00737953">
        <w:rPr>
          <w:lang w:val="fr-FR"/>
        </w:rPr>
        <w:t>aide des services sociaux et juin 2018 pour demander un logement social, alors même qu</w:t>
      </w:r>
      <w:r w:rsidR="00EF491F">
        <w:rPr>
          <w:lang w:val="fr-FR"/>
        </w:rPr>
        <w:t>’</w:t>
      </w:r>
      <w:r w:rsidRPr="00737953">
        <w:rPr>
          <w:lang w:val="fr-FR"/>
        </w:rPr>
        <w:t xml:space="preserve">elle occupait déjà illégalement le logement en </w:t>
      </w:r>
      <w:r>
        <w:rPr>
          <w:lang w:val="fr-FR"/>
        </w:rPr>
        <w:t>cause</w:t>
      </w:r>
      <w:r w:rsidRPr="00737953">
        <w:rPr>
          <w:lang w:val="fr-FR"/>
        </w:rPr>
        <w:t xml:space="preserve"> depuis février 2018 au moins et </w:t>
      </w:r>
      <w:r>
        <w:rPr>
          <w:lang w:val="fr-FR"/>
        </w:rPr>
        <w:t>faisait déjà l</w:t>
      </w:r>
      <w:r w:rsidR="00EF491F">
        <w:rPr>
          <w:lang w:val="fr-FR"/>
        </w:rPr>
        <w:t>’</w:t>
      </w:r>
      <w:r>
        <w:rPr>
          <w:lang w:val="fr-FR"/>
        </w:rPr>
        <w:t>objet d</w:t>
      </w:r>
      <w:r w:rsidR="00EF491F">
        <w:rPr>
          <w:lang w:val="fr-FR"/>
        </w:rPr>
        <w:t>’</w:t>
      </w:r>
      <w:r>
        <w:rPr>
          <w:lang w:val="fr-FR"/>
        </w:rPr>
        <w:t xml:space="preserve">une </w:t>
      </w:r>
      <w:r w:rsidRPr="00737953">
        <w:rPr>
          <w:lang w:val="fr-FR"/>
        </w:rPr>
        <w:t>procédure judiciaire. Par conséquent, au moment où l</w:t>
      </w:r>
      <w:r w:rsidR="00EF491F">
        <w:rPr>
          <w:lang w:val="fr-FR"/>
        </w:rPr>
        <w:t>’</w:t>
      </w:r>
      <w:r w:rsidRPr="00737953">
        <w:rPr>
          <w:lang w:val="fr-FR"/>
        </w:rPr>
        <w:t>auteure a soumis sa communication, les recours internes</w:t>
      </w:r>
      <w:r>
        <w:rPr>
          <w:lang w:val="fr-FR"/>
        </w:rPr>
        <w:t xml:space="preserve"> n</w:t>
      </w:r>
      <w:r w:rsidR="00EF491F">
        <w:rPr>
          <w:lang w:val="fr-FR"/>
        </w:rPr>
        <w:t>’</w:t>
      </w:r>
      <w:r>
        <w:rPr>
          <w:lang w:val="fr-FR"/>
        </w:rPr>
        <w:t>avaient pas été épuisés</w:t>
      </w:r>
      <w:r w:rsidRPr="00737953">
        <w:rPr>
          <w:lang w:val="fr-FR"/>
        </w:rPr>
        <w:t>.</w:t>
      </w:r>
    </w:p>
    <w:p w14:paraId="16E36B3E" w14:textId="7AED795D" w:rsidR="003579EB" w:rsidRPr="00737953" w:rsidRDefault="003579EB" w:rsidP="003579EB">
      <w:pPr>
        <w:pStyle w:val="SingleTxtG"/>
        <w:rPr>
          <w:lang w:val="fr-FR"/>
        </w:rPr>
      </w:pPr>
      <w:r w:rsidRPr="00737953">
        <w:rPr>
          <w:lang w:val="fr-FR"/>
        </w:rPr>
        <w:t>4.6</w:t>
      </w:r>
      <w:r w:rsidRPr="00737953">
        <w:rPr>
          <w:lang w:val="fr-FR"/>
        </w:rPr>
        <w:tab/>
        <w:t>Pour ce qui est des droits que l</w:t>
      </w:r>
      <w:r w:rsidR="00EF491F">
        <w:rPr>
          <w:lang w:val="fr-FR"/>
        </w:rPr>
        <w:t>’</w:t>
      </w:r>
      <w:r w:rsidRPr="00737953">
        <w:rPr>
          <w:lang w:val="fr-FR"/>
        </w:rPr>
        <w:t>auteure et ses petits-enfants tiennent de l</w:t>
      </w:r>
      <w:r w:rsidR="00EF491F">
        <w:rPr>
          <w:lang w:val="fr-FR"/>
        </w:rPr>
        <w:t>’</w:t>
      </w:r>
      <w:r w:rsidRPr="00737953">
        <w:rPr>
          <w:lang w:val="fr-FR"/>
        </w:rPr>
        <w:t>article</w:t>
      </w:r>
      <w:r>
        <w:rPr>
          <w:lang w:val="fr-FR"/>
        </w:rPr>
        <w:t> </w:t>
      </w:r>
      <w:r w:rsidRPr="00737953">
        <w:rPr>
          <w:lang w:val="fr-FR"/>
        </w:rPr>
        <w:t>11 (par.</w:t>
      </w:r>
      <w:r>
        <w:rPr>
          <w:lang w:val="fr-FR"/>
        </w:rPr>
        <w:t> </w:t>
      </w:r>
      <w:r w:rsidRPr="00737953">
        <w:rPr>
          <w:lang w:val="fr-FR"/>
        </w:rPr>
        <w:t>1) du Pacte, l</w:t>
      </w:r>
      <w:r w:rsidR="00EF491F">
        <w:rPr>
          <w:lang w:val="fr-FR"/>
        </w:rPr>
        <w:t>’</w:t>
      </w:r>
      <w:r w:rsidRPr="00737953">
        <w:rPr>
          <w:lang w:val="fr-FR"/>
        </w:rPr>
        <w:t>État partie fait observer que les intéressés ont accès gratuitement à des soins de santé de qualité dans le cadre du système de santé publique et que les petits</w:t>
      </w:r>
      <w:r>
        <w:rPr>
          <w:lang w:val="fr-FR"/>
        </w:rPr>
        <w:noBreakHyphen/>
      </w:r>
      <w:r w:rsidRPr="00737953">
        <w:rPr>
          <w:lang w:val="fr-FR"/>
        </w:rPr>
        <w:t>enfants de l</w:t>
      </w:r>
      <w:r w:rsidR="00EF491F">
        <w:rPr>
          <w:lang w:val="fr-FR"/>
        </w:rPr>
        <w:t>’</w:t>
      </w:r>
      <w:r w:rsidRPr="00737953">
        <w:rPr>
          <w:lang w:val="fr-FR"/>
        </w:rPr>
        <w:t>auteure bénéficient de la gratuité de l</w:t>
      </w:r>
      <w:r w:rsidR="00EF491F">
        <w:rPr>
          <w:lang w:val="fr-FR"/>
        </w:rPr>
        <w:t>’</w:t>
      </w:r>
      <w:r w:rsidRPr="00737953">
        <w:rPr>
          <w:lang w:val="fr-FR"/>
        </w:rPr>
        <w:t>enseignement public, ce qui inclut l</w:t>
      </w:r>
      <w:r w:rsidR="00EF491F">
        <w:rPr>
          <w:lang w:val="fr-FR"/>
        </w:rPr>
        <w:t>’</w:t>
      </w:r>
      <w:r w:rsidRPr="00737953">
        <w:rPr>
          <w:lang w:val="fr-FR"/>
        </w:rPr>
        <w:t>accès à la cantine subventionnée pour les mineurs. L</w:t>
      </w:r>
      <w:r w:rsidR="00EF491F">
        <w:rPr>
          <w:lang w:val="fr-FR"/>
        </w:rPr>
        <w:t>’</w:t>
      </w:r>
      <w:r w:rsidRPr="00737953">
        <w:rPr>
          <w:lang w:val="fr-FR"/>
        </w:rPr>
        <w:t>auteure a aussi eu accès gratuitement à la justice et à une aide juridictionnelle et a le droit de bénéficier des services de base gratuits ou subventionnés grâce aux réductions prévues au titre des aides sociales pour l</w:t>
      </w:r>
      <w:r w:rsidR="00EF491F">
        <w:rPr>
          <w:lang w:val="fr-FR"/>
        </w:rPr>
        <w:t>’</w:t>
      </w:r>
      <w:r w:rsidRPr="00737953">
        <w:rPr>
          <w:lang w:val="fr-FR"/>
        </w:rPr>
        <w:t>électricité, le chauffage et l</w:t>
      </w:r>
      <w:r w:rsidR="00EF491F">
        <w:rPr>
          <w:lang w:val="fr-FR"/>
        </w:rPr>
        <w:t>’</w:t>
      </w:r>
      <w:r w:rsidRPr="00737953">
        <w:rPr>
          <w:lang w:val="fr-FR"/>
        </w:rPr>
        <w:t>eau. De plus, l</w:t>
      </w:r>
      <w:r w:rsidR="00EF491F">
        <w:rPr>
          <w:lang w:val="fr-FR"/>
        </w:rPr>
        <w:t>’</w:t>
      </w:r>
      <w:r w:rsidRPr="00737953">
        <w:rPr>
          <w:lang w:val="fr-FR"/>
        </w:rPr>
        <w:t>auteure avait un travail rémunéré au sujet duquel elle n</w:t>
      </w:r>
      <w:r w:rsidR="00EF491F">
        <w:rPr>
          <w:lang w:val="fr-FR"/>
        </w:rPr>
        <w:t>’</w:t>
      </w:r>
      <w:r w:rsidRPr="00737953">
        <w:rPr>
          <w:lang w:val="fr-FR"/>
        </w:rPr>
        <w:t xml:space="preserve">a donné, à ce jour, aucun détail. En dépit de tout cela, les services sociaux de la municipalité de Rubí ont entrepris les démarches voulues pour que la famille reçoive des </w:t>
      </w:r>
      <w:r>
        <w:rPr>
          <w:lang w:val="fr-FR"/>
        </w:rPr>
        <w:t>colis</w:t>
      </w:r>
      <w:r w:rsidRPr="00737953">
        <w:rPr>
          <w:lang w:val="fr-FR"/>
        </w:rPr>
        <w:t xml:space="preserve"> alimentaires afin qu</w:t>
      </w:r>
      <w:r w:rsidR="00EF491F">
        <w:rPr>
          <w:lang w:val="fr-FR"/>
        </w:rPr>
        <w:t>’</w:t>
      </w:r>
      <w:r w:rsidRPr="00737953">
        <w:rPr>
          <w:lang w:val="fr-FR"/>
        </w:rPr>
        <w:t>elle puisse subvenir à ses besoins essentiels pendant six mois et, en septembre 2019, une demande a été déposée pour que les petits-enfants de l</w:t>
      </w:r>
      <w:r w:rsidR="00EF491F">
        <w:rPr>
          <w:lang w:val="fr-FR"/>
        </w:rPr>
        <w:t>’</w:t>
      </w:r>
      <w:r w:rsidRPr="00737953">
        <w:rPr>
          <w:lang w:val="fr-FR"/>
        </w:rPr>
        <w:t>auteure puissent bénéficier d</w:t>
      </w:r>
      <w:r w:rsidR="00EF491F">
        <w:rPr>
          <w:lang w:val="fr-FR"/>
        </w:rPr>
        <w:t>’</w:t>
      </w:r>
      <w:r w:rsidRPr="00737953">
        <w:rPr>
          <w:lang w:val="fr-FR"/>
        </w:rPr>
        <w:t>une aide à la restauration scolaire</w:t>
      </w:r>
      <w:r>
        <w:rPr>
          <w:lang w:val="fr-FR"/>
        </w:rPr>
        <w:t> ;</w:t>
      </w:r>
      <w:r w:rsidRPr="00737953">
        <w:rPr>
          <w:lang w:val="fr-FR"/>
        </w:rPr>
        <w:t xml:space="preserve"> on a en outre proposé à l</w:t>
      </w:r>
      <w:r w:rsidR="00EF491F">
        <w:rPr>
          <w:lang w:val="fr-FR"/>
        </w:rPr>
        <w:t>’</w:t>
      </w:r>
      <w:r w:rsidRPr="00737953">
        <w:rPr>
          <w:lang w:val="fr-FR"/>
        </w:rPr>
        <w:t>auteure de prendre en charge 50</w:t>
      </w:r>
      <w:r>
        <w:rPr>
          <w:lang w:val="fr-FR"/>
        </w:rPr>
        <w:t> </w:t>
      </w:r>
      <w:r w:rsidRPr="00737953">
        <w:rPr>
          <w:lang w:val="fr-FR"/>
        </w:rPr>
        <w:t>% du montant de la cantine le temps que la demande soit traitée. L</w:t>
      </w:r>
      <w:r w:rsidR="00EF491F">
        <w:rPr>
          <w:lang w:val="fr-FR"/>
        </w:rPr>
        <w:t>’</w:t>
      </w:r>
      <w:r w:rsidRPr="00737953">
        <w:rPr>
          <w:lang w:val="fr-FR"/>
        </w:rPr>
        <w:t>État partie estime que tout cela montre que les besoins de la famille sont pris en charge par l</w:t>
      </w:r>
      <w:r w:rsidR="00EF491F">
        <w:rPr>
          <w:lang w:val="fr-FR"/>
        </w:rPr>
        <w:t>’</w:t>
      </w:r>
      <w:r w:rsidRPr="00737953">
        <w:rPr>
          <w:lang w:val="fr-FR"/>
        </w:rPr>
        <w:t>État, dans la limite des ressources disponibles, si bien qu</w:t>
      </w:r>
      <w:r w:rsidR="00EF491F">
        <w:rPr>
          <w:lang w:val="fr-FR"/>
        </w:rPr>
        <w:t>’</w:t>
      </w:r>
      <w:r w:rsidRPr="00737953">
        <w:rPr>
          <w:lang w:val="fr-FR"/>
        </w:rPr>
        <w:t>il ne reste à régler que la question du logement. À ce propos, il souligne qu</w:t>
      </w:r>
      <w:r w:rsidR="00EF491F">
        <w:rPr>
          <w:lang w:val="fr-FR"/>
        </w:rPr>
        <w:t>’</w:t>
      </w:r>
      <w:r w:rsidRPr="00737953">
        <w:rPr>
          <w:lang w:val="fr-FR"/>
        </w:rPr>
        <w:t>il ressort des faits que l</w:t>
      </w:r>
      <w:r w:rsidR="00EF491F">
        <w:rPr>
          <w:lang w:val="fr-FR"/>
        </w:rPr>
        <w:t>’</w:t>
      </w:r>
      <w:r w:rsidRPr="00737953">
        <w:rPr>
          <w:lang w:val="fr-FR"/>
        </w:rPr>
        <w:t>auteure a attendu d</w:t>
      </w:r>
      <w:r w:rsidR="00EF491F">
        <w:rPr>
          <w:lang w:val="fr-FR"/>
        </w:rPr>
        <w:t>’</w:t>
      </w:r>
      <w:r w:rsidRPr="00737953">
        <w:rPr>
          <w:lang w:val="fr-FR"/>
        </w:rPr>
        <w:t>occuper illégalement un logement avant de déposer une demande de logement social</w:t>
      </w:r>
      <w:r>
        <w:rPr>
          <w:lang w:val="fr-FR"/>
        </w:rPr>
        <w:t> ;</w:t>
      </w:r>
      <w:r w:rsidRPr="00737953">
        <w:rPr>
          <w:lang w:val="fr-FR"/>
        </w:rPr>
        <w:t xml:space="preserve"> il ajoute qu</w:t>
      </w:r>
      <w:r w:rsidR="00EF491F">
        <w:rPr>
          <w:lang w:val="fr-FR"/>
        </w:rPr>
        <w:t>’</w:t>
      </w:r>
      <w:r w:rsidRPr="00737953">
        <w:rPr>
          <w:lang w:val="fr-FR"/>
        </w:rPr>
        <w:t>en janvier 2019, la demande de logement social présentée par l</w:t>
      </w:r>
      <w:r w:rsidR="00EF491F">
        <w:rPr>
          <w:lang w:val="fr-FR"/>
        </w:rPr>
        <w:t>’</w:t>
      </w:r>
      <w:r w:rsidRPr="00737953">
        <w:rPr>
          <w:lang w:val="fr-FR"/>
        </w:rPr>
        <w:t>auteure a été acceptée et l</w:t>
      </w:r>
      <w:r w:rsidR="00EF491F">
        <w:rPr>
          <w:lang w:val="fr-FR"/>
        </w:rPr>
        <w:t>’</w:t>
      </w:r>
      <w:r w:rsidRPr="00737953">
        <w:rPr>
          <w:lang w:val="fr-FR"/>
        </w:rPr>
        <w:t>auteure a été placée sur liste d</w:t>
      </w:r>
      <w:r w:rsidR="00EF491F">
        <w:rPr>
          <w:lang w:val="fr-FR"/>
        </w:rPr>
        <w:t>’</w:t>
      </w:r>
      <w:r w:rsidRPr="00737953">
        <w:rPr>
          <w:lang w:val="fr-FR"/>
        </w:rPr>
        <w:t>attente et qu</w:t>
      </w:r>
      <w:r w:rsidR="00EF491F">
        <w:rPr>
          <w:lang w:val="fr-FR"/>
        </w:rPr>
        <w:t>’</w:t>
      </w:r>
      <w:r w:rsidRPr="00737953">
        <w:rPr>
          <w:lang w:val="fr-FR"/>
        </w:rPr>
        <w:t>elle a également été autorisée à bénéficier du programme</w:t>
      </w:r>
      <w:r>
        <w:rPr>
          <w:lang w:val="fr-FR"/>
        </w:rPr>
        <w:t> </w:t>
      </w:r>
      <w:r w:rsidRPr="00737953">
        <w:rPr>
          <w:lang w:val="fr-FR"/>
        </w:rPr>
        <w:t xml:space="preserve">60/40, qui lui permettait de rechercher sur le marché locatif privé un logement situé dans la commune </w:t>
      </w:r>
      <w:r>
        <w:rPr>
          <w:lang w:val="fr-FR"/>
        </w:rPr>
        <w:t>la mieux adaptée à</w:t>
      </w:r>
      <w:r w:rsidRPr="00737953">
        <w:rPr>
          <w:lang w:val="fr-FR"/>
        </w:rPr>
        <w:t xml:space="preserve"> ses besoins.</w:t>
      </w:r>
    </w:p>
    <w:p w14:paraId="2D95E3D2" w14:textId="12FBF9F5" w:rsidR="003579EB" w:rsidRPr="00737953" w:rsidRDefault="003579EB" w:rsidP="003579EB">
      <w:pPr>
        <w:pStyle w:val="SingleTxtG"/>
        <w:rPr>
          <w:lang w:val="fr-FR"/>
        </w:rPr>
      </w:pPr>
      <w:r w:rsidRPr="00737953">
        <w:rPr>
          <w:lang w:val="fr-FR"/>
        </w:rPr>
        <w:t>4.7</w:t>
      </w:r>
      <w:r w:rsidRPr="00737953">
        <w:rPr>
          <w:lang w:val="fr-FR"/>
        </w:rPr>
        <w:tab/>
        <w:t>L</w:t>
      </w:r>
      <w:r w:rsidR="00EF491F">
        <w:rPr>
          <w:lang w:val="fr-FR"/>
        </w:rPr>
        <w:t>’</w:t>
      </w:r>
      <w:r w:rsidRPr="00737953">
        <w:rPr>
          <w:lang w:val="fr-FR"/>
        </w:rPr>
        <w:t>État partie estime que les dispositions de l</w:t>
      </w:r>
      <w:r w:rsidR="00EF491F">
        <w:rPr>
          <w:lang w:val="fr-FR"/>
        </w:rPr>
        <w:t>’</w:t>
      </w:r>
      <w:r w:rsidRPr="00737953">
        <w:rPr>
          <w:lang w:val="fr-FR"/>
        </w:rPr>
        <w:t>article</w:t>
      </w:r>
      <w:r>
        <w:rPr>
          <w:lang w:val="fr-FR"/>
        </w:rPr>
        <w:t> </w:t>
      </w:r>
      <w:r w:rsidRPr="00737953">
        <w:rPr>
          <w:lang w:val="fr-FR"/>
        </w:rPr>
        <w:t>11 du Pacte ne prot</w:t>
      </w:r>
      <w:r>
        <w:rPr>
          <w:lang w:val="fr-FR"/>
        </w:rPr>
        <w:t>ègent pas</w:t>
      </w:r>
      <w:r w:rsidRPr="00737953">
        <w:rPr>
          <w:lang w:val="fr-FR"/>
        </w:rPr>
        <w:t xml:space="preserve"> les personnes qui occupent illégalement un logement. Le droit à la propriété, individuelle et collective, est consacré par l</w:t>
      </w:r>
      <w:r w:rsidR="00EF491F">
        <w:rPr>
          <w:lang w:val="fr-FR"/>
        </w:rPr>
        <w:t>’</w:t>
      </w:r>
      <w:r w:rsidRPr="00737953">
        <w:rPr>
          <w:lang w:val="fr-FR"/>
        </w:rPr>
        <w:t>article</w:t>
      </w:r>
      <w:r>
        <w:rPr>
          <w:lang w:val="fr-FR"/>
        </w:rPr>
        <w:t> </w:t>
      </w:r>
      <w:r w:rsidRPr="00737953">
        <w:rPr>
          <w:lang w:val="fr-FR"/>
        </w:rPr>
        <w:t>17 de la Déclaration universelle des droits de l</w:t>
      </w:r>
      <w:r w:rsidR="00EF491F">
        <w:rPr>
          <w:lang w:val="fr-FR"/>
        </w:rPr>
        <w:t>’</w:t>
      </w:r>
      <w:r w:rsidRPr="00737953">
        <w:rPr>
          <w:lang w:val="fr-FR"/>
        </w:rPr>
        <w:t xml:space="preserve">homme et </w:t>
      </w:r>
      <w:r>
        <w:rPr>
          <w:lang w:val="fr-FR"/>
        </w:rPr>
        <w:t>par</w:t>
      </w:r>
      <w:r w:rsidRPr="00737953">
        <w:rPr>
          <w:lang w:val="fr-FR"/>
        </w:rPr>
        <w:t xml:space="preserve"> l</w:t>
      </w:r>
      <w:r w:rsidR="00EF491F">
        <w:rPr>
          <w:lang w:val="fr-FR"/>
        </w:rPr>
        <w:t>’</w:t>
      </w:r>
      <w:r w:rsidRPr="00737953">
        <w:rPr>
          <w:lang w:val="fr-FR"/>
        </w:rPr>
        <w:t>article</w:t>
      </w:r>
      <w:r>
        <w:rPr>
          <w:lang w:val="fr-FR"/>
        </w:rPr>
        <w:t> </w:t>
      </w:r>
      <w:r w:rsidRPr="00737953">
        <w:rPr>
          <w:lang w:val="fr-FR"/>
        </w:rPr>
        <w:t>33 de la Constitution de l</w:t>
      </w:r>
      <w:r w:rsidR="00EF491F">
        <w:rPr>
          <w:lang w:val="fr-FR"/>
        </w:rPr>
        <w:t>’</w:t>
      </w:r>
      <w:r w:rsidRPr="00737953">
        <w:rPr>
          <w:lang w:val="fr-FR"/>
        </w:rPr>
        <w:t xml:space="preserve">État partie. </w:t>
      </w:r>
      <w:r w:rsidRPr="006D4863">
        <w:rPr>
          <w:lang w:val="fr-FR"/>
        </w:rPr>
        <w:t>La protection de la propriété est internationalement reconnue comme un droit fondamental</w:t>
      </w:r>
      <w:r>
        <w:rPr>
          <w:lang w:val="fr-FR"/>
        </w:rPr>
        <w:t> ;</w:t>
      </w:r>
      <w:r w:rsidRPr="006D4863">
        <w:rPr>
          <w:lang w:val="fr-FR"/>
        </w:rPr>
        <w:t xml:space="preserve"> celui qui possède</w:t>
      </w:r>
      <w:r>
        <w:rPr>
          <w:lang w:val="fr-FR"/>
        </w:rPr>
        <w:t xml:space="preserve"> un bien</w:t>
      </w:r>
      <w:r w:rsidRPr="006D4863">
        <w:rPr>
          <w:lang w:val="fr-FR"/>
        </w:rPr>
        <w:t xml:space="preserve"> trouve dans la propriété un moyen de répondre à ses besoins essentiels et doit donc être protégé contre ce qui pourrait l</w:t>
      </w:r>
      <w:r w:rsidR="00EF491F">
        <w:rPr>
          <w:lang w:val="fr-FR"/>
        </w:rPr>
        <w:t>’</w:t>
      </w:r>
      <w:r w:rsidRPr="006D4863">
        <w:rPr>
          <w:lang w:val="fr-FR"/>
        </w:rPr>
        <w:t>en priver arbitrairement</w:t>
      </w:r>
      <w:r w:rsidRPr="00737953">
        <w:rPr>
          <w:lang w:val="fr-FR"/>
        </w:rPr>
        <w:t>. C</w:t>
      </w:r>
      <w:r w:rsidR="00EF491F">
        <w:rPr>
          <w:lang w:val="fr-FR"/>
        </w:rPr>
        <w:t>’</w:t>
      </w:r>
      <w:r w:rsidRPr="00737953">
        <w:rPr>
          <w:lang w:val="fr-FR"/>
        </w:rPr>
        <w:t>est pourquoi l</w:t>
      </w:r>
      <w:r w:rsidR="00EF491F">
        <w:rPr>
          <w:lang w:val="fr-FR"/>
        </w:rPr>
        <w:t>’</w:t>
      </w:r>
      <w:r w:rsidRPr="00737953">
        <w:rPr>
          <w:lang w:val="fr-FR"/>
        </w:rPr>
        <w:t>article</w:t>
      </w:r>
      <w:r>
        <w:rPr>
          <w:lang w:val="fr-FR"/>
        </w:rPr>
        <w:t> </w:t>
      </w:r>
      <w:r w:rsidRPr="00737953">
        <w:rPr>
          <w:lang w:val="fr-FR"/>
        </w:rPr>
        <w:t>11 (par.</w:t>
      </w:r>
      <w:r>
        <w:rPr>
          <w:lang w:val="fr-FR"/>
        </w:rPr>
        <w:t> </w:t>
      </w:r>
      <w:r w:rsidRPr="00737953">
        <w:rPr>
          <w:lang w:val="fr-FR"/>
        </w:rPr>
        <w:t>1) du Pacte ne saurait être invoqué pour justifier l</w:t>
      </w:r>
      <w:r w:rsidR="00EF491F">
        <w:rPr>
          <w:lang w:val="fr-FR"/>
        </w:rPr>
        <w:t>’</w:t>
      </w:r>
      <w:r w:rsidRPr="00737953">
        <w:rPr>
          <w:lang w:val="fr-FR"/>
        </w:rPr>
        <w:t>usurpation de biens, comme c</w:t>
      </w:r>
      <w:r w:rsidR="00EF491F">
        <w:rPr>
          <w:lang w:val="fr-FR"/>
        </w:rPr>
        <w:t>’</w:t>
      </w:r>
      <w:r w:rsidRPr="00737953">
        <w:rPr>
          <w:lang w:val="fr-FR"/>
        </w:rPr>
        <w:t>est le cas en l</w:t>
      </w:r>
      <w:r w:rsidR="00EF491F">
        <w:rPr>
          <w:lang w:val="fr-FR"/>
        </w:rPr>
        <w:t>’</w:t>
      </w:r>
      <w:r w:rsidRPr="00737953">
        <w:rPr>
          <w:lang w:val="fr-FR"/>
        </w:rPr>
        <w:t xml:space="preserve">espèce. </w:t>
      </w:r>
      <w:r>
        <w:rPr>
          <w:lang w:val="fr-FR"/>
        </w:rPr>
        <w:t>D</w:t>
      </w:r>
      <w:r w:rsidRPr="00737953">
        <w:rPr>
          <w:lang w:val="fr-FR"/>
        </w:rPr>
        <w:t>ans son observation générale n</w:t>
      </w:r>
      <w:r w:rsidRPr="00737953">
        <w:rPr>
          <w:vertAlign w:val="superscript"/>
          <w:lang w:val="fr-FR"/>
        </w:rPr>
        <w:t>o</w:t>
      </w:r>
      <w:r>
        <w:rPr>
          <w:lang w:val="fr-FR"/>
        </w:rPr>
        <w:t> </w:t>
      </w:r>
      <w:r w:rsidRPr="00737953">
        <w:rPr>
          <w:lang w:val="fr-FR"/>
        </w:rPr>
        <w:t>7 (1997), le Comité admet</w:t>
      </w:r>
      <w:r>
        <w:rPr>
          <w:lang w:val="fr-FR"/>
        </w:rPr>
        <w:t xml:space="preserve">, au surplus, </w:t>
      </w:r>
      <w:r w:rsidRPr="00737953">
        <w:rPr>
          <w:lang w:val="fr-FR"/>
        </w:rPr>
        <w:t>que les expulsions sont pertinentes dans certains cas, notamment lorsqu</w:t>
      </w:r>
      <w:r w:rsidR="00EF491F">
        <w:rPr>
          <w:lang w:val="fr-FR"/>
        </w:rPr>
        <w:t>’</w:t>
      </w:r>
      <w:r w:rsidRPr="00737953">
        <w:rPr>
          <w:lang w:val="fr-FR"/>
        </w:rPr>
        <w:t>il s</w:t>
      </w:r>
      <w:r w:rsidR="00EF491F">
        <w:rPr>
          <w:lang w:val="fr-FR"/>
        </w:rPr>
        <w:t>’</w:t>
      </w:r>
      <w:r w:rsidRPr="00737953">
        <w:rPr>
          <w:lang w:val="fr-FR"/>
        </w:rPr>
        <w:t>agit de mettre fin à l</w:t>
      </w:r>
      <w:r w:rsidR="00EF491F">
        <w:rPr>
          <w:lang w:val="fr-FR"/>
        </w:rPr>
        <w:t>’</w:t>
      </w:r>
      <w:r w:rsidRPr="00737953">
        <w:rPr>
          <w:lang w:val="fr-FR"/>
        </w:rPr>
        <w:t>occupation du bien d</w:t>
      </w:r>
      <w:r w:rsidR="00EF491F">
        <w:rPr>
          <w:lang w:val="fr-FR"/>
        </w:rPr>
        <w:t>’</w:t>
      </w:r>
      <w:r w:rsidRPr="00737953">
        <w:rPr>
          <w:lang w:val="fr-FR"/>
        </w:rPr>
        <w:t>autrui, pour autant qu</w:t>
      </w:r>
      <w:r w:rsidR="00EF491F">
        <w:rPr>
          <w:lang w:val="fr-FR"/>
        </w:rPr>
        <w:t>’</w:t>
      </w:r>
      <w:r w:rsidRPr="00737953">
        <w:rPr>
          <w:lang w:val="fr-FR"/>
        </w:rPr>
        <w:t>elles soient exécutées dans le respect de la loi, en temps voulu et en présence de fonctionnaires compétents et que les personnes expulsées disposent de recours effectifs.</w:t>
      </w:r>
    </w:p>
    <w:p w14:paraId="6A51AEE7" w14:textId="1462B1AC" w:rsidR="003579EB" w:rsidRPr="003B2F70" w:rsidRDefault="003579EB" w:rsidP="003579EB">
      <w:pPr>
        <w:pStyle w:val="SingleTxtG"/>
        <w:keepNext/>
        <w:keepLines/>
        <w:rPr>
          <w:lang w:val="fr-FR"/>
        </w:rPr>
      </w:pPr>
      <w:r w:rsidRPr="003B2F70">
        <w:rPr>
          <w:lang w:val="fr-FR"/>
        </w:rPr>
        <w:lastRenderedPageBreak/>
        <w:t>4.8</w:t>
      </w:r>
      <w:r w:rsidRPr="003B2F70">
        <w:rPr>
          <w:lang w:val="fr-FR"/>
        </w:rPr>
        <w:tab/>
        <w:t>L</w:t>
      </w:r>
      <w:r w:rsidR="00EF491F">
        <w:rPr>
          <w:lang w:val="fr-FR"/>
        </w:rPr>
        <w:t>’</w:t>
      </w:r>
      <w:r w:rsidRPr="003B2F70">
        <w:rPr>
          <w:lang w:val="fr-FR"/>
        </w:rPr>
        <w:t>État partie affirme que le droit au logement n</w:t>
      </w:r>
      <w:r w:rsidR="00EF491F">
        <w:rPr>
          <w:lang w:val="fr-FR"/>
        </w:rPr>
        <w:t>’</w:t>
      </w:r>
      <w:r w:rsidRPr="003B2F70">
        <w:rPr>
          <w:lang w:val="fr-FR"/>
        </w:rPr>
        <w:t>est pas un droit absolu en vertu duquel quiconque peut prendre possession d</w:t>
      </w:r>
      <w:r w:rsidR="00EF491F">
        <w:rPr>
          <w:lang w:val="fr-FR"/>
        </w:rPr>
        <w:t>’</w:t>
      </w:r>
      <w:r w:rsidRPr="003B2F70">
        <w:rPr>
          <w:lang w:val="fr-FR"/>
        </w:rPr>
        <w:t>un bien immobilier donné ou obtenir un logement en tout état de cause, même lorsque les autorités ne disposent pas de ressources suffisantes. Il considère que l</w:t>
      </w:r>
      <w:r w:rsidR="00EF491F">
        <w:rPr>
          <w:lang w:val="fr-FR"/>
        </w:rPr>
        <w:t>’</w:t>
      </w:r>
      <w:r w:rsidRPr="003B2F70">
        <w:rPr>
          <w:lang w:val="fr-FR"/>
        </w:rPr>
        <w:t>article 25 (par. 1) de la Déclaration universelle des droits de l</w:t>
      </w:r>
      <w:r w:rsidR="00EF491F">
        <w:rPr>
          <w:lang w:val="fr-FR"/>
        </w:rPr>
        <w:t>’</w:t>
      </w:r>
      <w:r w:rsidRPr="003B2F70">
        <w:rPr>
          <w:lang w:val="fr-FR"/>
        </w:rPr>
        <w:t>homme et l</w:t>
      </w:r>
      <w:r w:rsidR="00EF491F">
        <w:rPr>
          <w:lang w:val="fr-FR"/>
        </w:rPr>
        <w:t>’</w:t>
      </w:r>
      <w:r w:rsidRPr="003B2F70">
        <w:rPr>
          <w:lang w:val="fr-FR"/>
        </w:rPr>
        <w:t>article 11 (par. 1) du Pacte n</w:t>
      </w:r>
      <w:r w:rsidR="00EF491F">
        <w:rPr>
          <w:lang w:val="fr-FR"/>
        </w:rPr>
        <w:t>’</w:t>
      </w:r>
      <w:r w:rsidRPr="003B2F70">
        <w:rPr>
          <w:lang w:val="fr-FR"/>
        </w:rPr>
        <w:t>énoncent pas un droit subjectif exécutoire mais confèrent aux États la charge d</w:t>
      </w:r>
      <w:r w:rsidR="00EF491F">
        <w:rPr>
          <w:lang w:val="fr-FR"/>
        </w:rPr>
        <w:t>’</w:t>
      </w:r>
      <w:r w:rsidRPr="003B2F70">
        <w:rPr>
          <w:lang w:val="fr-FR"/>
        </w:rPr>
        <w:t>adopter des mesures stratégiques adaptées visant à faciliter l</w:t>
      </w:r>
      <w:r w:rsidR="00EF491F">
        <w:rPr>
          <w:lang w:val="fr-FR"/>
        </w:rPr>
        <w:t>’</w:t>
      </w:r>
      <w:r w:rsidRPr="003B2F70">
        <w:rPr>
          <w:lang w:val="fr-FR"/>
        </w:rPr>
        <w:t xml:space="preserve">accès de tous les citoyens à un logement décent. </w:t>
      </w:r>
      <w:r w:rsidRPr="003B2F70">
        <w:rPr>
          <w:shd w:val="clear" w:color="auto" w:fill="FFFFFF"/>
          <w:lang w:val="fr-FR"/>
        </w:rPr>
        <w:t>Selon la jurisprudence de la Cour de justice de l</w:t>
      </w:r>
      <w:r w:rsidR="00EF491F">
        <w:rPr>
          <w:shd w:val="clear" w:color="auto" w:fill="FFFFFF"/>
          <w:lang w:val="fr-FR"/>
        </w:rPr>
        <w:t>’</w:t>
      </w:r>
      <w:r w:rsidRPr="003B2F70">
        <w:rPr>
          <w:shd w:val="clear" w:color="auto" w:fill="FFFFFF"/>
          <w:lang w:val="fr-FR"/>
        </w:rPr>
        <w:t>Union européenne</w:t>
      </w:r>
      <w:r w:rsidRPr="003B2F70">
        <w:rPr>
          <w:rStyle w:val="Appelnotedebasdep"/>
        </w:rPr>
        <w:footnoteReference w:id="9"/>
      </w:r>
      <w:r w:rsidRPr="003B2F70">
        <w:rPr>
          <w:shd w:val="clear" w:color="auto" w:fill="FFFFFF"/>
          <w:lang w:val="fr-FR"/>
        </w:rPr>
        <w:t>,</w:t>
      </w:r>
      <w:r w:rsidRPr="003B2F70">
        <w:rPr>
          <w:lang w:val="fr-FR"/>
        </w:rPr>
        <w:t xml:space="preserve"> </w:t>
      </w:r>
      <w:r w:rsidRPr="003B2F70">
        <w:rPr>
          <w:shd w:val="clear" w:color="auto" w:fill="FFFFFF"/>
          <w:lang w:val="fr-FR"/>
        </w:rPr>
        <w:t>l</w:t>
      </w:r>
      <w:r w:rsidR="00EF491F">
        <w:rPr>
          <w:shd w:val="clear" w:color="auto" w:fill="FFFFFF"/>
          <w:lang w:val="fr-FR"/>
        </w:rPr>
        <w:t>’</w:t>
      </w:r>
      <w:r w:rsidRPr="003B2F70">
        <w:rPr>
          <w:shd w:val="clear" w:color="auto" w:fill="FFFFFF"/>
          <w:lang w:val="fr-FR"/>
        </w:rPr>
        <w:t>article 34 (par. 3) de la Charte des droits fondamentaux de l</w:t>
      </w:r>
      <w:r w:rsidR="00EF491F">
        <w:rPr>
          <w:shd w:val="clear" w:color="auto" w:fill="FFFFFF"/>
          <w:lang w:val="fr-FR"/>
        </w:rPr>
        <w:t>’</w:t>
      </w:r>
      <w:r w:rsidRPr="003B2F70">
        <w:rPr>
          <w:shd w:val="clear" w:color="auto" w:fill="FFFFFF"/>
          <w:lang w:val="fr-FR"/>
        </w:rPr>
        <w:t>Union européenne ne garantit pas le droit au logement mais le droit à une aide au logement dans le cadre des politiques sociales fondées sur l</w:t>
      </w:r>
      <w:r w:rsidR="00EF491F">
        <w:rPr>
          <w:shd w:val="clear" w:color="auto" w:fill="FFFFFF"/>
          <w:lang w:val="fr-FR"/>
        </w:rPr>
        <w:t>’</w:t>
      </w:r>
      <w:r w:rsidRPr="003B2F70">
        <w:rPr>
          <w:shd w:val="clear" w:color="auto" w:fill="FFFFFF"/>
          <w:lang w:val="fr-FR"/>
        </w:rPr>
        <w:t>article 153 du Traité sur le fonctionnement de l</w:t>
      </w:r>
      <w:r w:rsidR="00EF491F">
        <w:rPr>
          <w:shd w:val="clear" w:color="auto" w:fill="FFFFFF"/>
          <w:lang w:val="fr-FR"/>
        </w:rPr>
        <w:t>’</w:t>
      </w:r>
      <w:r w:rsidRPr="003B2F70">
        <w:rPr>
          <w:shd w:val="clear" w:color="auto" w:fill="FFFFFF"/>
          <w:lang w:val="fr-FR"/>
        </w:rPr>
        <w:t>Union européenne</w:t>
      </w:r>
      <w:r w:rsidRPr="003B2F70">
        <w:rPr>
          <w:lang w:val="fr-FR"/>
        </w:rPr>
        <w:t>. Cette obligation faite aux États est expressément consacrée par l</w:t>
      </w:r>
      <w:r w:rsidR="00EF491F">
        <w:rPr>
          <w:lang w:val="fr-FR"/>
        </w:rPr>
        <w:t>’</w:t>
      </w:r>
      <w:r w:rsidRPr="003B2F70">
        <w:rPr>
          <w:lang w:val="fr-FR"/>
        </w:rPr>
        <w:t>article 47 de la Constitution espagnole et divers statuts d</w:t>
      </w:r>
      <w:r w:rsidR="00EF491F">
        <w:rPr>
          <w:lang w:val="fr-FR"/>
        </w:rPr>
        <w:t>’</w:t>
      </w:r>
      <w:r w:rsidRPr="003B2F70">
        <w:rPr>
          <w:lang w:val="fr-FR"/>
        </w:rPr>
        <w:t>autonomie. Selon cet article et la jurisprudence de la Cour constitutionnelle</w:t>
      </w:r>
      <w:r w:rsidRPr="003B2F70">
        <w:rPr>
          <w:rStyle w:val="Appelnotedebasdep"/>
        </w:rPr>
        <w:footnoteReference w:id="10"/>
      </w:r>
      <w:r w:rsidRPr="003B2F70">
        <w:rPr>
          <w:lang w:val="fr-FR"/>
        </w:rPr>
        <w:t>, le droit au logement figure dans la Constitution comme une obligation ou une directive dont la teneur est surtout d</w:t>
      </w:r>
      <w:r w:rsidR="00EF491F">
        <w:rPr>
          <w:lang w:val="fr-FR"/>
        </w:rPr>
        <w:t>’</w:t>
      </w:r>
      <w:r w:rsidRPr="003B2F70">
        <w:rPr>
          <w:lang w:val="fr-FR"/>
        </w:rPr>
        <w:t>ordre social, mais n</w:t>
      </w:r>
      <w:r w:rsidR="00EF491F">
        <w:rPr>
          <w:lang w:val="fr-FR"/>
        </w:rPr>
        <w:t>’</w:t>
      </w:r>
      <w:r w:rsidRPr="003B2F70">
        <w:rPr>
          <w:lang w:val="fr-FR"/>
        </w:rPr>
        <w:t>entre pas dans le champ des compétences directes de l</w:t>
      </w:r>
      <w:r w:rsidR="00EF491F">
        <w:rPr>
          <w:lang w:val="fr-FR"/>
        </w:rPr>
        <w:t>’</w:t>
      </w:r>
      <w:r w:rsidRPr="003B2F70">
        <w:rPr>
          <w:lang w:val="fr-FR"/>
        </w:rPr>
        <w:t>État. Les pouvoirs publics sont donc tenus de créer les conditions nécessaires et d</w:t>
      </w:r>
      <w:r w:rsidR="00EF491F">
        <w:rPr>
          <w:lang w:val="fr-FR"/>
        </w:rPr>
        <w:t>’</w:t>
      </w:r>
      <w:r w:rsidRPr="003B2F70">
        <w:rPr>
          <w:lang w:val="fr-FR"/>
        </w:rPr>
        <w:t>établir les règles pertinentes pour donner effet au droit des Espagnols à un logement décent et convenable, notamment en réglementant l</w:t>
      </w:r>
      <w:r w:rsidR="00EF491F">
        <w:rPr>
          <w:lang w:val="fr-FR"/>
        </w:rPr>
        <w:t>’</w:t>
      </w:r>
      <w:r w:rsidRPr="003B2F70">
        <w:rPr>
          <w:lang w:val="fr-FR"/>
        </w:rPr>
        <w:t>utilisation des sols conformément à l</w:t>
      </w:r>
      <w:r w:rsidR="00EF491F">
        <w:rPr>
          <w:lang w:val="fr-FR"/>
        </w:rPr>
        <w:t>’</w:t>
      </w:r>
      <w:r w:rsidRPr="003B2F70">
        <w:rPr>
          <w:lang w:val="fr-FR"/>
        </w:rPr>
        <w:t>intérêt général afin d</w:t>
      </w:r>
      <w:r w:rsidR="00EF491F">
        <w:rPr>
          <w:lang w:val="fr-FR"/>
        </w:rPr>
        <w:t>’</w:t>
      </w:r>
      <w:r w:rsidRPr="003B2F70">
        <w:rPr>
          <w:lang w:val="fr-FR"/>
        </w:rPr>
        <w:t>empêcher la spéculation. Le droit au logement étant un droit à réalisation progressive, l</w:t>
      </w:r>
      <w:r w:rsidR="00EF491F">
        <w:rPr>
          <w:lang w:val="fr-FR"/>
        </w:rPr>
        <w:t>’</w:t>
      </w:r>
      <w:r w:rsidRPr="003B2F70">
        <w:rPr>
          <w:lang w:val="fr-FR"/>
        </w:rPr>
        <w:t>État partie estime qu</w:t>
      </w:r>
      <w:r w:rsidR="00EF491F">
        <w:rPr>
          <w:lang w:val="fr-FR"/>
        </w:rPr>
        <w:t>’</w:t>
      </w:r>
      <w:r w:rsidRPr="003B2F70">
        <w:rPr>
          <w:lang w:val="fr-FR"/>
        </w:rPr>
        <w:t>il respecte pleinement ses obligations internationales. Il renvoie aux mesures prises dans le domaine du logement qui sont mentionnées dans des communications comparables à la présente.</w:t>
      </w:r>
    </w:p>
    <w:p w14:paraId="5AAFB5EC" w14:textId="5C618E99" w:rsidR="003579EB" w:rsidRPr="00737953" w:rsidRDefault="003579EB" w:rsidP="003579EB">
      <w:pPr>
        <w:pStyle w:val="SingleTxtG"/>
        <w:rPr>
          <w:lang w:val="fr-FR"/>
        </w:rPr>
      </w:pPr>
      <w:r w:rsidRPr="00737953">
        <w:rPr>
          <w:lang w:val="fr-FR"/>
        </w:rPr>
        <w:t>4.9</w:t>
      </w:r>
      <w:r w:rsidRPr="00737953">
        <w:rPr>
          <w:lang w:val="fr-FR"/>
        </w:rPr>
        <w:tab/>
        <w:t>Suivant le même raisonnement sur la nature des obligations de l</w:t>
      </w:r>
      <w:r w:rsidR="00EF491F">
        <w:rPr>
          <w:lang w:val="fr-FR"/>
        </w:rPr>
        <w:t>’</w:t>
      </w:r>
      <w:r w:rsidRPr="00737953">
        <w:rPr>
          <w:lang w:val="fr-FR"/>
        </w:rPr>
        <w:t>État partie au regard de l</w:t>
      </w:r>
      <w:r w:rsidR="00EF491F">
        <w:rPr>
          <w:lang w:val="fr-FR"/>
        </w:rPr>
        <w:t>’</w:t>
      </w:r>
      <w:r w:rsidRPr="00737953">
        <w:rPr>
          <w:lang w:val="fr-FR"/>
        </w:rPr>
        <w:t>article</w:t>
      </w:r>
      <w:r>
        <w:rPr>
          <w:lang w:val="fr-FR"/>
        </w:rPr>
        <w:t> </w:t>
      </w:r>
      <w:r w:rsidRPr="00737953">
        <w:rPr>
          <w:lang w:val="fr-FR"/>
        </w:rPr>
        <w:t>11 (par.</w:t>
      </w:r>
      <w:r>
        <w:rPr>
          <w:lang w:val="fr-FR"/>
        </w:rPr>
        <w:t> </w:t>
      </w:r>
      <w:r w:rsidRPr="00737953">
        <w:rPr>
          <w:lang w:val="fr-FR"/>
        </w:rPr>
        <w:t>1) du Pacte, l</w:t>
      </w:r>
      <w:r w:rsidR="00EF491F">
        <w:rPr>
          <w:lang w:val="fr-FR"/>
        </w:rPr>
        <w:t>’</w:t>
      </w:r>
      <w:r w:rsidRPr="00737953">
        <w:rPr>
          <w:lang w:val="fr-FR"/>
        </w:rPr>
        <w:t>État partie estime que, pour déterminer s</w:t>
      </w:r>
      <w:r w:rsidR="00EF491F">
        <w:rPr>
          <w:lang w:val="fr-FR"/>
        </w:rPr>
        <w:t>’</w:t>
      </w:r>
      <w:r w:rsidRPr="00737953">
        <w:rPr>
          <w:lang w:val="fr-FR"/>
        </w:rPr>
        <w:t>il s</w:t>
      </w:r>
      <w:r w:rsidR="00EF491F">
        <w:rPr>
          <w:lang w:val="fr-FR"/>
        </w:rPr>
        <w:t>’</w:t>
      </w:r>
      <w:r w:rsidRPr="00737953">
        <w:rPr>
          <w:lang w:val="fr-FR"/>
        </w:rPr>
        <w:t>acquitte des obligations susdites, il faut tenir compte de trois éléments, à savoir</w:t>
      </w:r>
      <w:r>
        <w:rPr>
          <w:lang w:val="fr-FR"/>
        </w:rPr>
        <w:t> :</w:t>
      </w:r>
      <w:r w:rsidRPr="00737953">
        <w:rPr>
          <w:lang w:val="fr-FR"/>
        </w:rPr>
        <w:t xml:space="preserve"> a)</w:t>
      </w:r>
      <w:r>
        <w:rPr>
          <w:lang w:val="fr-FR"/>
        </w:rPr>
        <w:t> </w:t>
      </w:r>
      <w:r w:rsidRPr="00737953">
        <w:rPr>
          <w:lang w:val="fr-FR"/>
        </w:rPr>
        <w:t>le niveau de ressources minimal dont une personne a besoin pour accéder au marché privé du logement</w:t>
      </w:r>
      <w:r>
        <w:rPr>
          <w:lang w:val="fr-FR"/>
        </w:rPr>
        <w:t> ;</w:t>
      </w:r>
      <w:r w:rsidRPr="00737953">
        <w:rPr>
          <w:lang w:val="fr-FR"/>
        </w:rPr>
        <w:t xml:space="preserve"> b)</w:t>
      </w:r>
      <w:r>
        <w:rPr>
          <w:lang w:val="fr-FR"/>
        </w:rPr>
        <w:t> </w:t>
      </w:r>
      <w:r w:rsidRPr="00737953">
        <w:rPr>
          <w:lang w:val="fr-FR"/>
        </w:rPr>
        <w:t>le nombre de personnes qui vivent en deçà de ce niveau</w:t>
      </w:r>
      <w:r>
        <w:rPr>
          <w:lang w:val="fr-FR"/>
        </w:rPr>
        <w:t> ;</w:t>
      </w:r>
      <w:r w:rsidRPr="00737953">
        <w:rPr>
          <w:lang w:val="fr-FR"/>
        </w:rPr>
        <w:t xml:space="preserve"> c)</w:t>
      </w:r>
      <w:r>
        <w:rPr>
          <w:lang w:val="fr-FR"/>
        </w:rPr>
        <w:t> </w:t>
      </w:r>
      <w:r w:rsidRPr="00737953">
        <w:rPr>
          <w:lang w:val="fr-FR"/>
        </w:rPr>
        <w:t>les fonds publics disponibles. Il faut donc déterminer si l</w:t>
      </w:r>
      <w:r w:rsidR="00EF491F">
        <w:rPr>
          <w:lang w:val="fr-FR"/>
        </w:rPr>
        <w:t>’</w:t>
      </w:r>
      <w:r w:rsidRPr="00737953">
        <w:rPr>
          <w:lang w:val="fr-FR"/>
        </w:rPr>
        <w:t>État consacre toutes les ressources possibles au financement de ces besoins et, lorsque ces ressources sont insuffisantes, si elles ont été affectées selon des critères objectifs et sans discrimination, par ordre de priorité. C</w:t>
      </w:r>
      <w:r w:rsidR="00EF491F">
        <w:rPr>
          <w:lang w:val="fr-FR"/>
        </w:rPr>
        <w:t>’</w:t>
      </w:r>
      <w:r w:rsidRPr="00737953">
        <w:rPr>
          <w:lang w:val="fr-FR"/>
        </w:rPr>
        <w:t xml:space="preserve">est précisément le raisonnement sur lequel se fonde le Comité dans son observation générale </w:t>
      </w:r>
      <w:r w:rsidRPr="00986F2C">
        <w:rPr>
          <w:rFonts w:eastAsia="MS Mincho"/>
          <w:lang w:val="fr-FR"/>
        </w:rPr>
        <w:t>n</w:t>
      </w:r>
      <w:r w:rsidRPr="00986F2C">
        <w:rPr>
          <w:rFonts w:eastAsia="MS Mincho"/>
          <w:vertAlign w:val="superscript"/>
          <w:lang w:val="fr-FR"/>
        </w:rPr>
        <w:t>o</w:t>
      </w:r>
      <w:r>
        <w:rPr>
          <w:lang w:val="fr-FR"/>
        </w:rPr>
        <w:t> </w:t>
      </w:r>
      <w:r w:rsidRPr="00737953">
        <w:rPr>
          <w:lang w:val="fr-FR"/>
        </w:rPr>
        <w:t>7</w:t>
      </w:r>
      <w:r>
        <w:rPr>
          <w:lang w:val="fr-FR"/>
        </w:rPr>
        <w:t xml:space="preserve"> (1997) </w:t>
      </w:r>
      <w:r w:rsidRPr="00737953">
        <w:rPr>
          <w:lang w:val="fr-FR"/>
        </w:rPr>
        <w:t>dont il ressort que, lorsque, suite à une expulsion légale, une personne se retrouve sans domicile, l</w:t>
      </w:r>
      <w:r w:rsidR="00EF491F">
        <w:rPr>
          <w:lang w:val="fr-FR"/>
        </w:rPr>
        <w:t>’</w:t>
      </w:r>
      <w:r w:rsidRPr="00737953">
        <w:rPr>
          <w:lang w:val="fr-FR"/>
        </w:rPr>
        <w:t>État doit, par tous les moyens appropriés, au maximum de ses ressources disponibles, veiller à ce que d</w:t>
      </w:r>
      <w:r w:rsidR="00EF491F">
        <w:rPr>
          <w:lang w:val="fr-FR"/>
        </w:rPr>
        <w:t>’</w:t>
      </w:r>
      <w:r w:rsidRPr="00737953">
        <w:rPr>
          <w:lang w:val="fr-FR"/>
        </w:rPr>
        <w:t>autres possibilités de logement lui soient offertes.</w:t>
      </w:r>
    </w:p>
    <w:p w14:paraId="21E30F0E" w14:textId="667CBA65" w:rsidR="003579EB" w:rsidRPr="00737953" w:rsidRDefault="003579EB" w:rsidP="003579EB">
      <w:pPr>
        <w:pStyle w:val="SingleTxtG"/>
        <w:rPr>
          <w:lang w:val="fr-FR"/>
        </w:rPr>
      </w:pPr>
      <w:r w:rsidRPr="00737953">
        <w:rPr>
          <w:lang w:val="fr-FR"/>
        </w:rPr>
        <w:t>4.10</w:t>
      </w:r>
      <w:r w:rsidRPr="00737953">
        <w:rPr>
          <w:lang w:val="fr-FR"/>
        </w:rPr>
        <w:tab/>
        <w:t>L</w:t>
      </w:r>
      <w:r w:rsidR="00EF491F">
        <w:rPr>
          <w:lang w:val="fr-FR"/>
        </w:rPr>
        <w:t>’</w:t>
      </w:r>
      <w:r w:rsidRPr="00737953">
        <w:rPr>
          <w:lang w:val="fr-FR"/>
        </w:rPr>
        <w:t>État partie estime que, pour constater une violation du Pacte, si l</w:t>
      </w:r>
      <w:r w:rsidR="00EF491F">
        <w:rPr>
          <w:lang w:val="fr-FR"/>
        </w:rPr>
        <w:t>’</w:t>
      </w:r>
      <w:r w:rsidRPr="00737953">
        <w:rPr>
          <w:lang w:val="fr-FR"/>
        </w:rPr>
        <w:t>on applique à la présente affaire le raisonnement susdit concernant la portée du droit à un logement convenable, il faut que l</w:t>
      </w:r>
      <w:r w:rsidR="00EF491F">
        <w:rPr>
          <w:lang w:val="fr-FR"/>
        </w:rPr>
        <w:t>’</w:t>
      </w:r>
      <w:r w:rsidRPr="00737953">
        <w:rPr>
          <w:lang w:val="fr-FR"/>
        </w:rPr>
        <w:t>auteure ait démontré</w:t>
      </w:r>
      <w:r>
        <w:rPr>
          <w:lang w:val="fr-FR"/>
        </w:rPr>
        <w:t> :</w:t>
      </w:r>
      <w:r w:rsidRPr="00737953">
        <w:rPr>
          <w:lang w:val="fr-FR"/>
        </w:rPr>
        <w:t xml:space="preserve"> a)</w:t>
      </w:r>
      <w:r>
        <w:rPr>
          <w:lang w:val="fr-FR"/>
        </w:rPr>
        <w:t> </w:t>
      </w:r>
      <w:r w:rsidRPr="00737953">
        <w:rPr>
          <w:lang w:val="fr-FR"/>
        </w:rPr>
        <w:t>qu</w:t>
      </w:r>
      <w:r w:rsidR="00EF491F">
        <w:rPr>
          <w:lang w:val="fr-FR"/>
        </w:rPr>
        <w:t>’</w:t>
      </w:r>
      <w:r w:rsidRPr="00737953">
        <w:rPr>
          <w:lang w:val="fr-FR"/>
        </w:rPr>
        <w:t>elle se trouve dans le besoin</w:t>
      </w:r>
      <w:r>
        <w:rPr>
          <w:lang w:val="fr-FR"/>
        </w:rPr>
        <w:t> ;</w:t>
      </w:r>
      <w:r w:rsidRPr="00737953">
        <w:rPr>
          <w:lang w:val="fr-FR"/>
        </w:rPr>
        <w:t xml:space="preserve"> b)</w:t>
      </w:r>
      <w:r>
        <w:rPr>
          <w:lang w:val="fr-FR"/>
        </w:rPr>
        <w:t> </w:t>
      </w:r>
      <w:r w:rsidRPr="00737953">
        <w:rPr>
          <w:lang w:val="fr-FR"/>
        </w:rPr>
        <w:t>que les autorités n</w:t>
      </w:r>
      <w:r w:rsidR="00EF491F">
        <w:rPr>
          <w:lang w:val="fr-FR"/>
        </w:rPr>
        <w:t>’</w:t>
      </w:r>
      <w:r w:rsidRPr="00737953">
        <w:rPr>
          <w:lang w:val="fr-FR"/>
        </w:rPr>
        <w:t>ont pas consacré toutes les ressources dont elles dispos</w:t>
      </w:r>
      <w:r>
        <w:rPr>
          <w:lang w:val="fr-FR"/>
        </w:rPr>
        <w:t>ai</w:t>
      </w:r>
      <w:r w:rsidRPr="00737953">
        <w:rPr>
          <w:lang w:val="fr-FR"/>
        </w:rPr>
        <w:t>ent</w:t>
      </w:r>
      <w:r>
        <w:rPr>
          <w:lang w:val="fr-FR"/>
        </w:rPr>
        <w:t> ;</w:t>
      </w:r>
      <w:r w:rsidRPr="00737953">
        <w:rPr>
          <w:lang w:val="fr-FR"/>
        </w:rPr>
        <w:t xml:space="preserve"> c)</w:t>
      </w:r>
      <w:r>
        <w:rPr>
          <w:lang w:val="fr-FR"/>
        </w:rPr>
        <w:t> </w:t>
      </w:r>
      <w:r w:rsidRPr="00737953">
        <w:rPr>
          <w:lang w:val="fr-FR"/>
        </w:rPr>
        <w:t>que, si l</w:t>
      </w:r>
      <w:r w:rsidR="00EF491F">
        <w:rPr>
          <w:lang w:val="fr-FR"/>
        </w:rPr>
        <w:t>’</w:t>
      </w:r>
      <w:r w:rsidRPr="00737953">
        <w:rPr>
          <w:lang w:val="fr-FR"/>
        </w:rPr>
        <w:t>État a consacré toutes les ressources dont il disposait sans parvenir à répondre à l</w:t>
      </w:r>
      <w:r w:rsidR="00EF491F">
        <w:rPr>
          <w:lang w:val="fr-FR"/>
        </w:rPr>
        <w:t>’</w:t>
      </w:r>
      <w:r w:rsidRPr="00737953">
        <w:rPr>
          <w:lang w:val="fr-FR"/>
        </w:rPr>
        <w:t>ensemble des besoins, celles-ci n</w:t>
      </w:r>
      <w:r w:rsidR="00EF491F">
        <w:rPr>
          <w:lang w:val="fr-FR"/>
        </w:rPr>
        <w:t>’</w:t>
      </w:r>
      <w:r w:rsidRPr="00737953">
        <w:rPr>
          <w:lang w:val="fr-FR"/>
        </w:rPr>
        <w:t>ont pas été allouées selon des critères raisonnables et objectifs</w:t>
      </w:r>
      <w:r>
        <w:rPr>
          <w:lang w:val="fr-FR"/>
        </w:rPr>
        <w:t> ;</w:t>
      </w:r>
      <w:r w:rsidRPr="00737953">
        <w:rPr>
          <w:lang w:val="fr-FR"/>
        </w:rPr>
        <w:t xml:space="preserve"> d)</w:t>
      </w:r>
      <w:r>
        <w:rPr>
          <w:lang w:val="fr-FR"/>
        </w:rPr>
        <w:t> </w:t>
      </w:r>
      <w:r w:rsidRPr="00737953">
        <w:rPr>
          <w:lang w:val="fr-FR"/>
        </w:rPr>
        <w:t>qu</w:t>
      </w:r>
      <w:r w:rsidR="00EF491F">
        <w:rPr>
          <w:lang w:val="fr-FR"/>
        </w:rPr>
        <w:t>’</w:t>
      </w:r>
      <w:r w:rsidRPr="00737953">
        <w:rPr>
          <w:lang w:val="fr-FR"/>
        </w:rPr>
        <w:t>elle ne s</w:t>
      </w:r>
      <w:r w:rsidR="00EF491F">
        <w:rPr>
          <w:lang w:val="fr-FR"/>
        </w:rPr>
        <w:t>’</w:t>
      </w:r>
      <w:r w:rsidRPr="00737953">
        <w:rPr>
          <w:lang w:val="fr-FR"/>
        </w:rPr>
        <w:t>est pas placée volontaire</w:t>
      </w:r>
      <w:r>
        <w:rPr>
          <w:lang w:val="fr-FR"/>
        </w:rPr>
        <w:t>ment</w:t>
      </w:r>
      <w:r w:rsidRPr="00737953">
        <w:rPr>
          <w:lang w:val="fr-FR"/>
        </w:rPr>
        <w:t xml:space="preserve"> et consciemment dans la situation dont elle tire grief, se privant de la possibilité de bénéficier des aides publiques.</w:t>
      </w:r>
    </w:p>
    <w:p w14:paraId="1EC54A47" w14:textId="21875706" w:rsidR="003579EB" w:rsidRPr="00737953" w:rsidRDefault="003579EB" w:rsidP="003579EB">
      <w:pPr>
        <w:pStyle w:val="SingleTxtG"/>
        <w:rPr>
          <w:lang w:val="fr-FR"/>
        </w:rPr>
      </w:pPr>
      <w:r w:rsidRPr="00737953">
        <w:rPr>
          <w:lang w:val="fr-FR"/>
        </w:rPr>
        <w:t>4.11</w:t>
      </w:r>
      <w:r w:rsidRPr="00737953">
        <w:rPr>
          <w:lang w:val="fr-FR"/>
        </w:rPr>
        <w:tab/>
        <w:t>L</w:t>
      </w:r>
      <w:r w:rsidR="00EF491F">
        <w:rPr>
          <w:lang w:val="fr-FR"/>
        </w:rPr>
        <w:t>’</w:t>
      </w:r>
      <w:r w:rsidRPr="00737953">
        <w:rPr>
          <w:lang w:val="fr-FR"/>
        </w:rPr>
        <w:t>État partie rend compte des décisions prises pour protéger le droit au logement. Il a pris des mesures pour faciliter l</w:t>
      </w:r>
      <w:r w:rsidR="00EF491F">
        <w:rPr>
          <w:lang w:val="fr-FR"/>
        </w:rPr>
        <w:t>’</w:t>
      </w:r>
      <w:r w:rsidRPr="00737953">
        <w:rPr>
          <w:lang w:val="fr-FR"/>
        </w:rPr>
        <w:t xml:space="preserve">accès au régime de la propriété privée par des allégements fiscaux et au régime de la location privée par des aides publiques. Des politiques ont également été adoptées pour que les </w:t>
      </w:r>
      <w:r>
        <w:rPr>
          <w:lang w:val="fr-FR"/>
        </w:rPr>
        <w:t>propriétaires puissent conserver leurs biens</w:t>
      </w:r>
      <w:r w:rsidRPr="00737953">
        <w:rPr>
          <w:lang w:val="fr-FR"/>
        </w:rPr>
        <w:t>, grâce au moratoire sur les expulsions pour non-paiement de prêts hypothécaires et à l</w:t>
      </w:r>
      <w:r w:rsidR="00EF491F">
        <w:rPr>
          <w:lang w:val="fr-FR"/>
        </w:rPr>
        <w:t>’</w:t>
      </w:r>
      <w:r w:rsidRPr="00737953">
        <w:rPr>
          <w:lang w:val="fr-FR"/>
        </w:rPr>
        <w:t>adoption du Code d</w:t>
      </w:r>
      <w:r>
        <w:rPr>
          <w:lang w:val="fr-FR"/>
        </w:rPr>
        <w:t>es bonnes pratiques</w:t>
      </w:r>
      <w:r w:rsidRPr="00737953">
        <w:rPr>
          <w:lang w:val="fr-FR"/>
        </w:rPr>
        <w:t>, auquel plus de 93</w:t>
      </w:r>
      <w:r>
        <w:rPr>
          <w:lang w:val="fr-FR"/>
        </w:rPr>
        <w:t> établissements</w:t>
      </w:r>
      <w:r w:rsidRPr="00737953">
        <w:rPr>
          <w:lang w:val="fr-FR"/>
        </w:rPr>
        <w:t xml:space="preserve"> financi</w:t>
      </w:r>
      <w:r>
        <w:rPr>
          <w:lang w:val="fr-FR"/>
        </w:rPr>
        <w:t>er</w:t>
      </w:r>
      <w:r w:rsidRPr="00737953">
        <w:rPr>
          <w:lang w:val="fr-FR"/>
        </w:rPr>
        <w:t>s ont adhéré. En outre, pour remédier aux situations d</w:t>
      </w:r>
      <w:r w:rsidR="00EF491F">
        <w:rPr>
          <w:lang w:val="fr-FR"/>
        </w:rPr>
        <w:t>’</w:t>
      </w:r>
      <w:r w:rsidRPr="00737953">
        <w:rPr>
          <w:lang w:val="fr-FR"/>
        </w:rPr>
        <w:t>urgence en cas d</w:t>
      </w:r>
      <w:r w:rsidR="00EF491F">
        <w:rPr>
          <w:lang w:val="fr-FR"/>
        </w:rPr>
        <w:t>’</w:t>
      </w:r>
      <w:r w:rsidRPr="00737953">
        <w:rPr>
          <w:lang w:val="fr-FR"/>
        </w:rPr>
        <w:t>expulsions légales jusqu</w:t>
      </w:r>
      <w:r w:rsidR="00EF491F">
        <w:rPr>
          <w:lang w:val="fr-FR"/>
        </w:rPr>
        <w:t>’</w:t>
      </w:r>
      <w:r w:rsidRPr="00737953">
        <w:rPr>
          <w:lang w:val="fr-FR"/>
        </w:rPr>
        <w:t>à ce qu</w:t>
      </w:r>
      <w:r w:rsidR="00EF491F">
        <w:rPr>
          <w:lang w:val="fr-FR"/>
        </w:rPr>
        <w:t>’</w:t>
      </w:r>
      <w:r w:rsidRPr="00737953">
        <w:rPr>
          <w:lang w:val="fr-FR"/>
        </w:rPr>
        <w:t xml:space="preserve">un nouveau logement stable soit trouvé, le décret-loi royal </w:t>
      </w:r>
      <w:r w:rsidRPr="00DA6B9B">
        <w:rPr>
          <w:rFonts w:eastAsia="MS Mincho"/>
          <w:lang w:val="fr-FR"/>
        </w:rPr>
        <w:t>n</w:t>
      </w:r>
      <w:r w:rsidRPr="00DA6B9B">
        <w:rPr>
          <w:rFonts w:eastAsia="MS Mincho"/>
          <w:vertAlign w:val="superscript"/>
          <w:lang w:val="fr-FR"/>
        </w:rPr>
        <w:t>o</w:t>
      </w:r>
      <w:r>
        <w:rPr>
          <w:lang w:val="fr-FR"/>
        </w:rPr>
        <w:t> </w:t>
      </w:r>
      <w:r w:rsidRPr="00737953">
        <w:rPr>
          <w:lang w:val="fr-FR"/>
        </w:rPr>
        <w:t>7/2019 a établi un mécanisme permettant aux personnes vulnérables d</w:t>
      </w:r>
      <w:r w:rsidR="00EF491F">
        <w:rPr>
          <w:lang w:val="fr-FR"/>
        </w:rPr>
        <w:t>’</w:t>
      </w:r>
      <w:r w:rsidRPr="00737953">
        <w:rPr>
          <w:lang w:val="fr-FR"/>
        </w:rPr>
        <w:t>obtenir la suspension de leur expulsion pendant un mois lorsque le propriétaire est une personne physique ou trois mois lorsqu</w:t>
      </w:r>
      <w:r w:rsidR="00EF491F">
        <w:rPr>
          <w:lang w:val="fr-FR"/>
        </w:rPr>
        <w:t>’</w:t>
      </w:r>
      <w:r w:rsidRPr="00737953">
        <w:rPr>
          <w:lang w:val="fr-FR"/>
        </w:rPr>
        <w:t>il s</w:t>
      </w:r>
      <w:r w:rsidR="00EF491F">
        <w:rPr>
          <w:lang w:val="fr-FR"/>
        </w:rPr>
        <w:t>’</w:t>
      </w:r>
      <w:r w:rsidRPr="00737953">
        <w:rPr>
          <w:lang w:val="fr-FR"/>
        </w:rPr>
        <w:t>agit d</w:t>
      </w:r>
      <w:r w:rsidR="00EF491F">
        <w:rPr>
          <w:lang w:val="fr-FR"/>
        </w:rPr>
        <w:t>’</w:t>
      </w:r>
      <w:r w:rsidRPr="00737953">
        <w:rPr>
          <w:lang w:val="fr-FR"/>
        </w:rPr>
        <w:t>une personne morale. À cela s</w:t>
      </w:r>
      <w:r w:rsidR="00EF491F">
        <w:rPr>
          <w:lang w:val="fr-FR"/>
        </w:rPr>
        <w:t>’</w:t>
      </w:r>
      <w:r w:rsidRPr="00737953">
        <w:rPr>
          <w:lang w:val="fr-FR"/>
        </w:rPr>
        <w:t>ajoute, dans la communauté autonome de Catalogne, les aides sociales d</w:t>
      </w:r>
      <w:r w:rsidR="00EF491F">
        <w:rPr>
          <w:lang w:val="fr-FR"/>
        </w:rPr>
        <w:t>’</w:t>
      </w:r>
      <w:r w:rsidRPr="00737953">
        <w:rPr>
          <w:lang w:val="fr-FR"/>
        </w:rPr>
        <w:t xml:space="preserve">urgence qui servent à remédier à des situations de nécessité ponctuelle, urgente et essentielle. </w:t>
      </w:r>
      <w:r w:rsidRPr="00737953">
        <w:rPr>
          <w:lang w:val="fr-FR"/>
        </w:rPr>
        <w:lastRenderedPageBreak/>
        <w:t>L</w:t>
      </w:r>
      <w:r w:rsidR="00EF491F">
        <w:rPr>
          <w:lang w:val="fr-FR"/>
        </w:rPr>
        <w:t>’</w:t>
      </w:r>
      <w:r w:rsidRPr="00737953">
        <w:rPr>
          <w:lang w:val="fr-FR"/>
        </w:rPr>
        <w:t>État</w:t>
      </w:r>
      <w:r>
        <w:rPr>
          <w:lang w:val="fr-FR"/>
        </w:rPr>
        <w:t> </w:t>
      </w:r>
      <w:r w:rsidRPr="00737953">
        <w:rPr>
          <w:lang w:val="fr-FR"/>
        </w:rPr>
        <w:t xml:space="preserve">partie </w:t>
      </w:r>
      <w:r>
        <w:rPr>
          <w:lang w:val="fr-FR"/>
        </w:rPr>
        <w:t>s</w:t>
      </w:r>
      <w:r w:rsidR="00EF491F">
        <w:rPr>
          <w:lang w:val="fr-FR"/>
        </w:rPr>
        <w:t>’</w:t>
      </w:r>
      <w:r>
        <w:rPr>
          <w:lang w:val="fr-FR"/>
        </w:rPr>
        <w:t xml:space="preserve">emploie </w:t>
      </w:r>
      <w:r w:rsidRPr="00737953">
        <w:rPr>
          <w:lang w:val="fr-FR"/>
        </w:rPr>
        <w:t xml:space="preserve">également </w:t>
      </w:r>
      <w:r>
        <w:rPr>
          <w:lang w:val="fr-FR"/>
        </w:rPr>
        <w:t>à faire en sorte qu</w:t>
      </w:r>
      <w:r w:rsidR="00EF491F">
        <w:rPr>
          <w:lang w:val="fr-FR"/>
        </w:rPr>
        <w:t>’</w:t>
      </w:r>
      <w:r>
        <w:rPr>
          <w:lang w:val="fr-FR"/>
        </w:rPr>
        <w:t xml:space="preserve">il y ait </w:t>
      </w:r>
      <w:r w:rsidRPr="00737953">
        <w:rPr>
          <w:lang w:val="fr-FR"/>
        </w:rPr>
        <w:t>un parc suffisant de logements sociaux</w:t>
      </w:r>
      <w:r>
        <w:rPr>
          <w:lang w:val="fr-FR"/>
        </w:rPr>
        <w:t xml:space="preserve"> et, à cette fin, a inscrit</w:t>
      </w:r>
      <w:r w:rsidRPr="00737953">
        <w:rPr>
          <w:lang w:val="fr-FR"/>
        </w:rPr>
        <w:t xml:space="preserve"> dans la législation espagnole en matière d</w:t>
      </w:r>
      <w:r w:rsidR="00EF491F">
        <w:rPr>
          <w:lang w:val="fr-FR"/>
        </w:rPr>
        <w:t>’</w:t>
      </w:r>
      <w:r w:rsidRPr="00737953">
        <w:rPr>
          <w:lang w:val="fr-FR"/>
        </w:rPr>
        <w:t>urbanisme l</w:t>
      </w:r>
      <w:r w:rsidR="00EF491F">
        <w:rPr>
          <w:lang w:val="fr-FR"/>
        </w:rPr>
        <w:t>’</w:t>
      </w:r>
      <w:r w:rsidRPr="00737953">
        <w:rPr>
          <w:lang w:val="fr-FR"/>
        </w:rPr>
        <w:t>obligation de céder gratuitement à des fins publiques une partie des terrains privés à bâtir et en finançant la construction de logements sociaux sur ces terrains. Enfin, il établit des critères objectifs pour évaluer les besoins des demandeurs de logements sociaux.</w:t>
      </w:r>
    </w:p>
    <w:p w14:paraId="11BF567E" w14:textId="59EDD9AC" w:rsidR="003579EB" w:rsidRPr="00737953" w:rsidRDefault="003579EB" w:rsidP="003579EB">
      <w:pPr>
        <w:pStyle w:val="SingleTxtG"/>
        <w:rPr>
          <w:lang w:val="fr-FR"/>
        </w:rPr>
      </w:pPr>
      <w:r w:rsidRPr="00F20C5E">
        <w:rPr>
          <w:lang w:val="fr-FR"/>
        </w:rPr>
        <w:t>4.12</w:t>
      </w:r>
      <w:r w:rsidRPr="00F20C5E">
        <w:rPr>
          <w:lang w:val="fr-FR"/>
        </w:rPr>
        <w:tab/>
        <w:t>En l</w:t>
      </w:r>
      <w:r w:rsidR="00EF491F">
        <w:rPr>
          <w:lang w:val="fr-FR"/>
        </w:rPr>
        <w:t>’</w:t>
      </w:r>
      <w:r w:rsidRPr="00F20C5E">
        <w:rPr>
          <w:lang w:val="fr-FR"/>
        </w:rPr>
        <w:t>espèce, l</w:t>
      </w:r>
      <w:r w:rsidR="00EF491F">
        <w:rPr>
          <w:lang w:val="fr-FR"/>
        </w:rPr>
        <w:t>’</w:t>
      </w:r>
      <w:r w:rsidRPr="00F20C5E">
        <w:rPr>
          <w:lang w:val="fr-FR"/>
        </w:rPr>
        <w:t>auteure a commencé à occuper un bien immobilier avant de déposer une demande de logement social. L</w:t>
      </w:r>
      <w:r w:rsidR="00EF491F">
        <w:rPr>
          <w:lang w:val="fr-FR"/>
        </w:rPr>
        <w:t>’</w:t>
      </w:r>
      <w:r w:rsidRPr="00F20C5E">
        <w:rPr>
          <w:lang w:val="fr-FR"/>
        </w:rPr>
        <w:t>État partie estime que la protection garantie par l</w:t>
      </w:r>
      <w:r w:rsidR="00EF491F">
        <w:rPr>
          <w:lang w:val="fr-FR"/>
        </w:rPr>
        <w:t>’</w:t>
      </w:r>
      <w:r w:rsidRPr="00F20C5E">
        <w:rPr>
          <w:lang w:val="fr-FR"/>
        </w:rPr>
        <w:t>article</w:t>
      </w:r>
      <w:r>
        <w:rPr>
          <w:lang w:val="fr-FR"/>
        </w:rPr>
        <w:t> </w:t>
      </w:r>
      <w:r w:rsidRPr="00F20C5E">
        <w:rPr>
          <w:lang w:val="fr-FR"/>
        </w:rPr>
        <w:t>11 (par.</w:t>
      </w:r>
      <w:r>
        <w:rPr>
          <w:lang w:val="fr-FR"/>
        </w:rPr>
        <w:t> </w:t>
      </w:r>
      <w:r w:rsidRPr="00F20C5E">
        <w:rPr>
          <w:lang w:val="fr-FR"/>
        </w:rPr>
        <w:t>1) du Pacte ne s</w:t>
      </w:r>
      <w:r w:rsidR="00EF491F">
        <w:rPr>
          <w:lang w:val="fr-FR"/>
        </w:rPr>
        <w:t>’</w:t>
      </w:r>
      <w:r w:rsidRPr="00F20C5E">
        <w:rPr>
          <w:lang w:val="fr-FR"/>
        </w:rPr>
        <w:t>étend pas à ce cas de figure et qu</w:t>
      </w:r>
      <w:r w:rsidR="00EF491F">
        <w:rPr>
          <w:lang w:val="fr-FR"/>
        </w:rPr>
        <w:t>’</w:t>
      </w:r>
      <w:r w:rsidRPr="00F20C5E">
        <w:rPr>
          <w:lang w:val="fr-FR"/>
        </w:rPr>
        <w:t>en agissant ainsi, l</w:t>
      </w:r>
      <w:r w:rsidR="00EF491F">
        <w:rPr>
          <w:lang w:val="fr-FR"/>
        </w:rPr>
        <w:t>’</w:t>
      </w:r>
      <w:r w:rsidRPr="00F20C5E">
        <w:rPr>
          <w:lang w:val="fr-FR"/>
        </w:rPr>
        <w:t>auteure a porté préjudice à la personne morale propriétaire du bien en question. Les services sociaux étaient présents à toutes les dates d</w:t>
      </w:r>
      <w:r w:rsidR="00EF491F">
        <w:rPr>
          <w:lang w:val="fr-FR"/>
        </w:rPr>
        <w:t>’</w:t>
      </w:r>
      <w:r w:rsidRPr="00F20C5E">
        <w:rPr>
          <w:lang w:val="fr-FR"/>
        </w:rPr>
        <w:t>expulsion fixées et assurent un suivi et une aide à l</w:t>
      </w:r>
      <w:r w:rsidR="00EF491F">
        <w:rPr>
          <w:lang w:val="fr-FR"/>
        </w:rPr>
        <w:t>’</w:t>
      </w:r>
      <w:r w:rsidRPr="00F20C5E">
        <w:rPr>
          <w:lang w:val="fr-FR"/>
        </w:rPr>
        <w:t>auteure depuis 2017. La demande de logement social a été acceptée et l</w:t>
      </w:r>
      <w:r w:rsidR="00EF491F">
        <w:rPr>
          <w:lang w:val="fr-FR"/>
        </w:rPr>
        <w:t>’</w:t>
      </w:r>
      <w:r w:rsidRPr="00F20C5E">
        <w:rPr>
          <w:lang w:val="fr-FR"/>
        </w:rPr>
        <w:t>auteure a pu bénéficier du programme</w:t>
      </w:r>
      <w:r>
        <w:rPr>
          <w:lang w:val="fr-FR"/>
        </w:rPr>
        <w:t> </w:t>
      </w:r>
      <w:r w:rsidRPr="00F20C5E">
        <w:rPr>
          <w:lang w:val="fr-FR"/>
        </w:rPr>
        <w:t>60/40, qui lui permettait de rechercher un logement sur le marché locatif privé. Enfin, l</w:t>
      </w:r>
      <w:r w:rsidR="00EF491F">
        <w:rPr>
          <w:lang w:val="fr-FR"/>
        </w:rPr>
        <w:t>’</w:t>
      </w:r>
      <w:r w:rsidRPr="00F20C5E">
        <w:rPr>
          <w:lang w:val="fr-FR"/>
        </w:rPr>
        <w:t>auteure est en grande partie responsable de sa situation, puisqu</w:t>
      </w:r>
      <w:r w:rsidR="00EF491F">
        <w:rPr>
          <w:lang w:val="fr-FR"/>
        </w:rPr>
        <w:t>’</w:t>
      </w:r>
      <w:r w:rsidRPr="00F20C5E">
        <w:rPr>
          <w:lang w:val="fr-FR"/>
        </w:rPr>
        <w:t>elle occupait le logement en question depuis février 2018 sans avoir déposé de demande de logement social. Compte tenu de ce qui précède, l</w:t>
      </w:r>
      <w:r w:rsidR="00EF491F">
        <w:rPr>
          <w:lang w:val="fr-FR"/>
        </w:rPr>
        <w:t>’</w:t>
      </w:r>
      <w:r w:rsidRPr="00F20C5E">
        <w:rPr>
          <w:lang w:val="fr-FR"/>
        </w:rPr>
        <w:t>État partie conclut que les autorités n</w:t>
      </w:r>
      <w:r w:rsidR="00EF491F">
        <w:rPr>
          <w:lang w:val="fr-FR"/>
        </w:rPr>
        <w:t>’</w:t>
      </w:r>
      <w:r w:rsidRPr="00F20C5E">
        <w:rPr>
          <w:lang w:val="fr-FR"/>
        </w:rPr>
        <w:t>ont pas manqué à leurs obligations au regard de l</w:t>
      </w:r>
      <w:r w:rsidR="00EF491F">
        <w:rPr>
          <w:lang w:val="fr-FR"/>
        </w:rPr>
        <w:t>’</w:t>
      </w:r>
      <w:r w:rsidRPr="00F20C5E">
        <w:rPr>
          <w:lang w:val="fr-FR"/>
        </w:rPr>
        <w:t>article</w:t>
      </w:r>
      <w:r>
        <w:rPr>
          <w:lang w:val="fr-FR"/>
        </w:rPr>
        <w:t> </w:t>
      </w:r>
      <w:r w:rsidRPr="00F20C5E">
        <w:rPr>
          <w:lang w:val="fr-FR"/>
        </w:rPr>
        <w:t>11 (par.</w:t>
      </w:r>
      <w:r>
        <w:rPr>
          <w:lang w:val="fr-FR"/>
        </w:rPr>
        <w:t> </w:t>
      </w:r>
      <w:r w:rsidRPr="00F20C5E">
        <w:rPr>
          <w:lang w:val="fr-FR"/>
        </w:rPr>
        <w:t>1) du Pacte.</w:t>
      </w:r>
    </w:p>
    <w:p w14:paraId="7465EB4C" w14:textId="68A08EE2" w:rsidR="003579EB" w:rsidRPr="00737953" w:rsidRDefault="003579EB" w:rsidP="003579EB">
      <w:pPr>
        <w:pStyle w:val="H23G"/>
        <w:rPr>
          <w:lang w:val="fr-FR"/>
        </w:rPr>
      </w:pPr>
      <w:r w:rsidRPr="00737953">
        <w:rPr>
          <w:lang w:val="fr-FR"/>
        </w:rPr>
        <w:tab/>
      </w:r>
      <w:r w:rsidRPr="00737953">
        <w:rPr>
          <w:lang w:val="fr-FR"/>
        </w:rPr>
        <w:tab/>
        <w:t>Commentaires de l</w:t>
      </w:r>
      <w:r w:rsidR="00EF491F">
        <w:rPr>
          <w:lang w:val="fr-FR"/>
        </w:rPr>
        <w:t>’</w:t>
      </w:r>
      <w:r w:rsidRPr="00737953">
        <w:rPr>
          <w:lang w:val="fr-FR"/>
        </w:rPr>
        <w:t xml:space="preserve">auteure sur </w:t>
      </w:r>
      <w:r>
        <w:rPr>
          <w:lang w:val="fr-FR"/>
        </w:rPr>
        <w:t>les observations de l</w:t>
      </w:r>
      <w:r w:rsidR="00EF491F">
        <w:rPr>
          <w:lang w:val="fr-FR"/>
        </w:rPr>
        <w:t>’</w:t>
      </w:r>
      <w:r>
        <w:rPr>
          <w:lang w:val="fr-FR"/>
        </w:rPr>
        <w:t xml:space="preserve">État partie </w:t>
      </w:r>
      <w:r w:rsidR="00BE6C81">
        <w:rPr>
          <w:lang w:val="fr-FR"/>
        </w:rPr>
        <w:br/>
      </w:r>
      <w:r>
        <w:rPr>
          <w:lang w:val="fr-FR"/>
        </w:rPr>
        <w:t xml:space="preserve">sur </w:t>
      </w:r>
      <w:r w:rsidRPr="00737953">
        <w:rPr>
          <w:lang w:val="fr-FR"/>
        </w:rPr>
        <w:t>la recevabilité et sur le fond</w:t>
      </w:r>
    </w:p>
    <w:p w14:paraId="0500C66A" w14:textId="662E9054" w:rsidR="003579EB" w:rsidRPr="00737953" w:rsidRDefault="003579EB" w:rsidP="003579EB">
      <w:pPr>
        <w:pStyle w:val="SingleTxtG"/>
        <w:rPr>
          <w:lang w:val="fr-FR"/>
        </w:rPr>
      </w:pPr>
      <w:r w:rsidRPr="00737953">
        <w:rPr>
          <w:lang w:val="fr-FR"/>
        </w:rPr>
        <w:t>5.1</w:t>
      </w:r>
      <w:r w:rsidRPr="00737953">
        <w:rPr>
          <w:lang w:val="fr-FR"/>
        </w:rPr>
        <w:tab/>
        <w:t>Dans ses commentaires en date du 20</w:t>
      </w:r>
      <w:r>
        <w:rPr>
          <w:lang w:val="fr-FR"/>
        </w:rPr>
        <w:t> </w:t>
      </w:r>
      <w:r w:rsidRPr="00737953">
        <w:rPr>
          <w:lang w:val="fr-FR"/>
        </w:rPr>
        <w:t>mars 2020, l</w:t>
      </w:r>
      <w:r w:rsidR="00EF491F">
        <w:rPr>
          <w:lang w:val="fr-FR"/>
        </w:rPr>
        <w:t>’</w:t>
      </w:r>
      <w:r w:rsidRPr="00737953">
        <w:rPr>
          <w:lang w:val="fr-FR"/>
        </w:rPr>
        <w:t>auteure fait savoir que la mesure d</w:t>
      </w:r>
      <w:r w:rsidR="00EF491F">
        <w:rPr>
          <w:lang w:val="fr-FR"/>
        </w:rPr>
        <w:t>’</w:t>
      </w:r>
      <w:r w:rsidRPr="00737953">
        <w:rPr>
          <w:lang w:val="fr-FR"/>
        </w:rPr>
        <w:t>expulsion n</w:t>
      </w:r>
      <w:r w:rsidR="00EF491F">
        <w:rPr>
          <w:lang w:val="fr-FR"/>
        </w:rPr>
        <w:t>’</w:t>
      </w:r>
      <w:r w:rsidRPr="00737953">
        <w:rPr>
          <w:lang w:val="fr-FR"/>
        </w:rPr>
        <w:t>a pas été suspendue et a été exécutée à la date prévue. Selon elle, si l</w:t>
      </w:r>
      <w:r w:rsidR="00EF491F">
        <w:rPr>
          <w:lang w:val="fr-FR"/>
        </w:rPr>
        <w:t>’</w:t>
      </w:r>
      <w:r w:rsidRPr="00737953">
        <w:rPr>
          <w:lang w:val="fr-FR"/>
        </w:rPr>
        <w:t>expulsion n</w:t>
      </w:r>
      <w:r w:rsidR="00EF491F">
        <w:rPr>
          <w:lang w:val="fr-FR"/>
        </w:rPr>
        <w:t>’</w:t>
      </w:r>
      <w:r w:rsidRPr="00737953">
        <w:rPr>
          <w:lang w:val="fr-FR"/>
        </w:rPr>
        <w:t>a pas été suspendue, c</w:t>
      </w:r>
      <w:r w:rsidR="00EF491F">
        <w:rPr>
          <w:lang w:val="fr-FR"/>
        </w:rPr>
        <w:t>’</w:t>
      </w:r>
      <w:r w:rsidRPr="00737953">
        <w:rPr>
          <w:lang w:val="fr-FR"/>
        </w:rPr>
        <w:t xml:space="preserve">est parce que les services sociaux ont informé le tribunal de première instance </w:t>
      </w:r>
      <w:r w:rsidRPr="008C4B51">
        <w:rPr>
          <w:rFonts w:eastAsia="MS Mincho"/>
          <w:lang w:val="fr-FR"/>
        </w:rPr>
        <w:t>n</w:t>
      </w:r>
      <w:r w:rsidRPr="008C4B51">
        <w:rPr>
          <w:rFonts w:eastAsia="MS Mincho"/>
          <w:vertAlign w:val="superscript"/>
          <w:lang w:val="fr-FR"/>
        </w:rPr>
        <w:t>o</w:t>
      </w:r>
      <w:r>
        <w:rPr>
          <w:lang w:val="fr-FR"/>
        </w:rPr>
        <w:t> </w:t>
      </w:r>
      <w:r w:rsidRPr="00737953">
        <w:rPr>
          <w:lang w:val="fr-FR"/>
        </w:rPr>
        <w:t>8 de Rubí qu</w:t>
      </w:r>
      <w:r w:rsidR="00EF491F">
        <w:rPr>
          <w:lang w:val="fr-FR"/>
        </w:rPr>
        <w:t>’</w:t>
      </w:r>
      <w:r>
        <w:rPr>
          <w:lang w:val="fr-FR"/>
        </w:rPr>
        <w:t xml:space="preserve">elle </w:t>
      </w:r>
      <w:r w:rsidRPr="00737953">
        <w:rPr>
          <w:lang w:val="fr-FR"/>
        </w:rPr>
        <w:t>s</w:t>
      </w:r>
      <w:r w:rsidR="00EF491F">
        <w:rPr>
          <w:lang w:val="fr-FR"/>
        </w:rPr>
        <w:t>’</w:t>
      </w:r>
      <w:r w:rsidRPr="00737953">
        <w:rPr>
          <w:lang w:val="fr-FR"/>
        </w:rPr>
        <w:t>était relogée par ses propres moyens. Or l</w:t>
      </w:r>
      <w:r w:rsidR="00EF491F">
        <w:rPr>
          <w:lang w:val="fr-FR"/>
        </w:rPr>
        <w:t>’</w:t>
      </w:r>
      <w:r w:rsidRPr="00737953">
        <w:rPr>
          <w:lang w:val="fr-FR"/>
        </w:rPr>
        <w:t>auteure affirme qu</w:t>
      </w:r>
      <w:r>
        <w:rPr>
          <w:lang w:val="fr-FR"/>
        </w:rPr>
        <w:t>e ce n</w:t>
      </w:r>
      <w:r w:rsidR="00EF491F">
        <w:rPr>
          <w:lang w:val="fr-FR"/>
        </w:rPr>
        <w:t>’</w:t>
      </w:r>
      <w:r>
        <w:rPr>
          <w:lang w:val="fr-FR"/>
        </w:rPr>
        <w:t>était pas le cas</w:t>
      </w:r>
      <w:r w:rsidRPr="00737953">
        <w:rPr>
          <w:lang w:val="fr-FR"/>
        </w:rPr>
        <w:t>, la famille ayant simplement été accueillie pour une nuit chez une</w:t>
      </w:r>
      <w:r>
        <w:rPr>
          <w:lang w:val="fr-FR"/>
        </w:rPr>
        <w:t> </w:t>
      </w:r>
      <w:r w:rsidRPr="00737953">
        <w:rPr>
          <w:lang w:val="fr-FR"/>
        </w:rPr>
        <w:t>voisine.</w:t>
      </w:r>
    </w:p>
    <w:p w14:paraId="09C8711B" w14:textId="65C1CD3C" w:rsidR="003579EB" w:rsidRPr="00737953" w:rsidRDefault="003579EB" w:rsidP="003579EB">
      <w:pPr>
        <w:pStyle w:val="SingleTxtG"/>
        <w:rPr>
          <w:lang w:val="fr-FR"/>
        </w:rPr>
      </w:pPr>
      <w:r w:rsidRPr="00737953">
        <w:rPr>
          <w:lang w:val="fr-FR"/>
        </w:rPr>
        <w:t>5.2</w:t>
      </w:r>
      <w:r w:rsidRPr="00737953">
        <w:rPr>
          <w:lang w:val="fr-FR"/>
        </w:rPr>
        <w:tab/>
        <w:t>L</w:t>
      </w:r>
      <w:r w:rsidR="00EF491F">
        <w:rPr>
          <w:lang w:val="fr-FR"/>
        </w:rPr>
        <w:t>’</w:t>
      </w:r>
      <w:r w:rsidRPr="00737953">
        <w:rPr>
          <w:lang w:val="fr-FR"/>
        </w:rPr>
        <w:t>auteure affirme que les services sociaux n</w:t>
      </w:r>
      <w:r w:rsidR="00EF491F">
        <w:rPr>
          <w:lang w:val="fr-FR"/>
        </w:rPr>
        <w:t>’</w:t>
      </w:r>
      <w:r w:rsidRPr="00737953">
        <w:rPr>
          <w:lang w:val="fr-FR"/>
        </w:rPr>
        <w:t>ont entrepris aucune démarche pour vérifier quelle était la situation de la famille en matière de logement et qu</w:t>
      </w:r>
      <w:r w:rsidR="00EF491F">
        <w:rPr>
          <w:lang w:val="fr-FR"/>
        </w:rPr>
        <w:t>’</w:t>
      </w:r>
      <w:r w:rsidRPr="00737953">
        <w:rPr>
          <w:lang w:val="fr-FR"/>
        </w:rPr>
        <w:t>elle et ses petits</w:t>
      </w:r>
      <w:r>
        <w:rPr>
          <w:lang w:val="fr-FR"/>
        </w:rPr>
        <w:noBreakHyphen/>
      </w:r>
      <w:r w:rsidRPr="00737953">
        <w:rPr>
          <w:lang w:val="fr-FR"/>
        </w:rPr>
        <w:t>enfants ont perdu tous les effets personnels qu</w:t>
      </w:r>
      <w:r w:rsidR="00EF491F">
        <w:rPr>
          <w:lang w:val="fr-FR"/>
        </w:rPr>
        <w:t>’</w:t>
      </w:r>
      <w:r w:rsidRPr="00737953">
        <w:rPr>
          <w:lang w:val="fr-FR"/>
        </w:rPr>
        <w:t>ils n</w:t>
      </w:r>
      <w:r w:rsidR="00EF491F">
        <w:rPr>
          <w:lang w:val="fr-FR"/>
        </w:rPr>
        <w:t>’</w:t>
      </w:r>
      <w:r w:rsidRPr="00737953">
        <w:rPr>
          <w:lang w:val="fr-FR"/>
        </w:rPr>
        <w:t>ont pas pu récupérer dans le logement avant l</w:t>
      </w:r>
      <w:r w:rsidR="00EF491F">
        <w:rPr>
          <w:lang w:val="fr-FR"/>
        </w:rPr>
        <w:t>’</w:t>
      </w:r>
      <w:r w:rsidRPr="00737953">
        <w:rPr>
          <w:lang w:val="fr-FR"/>
        </w:rPr>
        <w:t>expulsion. Elle ajoute que l</w:t>
      </w:r>
      <w:r w:rsidR="00EF491F">
        <w:rPr>
          <w:lang w:val="fr-FR"/>
        </w:rPr>
        <w:t>’</w:t>
      </w:r>
      <w:r w:rsidRPr="00737953">
        <w:rPr>
          <w:lang w:val="fr-FR"/>
        </w:rPr>
        <w:t>organisme d</w:t>
      </w:r>
      <w:r w:rsidR="00EF491F">
        <w:rPr>
          <w:lang w:val="fr-FR"/>
        </w:rPr>
        <w:t>’</w:t>
      </w:r>
      <w:r w:rsidRPr="00737953">
        <w:rPr>
          <w:lang w:val="fr-FR"/>
        </w:rPr>
        <w:t>évaluation des situations d</w:t>
      </w:r>
      <w:r w:rsidR="00EF491F">
        <w:rPr>
          <w:lang w:val="fr-FR"/>
        </w:rPr>
        <w:t>’</w:t>
      </w:r>
      <w:r w:rsidRPr="00737953">
        <w:rPr>
          <w:lang w:val="fr-FR"/>
        </w:rPr>
        <w:t>urgence économiques et sociales avait constaté sa situation et que, pour autant, on ne lui a pas fourni de logement social. En outre, l</w:t>
      </w:r>
      <w:r w:rsidR="00EF491F">
        <w:rPr>
          <w:lang w:val="fr-FR"/>
        </w:rPr>
        <w:t>’</w:t>
      </w:r>
      <w:r w:rsidRPr="00737953">
        <w:rPr>
          <w:lang w:val="fr-FR"/>
        </w:rPr>
        <w:t>auteure affirme n</w:t>
      </w:r>
      <w:r w:rsidR="00EF491F">
        <w:rPr>
          <w:lang w:val="fr-FR"/>
        </w:rPr>
        <w:t>’</w:t>
      </w:r>
      <w:r w:rsidRPr="00737953">
        <w:rPr>
          <w:lang w:val="fr-FR"/>
        </w:rPr>
        <w:t>avoir pas été informée qu</w:t>
      </w:r>
      <w:r w:rsidR="00EF491F">
        <w:rPr>
          <w:lang w:val="fr-FR"/>
        </w:rPr>
        <w:t>’</w:t>
      </w:r>
      <w:r w:rsidRPr="00737953">
        <w:rPr>
          <w:lang w:val="fr-FR"/>
        </w:rPr>
        <w:t>elle bénéficiait désormais du programme</w:t>
      </w:r>
      <w:r>
        <w:rPr>
          <w:lang w:val="fr-FR"/>
        </w:rPr>
        <w:t> </w:t>
      </w:r>
      <w:r w:rsidRPr="00737953">
        <w:rPr>
          <w:lang w:val="fr-FR"/>
        </w:rPr>
        <w:t>60/40, ainsi qu</w:t>
      </w:r>
      <w:r w:rsidR="00EF491F">
        <w:rPr>
          <w:lang w:val="fr-FR"/>
        </w:rPr>
        <w:t>’</w:t>
      </w:r>
      <w:r w:rsidRPr="00737953">
        <w:rPr>
          <w:lang w:val="fr-FR"/>
        </w:rPr>
        <w:t>il est dit dans le rapport des services sociaux, et qu</w:t>
      </w:r>
      <w:r w:rsidR="00EF491F">
        <w:rPr>
          <w:lang w:val="fr-FR"/>
        </w:rPr>
        <w:t>’</w:t>
      </w:r>
      <w:r w:rsidRPr="00737953">
        <w:rPr>
          <w:lang w:val="fr-FR"/>
        </w:rPr>
        <w:t>on ne lui a pas davantage proposé de bénéficier de ce programme</w:t>
      </w:r>
      <w:r w:rsidRPr="00737953">
        <w:rPr>
          <w:spacing w:val="-2"/>
          <w:lang w:val="fr-FR"/>
        </w:rPr>
        <w:t>. Après</w:t>
      </w:r>
      <w:r w:rsidR="00BE6C81">
        <w:rPr>
          <w:spacing w:val="-2"/>
          <w:lang w:val="fr-FR"/>
        </w:rPr>
        <w:t> </w:t>
      </w:r>
      <w:r w:rsidRPr="00737953">
        <w:rPr>
          <w:spacing w:val="-2"/>
          <w:lang w:val="fr-FR"/>
        </w:rPr>
        <w:t>réception des observations de l</w:t>
      </w:r>
      <w:r w:rsidR="00EF491F">
        <w:rPr>
          <w:spacing w:val="-2"/>
          <w:lang w:val="fr-FR"/>
        </w:rPr>
        <w:t>’</w:t>
      </w:r>
      <w:r w:rsidRPr="00737953">
        <w:rPr>
          <w:spacing w:val="-2"/>
          <w:lang w:val="fr-FR"/>
        </w:rPr>
        <w:t>État partie, l</w:t>
      </w:r>
      <w:r w:rsidR="00EF491F">
        <w:rPr>
          <w:spacing w:val="-2"/>
          <w:lang w:val="fr-FR"/>
        </w:rPr>
        <w:t>’</w:t>
      </w:r>
      <w:r w:rsidRPr="00737953">
        <w:rPr>
          <w:spacing w:val="-2"/>
          <w:lang w:val="fr-FR"/>
        </w:rPr>
        <w:t>auteure a demandé aux services sociaux des renseignements sur le programme</w:t>
      </w:r>
      <w:r>
        <w:rPr>
          <w:spacing w:val="-2"/>
          <w:lang w:val="fr-FR"/>
        </w:rPr>
        <w:t> </w:t>
      </w:r>
      <w:r w:rsidRPr="00737953">
        <w:rPr>
          <w:spacing w:val="-2"/>
          <w:lang w:val="fr-FR"/>
        </w:rPr>
        <w:t xml:space="preserve">60/40 et on lui a expliqué que, </w:t>
      </w:r>
      <w:r>
        <w:rPr>
          <w:spacing w:val="-2"/>
          <w:lang w:val="fr-FR"/>
        </w:rPr>
        <w:t>bien que celui-ci soit</w:t>
      </w:r>
      <w:r w:rsidRPr="00737953">
        <w:rPr>
          <w:spacing w:val="-2"/>
          <w:lang w:val="fr-FR"/>
        </w:rPr>
        <w:t xml:space="preserve"> approuvé par la Generalitat de Catalogne, elle n</w:t>
      </w:r>
      <w:r w:rsidR="00EF491F">
        <w:rPr>
          <w:spacing w:val="-2"/>
          <w:lang w:val="fr-FR"/>
        </w:rPr>
        <w:t>’</w:t>
      </w:r>
      <w:r w:rsidRPr="00737953">
        <w:rPr>
          <w:spacing w:val="-2"/>
          <w:lang w:val="fr-FR"/>
        </w:rPr>
        <w:t>y avait pas droit</w:t>
      </w:r>
      <w:r>
        <w:rPr>
          <w:spacing w:val="-2"/>
          <w:lang w:val="fr-FR"/>
        </w:rPr>
        <w:t xml:space="preserve"> dans sa situation</w:t>
      </w:r>
      <w:r w:rsidRPr="00737953">
        <w:rPr>
          <w:spacing w:val="-2"/>
          <w:lang w:val="fr-FR"/>
        </w:rPr>
        <w:t>.</w:t>
      </w:r>
    </w:p>
    <w:p w14:paraId="69A7CCCE" w14:textId="3FBB5975" w:rsidR="003579EB" w:rsidRPr="00737953" w:rsidRDefault="003579EB" w:rsidP="003579EB">
      <w:pPr>
        <w:pStyle w:val="SingleTxtG"/>
        <w:rPr>
          <w:lang w:val="fr-FR"/>
        </w:rPr>
      </w:pPr>
      <w:r w:rsidRPr="00737953">
        <w:rPr>
          <w:lang w:val="fr-FR"/>
        </w:rPr>
        <w:t>5.3</w:t>
      </w:r>
      <w:r w:rsidRPr="00737953">
        <w:rPr>
          <w:lang w:val="fr-FR"/>
        </w:rPr>
        <w:tab/>
        <w:t>L</w:t>
      </w:r>
      <w:r w:rsidR="00EF491F">
        <w:rPr>
          <w:lang w:val="fr-FR"/>
        </w:rPr>
        <w:t>’</w:t>
      </w:r>
      <w:r w:rsidRPr="00737953">
        <w:rPr>
          <w:lang w:val="fr-FR"/>
        </w:rPr>
        <w:t>auteure estime qu</w:t>
      </w:r>
      <w:r w:rsidR="00EF491F">
        <w:rPr>
          <w:lang w:val="fr-FR"/>
        </w:rPr>
        <w:t>’</w:t>
      </w:r>
      <w:r w:rsidRPr="00737953">
        <w:rPr>
          <w:lang w:val="fr-FR"/>
        </w:rPr>
        <w:t>en l</w:t>
      </w:r>
      <w:r w:rsidR="00EF491F">
        <w:rPr>
          <w:lang w:val="fr-FR"/>
        </w:rPr>
        <w:t>’</w:t>
      </w:r>
      <w:r w:rsidRPr="00737953">
        <w:rPr>
          <w:lang w:val="fr-FR"/>
        </w:rPr>
        <w:t>expulsant pour permettre à un fonds patrimonial de reprendre possession d</w:t>
      </w:r>
      <w:r w:rsidR="00EF491F">
        <w:rPr>
          <w:lang w:val="fr-FR"/>
        </w:rPr>
        <w:t>’</w:t>
      </w:r>
      <w:r w:rsidRPr="00737953">
        <w:rPr>
          <w:lang w:val="fr-FR"/>
        </w:rPr>
        <w:t>un logement qu</w:t>
      </w:r>
      <w:r w:rsidR="00EF491F">
        <w:rPr>
          <w:lang w:val="fr-FR"/>
        </w:rPr>
        <w:t>’</w:t>
      </w:r>
      <w:r w:rsidRPr="00737953">
        <w:rPr>
          <w:lang w:val="fr-FR"/>
        </w:rPr>
        <w:t>il a</w:t>
      </w:r>
      <w:r>
        <w:rPr>
          <w:lang w:val="fr-FR"/>
        </w:rPr>
        <w:t>vait</w:t>
      </w:r>
      <w:r w:rsidRPr="00737953">
        <w:rPr>
          <w:lang w:val="fr-FR"/>
        </w:rPr>
        <w:t xml:space="preserve"> refusé de louer et qui reste vacant, on a porté atteinte à son droit au logement. Elle considère en outre qu</w:t>
      </w:r>
      <w:r w:rsidR="00EF491F">
        <w:rPr>
          <w:lang w:val="fr-FR"/>
        </w:rPr>
        <w:t>’</w:t>
      </w:r>
      <w:r w:rsidRPr="00737953">
        <w:rPr>
          <w:lang w:val="fr-FR"/>
        </w:rPr>
        <w:t>il n</w:t>
      </w:r>
      <w:r w:rsidR="00EF491F">
        <w:rPr>
          <w:lang w:val="fr-FR"/>
        </w:rPr>
        <w:t>’</w:t>
      </w:r>
      <w:r w:rsidRPr="00737953">
        <w:rPr>
          <w:lang w:val="fr-FR"/>
        </w:rPr>
        <w:t xml:space="preserve">a pas été tenu compte de la demande de mesures provisoires du Comité et que les services sociaux ont fait preuve de négligence. </w:t>
      </w:r>
      <w:r>
        <w:rPr>
          <w:lang w:val="fr-FR"/>
        </w:rPr>
        <w:t>Selon</w:t>
      </w:r>
      <w:r w:rsidRPr="00737953">
        <w:rPr>
          <w:lang w:val="fr-FR"/>
        </w:rPr>
        <w:t xml:space="preserve"> l</w:t>
      </w:r>
      <w:r w:rsidR="00EF491F">
        <w:rPr>
          <w:lang w:val="fr-FR"/>
        </w:rPr>
        <w:t>’</w:t>
      </w:r>
      <w:r w:rsidRPr="00737953">
        <w:rPr>
          <w:lang w:val="fr-FR"/>
        </w:rPr>
        <w:t>auteure, l</w:t>
      </w:r>
      <w:r w:rsidR="00EF491F">
        <w:rPr>
          <w:lang w:val="fr-FR"/>
        </w:rPr>
        <w:t>’</w:t>
      </w:r>
      <w:r w:rsidRPr="00737953">
        <w:rPr>
          <w:lang w:val="fr-FR"/>
        </w:rPr>
        <w:t>administration a agi de façon ambivalente en reconnaissant qu</w:t>
      </w:r>
      <w:r w:rsidR="00EF491F">
        <w:rPr>
          <w:lang w:val="fr-FR"/>
        </w:rPr>
        <w:t>’</w:t>
      </w:r>
      <w:r w:rsidRPr="00737953">
        <w:rPr>
          <w:lang w:val="fr-FR"/>
        </w:rPr>
        <w:t>elle devait bénéficier d</w:t>
      </w:r>
      <w:r w:rsidR="00EF491F">
        <w:rPr>
          <w:lang w:val="fr-FR"/>
        </w:rPr>
        <w:t>’</w:t>
      </w:r>
      <w:r w:rsidRPr="00737953">
        <w:rPr>
          <w:lang w:val="fr-FR"/>
        </w:rPr>
        <w:t>une aide sans pour autant lui permettre d</w:t>
      </w:r>
      <w:r w:rsidR="00EF491F">
        <w:rPr>
          <w:lang w:val="fr-FR"/>
        </w:rPr>
        <w:t>’</w:t>
      </w:r>
      <w:r w:rsidRPr="00737953">
        <w:rPr>
          <w:lang w:val="fr-FR"/>
        </w:rPr>
        <w:t>en bénéficier.</w:t>
      </w:r>
    </w:p>
    <w:p w14:paraId="6568FD49" w14:textId="77777777" w:rsidR="003579EB" w:rsidRPr="00737953" w:rsidRDefault="003579EB" w:rsidP="003579EB">
      <w:pPr>
        <w:pStyle w:val="H1G"/>
        <w:rPr>
          <w:lang w:val="fr-FR"/>
        </w:rPr>
      </w:pPr>
      <w:r w:rsidRPr="00737953">
        <w:rPr>
          <w:lang w:val="fr-FR"/>
        </w:rPr>
        <w:tab/>
        <w:t>B.</w:t>
      </w:r>
      <w:r w:rsidRPr="00737953">
        <w:rPr>
          <w:lang w:val="fr-FR"/>
        </w:rPr>
        <w:tab/>
        <w:t>Examen de la recevabilité</w:t>
      </w:r>
    </w:p>
    <w:p w14:paraId="07C9BC6E" w14:textId="6302593D" w:rsidR="003579EB" w:rsidRPr="00737953" w:rsidRDefault="003579EB" w:rsidP="003579EB">
      <w:pPr>
        <w:pStyle w:val="SingleTxtG"/>
        <w:rPr>
          <w:lang w:val="fr-FR"/>
        </w:rPr>
      </w:pPr>
      <w:r w:rsidRPr="00737953">
        <w:rPr>
          <w:lang w:val="fr-FR"/>
        </w:rPr>
        <w:t>6.1</w:t>
      </w:r>
      <w:r w:rsidRPr="00737953">
        <w:rPr>
          <w:lang w:val="fr-FR"/>
        </w:rPr>
        <w:tab/>
        <w:t>Avant d</w:t>
      </w:r>
      <w:r w:rsidR="00EF491F">
        <w:rPr>
          <w:lang w:val="fr-FR"/>
        </w:rPr>
        <w:t>’</w:t>
      </w:r>
      <w:r w:rsidRPr="00737953">
        <w:rPr>
          <w:lang w:val="fr-FR"/>
        </w:rPr>
        <w:t>examiner tout grief formulé dans une communication, le Comité doit, conformément à l</w:t>
      </w:r>
      <w:r w:rsidR="00EF491F">
        <w:rPr>
          <w:lang w:val="fr-FR"/>
        </w:rPr>
        <w:t>’</w:t>
      </w:r>
      <w:r w:rsidRPr="00737953">
        <w:rPr>
          <w:lang w:val="fr-FR"/>
        </w:rPr>
        <w:t>article</w:t>
      </w:r>
      <w:r>
        <w:rPr>
          <w:lang w:val="fr-FR"/>
        </w:rPr>
        <w:t> </w:t>
      </w:r>
      <w:r w:rsidRPr="00737953">
        <w:rPr>
          <w:lang w:val="fr-FR"/>
        </w:rPr>
        <w:t>9 de son règlement intérieur provisoire relatif au Protocole facultatif, déterminer si cette communication est recevable.</w:t>
      </w:r>
    </w:p>
    <w:p w14:paraId="614E7272" w14:textId="4C757ABC" w:rsidR="003579EB" w:rsidRPr="00737953" w:rsidRDefault="003579EB" w:rsidP="003579EB">
      <w:pPr>
        <w:pStyle w:val="SingleTxtG"/>
        <w:rPr>
          <w:lang w:val="fr-FR"/>
        </w:rPr>
      </w:pPr>
      <w:r w:rsidRPr="00737953">
        <w:rPr>
          <w:lang w:val="fr-FR"/>
        </w:rPr>
        <w:t>6.2</w:t>
      </w:r>
      <w:r w:rsidRPr="00737953">
        <w:rPr>
          <w:lang w:val="fr-FR"/>
        </w:rPr>
        <w:tab/>
        <w:t>Le Comité note que, d</w:t>
      </w:r>
      <w:r w:rsidR="00EF491F">
        <w:rPr>
          <w:lang w:val="fr-FR"/>
        </w:rPr>
        <w:t>’</w:t>
      </w:r>
      <w:r w:rsidRPr="00737953">
        <w:rPr>
          <w:lang w:val="fr-FR"/>
        </w:rPr>
        <w:t>après l</w:t>
      </w:r>
      <w:r w:rsidR="00EF491F">
        <w:rPr>
          <w:lang w:val="fr-FR"/>
        </w:rPr>
        <w:t>’</w:t>
      </w:r>
      <w:r w:rsidRPr="00737953">
        <w:rPr>
          <w:lang w:val="fr-FR"/>
        </w:rPr>
        <w:t>État partie, l</w:t>
      </w:r>
      <w:r w:rsidR="00EF491F">
        <w:rPr>
          <w:lang w:val="fr-FR"/>
        </w:rPr>
        <w:t>’</w:t>
      </w:r>
      <w:r w:rsidRPr="00737953">
        <w:rPr>
          <w:lang w:val="fr-FR"/>
        </w:rPr>
        <w:t>auteure n</w:t>
      </w:r>
      <w:r w:rsidR="00EF491F">
        <w:rPr>
          <w:lang w:val="fr-FR"/>
        </w:rPr>
        <w:t>’</w:t>
      </w:r>
      <w:r w:rsidRPr="00737953">
        <w:rPr>
          <w:lang w:val="fr-FR"/>
        </w:rPr>
        <w:t>a pas épuisé les voies de recours internes qui lui étaient ouvertes puisqu</w:t>
      </w:r>
      <w:r w:rsidR="00EF491F">
        <w:rPr>
          <w:lang w:val="fr-FR"/>
        </w:rPr>
        <w:t>’</w:t>
      </w:r>
      <w:r w:rsidRPr="00737953">
        <w:rPr>
          <w:lang w:val="fr-FR"/>
        </w:rPr>
        <w:t>elle occupait déjà illégalement un logement et était déjà visée par une procédure judiciaire lorsqu</w:t>
      </w:r>
      <w:r w:rsidR="00EF491F">
        <w:rPr>
          <w:lang w:val="fr-FR"/>
        </w:rPr>
        <w:t>’</w:t>
      </w:r>
      <w:r w:rsidRPr="00737953">
        <w:rPr>
          <w:lang w:val="fr-FR"/>
        </w:rPr>
        <w:t>elle a sollicité l</w:t>
      </w:r>
      <w:r w:rsidR="00EF491F">
        <w:rPr>
          <w:lang w:val="fr-FR"/>
        </w:rPr>
        <w:t>’</w:t>
      </w:r>
      <w:r w:rsidRPr="00737953">
        <w:rPr>
          <w:lang w:val="fr-FR"/>
        </w:rPr>
        <w:t>aide des services sociaux et déposé une demande de logement social. Il relève que l</w:t>
      </w:r>
      <w:r w:rsidR="00EF491F">
        <w:rPr>
          <w:lang w:val="fr-FR"/>
        </w:rPr>
        <w:t>’</w:t>
      </w:r>
      <w:r w:rsidRPr="00737953">
        <w:rPr>
          <w:lang w:val="fr-FR"/>
        </w:rPr>
        <w:t>auteure ne répond pas à cette allégation de l</w:t>
      </w:r>
      <w:r w:rsidR="00EF491F">
        <w:rPr>
          <w:lang w:val="fr-FR"/>
        </w:rPr>
        <w:t>’</w:t>
      </w:r>
      <w:r w:rsidRPr="00737953">
        <w:rPr>
          <w:lang w:val="fr-FR"/>
        </w:rPr>
        <w:t>État partie et n</w:t>
      </w:r>
      <w:r w:rsidR="00EF491F">
        <w:rPr>
          <w:lang w:val="fr-FR"/>
        </w:rPr>
        <w:t>’</w:t>
      </w:r>
      <w:r w:rsidRPr="00737953">
        <w:rPr>
          <w:lang w:val="fr-FR"/>
        </w:rPr>
        <w:t>explique pas pourquoi elle a attendu de commencer à occuper le bien immobilier en question avant de solliciter l</w:t>
      </w:r>
      <w:r w:rsidR="00EF491F">
        <w:rPr>
          <w:lang w:val="fr-FR"/>
        </w:rPr>
        <w:t>’</w:t>
      </w:r>
      <w:r w:rsidRPr="00737953">
        <w:rPr>
          <w:lang w:val="fr-FR"/>
        </w:rPr>
        <w:t>aide de l</w:t>
      </w:r>
      <w:r w:rsidR="00EF491F">
        <w:rPr>
          <w:lang w:val="fr-FR"/>
        </w:rPr>
        <w:t>’</w:t>
      </w:r>
      <w:r w:rsidRPr="00737953">
        <w:rPr>
          <w:lang w:val="fr-FR"/>
        </w:rPr>
        <w:t>administration publique pour trouver un logement.</w:t>
      </w:r>
    </w:p>
    <w:p w14:paraId="198958E2" w14:textId="49B396AE" w:rsidR="003579EB" w:rsidRPr="00737953" w:rsidRDefault="003579EB" w:rsidP="003579EB">
      <w:pPr>
        <w:pStyle w:val="SingleTxtG"/>
        <w:rPr>
          <w:lang w:val="fr-FR"/>
        </w:rPr>
      </w:pPr>
      <w:r w:rsidRPr="00737953">
        <w:rPr>
          <w:lang w:val="fr-FR"/>
        </w:rPr>
        <w:lastRenderedPageBreak/>
        <w:t>6.3</w:t>
      </w:r>
      <w:r w:rsidRPr="00737953">
        <w:rPr>
          <w:lang w:val="fr-FR"/>
        </w:rPr>
        <w:tab/>
        <w:t>Le Comité note qu</w:t>
      </w:r>
      <w:r w:rsidR="00EF491F">
        <w:rPr>
          <w:lang w:val="fr-FR"/>
        </w:rPr>
        <w:t>’</w:t>
      </w:r>
      <w:r w:rsidRPr="00737953">
        <w:rPr>
          <w:lang w:val="fr-FR"/>
        </w:rPr>
        <w:t>aux termes de l</w:t>
      </w:r>
      <w:r w:rsidR="00EF491F">
        <w:rPr>
          <w:lang w:val="fr-FR"/>
        </w:rPr>
        <w:t>’</w:t>
      </w:r>
      <w:r w:rsidRPr="00737953">
        <w:rPr>
          <w:lang w:val="fr-FR"/>
        </w:rPr>
        <w:t>article</w:t>
      </w:r>
      <w:r>
        <w:rPr>
          <w:lang w:val="fr-FR"/>
        </w:rPr>
        <w:t> </w:t>
      </w:r>
      <w:r w:rsidRPr="00737953">
        <w:rPr>
          <w:lang w:val="fr-FR"/>
        </w:rPr>
        <w:t>2 (par.</w:t>
      </w:r>
      <w:r>
        <w:rPr>
          <w:lang w:val="fr-FR"/>
        </w:rPr>
        <w:t> </w:t>
      </w:r>
      <w:r w:rsidRPr="00737953">
        <w:rPr>
          <w:lang w:val="fr-FR"/>
        </w:rPr>
        <w:t>1) du Pacte, les États parties ont l</w:t>
      </w:r>
      <w:r w:rsidR="00EF491F">
        <w:rPr>
          <w:lang w:val="fr-FR"/>
        </w:rPr>
        <w:t>’</w:t>
      </w:r>
      <w:r w:rsidRPr="00737953">
        <w:rPr>
          <w:lang w:val="fr-FR"/>
        </w:rPr>
        <w:t>obligation positive d</w:t>
      </w:r>
      <w:r w:rsidR="00EF491F">
        <w:rPr>
          <w:lang w:val="fr-FR"/>
        </w:rPr>
        <w:t>’</w:t>
      </w:r>
      <w:r w:rsidRPr="00737953">
        <w:rPr>
          <w:lang w:val="fr-FR"/>
        </w:rPr>
        <w:t>agir, tant par leur effort propre que par l</w:t>
      </w:r>
      <w:r w:rsidR="00EF491F">
        <w:rPr>
          <w:lang w:val="fr-FR"/>
        </w:rPr>
        <w:t>’</w:t>
      </w:r>
      <w:r w:rsidRPr="00737953">
        <w:rPr>
          <w:lang w:val="fr-FR"/>
        </w:rPr>
        <w:t>assistance et la coopération internationales, notamment sur les plans économique et technique, au maximum des ressources dont ils disposent, en vue d</w:t>
      </w:r>
      <w:r w:rsidR="00EF491F">
        <w:rPr>
          <w:lang w:val="fr-FR"/>
        </w:rPr>
        <w:t>’</w:t>
      </w:r>
      <w:r w:rsidRPr="00737953">
        <w:rPr>
          <w:lang w:val="fr-FR"/>
        </w:rPr>
        <w:t>assurer progressivement le plein exercice des droits reconnus dans le Pacte par tous les moyens appropriés. Le Comité rappelle toutefois que les États parties peuvent adopter un éventail de mesures pour mettre en œuvre les droits énoncés dans le Pacte, comme le prévoit l</w:t>
      </w:r>
      <w:r w:rsidR="00EF491F">
        <w:rPr>
          <w:lang w:val="fr-FR"/>
        </w:rPr>
        <w:t>’</w:t>
      </w:r>
      <w:r w:rsidRPr="00737953">
        <w:rPr>
          <w:lang w:val="fr-FR"/>
        </w:rPr>
        <w:t>article</w:t>
      </w:r>
      <w:r>
        <w:rPr>
          <w:lang w:val="fr-FR"/>
        </w:rPr>
        <w:t> </w:t>
      </w:r>
      <w:r w:rsidRPr="00737953">
        <w:rPr>
          <w:lang w:val="fr-FR"/>
        </w:rPr>
        <w:t>8 (par.</w:t>
      </w:r>
      <w:r>
        <w:rPr>
          <w:lang w:val="fr-FR"/>
        </w:rPr>
        <w:t> </w:t>
      </w:r>
      <w:r w:rsidRPr="00737953">
        <w:rPr>
          <w:lang w:val="fr-FR"/>
        </w:rPr>
        <w:t>4) du Protocole facultatif. Il admet donc que les États parties peuvent établir des moyens administratifs pour faciliter la protection du droit au logement, y</w:t>
      </w:r>
      <w:r>
        <w:rPr>
          <w:lang w:val="fr-FR"/>
        </w:rPr>
        <w:t> </w:t>
      </w:r>
      <w:r w:rsidRPr="00737953">
        <w:rPr>
          <w:lang w:val="fr-FR"/>
        </w:rPr>
        <w:t>compris en demandant aux individus d</w:t>
      </w:r>
      <w:r w:rsidR="00EF491F">
        <w:rPr>
          <w:lang w:val="fr-FR"/>
        </w:rPr>
        <w:t>’</w:t>
      </w:r>
      <w:r w:rsidRPr="00737953">
        <w:rPr>
          <w:lang w:val="fr-FR"/>
        </w:rPr>
        <w:t>engager certaines démarches administratives pour informer les autorités de leur besoin d</w:t>
      </w:r>
      <w:r w:rsidR="00EF491F">
        <w:rPr>
          <w:lang w:val="fr-FR"/>
        </w:rPr>
        <w:t>’</w:t>
      </w:r>
      <w:r w:rsidRPr="00737953">
        <w:rPr>
          <w:lang w:val="fr-FR"/>
        </w:rPr>
        <w:t>assistance concernant la protection de leur droit en la matière. Ces démarches ne doivent pas leur imposer de charge excessive ou superflue et ne doivent pas avoir d</w:t>
      </w:r>
      <w:r w:rsidR="00EF491F">
        <w:rPr>
          <w:lang w:val="fr-FR"/>
        </w:rPr>
        <w:t>’</w:t>
      </w:r>
      <w:r w:rsidRPr="00737953">
        <w:rPr>
          <w:lang w:val="fr-FR"/>
        </w:rPr>
        <w:t>effet discriminatoire</w:t>
      </w:r>
      <w:r w:rsidRPr="00CC043C">
        <w:rPr>
          <w:rStyle w:val="Appelnotedebasdep"/>
        </w:rPr>
        <w:footnoteReference w:id="11"/>
      </w:r>
      <w:r w:rsidRPr="00737953">
        <w:rPr>
          <w:lang w:val="fr-FR"/>
        </w:rPr>
        <w:t>.</w:t>
      </w:r>
    </w:p>
    <w:p w14:paraId="452384EF" w14:textId="2B20D102" w:rsidR="003579EB" w:rsidRPr="00737953" w:rsidRDefault="003579EB" w:rsidP="003579EB">
      <w:pPr>
        <w:pStyle w:val="SingleTxtG"/>
        <w:rPr>
          <w:lang w:val="fr-FR"/>
        </w:rPr>
      </w:pPr>
      <w:r w:rsidRPr="00737953">
        <w:rPr>
          <w:lang w:val="fr-FR"/>
        </w:rPr>
        <w:t>6.4</w:t>
      </w:r>
      <w:r w:rsidRPr="00737953">
        <w:rPr>
          <w:lang w:val="fr-FR"/>
        </w:rPr>
        <w:tab/>
      </w:r>
      <w:r>
        <w:rPr>
          <w:lang w:val="fr-FR"/>
        </w:rPr>
        <w:t xml:space="preserve">Par conséquent, </w:t>
      </w:r>
      <w:r w:rsidRPr="00737953">
        <w:rPr>
          <w:lang w:val="fr-FR"/>
        </w:rPr>
        <w:t>l</w:t>
      </w:r>
      <w:r>
        <w:rPr>
          <w:lang w:val="fr-FR"/>
        </w:rPr>
        <w:t>e</w:t>
      </w:r>
      <w:r w:rsidRPr="00737953">
        <w:rPr>
          <w:lang w:val="fr-FR"/>
        </w:rPr>
        <w:t xml:space="preserve"> Comité </w:t>
      </w:r>
      <w:r>
        <w:rPr>
          <w:lang w:val="fr-FR"/>
        </w:rPr>
        <w:t>estime que le fait que l</w:t>
      </w:r>
      <w:r w:rsidR="00EF491F">
        <w:rPr>
          <w:lang w:val="fr-FR"/>
        </w:rPr>
        <w:t>’</w:t>
      </w:r>
      <w:r>
        <w:rPr>
          <w:lang w:val="fr-FR"/>
        </w:rPr>
        <w:t>auteure n</w:t>
      </w:r>
      <w:r w:rsidR="00EF491F">
        <w:rPr>
          <w:lang w:val="fr-FR"/>
        </w:rPr>
        <w:t>’</w:t>
      </w:r>
      <w:r>
        <w:rPr>
          <w:lang w:val="fr-FR"/>
        </w:rPr>
        <w:t xml:space="preserve">ait pas exercé la diligence voulue </w:t>
      </w:r>
      <w:r w:rsidRPr="00737953">
        <w:rPr>
          <w:lang w:val="fr-FR"/>
        </w:rPr>
        <w:t>en</w:t>
      </w:r>
      <w:r>
        <w:rPr>
          <w:lang w:val="fr-FR"/>
        </w:rPr>
        <w:t xml:space="preserve"> sollicitant l</w:t>
      </w:r>
      <w:r w:rsidR="00EF491F">
        <w:rPr>
          <w:lang w:val="fr-FR"/>
        </w:rPr>
        <w:t>’</w:t>
      </w:r>
      <w:r>
        <w:rPr>
          <w:lang w:val="fr-FR"/>
        </w:rPr>
        <w:t>aide des autorités administratives de l</w:t>
      </w:r>
      <w:r w:rsidR="00EF491F">
        <w:rPr>
          <w:lang w:val="fr-FR"/>
        </w:rPr>
        <w:t>’</w:t>
      </w:r>
      <w:r>
        <w:rPr>
          <w:lang w:val="fr-FR"/>
        </w:rPr>
        <w:t xml:space="preserve">État partie pour trouver un autre logement dans un délai raisonnable constitue </w:t>
      </w:r>
      <w:r w:rsidRPr="004C2F5D">
        <w:rPr>
          <w:lang w:val="fr-FR"/>
        </w:rPr>
        <w:t xml:space="preserve">un élément important </w:t>
      </w:r>
      <w:r>
        <w:rPr>
          <w:lang w:val="fr-FR"/>
        </w:rPr>
        <w:t>tant au regard de la règle de l</w:t>
      </w:r>
      <w:r w:rsidR="00EF491F">
        <w:rPr>
          <w:lang w:val="fr-FR"/>
        </w:rPr>
        <w:t>’</w:t>
      </w:r>
      <w:r>
        <w:rPr>
          <w:lang w:val="fr-FR"/>
        </w:rPr>
        <w:t>épuisement des recours internes énoncée à l</w:t>
      </w:r>
      <w:r w:rsidR="00EF491F">
        <w:rPr>
          <w:lang w:val="fr-FR"/>
        </w:rPr>
        <w:t>’</w:t>
      </w:r>
      <w:r>
        <w:rPr>
          <w:lang w:val="fr-FR"/>
        </w:rPr>
        <w:t xml:space="preserve">article 3 (par. 1) du Protocole facultatif que </w:t>
      </w:r>
      <w:r w:rsidRPr="004C2F5D">
        <w:rPr>
          <w:lang w:val="fr-FR"/>
        </w:rPr>
        <w:t xml:space="preserve">pour </w:t>
      </w:r>
      <w:r>
        <w:rPr>
          <w:lang w:val="fr-FR"/>
        </w:rPr>
        <w:t>ce qui est d</w:t>
      </w:r>
      <w:r w:rsidR="00EF491F">
        <w:rPr>
          <w:lang w:val="fr-FR"/>
        </w:rPr>
        <w:t>’</w:t>
      </w:r>
      <w:r w:rsidRPr="004C2F5D">
        <w:rPr>
          <w:lang w:val="fr-FR"/>
        </w:rPr>
        <w:t>étayer l</w:t>
      </w:r>
      <w:r w:rsidR="00EF491F">
        <w:rPr>
          <w:lang w:val="fr-FR"/>
        </w:rPr>
        <w:t>’</w:t>
      </w:r>
      <w:r w:rsidRPr="004C2F5D">
        <w:rPr>
          <w:lang w:val="fr-FR"/>
        </w:rPr>
        <w:t>allégation selon laquelle l</w:t>
      </w:r>
      <w:r w:rsidR="00EF491F">
        <w:rPr>
          <w:lang w:val="fr-FR"/>
        </w:rPr>
        <w:t>’</w:t>
      </w:r>
      <w:r w:rsidRPr="004C2F5D">
        <w:rPr>
          <w:lang w:val="fr-FR"/>
        </w:rPr>
        <w:t>État partie a manqué aux obligations</w:t>
      </w:r>
      <w:r>
        <w:rPr>
          <w:lang w:val="fr-FR"/>
        </w:rPr>
        <w:t xml:space="preserve"> mises à sa charge par</w:t>
      </w:r>
      <w:r w:rsidRPr="004C2F5D">
        <w:rPr>
          <w:lang w:val="fr-FR"/>
        </w:rPr>
        <w:t xml:space="preserve"> l</w:t>
      </w:r>
      <w:r w:rsidR="00EF491F">
        <w:rPr>
          <w:lang w:val="fr-FR"/>
        </w:rPr>
        <w:t>’</w:t>
      </w:r>
      <w:r w:rsidRPr="004C2F5D">
        <w:rPr>
          <w:lang w:val="fr-FR"/>
        </w:rPr>
        <w:t>article</w:t>
      </w:r>
      <w:r>
        <w:rPr>
          <w:lang w:val="fr-FR"/>
        </w:rPr>
        <w:t> </w:t>
      </w:r>
      <w:r w:rsidRPr="00737953">
        <w:rPr>
          <w:lang w:val="fr-FR"/>
        </w:rPr>
        <w:t>11 (par.</w:t>
      </w:r>
      <w:r>
        <w:rPr>
          <w:lang w:val="fr-FR"/>
        </w:rPr>
        <w:t> </w:t>
      </w:r>
      <w:r w:rsidRPr="00737953">
        <w:rPr>
          <w:lang w:val="fr-FR"/>
        </w:rPr>
        <w:t>1) du Pacte</w:t>
      </w:r>
      <w:r w:rsidRPr="00CC043C">
        <w:rPr>
          <w:rStyle w:val="Appelnotedebasdep"/>
        </w:rPr>
        <w:footnoteReference w:id="12"/>
      </w:r>
      <w:r w:rsidRPr="00737953">
        <w:rPr>
          <w:lang w:val="fr-FR"/>
        </w:rPr>
        <w:t>.</w:t>
      </w:r>
    </w:p>
    <w:p w14:paraId="7EAF8C74" w14:textId="5EA40C11" w:rsidR="003579EB" w:rsidRPr="00FF68D9" w:rsidRDefault="003579EB" w:rsidP="003579EB">
      <w:pPr>
        <w:pStyle w:val="SingleTxtG"/>
        <w:rPr>
          <w:lang w:val="fr-FR"/>
        </w:rPr>
      </w:pPr>
      <w:r w:rsidRPr="00737953">
        <w:rPr>
          <w:lang w:val="fr-FR"/>
        </w:rPr>
        <w:t>6.5</w:t>
      </w:r>
      <w:r w:rsidRPr="00737953">
        <w:rPr>
          <w:lang w:val="fr-FR"/>
        </w:rPr>
        <w:tab/>
        <w:t>Conformément à l</w:t>
      </w:r>
      <w:r w:rsidR="00EF491F">
        <w:rPr>
          <w:lang w:val="fr-FR"/>
        </w:rPr>
        <w:t>’</w:t>
      </w:r>
      <w:r w:rsidRPr="00737953">
        <w:rPr>
          <w:lang w:val="fr-FR"/>
        </w:rPr>
        <w:t>article</w:t>
      </w:r>
      <w:r>
        <w:rPr>
          <w:lang w:val="fr-FR"/>
        </w:rPr>
        <w:t> </w:t>
      </w:r>
      <w:r w:rsidRPr="00737953">
        <w:rPr>
          <w:lang w:val="fr-FR"/>
        </w:rPr>
        <w:t>3 (par.</w:t>
      </w:r>
      <w:r>
        <w:rPr>
          <w:lang w:val="fr-FR"/>
        </w:rPr>
        <w:t> </w:t>
      </w:r>
      <w:r w:rsidRPr="00737953">
        <w:rPr>
          <w:lang w:val="fr-FR"/>
        </w:rPr>
        <w:t>2</w:t>
      </w:r>
      <w:r>
        <w:rPr>
          <w:lang w:val="fr-FR"/>
        </w:rPr>
        <w:t> </w:t>
      </w:r>
      <w:r w:rsidRPr="00737953">
        <w:rPr>
          <w:lang w:val="fr-FR"/>
        </w:rPr>
        <w:t xml:space="preserve">e)) du Protocole facultatif, le Comité déclare irrecevable toute communication qui est manifestement mal fondée ou insuffisamment étayée ou qui repose exclusivement sur des informations diffusées par les médias. </w:t>
      </w:r>
      <w:r w:rsidRPr="004C2F5D">
        <w:rPr>
          <w:lang w:val="fr-FR"/>
        </w:rPr>
        <w:t>Il note que, selon l</w:t>
      </w:r>
      <w:r w:rsidR="00EF491F">
        <w:rPr>
          <w:lang w:val="fr-FR"/>
        </w:rPr>
        <w:t>’</w:t>
      </w:r>
      <w:r>
        <w:rPr>
          <w:lang w:val="fr-FR"/>
        </w:rPr>
        <w:t>État</w:t>
      </w:r>
      <w:r w:rsidRPr="004C2F5D">
        <w:rPr>
          <w:lang w:val="fr-FR"/>
        </w:rPr>
        <w:t xml:space="preserve"> partie, l</w:t>
      </w:r>
      <w:r w:rsidR="00EF491F">
        <w:rPr>
          <w:lang w:val="fr-FR"/>
        </w:rPr>
        <w:t>’</w:t>
      </w:r>
      <w:r w:rsidRPr="004C2F5D">
        <w:rPr>
          <w:lang w:val="fr-FR"/>
        </w:rPr>
        <w:t>auteure n</w:t>
      </w:r>
      <w:r w:rsidR="00EF491F">
        <w:rPr>
          <w:lang w:val="fr-FR"/>
        </w:rPr>
        <w:t>’</w:t>
      </w:r>
      <w:r w:rsidRPr="004C2F5D">
        <w:rPr>
          <w:lang w:val="fr-FR"/>
        </w:rPr>
        <w:t>a pas démontré qu</w:t>
      </w:r>
      <w:r w:rsidR="00EF491F">
        <w:rPr>
          <w:lang w:val="fr-FR"/>
        </w:rPr>
        <w:t>’</w:t>
      </w:r>
      <w:r w:rsidRPr="004C2F5D">
        <w:rPr>
          <w:lang w:val="fr-FR"/>
        </w:rPr>
        <w:t>elle était dans le besoin, puisqu</w:t>
      </w:r>
      <w:r w:rsidR="00EF491F">
        <w:rPr>
          <w:lang w:val="fr-FR"/>
        </w:rPr>
        <w:t>’</w:t>
      </w:r>
      <w:r w:rsidRPr="004C2F5D">
        <w:rPr>
          <w:lang w:val="fr-FR"/>
        </w:rPr>
        <w:t xml:space="preserve">il existe des incohérences entre </w:t>
      </w:r>
      <w:r>
        <w:rPr>
          <w:lang w:val="fr-FR"/>
        </w:rPr>
        <w:t>sa communication</w:t>
      </w:r>
      <w:r w:rsidRPr="004C2F5D">
        <w:rPr>
          <w:lang w:val="fr-FR"/>
        </w:rPr>
        <w:t xml:space="preserve"> </w:t>
      </w:r>
      <w:r>
        <w:rPr>
          <w:lang w:val="fr-FR"/>
        </w:rPr>
        <w:t>et d</w:t>
      </w:r>
      <w:r w:rsidR="00EF491F">
        <w:rPr>
          <w:lang w:val="fr-FR"/>
        </w:rPr>
        <w:t>’</w:t>
      </w:r>
      <w:r>
        <w:rPr>
          <w:lang w:val="fr-FR"/>
        </w:rPr>
        <w:t>autres informations concernant sa situation professionnelle</w:t>
      </w:r>
      <w:r w:rsidRPr="004C2F5D">
        <w:rPr>
          <w:lang w:val="fr-FR"/>
        </w:rPr>
        <w:t xml:space="preserve"> </w:t>
      </w:r>
      <w:r>
        <w:rPr>
          <w:lang w:val="fr-FR"/>
        </w:rPr>
        <w:t>et</w:t>
      </w:r>
      <w:r w:rsidRPr="004C2F5D">
        <w:rPr>
          <w:lang w:val="fr-FR"/>
        </w:rPr>
        <w:t xml:space="preserve"> </w:t>
      </w:r>
      <w:r>
        <w:rPr>
          <w:lang w:val="fr-FR"/>
        </w:rPr>
        <w:t>ses revenus au moment de l</w:t>
      </w:r>
      <w:r w:rsidR="00EF491F">
        <w:rPr>
          <w:lang w:val="fr-FR"/>
        </w:rPr>
        <w:t>’</w:t>
      </w:r>
      <w:r>
        <w:rPr>
          <w:lang w:val="fr-FR"/>
        </w:rPr>
        <w:t>expulsion et après ; l</w:t>
      </w:r>
      <w:r w:rsidR="00EF491F">
        <w:rPr>
          <w:lang w:val="fr-FR"/>
        </w:rPr>
        <w:t>’</w:t>
      </w:r>
      <w:r>
        <w:rPr>
          <w:lang w:val="fr-FR"/>
        </w:rPr>
        <w:t>État partie a demandé à l</w:t>
      </w:r>
      <w:r w:rsidR="00EF491F">
        <w:rPr>
          <w:lang w:val="fr-FR"/>
        </w:rPr>
        <w:t>’</w:t>
      </w:r>
      <w:r>
        <w:rPr>
          <w:lang w:val="fr-FR"/>
        </w:rPr>
        <w:t>auteure d</w:t>
      </w:r>
      <w:r w:rsidR="00EF491F">
        <w:rPr>
          <w:lang w:val="fr-FR"/>
        </w:rPr>
        <w:t>’</w:t>
      </w:r>
      <w:r>
        <w:rPr>
          <w:lang w:val="fr-FR"/>
        </w:rPr>
        <w:t>apporter des éclaircissements sur ce point</w:t>
      </w:r>
      <w:r w:rsidRPr="004C2F5D">
        <w:rPr>
          <w:lang w:val="fr-FR"/>
        </w:rPr>
        <w:t xml:space="preserve">. </w:t>
      </w:r>
      <w:r w:rsidRPr="00FF68D9">
        <w:rPr>
          <w:lang w:val="fr-FR"/>
        </w:rPr>
        <w:t>Le Comité relève que l</w:t>
      </w:r>
      <w:r w:rsidR="00EF491F">
        <w:rPr>
          <w:lang w:val="fr-FR"/>
        </w:rPr>
        <w:t>’</w:t>
      </w:r>
      <w:r w:rsidRPr="00FF68D9">
        <w:rPr>
          <w:lang w:val="fr-FR"/>
        </w:rPr>
        <w:t>auteure n</w:t>
      </w:r>
      <w:r w:rsidR="00EF491F">
        <w:rPr>
          <w:lang w:val="fr-FR"/>
        </w:rPr>
        <w:t>’</w:t>
      </w:r>
      <w:r w:rsidRPr="00FF68D9">
        <w:rPr>
          <w:lang w:val="fr-FR"/>
        </w:rPr>
        <w:t>a pas répondu à ces allégations et n</w:t>
      </w:r>
      <w:r w:rsidR="00EF491F">
        <w:rPr>
          <w:lang w:val="fr-FR"/>
        </w:rPr>
        <w:t>’</w:t>
      </w:r>
      <w:r w:rsidRPr="00FF68D9">
        <w:rPr>
          <w:lang w:val="fr-FR"/>
        </w:rPr>
        <w:t>a pas indiqué</w:t>
      </w:r>
      <w:r>
        <w:rPr>
          <w:lang w:val="fr-FR"/>
        </w:rPr>
        <w:t xml:space="preserve"> quels étaient ses revenus ni quelle était sa situation professionnelle au moment de l</w:t>
      </w:r>
      <w:r w:rsidR="00EF491F">
        <w:rPr>
          <w:lang w:val="fr-FR"/>
        </w:rPr>
        <w:t>’</w:t>
      </w:r>
      <w:r>
        <w:rPr>
          <w:lang w:val="fr-FR"/>
        </w:rPr>
        <w:t>expulsion et à l</w:t>
      </w:r>
      <w:r w:rsidR="00EF491F">
        <w:rPr>
          <w:lang w:val="fr-FR"/>
        </w:rPr>
        <w:t>’</w:t>
      </w:r>
      <w:r>
        <w:rPr>
          <w:lang w:val="fr-FR"/>
        </w:rPr>
        <w:t xml:space="preserve">heure actuelle. </w:t>
      </w:r>
      <w:r w:rsidRPr="00FF68D9">
        <w:rPr>
          <w:lang w:val="fr-FR"/>
        </w:rPr>
        <w:t>Il note également que l</w:t>
      </w:r>
      <w:r w:rsidR="00EF491F">
        <w:rPr>
          <w:lang w:val="fr-FR"/>
        </w:rPr>
        <w:t>’</w:t>
      </w:r>
      <w:r w:rsidRPr="00FF68D9">
        <w:rPr>
          <w:lang w:val="fr-FR"/>
        </w:rPr>
        <w:t xml:space="preserve">auteure ne </w:t>
      </w:r>
      <w:r>
        <w:rPr>
          <w:lang w:val="fr-FR"/>
        </w:rPr>
        <w:t>dit rien de</w:t>
      </w:r>
      <w:r w:rsidRPr="00FF68D9">
        <w:rPr>
          <w:lang w:val="fr-FR"/>
        </w:rPr>
        <w:t xml:space="preserve"> sa situation en matière de logement depui</w:t>
      </w:r>
      <w:r>
        <w:rPr>
          <w:lang w:val="fr-FR"/>
        </w:rPr>
        <w:t>s l</w:t>
      </w:r>
      <w:r w:rsidR="00EF491F">
        <w:rPr>
          <w:lang w:val="fr-FR"/>
        </w:rPr>
        <w:t>’</w:t>
      </w:r>
      <w:r>
        <w:rPr>
          <w:lang w:val="fr-FR"/>
        </w:rPr>
        <w:t>expulsion</w:t>
      </w:r>
      <w:r w:rsidRPr="00FF68D9">
        <w:rPr>
          <w:lang w:val="fr-FR"/>
        </w:rPr>
        <w:t>,</w:t>
      </w:r>
      <w:r>
        <w:rPr>
          <w:lang w:val="fr-FR"/>
        </w:rPr>
        <w:t xml:space="preserve"> outre </w:t>
      </w:r>
      <w:r w:rsidRPr="00FF68D9">
        <w:rPr>
          <w:lang w:val="fr-FR"/>
        </w:rPr>
        <w:t>qu</w:t>
      </w:r>
      <w:r w:rsidR="00EF491F">
        <w:rPr>
          <w:lang w:val="fr-FR"/>
        </w:rPr>
        <w:t>’</w:t>
      </w:r>
      <w:r>
        <w:rPr>
          <w:lang w:val="fr-FR"/>
        </w:rPr>
        <w:t>elle n</w:t>
      </w:r>
      <w:r w:rsidR="00EF491F">
        <w:rPr>
          <w:lang w:val="fr-FR"/>
        </w:rPr>
        <w:t>’</w:t>
      </w:r>
      <w:r>
        <w:rPr>
          <w:lang w:val="fr-FR"/>
        </w:rPr>
        <w:t>a bénéficié d</w:t>
      </w:r>
      <w:r w:rsidR="00EF491F">
        <w:rPr>
          <w:lang w:val="fr-FR"/>
        </w:rPr>
        <w:t>’</w:t>
      </w:r>
      <w:r>
        <w:rPr>
          <w:lang w:val="fr-FR"/>
        </w:rPr>
        <w:t>aucune aide directe de la part de l</w:t>
      </w:r>
      <w:r w:rsidR="00EF491F">
        <w:rPr>
          <w:lang w:val="fr-FR"/>
        </w:rPr>
        <w:t>’</w:t>
      </w:r>
      <w:r>
        <w:rPr>
          <w:lang w:val="fr-FR"/>
        </w:rPr>
        <w:t>administration dans ce domaine</w:t>
      </w:r>
      <w:r w:rsidRPr="00FF68D9">
        <w:rPr>
          <w:lang w:val="fr-FR"/>
        </w:rPr>
        <w:t>.</w:t>
      </w:r>
    </w:p>
    <w:p w14:paraId="2FAC30DB" w14:textId="11E6F628" w:rsidR="003579EB" w:rsidRDefault="003579EB" w:rsidP="003579EB">
      <w:pPr>
        <w:pStyle w:val="SingleTxtG"/>
        <w:rPr>
          <w:lang w:val="fr-FR"/>
        </w:rPr>
      </w:pPr>
      <w:r w:rsidRPr="00737953">
        <w:rPr>
          <w:lang w:val="fr-FR"/>
        </w:rPr>
        <w:t>6.6</w:t>
      </w:r>
      <w:r w:rsidRPr="00737953">
        <w:rPr>
          <w:lang w:val="fr-FR"/>
        </w:rPr>
        <w:tab/>
        <w:t>L</w:t>
      </w:r>
      <w:r w:rsidR="00EF491F">
        <w:rPr>
          <w:lang w:val="fr-FR"/>
        </w:rPr>
        <w:t>’</w:t>
      </w:r>
      <w:r w:rsidRPr="00737953">
        <w:rPr>
          <w:lang w:val="fr-FR"/>
        </w:rPr>
        <w:t>auteure n</w:t>
      </w:r>
      <w:r w:rsidR="00EF491F">
        <w:rPr>
          <w:lang w:val="fr-FR"/>
        </w:rPr>
        <w:t>’</w:t>
      </w:r>
      <w:r w:rsidRPr="00737953">
        <w:rPr>
          <w:lang w:val="fr-FR"/>
        </w:rPr>
        <w:t>a fourni aucun document venant étayer l</w:t>
      </w:r>
      <w:r w:rsidR="00EF491F">
        <w:rPr>
          <w:lang w:val="fr-FR"/>
        </w:rPr>
        <w:t>’</w:t>
      </w:r>
      <w:r w:rsidRPr="00737953">
        <w:rPr>
          <w:lang w:val="fr-FR"/>
        </w:rPr>
        <w:t>argument selon lequel l</w:t>
      </w:r>
      <w:r w:rsidR="00EF491F">
        <w:rPr>
          <w:lang w:val="fr-FR"/>
        </w:rPr>
        <w:t>’</w:t>
      </w:r>
      <w:r w:rsidRPr="00737953">
        <w:rPr>
          <w:lang w:val="fr-FR"/>
        </w:rPr>
        <w:t>expulsion l</w:t>
      </w:r>
      <w:r w:rsidR="00EF491F">
        <w:rPr>
          <w:lang w:val="fr-FR"/>
        </w:rPr>
        <w:t>’</w:t>
      </w:r>
      <w:r w:rsidRPr="00737953">
        <w:rPr>
          <w:lang w:val="fr-FR"/>
        </w:rPr>
        <w:t>a privée de son droit à un logement convenable en la plaçant en situation de sans</w:t>
      </w:r>
      <w:r>
        <w:rPr>
          <w:lang w:val="fr-FR"/>
        </w:rPr>
        <w:noBreakHyphen/>
      </w:r>
      <w:r w:rsidRPr="00737953">
        <w:rPr>
          <w:lang w:val="fr-FR"/>
        </w:rPr>
        <w:t>abrisme ou, à tout le moins, en la contraignant à vivre dans un logement qui ne répond pas aux conditions minimales pour être un logement convenable et adapté à ses besoins et à ceux de ses petits-enfants. Le Comité rappelle</w:t>
      </w:r>
      <w:r w:rsidRPr="00CC043C">
        <w:rPr>
          <w:rStyle w:val="Appelnotedebasdep"/>
        </w:rPr>
        <w:footnoteReference w:id="13"/>
      </w:r>
      <w:r w:rsidRPr="00737953">
        <w:rPr>
          <w:lang w:val="fr-FR"/>
        </w:rPr>
        <w:t xml:space="preserve"> qu</w:t>
      </w:r>
      <w:r w:rsidR="00EF491F">
        <w:rPr>
          <w:lang w:val="fr-FR"/>
        </w:rPr>
        <w:t>’</w:t>
      </w:r>
      <w:r w:rsidRPr="00737953">
        <w:rPr>
          <w:lang w:val="fr-FR"/>
        </w:rPr>
        <w:t>il incombe aux auteurs, au premier chef, d</w:t>
      </w:r>
      <w:r w:rsidR="00EF491F">
        <w:rPr>
          <w:lang w:val="fr-FR"/>
        </w:rPr>
        <w:t>’</w:t>
      </w:r>
      <w:r w:rsidRPr="00737953">
        <w:rPr>
          <w:lang w:val="fr-FR"/>
        </w:rPr>
        <w:t>étayer leurs allégations et de fournir des preuves documentaires à l</w:t>
      </w:r>
      <w:r w:rsidR="00EF491F">
        <w:rPr>
          <w:lang w:val="fr-FR"/>
        </w:rPr>
        <w:t>’</w:t>
      </w:r>
      <w:r w:rsidRPr="00737953">
        <w:rPr>
          <w:lang w:val="fr-FR"/>
        </w:rPr>
        <w:t>appui de ce qu</w:t>
      </w:r>
      <w:r w:rsidR="00EF491F">
        <w:rPr>
          <w:lang w:val="fr-FR"/>
        </w:rPr>
        <w:t>’</w:t>
      </w:r>
      <w:r w:rsidRPr="00737953">
        <w:rPr>
          <w:lang w:val="fr-FR"/>
        </w:rPr>
        <w:t>ils avancent. Le Comité est conscient que les communications peuvent être présentées par des personnes qui ne sont pas toujours représentées par des avocats ou des juristes formés au droit international des droits de l</w:t>
      </w:r>
      <w:r w:rsidR="00EF491F">
        <w:rPr>
          <w:lang w:val="fr-FR"/>
        </w:rPr>
        <w:t>’</w:t>
      </w:r>
      <w:r w:rsidRPr="00737953">
        <w:rPr>
          <w:lang w:val="fr-FR"/>
        </w:rPr>
        <w:t xml:space="preserve">homme. Il estime que, suivant le principe </w:t>
      </w:r>
      <w:r w:rsidRPr="00C64DDE">
        <w:rPr>
          <w:i/>
          <w:iCs/>
          <w:lang w:val="fr-FR"/>
        </w:rPr>
        <w:t>pro</w:t>
      </w:r>
      <w:r>
        <w:rPr>
          <w:i/>
          <w:iCs/>
          <w:lang w:val="fr-FR"/>
        </w:rPr>
        <w:t> </w:t>
      </w:r>
      <w:r w:rsidRPr="00C64DDE">
        <w:rPr>
          <w:i/>
          <w:iCs/>
          <w:lang w:val="fr-FR"/>
        </w:rPr>
        <w:t>victima</w:t>
      </w:r>
      <w:r w:rsidRPr="00737953">
        <w:rPr>
          <w:lang w:val="fr-FR"/>
        </w:rPr>
        <w:t>, il doit donc s</w:t>
      </w:r>
      <w:r w:rsidR="00EF491F">
        <w:rPr>
          <w:lang w:val="fr-FR"/>
        </w:rPr>
        <w:t>’</w:t>
      </w:r>
      <w:r w:rsidRPr="00737953">
        <w:rPr>
          <w:lang w:val="fr-FR"/>
        </w:rPr>
        <w:t>abstenir d</w:t>
      </w:r>
      <w:r w:rsidR="00EF491F">
        <w:rPr>
          <w:lang w:val="fr-FR"/>
        </w:rPr>
        <w:t>’</w:t>
      </w:r>
      <w:r w:rsidRPr="00737953">
        <w:rPr>
          <w:lang w:val="fr-FR"/>
        </w:rPr>
        <w:t>imposer des formalités compliquant inutilement la soumission des communications. Toutefois, pour que le Comité examine le bien-fondé d</w:t>
      </w:r>
      <w:r w:rsidR="00EF491F">
        <w:rPr>
          <w:lang w:val="fr-FR"/>
        </w:rPr>
        <w:t>’</w:t>
      </w:r>
      <w:r w:rsidRPr="00737953">
        <w:rPr>
          <w:lang w:val="fr-FR"/>
        </w:rPr>
        <w:t>une communication, il est nécessaire que les faits et les griefs présentés laissent supposer, du moins à première vue, que les auteurs pourraient être des victimes réelles ou potentielles de la violation d</w:t>
      </w:r>
      <w:r w:rsidR="00EF491F">
        <w:rPr>
          <w:lang w:val="fr-FR"/>
        </w:rPr>
        <w:t>’</w:t>
      </w:r>
      <w:r w:rsidRPr="00737953">
        <w:rPr>
          <w:lang w:val="fr-FR"/>
        </w:rPr>
        <w:t>un droit consacré par le Pacte</w:t>
      </w:r>
      <w:r w:rsidRPr="00CC043C">
        <w:rPr>
          <w:rStyle w:val="Appelnotedebasdep"/>
        </w:rPr>
        <w:footnoteReference w:id="14"/>
      </w:r>
      <w:r w:rsidRPr="00737953">
        <w:rPr>
          <w:lang w:val="fr-FR"/>
        </w:rPr>
        <w:t xml:space="preserve">. </w:t>
      </w:r>
      <w:r w:rsidRPr="00753642">
        <w:rPr>
          <w:lang w:val="fr-FR"/>
        </w:rPr>
        <w:t>En l</w:t>
      </w:r>
      <w:r w:rsidR="00EF491F">
        <w:rPr>
          <w:lang w:val="fr-FR"/>
        </w:rPr>
        <w:t>’</w:t>
      </w:r>
      <w:r w:rsidRPr="00753642">
        <w:rPr>
          <w:lang w:val="fr-FR"/>
        </w:rPr>
        <w:t>espèce, le Comité note qu</w:t>
      </w:r>
      <w:r w:rsidR="00EF491F">
        <w:rPr>
          <w:lang w:val="fr-FR"/>
        </w:rPr>
        <w:t>’</w:t>
      </w:r>
      <w:r w:rsidRPr="00753642">
        <w:rPr>
          <w:lang w:val="fr-FR"/>
        </w:rPr>
        <w:t xml:space="preserve">il existe </w:t>
      </w:r>
      <w:r>
        <w:rPr>
          <w:lang w:val="fr-FR"/>
        </w:rPr>
        <w:t>des</w:t>
      </w:r>
      <w:r w:rsidRPr="00753642">
        <w:rPr>
          <w:lang w:val="fr-FR"/>
        </w:rPr>
        <w:t xml:space="preserve"> incohérence</w:t>
      </w:r>
      <w:r>
        <w:rPr>
          <w:lang w:val="fr-FR"/>
        </w:rPr>
        <w:t>s</w:t>
      </w:r>
      <w:r w:rsidRPr="00753642">
        <w:rPr>
          <w:lang w:val="fr-FR"/>
        </w:rPr>
        <w:t xml:space="preserve"> entre les informations que l</w:t>
      </w:r>
      <w:r w:rsidR="00EF491F">
        <w:rPr>
          <w:lang w:val="fr-FR"/>
        </w:rPr>
        <w:t>’</w:t>
      </w:r>
      <w:r w:rsidRPr="00753642">
        <w:rPr>
          <w:lang w:val="fr-FR"/>
        </w:rPr>
        <w:t xml:space="preserve">auteure a initialement communiquées concernant ses revenus et </w:t>
      </w:r>
      <w:r>
        <w:rPr>
          <w:lang w:val="fr-FR"/>
        </w:rPr>
        <w:t>celles contenues</w:t>
      </w:r>
      <w:r w:rsidRPr="00753642">
        <w:rPr>
          <w:lang w:val="fr-FR"/>
        </w:rPr>
        <w:t xml:space="preserve"> </w:t>
      </w:r>
      <w:r>
        <w:rPr>
          <w:lang w:val="fr-FR"/>
        </w:rPr>
        <w:t>dans les documents produits par l</w:t>
      </w:r>
      <w:r w:rsidR="00EF491F">
        <w:rPr>
          <w:lang w:val="fr-FR"/>
        </w:rPr>
        <w:t>’</w:t>
      </w:r>
      <w:r>
        <w:rPr>
          <w:lang w:val="fr-FR"/>
        </w:rPr>
        <w:t>État partie</w:t>
      </w:r>
      <w:r w:rsidRPr="00753642">
        <w:rPr>
          <w:lang w:val="fr-FR"/>
        </w:rPr>
        <w:t>. Il relève que, bien que l</w:t>
      </w:r>
      <w:r w:rsidR="00EF491F">
        <w:rPr>
          <w:lang w:val="fr-FR"/>
        </w:rPr>
        <w:t>’</w:t>
      </w:r>
      <w:r w:rsidRPr="00753642">
        <w:rPr>
          <w:lang w:val="fr-FR"/>
        </w:rPr>
        <w:t>auteure soit représentée par un conseil tant dans le cadre des procédures internes qu</w:t>
      </w:r>
      <w:r>
        <w:rPr>
          <w:lang w:val="fr-FR"/>
        </w:rPr>
        <w:t>e devant le Comité,</w:t>
      </w:r>
      <w:r w:rsidRPr="00753642">
        <w:rPr>
          <w:lang w:val="fr-FR"/>
        </w:rPr>
        <w:t xml:space="preserve"> </w:t>
      </w:r>
      <w:r>
        <w:rPr>
          <w:lang w:val="fr-FR"/>
        </w:rPr>
        <w:t>elle n</w:t>
      </w:r>
      <w:r w:rsidR="00EF491F">
        <w:rPr>
          <w:lang w:val="fr-FR"/>
        </w:rPr>
        <w:t>’</w:t>
      </w:r>
      <w:r>
        <w:rPr>
          <w:lang w:val="fr-FR"/>
        </w:rPr>
        <w:t>a apporté aucune réponse ni aucune explication concernant ces incohérences</w:t>
      </w:r>
      <w:r w:rsidRPr="00753642">
        <w:rPr>
          <w:lang w:val="fr-FR"/>
        </w:rPr>
        <w:t xml:space="preserve">. </w:t>
      </w:r>
      <w:r w:rsidRPr="009C1A44">
        <w:rPr>
          <w:lang w:val="fr-FR"/>
        </w:rPr>
        <w:t>Par conséquent, le Comité estime que l</w:t>
      </w:r>
      <w:r w:rsidR="00EF491F">
        <w:rPr>
          <w:lang w:val="fr-FR"/>
        </w:rPr>
        <w:t>’</w:t>
      </w:r>
      <w:r w:rsidRPr="009C1A44">
        <w:rPr>
          <w:lang w:val="fr-FR"/>
        </w:rPr>
        <w:t>auteure n</w:t>
      </w:r>
      <w:r w:rsidR="00EF491F">
        <w:rPr>
          <w:lang w:val="fr-FR"/>
        </w:rPr>
        <w:t>’</w:t>
      </w:r>
      <w:r w:rsidRPr="009C1A44">
        <w:rPr>
          <w:lang w:val="fr-FR"/>
        </w:rPr>
        <w:t>a pas suffisamment étayé l</w:t>
      </w:r>
      <w:r w:rsidR="00EF491F">
        <w:rPr>
          <w:lang w:val="fr-FR"/>
        </w:rPr>
        <w:t>’</w:t>
      </w:r>
      <w:r w:rsidRPr="009C1A44">
        <w:rPr>
          <w:lang w:val="fr-FR"/>
        </w:rPr>
        <w:t>argument selon lequel elle est dans l</w:t>
      </w:r>
      <w:r>
        <w:rPr>
          <w:lang w:val="fr-FR"/>
        </w:rPr>
        <w:t>e besoin, n</w:t>
      </w:r>
      <w:r w:rsidR="00EF491F">
        <w:rPr>
          <w:lang w:val="fr-FR"/>
        </w:rPr>
        <w:t>’</w:t>
      </w:r>
      <w:r>
        <w:rPr>
          <w:lang w:val="fr-FR"/>
        </w:rPr>
        <w:t>ayant pas de revenus suffisants pour</w:t>
      </w:r>
      <w:r w:rsidRPr="009C1A44">
        <w:rPr>
          <w:lang w:val="fr-FR"/>
        </w:rPr>
        <w:t xml:space="preserve"> </w:t>
      </w:r>
      <w:r>
        <w:rPr>
          <w:lang w:val="fr-FR"/>
        </w:rPr>
        <w:t>accéder au marché privé du logement.</w:t>
      </w:r>
      <w:r w:rsidRPr="009C1A44">
        <w:rPr>
          <w:lang w:val="fr-FR"/>
        </w:rPr>
        <w:t xml:space="preserve"> L</w:t>
      </w:r>
      <w:r w:rsidR="00EF491F">
        <w:rPr>
          <w:lang w:val="fr-FR"/>
        </w:rPr>
        <w:t>’</w:t>
      </w:r>
      <w:r w:rsidRPr="009C1A44">
        <w:rPr>
          <w:lang w:val="fr-FR"/>
        </w:rPr>
        <w:t>auteure n</w:t>
      </w:r>
      <w:r w:rsidR="00EF491F">
        <w:rPr>
          <w:lang w:val="fr-FR"/>
        </w:rPr>
        <w:t>’</w:t>
      </w:r>
      <w:r w:rsidRPr="009C1A44">
        <w:rPr>
          <w:lang w:val="fr-FR"/>
        </w:rPr>
        <w:t xml:space="preserve">a pas davantage expliqué où elle </w:t>
      </w:r>
      <w:r>
        <w:rPr>
          <w:lang w:val="fr-FR"/>
        </w:rPr>
        <w:t>vivait</w:t>
      </w:r>
      <w:r w:rsidRPr="009C1A44">
        <w:rPr>
          <w:lang w:val="fr-FR"/>
        </w:rPr>
        <w:t xml:space="preserve"> </w:t>
      </w:r>
      <w:r>
        <w:rPr>
          <w:lang w:val="fr-FR"/>
        </w:rPr>
        <w:t>depuis</w:t>
      </w:r>
      <w:r w:rsidRPr="009C1A44">
        <w:rPr>
          <w:lang w:val="fr-FR"/>
        </w:rPr>
        <w:t xml:space="preserve"> </w:t>
      </w:r>
      <w:r>
        <w:rPr>
          <w:lang w:val="fr-FR"/>
        </w:rPr>
        <w:t>son expulsion ni en quoi celle-ci l</w:t>
      </w:r>
      <w:r w:rsidR="00EF491F">
        <w:rPr>
          <w:lang w:val="fr-FR"/>
        </w:rPr>
        <w:t>’</w:t>
      </w:r>
      <w:r>
        <w:rPr>
          <w:lang w:val="fr-FR"/>
        </w:rPr>
        <w:t>avait empêchée d</w:t>
      </w:r>
      <w:r w:rsidR="00EF491F">
        <w:rPr>
          <w:lang w:val="fr-FR"/>
        </w:rPr>
        <w:t>’</w:t>
      </w:r>
      <w:r>
        <w:rPr>
          <w:lang w:val="fr-FR"/>
        </w:rPr>
        <w:t>accéder à un logement convenable</w:t>
      </w:r>
      <w:r w:rsidRPr="009C1A44">
        <w:rPr>
          <w:lang w:val="fr-FR"/>
        </w:rPr>
        <w:t xml:space="preserve">. </w:t>
      </w:r>
      <w:r w:rsidRPr="00737953">
        <w:rPr>
          <w:lang w:val="fr-FR"/>
        </w:rPr>
        <w:lastRenderedPageBreak/>
        <w:t>Partant,</w:t>
      </w:r>
      <w:r>
        <w:rPr>
          <w:lang w:val="fr-FR"/>
        </w:rPr>
        <w:t> </w:t>
      </w:r>
      <w:r w:rsidRPr="00737953">
        <w:rPr>
          <w:lang w:val="fr-FR"/>
        </w:rPr>
        <w:t>et étant donné qu</w:t>
      </w:r>
      <w:r w:rsidR="00EF491F">
        <w:rPr>
          <w:lang w:val="fr-FR"/>
        </w:rPr>
        <w:t>’</w:t>
      </w:r>
      <w:r w:rsidRPr="00737953">
        <w:rPr>
          <w:lang w:val="fr-FR"/>
        </w:rPr>
        <w:t>il ne dispose pas d</w:t>
      </w:r>
      <w:r w:rsidR="00EF491F">
        <w:rPr>
          <w:lang w:val="fr-FR"/>
        </w:rPr>
        <w:t>’</w:t>
      </w:r>
      <w:r w:rsidRPr="00737953">
        <w:rPr>
          <w:lang w:val="fr-FR"/>
        </w:rPr>
        <w:t>éléments suffisants pour conclure qu</w:t>
      </w:r>
      <w:r w:rsidR="00EF491F">
        <w:rPr>
          <w:lang w:val="fr-FR"/>
        </w:rPr>
        <w:t>’</w:t>
      </w:r>
      <w:r w:rsidRPr="00737953">
        <w:rPr>
          <w:lang w:val="fr-FR"/>
        </w:rPr>
        <w:t>en l</w:t>
      </w:r>
      <w:r w:rsidR="00EF491F">
        <w:rPr>
          <w:lang w:val="fr-FR"/>
        </w:rPr>
        <w:t>’</w:t>
      </w:r>
      <w:r w:rsidRPr="00737953">
        <w:rPr>
          <w:lang w:val="fr-FR"/>
        </w:rPr>
        <w:t>espèce, le droit de l</w:t>
      </w:r>
      <w:r w:rsidR="00EF491F">
        <w:rPr>
          <w:lang w:val="fr-FR"/>
        </w:rPr>
        <w:t>’</w:t>
      </w:r>
      <w:r w:rsidRPr="00737953">
        <w:rPr>
          <w:lang w:val="fr-FR"/>
        </w:rPr>
        <w:t>auteure ou de ses petits-enfants à un logement convenable a été bafoué ou est réellement menacé, le Comité estime que la communication n</w:t>
      </w:r>
      <w:r w:rsidR="00EF491F">
        <w:rPr>
          <w:lang w:val="fr-FR"/>
        </w:rPr>
        <w:t>’</w:t>
      </w:r>
      <w:r w:rsidRPr="00737953">
        <w:rPr>
          <w:lang w:val="fr-FR"/>
        </w:rPr>
        <w:t>est pas suffisamment étayée aux fins de la recevabilité et est donc irrecevable au regard de l</w:t>
      </w:r>
      <w:r w:rsidR="00EF491F">
        <w:rPr>
          <w:lang w:val="fr-FR"/>
        </w:rPr>
        <w:t>’</w:t>
      </w:r>
      <w:r w:rsidRPr="00737953">
        <w:rPr>
          <w:lang w:val="fr-FR"/>
        </w:rPr>
        <w:t>article</w:t>
      </w:r>
      <w:r>
        <w:rPr>
          <w:lang w:val="fr-FR"/>
        </w:rPr>
        <w:t> </w:t>
      </w:r>
      <w:r w:rsidRPr="00737953">
        <w:rPr>
          <w:lang w:val="fr-FR"/>
        </w:rPr>
        <w:t>3 (par.</w:t>
      </w:r>
      <w:r>
        <w:rPr>
          <w:lang w:val="fr-FR"/>
        </w:rPr>
        <w:t> </w:t>
      </w:r>
      <w:r w:rsidRPr="00737953">
        <w:rPr>
          <w:lang w:val="fr-FR"/>
        </w:rPr>
        <w:t>2</w:t>
      </w:r>
      <w:r>
        <w:rPr>
          <w:lang w:val="fr-FR"/>
        </w:rPr>
        <w:t> </w:t>
      </w:r>
      <w:r w:rsidRPr="00737953">
        <w:rPr>
          <w:lang w:val="fr-FR"/>
        </w:rPr>
        <w:t>e)) du Protocole facultatif en ce qui concerne le grief de violation de l</w:t>
      </w:r>
      <w:r w:rsidR="00EF491F">
        <w:rPr>
          <w:lang w:val="fr-FR"/>
        </w:rPr>
        <w:t>’</w:t>
      </w:r>
      <w:r w:rsidRPr="00737953">
        <w:rPr>
          <w:lang w:val="fr-FR"/>
        </w:rPr>
        <w:t>article</w:t>
      </w:r>
      <w:r>
        <w:rPr>
          <w:lang w:val="fr-FR"/>
        </w:rPr>
        <w:t> </w:t>
      </w:r>
      <w:r w:rsidRPr="00737953">
        <w:rPr>
          <w:lang w:val="fr-FR"/>
        </w:rPr>
        <w:t>11 du Pacte.</w:t>
      </w:r>
    </w:p>
    <w:p w14:paraId="7BDB1EFE" w14:textId="565AEA51" w:rsidR="003579EB" w:rsidRPr="00BF1B44" w:rsidRDefault="003579EB" w:rsidP="003579EB">
      <w:pPr>
        <w:pStyle w:val="H1G"/>
      </w:pPr>
      <w:r>
        <w:rPr>
          <w:lang w:val="fr-FR"/>
        </w:rPr>
        <w:tab/>
      </w:r>
      <w:r w:rsidRPr="00A93494">
        <w:rPr>
          <w:lang w:val="fr-FR"/>
        </w:rPr>
        <w:t>C.</w:t>
      </w:r>
      <w:r w:rsidRPr="00A93494">
        <w:rPr>
          <w:lang w:val="fr-FR"/>
        </w:rPr>
        <w:tab/>
        <w:t>Mesures provisoires et expulsion de l</w:t>
      </w:r>
      <w:r w:rsidR="00EF491F">
        <w:rPr>
          <w:lang w:val="fr-FR"/>
        </w:rPr>
        <w:t>’</w:t>
      </w:r>
      <w:r w:rsidRPr="00A93494">
        <w:rPr>
          <w:lang w:val="fr-FR"/>
        </w:rPr>
        <w:t>auteure</w:t>
      </w:r>
    </w:p>
    <w:p w14:paraId="2040E385" w14:textId="0624B1A2" w:rsidR="003579EB" w:rsidRPr="00BF1B44" w:rsidRDefault="003579EB" w:rsidP="003579EB">
      <w:pPr>
        <w:pStyle w:val="SingleTxtG"/>
      </w:pPr>
      <w:r w:rsidRPr="00BF1B44">
        <w:rPr>
          <w:lang w:val="fr-FR"/>
        </w:rPr>
        <w:t>7.1</w:t>
      </w:r>
      <w:r w:rsidRPr="00BF1B44">
        <w:rPr>
          <w:lang w:val="fr-FR"/>
        </w:rPr>
        <w:tab/>
        <w:t>Le Comité rappelle que la faculté de demander l</w:t>
      </w:r>
      <w:r w:rsidR="00EF491F">
        <w:rPr>
          <w:lang w:val="fr-FR"/>
        </w:rPr>
        <w:t>’</w:t>
      </w:r>
      <w:r w:rsidRPr="00BF1B44">
        <w:rPr>
          <w:lang w:val="fr-FR"/>
        </w:rPr>
        <w:t>adoption de mesures provisoires en vertu de l</w:t>
      </w:r>
      <w:r w:rsidR="00EF491F">
        <w:rPr>
          <w:lang w:val="fr-FR"/>
        </w:rPr>
        <w:t>’</w:t>
      </w:r>
      <w:r w:rsidRPr="00BF1B44">
        <w:rPr>
          <w:lang w:val="fr-FR"/>
        </w:rPr>
        <w:t>article</w:t>
      </w:r>
      <w:r>
        <w:rPr>
          <w:lang w:val="fr-FR"/>
        </w:rPr>
        <w:t> </w:t>
      </w:r>
      <w:r w:rsidRPr="00BF1B44">
        <w:rPr>
          <w:lang w:val="fr-FR"/>
        </w:rPr>
        <w:t>5 du Protocole facultatif est essentielle à l</w:t>
      </w:r>
      <w:r w:rsidR="00EF491F">
        <w:rPr>
          <w:lang w:val="fr-FR"/>
        </w:rPr>
        <w:t>’</w:t>
      </w:r>
      <w:r w:rsidRPr="00BF1B44">
        <w:rPr>
          <w:lang w:val="fr-FR"/>
        </w:rPr>
        <w:t>accomplissement du mandat qu</w:t>
      </w:r>
      <w:r w:rsidR="00EF491F">
        <w:rPr>
          <w:lang w:val="fr-FR"/>
        </w:rPr>
        <w:t>’</w:t>
      </w:r>
      <w:r w:rsidRPr="00BF1B44">
        <w:rPr>
          <w:lang w:val="fr-FR"/>
        </w:rPr>
        <w:t>il tire de cet instrument</w:t>
      </w:r>
      <w:r w:rsidRPr="00CC043C">
        <w:rPr>
          <w:rStyle w:val="Appelnotedebasdep"/>
        </w:rPr>
        <w:footnoteReference w:id="15"/>
      </w:r>
      <w:r w:rsidRPr="00BF1B44">
        <w:rPr>
          <w:lang w:val="fr-FR"/>
        </w:rPr>
        <w:t xml:space="preserve">. </w:t>
      </w:r>
      <w:r>
        <w:rPr>
          <w:lang w:val="fr-FR"/>
        </w:rPr>
        <w:t>L</w:t>
      </w:r>
      <w:r w:rsidRPr="00BF1B44">
        <w:rPr>
          <w:lang w:val="fr-FR"/>
        </w:rPr>
        <w:t xml:space="preserve">es mesures </w:t>
      </w:r>
      <w:r>
        <w:rPr>
          <w:lang w:val="fr-FR"/>
        </w:rPr>
        <w:t xml:space="preserve">provisoires </w:t>
      </w:r>
      <w:r w:rsidRPr="00BF1B44">
        <w:rPr>
          <w:lang w:val="fr-FR"/>
        </w:rPr>
        <w:t>visent notamment à préserver l</w:t>
      </w:r>
      <w:r w:rsidR="00EF491F">
        <w:rPr>
          <w:lang w:val="fr-FR"/>
        </w:rPr>
        <w:t>’</w:t>
      </w:r>
      <w:r w:rsidRPr="00BF1B44">
        <w:rPr>
          <w:lang w:val="fr-FR"/>
        </w:rPr>
        <w:t>intégrité de la procédure afin que les droits énoncés dans le Pacte puissent être effectivement protégés lorsqu</w:t>
      </w:r>
      <w:r w:rsidR="00EF491F">
        <w:rPr>
          <w:lang w:val="fr-FR"/>
        </w:rPr>
        <w:t>’</w:t>
      </w:r>
      <w:r w:rsidRPr="00BF1B44">
        <w:rPr>
          <w:lang w:val="fr-FR"/>
        </w:rPr>
        <w:t>il existe un risque de préjudice irréparable</w:t>
      </w:r>
      <w:r w:rsidRPr="00CC043C">
        <w:rPr>
          <w:rStyle w:val="Appelnotedebasdep"/>
        </w:rPr>
        <w:footnoteReference w:id="16"/>
      </w:r>
      <w:r>
        <w:rPr>
          <w:lang w:val="fr-FR"/>
        </w:rPr>
        <w:t>.</w:t>
      </w:r>
      <w:r w:rsidRPr="00BF1B44">
        <w:rPr>
          <w:lang w:val="fr-FR"/>
        </w:rPr>
        <w:t xml:space="preserve"> En acceptant les obligations découlant du Protocole facultatif, les États parties se sont engagés à coopérer de bonne foi avec le</w:t>
      </w:r>
      <w:r>
        <w:rPr>
          <w:lang w:val="fr-FR"/>
        </w:rPr>
        <w:t> </w:t>
      </w:r>
      <w:r w:rsidRPr="00BF1B44">
        <w:rPr>
          <w:lang w:val="fr-FR"/>
        </w:rPr>
        <w:t>Comité. Ainsi, tout État partie qui ne prend pas les mesures provisoires demandées par le</w:t>
      </w:r>
      <w:r>
        <w:rPr>
          <w:lang w:val="fr-FR"/>
        </w:rPr>
        <w:t> </w:t>
      </w:r>
      <w:r w:rsidRPr="00BF1B44">
        <w:rPr>
          <w:lang w:val="fr-FR"/>
        </w:rPr>
        <w:t>Comité viole l</w:t>
      </w:r>
      <w:r w:rsidR="00EF491F">
        <w:rPr>
          <w:lang w:val="fr-FR"/>
        </w:rPr>
        <w:t>’</w:t>
      </w:r>
      <w:r w:rsidRPr="00BF1B44">
        <w:rPr>
          <w:lang w:val="fr-FR"/>
        </w:rPr>
        <w:t>obligation de respecter de bonne foi la procédure de communication établie par l</w:t>
      </w:r>
      <w:r w:rsidR="00EF491F">
        <w:rPr>
          <w:lang w:val="fr-FR"/>
        </w:rPr>
        <w:t>’</w:t>
      </w:r>
      <w:r w:rsidRPr="00BF1B44">
        <w:rPr>
          <w:lang w:val="fr-FR"/>
        </w:rPr>
        <w:t>article</w:t>
      </w:r>
      <w:r>
        <w:rPr>
          <w:lang w:val="fr-FR"/>
        </w:rPr>
        <w:t> </w:t>
      </w:r>
      <w:r w:rsidRPr="00BF1B44">
        <w:rPr>
          <w:lang w:val="fr-FR"/>
        </w:rPr>
        <w:t>2 du Protocole facultatif ainsi que l</w:t>
      </w:r>
      <w:r w:rsidR="00EF491F">
        <w:rPr>
          <w:lang w:val="fr-FR"/>
        </w:rPr>
        <w:t>’</w:t>
      </w:r>
      <w:r w:rsidRPr="00BF1B44">
        <w:rPr>
          <w:lang w:val="fr-FR"/>
        </w:rPr>
        <w:t>article</w:t>
      </w:r>
      <w:r>
        <w:rPr>
          <w:lang w:val="fr-FR"/>
        </w:rPr>
        <w:t> </w:t>
      </w:r>
      <w:r w:rsidRPr="00BF1B44">
        <w:rPr>
          <w:lang w:val="fr-FR"/>
        </w:rPr>
        <w:t>5 dudit Protocole qui permet au</w:t>
      </w:r>
      <w:r>
        <w:rPr>
          <w:lang w:val="fr-FR"/>
        </w:rPr>
        <w:t> </w:t>
      </w:r>
      <w:r w:rsidRPr="00BF1B44">
        <w:rPr>
          <w:lang w:val="fr-FR"/>
        </w:rPr>
        <w:t>Comité de prendre de telles mesures</w:t>
      </w:r>
      <w:r w:rsidRPr="00CC043C">
        <w:rPr>
          <w:rStyle w:val="Appelnotedebasdep"/>
        </w:rPr>
        <w:footnoteReference w:id="17"/>
      </w:r>
      <w:r>
        <w:rPr>
          <w:lang w:val="fr-FR"/>
        </w:rPr>
        <w:t>.</w:t>
      </w:r>
    </w:p>
    <w:p w14:paraId="746538DC" w14:textId="19FA1E42" w:rsidR="003579EB" w:rsidRPr="00BF1B44" w:rsidRDefault="003579EB" w:rsidP="003579EB">
      <w:pPr>
        <w:pStyle w:val="SingleTxtG"/>
      </w:pPr>
      <w:r w:rsidRPr="00BF1B44">
        <w:rPr>
          <w:lang w:val="fr-FR"/>
        </w:rPr>
        <w:t>7.2</w:t>
      </w:r>
      <w:r w:rsidRPr="00BF1B44">
        <w:rPr>
          <w:lang w:val="fr-FR"/>
        </w:rPr>
        <w:tab/>
        <w:t>Le Comité est donc compétent pour déterminer si l</w:t>
      </w:r>
      <w:r w:rsidR="00EF491F">
        <w:rPr>
          <w:lang w:val="fr-FR"/>
        </w:rPr>
        <w:t>’</w:t>
      </w:r>
      <w:r w:rsidRPr="00BF1B44">
        <w:rPr>
          <w:lang w:val="fr-FR"/>
        </w:rPr>
        <w:t>État partie a manqué aux obligations mises à sa charge par les articles</w:t>
      </w:r>
      <w:r>
        <w:rPr>
          <w:lang w:val="fr-FR"/>
        </w:rPr>
        <w:t> </w:t>
      </w:r>
      <w:r w:rsidRPr="00BF1B44">
        <w:rPr>
          <w:lang w:val="fr-FR"/>
        </w:rPr>
        <w:t>2 et 5 du Protocole facultatif et</w:t>
      </w:r>
      <w:r>
        <w:rPr>
          <w:lang w:val="fr-FR"/>
        </w:rPr>
        <w:t xml:space="preserve"> </w:t>
      </w:r>
      <w:r w:rsidRPr="00BF1B44">
        <w:rPr>
          <w:lang w:val="fr-FR"/>
        </w:rPr>
        <w:t xml:space="preserve">empêché que la </w:t>
      </w:r>
      <w:r>
        <w:rPr>
          <w:lang w:val="fr-FR"/>
        </w:rPr>
        <w:t xml:space="preserve">future </w:t>
      </w:r>
      <w:r w:rsidRPr="00BF1B44">
        <w:rPr>
          <w:lang w:val="fr-FR"/>
        </w:rPr>
        <w:t xml:space="preserve">décision ou les </w:t>
      </w:r>
      <w:r>
        <w:rPr>
          <w:lang w:val="fr-FR"/>
        </w:rPr>
        <w:t xml:space="preserve">futures </w:t>
      </w:r>
      <w:r w:rsidRPr="00BF1B44">
        <w:rPr>
          <w:lang w:val="fr-FR"/>
        </w:rPr>
        <w:t>constatations offrent à l</w:t>
      </w:r>
      <w:r w:rsidR="00EF491F">
        <w:rPr>
          <w:lang w:val="fr-FR"/>
        </w:rPr>
        <w:t>’</w:t>
      </w:r>
      <w:r w:rsidRPr="00BF1B44">
        <w:rPr>
          <w:lang w:val="fr-FR"/>
        </w:rPr>
        <w:t>auteure toute la protection voulue, privant ainsi le mécanisme de présentation de communications par des particuliers de sa raison d</w:t>
      </w:r>
      <w:r w:rsidR="00EF491F">
        <w:rPr>
          <w:lang w:val="fr-FR"/>
        </w:rPr>
        <w:t>’</w:t>
      </w:r>
      <w:r w:rsidRPr="00BF1B44">
        <w:rPr>
          <w:lang w:val="fr-FR"/>
        </w:rPr>
        <w:t>être</w:t>
      </w:r>
      <w:r w:rsidRPr="00CC043C">
        <w:rPr>
          <w:rStyle w:val="Appelnotedebasdep"/>
        </w:rPr>
        <w:footnoteReference w:id="18"/>
      </w:r>
      <w:r>
        <w:rPr>
          <w:lang w:val="fr-FR"/>
        </w:rPr>
        <w:t>.</w:t>
      </w:r>
      <w:r w:rsidRPr="00BF1B44">
        <w:rPr>
          <w:lang w:val="fr-FR"/>
        </w:rPr>
        <w:t xml:space="preserve"> </w:t>
      </w:r>
      <w:r>
        <w:rPr>
          <w:lang w:val="fr-FR"/>
        </w:rPr>
        <w:t>Il conserve s</w:t>
      </w:r>
      <w:r w:rsidRPr="00BF1B44">
        <w:rPr>
          <w:lang w:val="fr-FR"/>
        </w:rPr>
        <w:t xml:space="preserve">a compétence pour examiner une violation autonome du Protocole </w:t>
      </w:r>
      <w:r>
        <w:rPr>
          <w:lang w:val="fr-FR"/>
        </w:rPr>
        <w:t xml:space="preserve">facultatif </w:t>
      </w:r>
      <w:r w:rsidRPr="00BF1B44">
        <w:rPr>
          <w:lang w:val="fr-FR"/>
        </w:rPr>
        <w:t>même s</w:t>
      </w:r>
      <w:r w:rsidR="00EF491F">
        <w:rPr>
          <w:lang w:val="fr-FR"/>
        </w:rPr>
        <w:t>’</w:t>
      </w:r>
      <w:r w:rsidRPr="00BF1B44">
        <w:rPr>
          <w:lang w:val="fr-FR"/>
        </w:rPr>
        <w:t xml:space="preserve">il déclare la communication irrecevable, car le Protocole </w:t>
      </w:r>
      <w:r>
        <w:rPr>
          <w:lang w:val="fr-FR"/>
        </w:rPr>
        <w:t xml:space="preserve">facultatif </w:t>
      </w:r>
      <w:r w:rsidRPr="00BF1B44">
        <w:rPr>
          <w:lang w:val="fr-FR"/>
        </w:rPr>
        <w:t xml:space="preserve">impose aux États une obligation autonome de se conformer aux mesures provisoires. </w:t>
      </w:r>
      <w:r>
        <w:rPr>
          <w:lang w:val="fr-FR"/>
        </w:rPr>
        <w:t>Cela explique qu</w:t>
      </w:r>
      <w:r w:rsidR="00EF491F">
        <w:rPr>
          <w:lang w:val="fr-FR"/>
        </w:rPr>
        <w:t>’</w:t>
      </w:r>
      <w:r>
        <w:rPr>
          <w:lang w:val="fr-FR"/>
        </w:rPr>
        <w:t>il ait</w:t>
      </w:r>
      <w:r w:rsidRPr="00BF1B44">
        <w:rPr>
          <w:lang w:val="fr-FR"/>
        </w:rPr>
        <w:t xml:space="preserve"> constaté des violations du Protocole </w:t>
      </w:r>
      <w:r>
        <w:rPr>
          <w:lang w:val="fr-FR"/>
        </w:rPr>
        <w:t xml:space="preserve">facultatif </w:t>
      </w:r>
      <w:r w:rsidRPr="00BF1B44">
        <w:rPr>
          <w:lang w:val="fr-FR"/>
        </w:rPr>
        <w:t xml:space="preserve">même dans des cas où la communication </w:t>
      </w:r>
      <w:r>
        <w:rPr>
          <w:lang w:val="fr-FR"/>
        </w:rPr>
        <w:t xml:space="preserve">avait été déclarée </w:t>
      </w:r>
      <w:r w:rsidRPr="00BF1B44">
        <w:rPr>
          <w:lang w:val="fr-FR"/>
        </w:rPr>
        <w:t>irrecevable au regard des droits consacrés par le Pacte</w:t>
      </w:r>
      <w:r w:rsidRPr="00CC043C">
        <w:rPr>
          <w:rStyle w:val="Appelnotedebasdep"/>
        </w:rPr>
        <w:footnoteReference w:id="19"/>
      </w:r>
      <w:r>
        <w:rPr>
          <w:lang w:val="fr-FR"/>
        </w:rPr>
        <w:t>.</w:t>
      </w:r>
      <w:r w:rsidRPr="00BF1B44">
        <w:rPr>
          <w:lang w:val="fr-FR"/>
        </w:rPr>
        <w:t xml:space="preserve"> </w:t>
      </w:r>
      <w:r>
        <w:rPr>
          <w:lang w:val="fr-FR"/>
        </w:rPr>
        <w:t>Il peut en effet</w:t>
      </w:r>
      <w:r w:rsidRPr="00BF1B44">
        <w:rPr>
          <w:lang w:val="fr-FR"/>
        </w:rPr>
        <w:t xml:space="preserve"> conclure qu</w:t>
      </w:r>
      <w:r w:rsidR="00EF491F">
        <w:rPr>
          <w:lang w:val="fr-FR"/>
        </w:rPr>
        <w:t>’</w:t>
      </w:r>
      <w:r w:rsidRPr="00BF1B44">
        <w:rPr>
          <w:lang w:val="fr-FR"/>
        </w:rPr>
        <w:t>une communication initiale est suffisamment étayée aux fins de l</w:t>
      </w:r>
      <w:r w:rsidR="00EF491F">
        <w:rPr>
          <w:lang w:val="fr-FR"/>
        </w:rPr>
        <w:t>’</w:t>
      </w:r>
      <w:r w:rsidRPr="00BF1B44">
        <w:rPr>
          <w:lang w:val="fr-FR"/>
        </w:rPr>
        <w:t xml:space="preserve">enregistrement et concerne une situation </w:t>
      </w:r>
      <w:r>
        <w:rPr>
          <w:lang w:val="fr-FR"/>
        </w:rPr>
        <w:t>qui requiert</w:t>
      </w:r>
      <w:r w:rsidRPr="00BF1B44">
        <w:rPr>
          <w:lang w:val="fr-FR"/>
        </w:rPr>
        <w:t xml:space="preserve"> l</w:t>
      </w:r>
      <w:r w:rsidR="00EF491F">
        <w:rPr>
          <w:lang w:val="fr-FR"/>
        </w:rPr>
        <w:t>’</w:t>
      </w:r>
      <w:r w:rsidRPr="00BF1B44">
        <w:rPr>
          <w:lang w:val="fr-FR"/>
        </w:rPr>
        <w:t>adoption de mesures provisoires pour éviter un préjudice irréparable</w:t>
      </w:r>
      <w:r w:rsidRPr="00CC043C">
        <w:rPr>
          <w:rStyle w:val="Appelnotedebasdep"/>
        </w:rPr>
        <w:footnoteReference w:id="20"/>
      </w:r>
      <w:r>
        <w:rPr>
          <w:lang w:val="fr-FR"/>
        </w:rPr>
        <w:t>.</w:t>
      </w:r>
      <w:r w:rsidRPr="00BF1B44">
        <w:rPr>
          <w:lang w:val="fr-FR"/>
        </w:rPr>
        <w:t xml:space="preserve"> Toutefois, rien ne l</w:t>
      </w:r>
      <w:r w:rsidR="00EF491F">
        <w:rPr>
          <w:lang w:val="fr-FR"/>
        </w:rPr>
        <w:t>’</w:t>
      </w:r>
      <w:r w:rsidRPr="00BF1B44">
        <w:rPr>
          <w:lang w:val="fr-FR"/>
        </w:rPr>
        <w:t>empêche de décider, après avoir examiné de nouvelles informations fournies par l</w:t>
      </w:r>
      <w:r w:rsidR="00EF491F">
        <w:rPr>
          <w:lang w:val="fr-FR"/>
        </w:rPr>
        <w:t>’</w:t>
      </w:r>
      <w:r w:rsidRPr="00BF1B44">
        <w:rPr>
          <w:lang w:val="fr-FR"/>
        </w:rPr>
        <w:t>État partie, que les mesures demandées n</w:t>
      </w:r>
      <w:r w:rsidR="00EF491F">
        <w:rPr>
          <w:lang w:val="fr-FR"/>
        </w:rPr>
        <w:t>’</w:t>
      </w:r>
      <w:r w:rsidRPr="00BF1B44">
        <w:rPr>
          <w:lang w:val="fr-FR"/>
        </w:rPr>
        <w:t>étaient pas justifiées ou ne sont plus nécessaires</w:t>
      </w:r>
      <w:r w:rsidRPr="00CC043C">
        <w:rPr>
          <w:rStyle w:val="Appelnotedebasdep"/>
        </w:rPr>
        <w:footnoteReference w:id="21"/>
      </w:r>
      <w:r>
        <w:rPr>
          <w:lang w:val="fr-FR"/>
        </w:rPr>
        <w:t>.</w:t>
      </w:r>
      <w:r w:rsidRPr="00BF1B44">
        <w:rPr>
          <w:lang w:val="fr-FR"/>
        </w:rPr>
        <w:t xml:space="preserve"> Dans le même ordre d</w:t>
      </w:r>
      <w:r w:rsidR="00EF491F">
        <w:rPr>
          <w:lang w:val="fr-FR"/>
        </w:rPr>
        <w:t>’</w:t>
      </w:r>
      <w:r w:rsidRPr="00BF1B44">
        <w:rPr>
          <w:lang w:val="fr-FR"/>
        </w:rPr>
        <w:t>idées, les informations fournies par les parties sur la recevabilité et sur le fond de la communication peuvent amener le Comité à conclure, comme il l</w:t>
      </w:r>
      <w:r w:rsidR="00EF491F">
        <w:rPr>
          <w:lang w:val="fr-FR"/>
        </w:rPr>
        <w:t>’</w:t>
      </w:r>
      <w:r w:rsidRPr="00BF1B44">
        <w:rPr>
          <w:lang w:val="fr-FR"/>
        </w:rPr>
        <w:t>a fait en l</w:t>
      </w:r>
      <w:r w:rsidR="00EF491F">
        <w:rPr>
          <w:lang w:val="fr-FR"/>
        </w:rPr>
        <w:t>’</w:t>
      </w:r>
      <w:r w:rsidRPr="00BF1B44">
        <w:rPr>
          <w:lang w:val="fr-FR"/>
        </w:rPr>
        <w:t>espèce, qu</w:t>
      </w:r>
      <w:r w:rsidR="00EF491F">
        <w:rPr>
          <w:lang w:val="fr-FR"/>
        </w:rPr>
        <w:t>’</w:t>
      </w:r>
      <w:r w:rsidRPr="00BF1B44">
        <w:rPr>
          <w:lang w:val="fr-FR"/>
        </w:rPr>
        <w:t>une communication à première vue recevable ne l</w:t>
      </w:r>
      <w:r w:rsidR="00EF491F">
        <w:rPr>
          <w:lang w:val="fr-FR"/>
        </w:rPr>
        <w:t>’</w:t>
      </w:r>
      <w:r w:rsidRPr="00BF1B44">
        <w:rPr>
          <w:lang w:val="fr-FR"/>
        </w:rPr>
        <w:t>est pas car elle est insuffisamment étayée</w:t>
      </w:r>
      <w:r w:rsidRPr="00CC043C">
        <w:rPr>
          <w:rStyle w:val="Appelnotedebasdep"/>
        </w:rPr>
        <w:footnoteReference w:id="22"/>
      </w:r>
      <w:r>
        <w:rPr>
          <w:lang w:val="fr-FR"/>
        </w:rPr>
        <w:t>.</w:t>
      </w:r>
      <w:r w:rsidRPr="00BF1B44">
        <w:rPr>
          <w:lang w:val="fr-FR"/>
        </w:rPr>
        <w:t xml:space="preserve"> Le fait de demander des mesures provisoires n</w:t>
      </w:r>
      <w:r w:rsidR="00EF491F">
        <w:rPr>
          <w:lang w:val="fr-FR"/>
        </w:rPr>
        <w:t>’</w:t>
      </w:r>
      <w:r w:rsidRPr="00BF1B44">
        <w:rPr>
          <w:lang w:val="fr-FR"/>
        </w:rPr>
        <w:t>exclut donc pas la possibilité que la communication soit déclarée irrecevable</w:t>
      </w:r>
      <w:r w:rsidRPr="00CC043C">
        <w:rPr>
          <w:rStyle w:val="Appelnotedebasdep"/>
        </w:rPr>
        <w:footnoteReference w:id="23"/>
      </w:r>
      <w:r>
        <w:rPr>
          <w:lang w:val="fr-FR"/>
        </w:rPr>
        <w:t>.</w:t>
      </w:r>
      <w:r w:rsidRPr="00BF1B44">
        <w:rPr>
          <w:lang w:val="fr-FR"/>
        </w:rPr>
        <w:t xml:space="preserve"> C</w:t>
      </w:r>
      <w:r w:rsidR="00EF491F">
        <w:rPr>
          <w:lang w:val="fr-FR"/>
        </w:rPr>
        <w:t>’</w:t>
      </w:r>
      <w:r w:rsidRPr="00BF1B44">
        <w:rPr>
          <w:lang w:val="fr-FR"/>
        </w:rPr>
        <w:t>est</w:t>
      </w:r>
      <w:r>
        <w:rPr>
          <w:lang w:val="fr-FR"/>
        </w:rPr>
        <w:t> </w:t>
      </w:r>
      <w:r w:rsidRPr="00BF1B44">
        <w:rPr>
          <w:lang w:val="fr-FR"/>
        </w:rPr>
        <w:t>précisément pour cette raison que l</w:t>
      </w:r>
      <w:r w:rsidR="00EF491F">
        <w:rPr>
          <w:lang w:val="fr-FR"/>
        </w:rPr>
        <w:t>’</w:t>
      </w:r>
      <w:r w:rsidRPr="00BF1B44">
        <w:rPr>
          <w:lang w:val="fr-FR"/>
        </w:rPr>
        <w:t>article</w:t>
      </w:r>
      <w:r>
        <w:rPr>
          <w:lang w:val="fr-FR"/>
        </w:rPr>
        <w:t> </w:t>
      </w:r>
      <w:r w:rsidRPr="00BF1B44">
        <w:rPr>
          <w:lang w:val="fr-FR"/>
        </w:rPr>
        <w:t>7 du règlement intérieur provisoire relatif au Protocole facultatif permet à l</w:t>
      </w:r>
      <w:r w:rsidR="00EF491F">
        <w:rPr>
          <w:lang w:val="fr-FR"/>
        </w:rPr>
        <w:t>’</w:t>
      </w:r>
      <w:r w:rsidRPr="00BF1B44">
        <w:rPr>
          <w:lang w:val="fr-FR"/>
        </w:rPr>
        <w:t>État partie de s</w:t>
      </w:r>
      <w:r w:rsidR="00EF491F">
        <w:rPr>
          <w:lang w:val="fr-FR"/>
        </w:rPr>
        <w:t>’</w:t>
      </w:r>
      <w:r w:rsidRPr="00BF1B44">
        <w:rPr>
          <w:lang w:val="fr-FR"/>
        </w:rPr>
        <w:t>opposer à une demande de mesures provisoires et d</w:t>
      </w:r>
      <w:r w:rsidR="00EF491F">
        <w:rPr>
          <w:lang w:val="fr-FR"/>
        </w:rPr>
        <w:t>’</w:t>
      </w:r>
      <w:r w:rsidRPr="00BF1B44">
        <w:rPr>
          <w:lang w:val="fr-FR"/>
        </w:rPr>
        <w:t xml:space="preserve">en demander </w:t>
      </w:r>
      <w:r w:rsidRPr="00FA4D2A">
        <w:rPr>
          <w:lang w:val="fr-FR"/>
        </w:rPr>
        <w:t>le retrait, pour autant qu</w:t>
      </w:r>
      <w:r w:rsidR="00EF491F" w:rsidRPr="00FA4D2A">
        <w:rPr>
          <w:lang w:val="fr-FR"/>
        </w:rPr>
        <w:t>’</w:t>
      </w:r>
      <w:r w:rsidRPr="00FA4D2A">
        <w:rPr>
          <w:lang w:val="fr-FR"/>
        </w:rPr>
        <w:t>il</w:t>
      </w:r>
      <w:r w:rsidRPr="00BF1B44">
        <w:rPr>
          <w:lang w:val="fr-FR"/>
        </w:rPr>
        <w:t xml:space="preserve"> explique </w:t>
      </w:r>
      <w:r>
        <w:rPr>
          <w:lang w:val="fr-FR"/>
        </w:rPr>
        <w:t xml:space="preserve">les raisons pour </w:t>
      </w:r>
      <w:r>
        <w:rPr>
          <w:lang w:val="fr-FR"/>
        </w:rPr>
        <w:lastRenderedPageBreak/>
        <w:t>lesquelles</w:t>
      </w:r>
      <w:r w:rsidRPr="00BF1B44">
        <w:rPr>
          <w:lang w:val="fr-FR"/>
        </w:rPr>
        <w:t xml:space="preserve"> la demande n</w:t>
      </w:r>
      <w:r w:rsidR="00EF491F">
        <w:rPr>
          <w:lang w:val="fr-FR"/>
        </w:rPr>
        <w:t>’</w:t>
      </w:r>
      <w:r w:rsidRPr="00BF1B44">
        <w:rPr>
          <w:lang w:val="fr-FR"/>
        </w:rPr>
        <w:t xml:space="preserve">est pas </w:t>
      </w:r>
      <w:r w:rsidRPr="00FA4D2A">
        <w:rPr>
          <w:lang w:val="fr-FR"/>
        </w:rPr>
        <w:t>justifiée et il n</w:t>
      </w:r>
      <w:r w:rsidR="00EF491F" w:rsidRPr="00FA4D2A">
        <w:rPr>
          <w:lang w:val="fr-FR"/>
        </w:rPr>
        <w:t>’</w:t>
      </w:r>
      <w:r w:rsidRPr="00FA4D2A">
        <w:rPr>
          <w:lang w:val="fr-FR"/>
        </w:rPr>
        <w:t>y</w:t>
      </w:r>
      <w:r>
        <w:rPr>
          <w:lang w:val="fr-FR"/>
        </w:rPr>
        <w:t xml:space="preserve"> a pas</w:t>
      </w:r>
      <w:r w:rsidRPr="00BF1B44">
        <w:rPr>
          <w:lang w:val="fr-FR"/>
        </w:rPr>
        <w:t xml:space="preserve"> </w:t>
      </w:r>
      <w:r>
        <w:rPr>
          <w:lang w:val="fr-FR"/>
        </w:rPr>
        <w:t>d</w:t>
      </w:r>
      <w:r w:rsidRPr="00BF1B44">
        <w:rPr>
          <w:lang w:val="fr-FR"/>
        </w:rPr>
        <w:t>e risque de préjudice irréparable</w:t>
      </w:r>
      <w:r w:rsidRPr="00CC043C">
        <w:rPr>
          <w:rStyle w:val="Appelnotedebasdep"/>
        </w:rPr>
        <w:footnoteReference w:id="24"/>
      </w:r>
      <w:r w:rsidRPr="00BF1B44">
        <w:rPr>
          <w:lang w:val="fr-FR"/>
        </w:rPr>
        <w:t>. L</w:t>
      </w:r>
      <w:r w:rsidR="00EF491F">
        <w:rPr>
          <w:lang w:val="fr-FR"/>
        </w:rPr>
        <w:t>’</w:t>
      </w:r>
      <w:r w:rsidRPr="00BF1B44">
        <w:rPr>
          <w:lang w:val="fr-FR"/>
        </w:rPr>
        <w:t>État partie peut aussi arguer que la communication est irrecevable</w:t>
      </w:r>
      <w:r w:rsidRPr="00CC043C">
        <w:rPr>
          <w:rStyle w:val="Appelnotedebasdep"/>
        </w:rPr>
        <w:footnoteReference w:id="25"/>
      </w:r>
      <w:r>
        <w:rPr>
          <w:lang w:val="fr-FR"/>
        </w:rPr>
        <w:t>.</w:t>
      </w:r>
      <w:r w:rsidRPr="00BF1B44">
        <w:rPr>
          <w:lang w:val="fr-FR"/>
        </w:rPr>
        <w:t xml:space="preserve"> Le Comité recommande donc à l</w:t>
      </w:r>
      <w:r w:rsidR="00EF491F">
        <w:rPr>
          <w:lang w:val="fr-FR"/>
        </w:rPr>
        <w:t>’</w:t>
      </w:r>
      <w:r w:rsidRPr="00BF1B44">
        <w:rPr>
          <w:lang w:val="fr-FR"/>
        </w:rPr>
        <w:t>État partie d</w:t>
      </w:r>
      <w:r w:rsidR="00EF491F">
        <w:rPr>
          <w:lang w:val="fr-FR"/>
        </w:rPr>
        <w:t>’</w:t>
      </w:r>
      <w:r w:rsidRPr="00BF1B44">
        <w:rPr>
          <w:lang w:val="fr-FR"/>
        </w:rPr>
        <w:t>établir un protocole aux fins de donner effet à ses demandes de mesures provisoires et d</w:t>
      </w:r>
      <w:r w:rsidR="00EF491F">
        <w:rPr>
          <w:lang w:val="fr-FR"/>
        </w:rPr>
        <w:t>’</w:t>
      </w:r>
      <w:r w:rsidRPr="00BF1B44">
        <w:rPr>
          <w:lang w:val="fr-FR"/>
        </w:rPr>
        <w:t>informer toutes les autorités concernées que les mesures demandées doivent être appliquées afin de garantir l</w:t>
      </w:r>
      <w:r w:rsidR="00EF491F">
        <w:rPr>
          <w:lang w:val="fr-FR"/>
        </w:rPr>
        <w:t>’</w:t>
      </w:r>
      <w:r w:rsidRPr="00BF1B44">
        <w:rPr>
          <w:lang w:val="fr-FR"/>
        </w:rPr>
        <w:t>intégrité de la procédure</w:t>
      </w:r>
      <w:r w:rsidRPr="00CC043C">
        <w:rPr>
          <w:rStyle w:val="Appelnotedebasdep"/>
        </w:rPr>
        <w:footnoteReference w:id="26"/>
      </w:r>
      <w:r>
        <w:rPr>
          <w:lang w:val="fr-FR"/>
        </w:rPr>
        <w:t>.</w:t>
      </w:r>
    </w:p>
    <w:p w14:paraId="6A433E10" w14:textId="64EA589A" w:rsidR="003579EB" w:rsidRPr="00BF1B44" w:rsidRDefault="003579EB" w:rsidP="003579EB">
      <w:pPr>
        <w:pStyle w:val="SingleTxtG"/>
      </w:pPr>
      <w:r w:rsidRPr="00BF1B44">
        <w:rPr>
          <w:lang w:val="fr-FR"/>
        </w:rPr>
        <w:t>7.3</w:t>
      </w:r>
      <w:r w:rsidRPr="00BF1B44">
        <w:rPr>
          <w:lang w:val="fr-FR"/>
        </w:rPr>
        <w:tab/>
        <w:t>En l</w:t>
      </w:r>
      <w:r w:rsidR="00EF491F">
        <w:rPr>
          <w:lang w:val="fr-FR"/>
        </w:rPr>
        <w:t>’</w:t>
      </w:r>
      <w:r w:rsidRPr="00BF1B44">
        <w:rPr>
          <w:lang w:val="fr-FR"/>
        </w:rPr>
        <w:t>espèce, après examen du dossier, le Comité n</w:t>
      </w:r>
      <w:r w:rsidR="00EF491F">
        <w:rPr>
          <w:lang w:val="fr-FR"/>
        </w:rPr>
        <w:t>’</w:t>
      </w:r>
      <w:r w:rsidRPr="00BF1B44">
        <w:rPr>
          <w:lang w:val="fr-FR"/>
        </w:rPr>
        <w:t>a pas d</w:t>
      </w:r>
      <w:r w:rsidR="00EF491F">
        <w:rPr>
          <w:lang w:val="fr-FR"/>
        </w:rPr>
        <w:t>’</w:t>
      </w:r>
      <w:r w:rsidRPr="00BF1B44">
        <w:rPr>
          <w:lang w:val="fr-FR"/>
        </w:rPr>
        <w:t>éléments lui permettant de conclure que l</w:t>
      </w:r>
      <w:r w:rsidR="00EF491F">
        <w:rPr>
          <w:lang w:val="fr-FR"/>
        </w:rPr>
        <w:t>’</w:t>
      </w:r>
      <w:r w:rsidRPr="00BF1B44">
        <w:rPr>
          <w:lang w:val="fr-FR"/>
        </w:rPr>
        <w:t>État partie a violé son obligation internationale de respecter de bonne foi la demande de mesures provisoires formulée au titre des articles</w:t>
      </w:r>
      <w:r>
        <w:rPr>
          <w:lang w:val="fr-FR"/>
        </w:rPr>
        <w:t> </w:t>
      </w:r>
      <w:r w:rsidRPr="00BF1B44">
        <w:rPr>
          <w:lang w:val="fr-FR"/>
        </w:rPr>
        <w:t>2 et 5 du Protocole facultatif, pour empêcher que l</w:t>
      </w:r>
      <w:r w:rsidR="00EF491F">
        <w:rPr>
          <w:lang w:val="fr-FR"/>
        </w:rPr>
        <w:t>’</w:t>
      </w:r>
      <w:r w:rsidRPr="00BF1B44">
        <w:rPr>
          <w:lang w:val="fr-FR"/>
        </w:rPr>
        <w:t>auteur</w:t>
      </w:r>
      <w:r>
        <w:rPr>
          <w:lang w:val="fr-FR"/>
        </w:rPr>
        <w:t>e</w:t>
      </w:r>
      <w:r w:rsidRPr="00BF1B44">
        <w:rPr>
          <w:lang w:val="fr-FR"/>
        </w:rPr>
        <w:t xml:space="preserve"> subisse un éventuel préjudice irréparable.</w:t>
      </w:r>
    </w:p>
    <w:p w14:paraId="30B0EC9E" w14:textId="77777777" w:rsidR="003579EB" w:rsidRPr="00737953" w:rsidRDefault="003579EB" w:rsidP="003579EB">
      <w:pPr>
        <w:pStyle w:val="H1G"/>
        <w:rPr>
          <w:lang w:val="fr-FR"/>
        </w:rPr>
      </w:pPr>
      <w:r w:rsidRPr="00737953">
        <w:rPr>
          <w:lang w:val="fr-FR"/>
        </w:rPr>
        <w:tab/>
      </w:r>
      <w:r>
        <w:rPr>
          <w:lang w:val="fr-FR"/>
        </w:rPr>
        <w:t>D</w:t>
      </w:r>
      <w:r w:rsidRPr="00737953">
        <w:rPr>
          <w:lang w:val="fr-FR"/>
        </w:rPr>
        <w:t>.</w:t>
      </w:r>
      <w:r w:rsidRPr="00737953">
        <w:rPr>
          <w:lang w:val="fr-FR"/>
        </w:rPr>
        <w:tab/>
        <w:t>Conclusion</w:t>
      </w:r>
    </w:p>
    <w:p w14:paraId="0E722618" w14:textId="60047547" w:rsidR="003579EB" w:rsidRDefault="003579EB" w:rsidP="003579EB">
      <w:pPr>
        <w:pStyle w:val="SingleTxtG"/>
        <w:rPr>
          <w:lang w:val="fr-FR"/>
        </w:rPr>
      </w:pPr>
      <w:r>
        <w:rPr>
          <w:lang w:val="fr-FR"/>
        </w:rPr>
        <w:t>8</w:t>
      </w:r>
      <w:r w:rsidRPr="00737953">
        <w:rPr>
          <w:lang w:val="fr-FR"/>
        </w:rPr>
        <w:t>.</w:t>
      </w:r>
      <w:r w:rsidRPr="00737953">
        <w:rPr>
          <w:lang w:val="fr-FR"/>
        </w:rPr>
        <w:tab/>
      </w:r>
      <w:r>
        <w:rPr>
          <w:lang w:val="fr-FR"/>
        </w:rPr>
        <w:t>En conséquence</w:t>
      </w:r>
      <w:r w:rsidRPr="00737953">
        <w:rPr>
          <w:lang w:val="fr-FR"/>
        </w:rPr>
        <w:t>, le Comité</w:t>
      </w:r>
      <w:r>
        <w:rPr>
          <w:lang w:val="fr-FR"/>
        </w:rPr>
        <w:t xml:space="preserve"> décide que</w:t>
      </w:r>
      <w:r>
        <w:rPr>
          <w:lang w:val="fr-FR"/>
        </w:rPr>
        <w:t> </w:t>
      </w:r>
      <w:r>
        <w:rPr>
          <w:lang w:val="fr-FR"/>
        </w:rPr>
        <w:t xml:space="preserve">: </w:t>
      </w:r>
    </w:p>
    <w:p w14:paraId="4C2C1F24" w14:textId="33FEA0C1" w:rsidR="003579EB" w:rsidRDefault="003579EB" w:rsidP="003579EB">
      <w:pPr>
        <w:pStyle w:val="SingleTxtG"/>
        <w:ind w:firstLine="567"/>
        <w:rPr>
          <w:lang w:val="fr-FR"/>
        </w:rPr>
      </w:pPr>
      <w:r>
        <w:rPr>
          <w:lang w:val="fr-FR"/>
        </w:rPr>
        <w:t>a)</w:t>
      </w:r>
      <w:r>
        <w:rPr>
          <w:lang w:val="fr-FR"/>
        </w:rPr>
        <w:tab/>
        <w:t xml:space="preserve">La communication est irrecevable au regard de </w:t>
      </w:r>
      <w:r w:rsidRPr="00FA4D2A">
        <w:rPr>
          <w:lang w:val="fr-FR"/>
        </w:rPr>
        <w:t>l</w:t>
      </w:r>
      <w:r w:rsidR="00EF491F" w:rsidRPr="00FA4D2A">
        <w:rPr>
          <w:lang w:val="fr-FR"/>
        </w:rPr>
        <w:t>’</w:t>
      </w:r>
      <w:r w:rsidRPr="00FA4D2A">
        <w:rPr>
          <w:lang w:val="fr-FR"/>
        </w:rPr>
        <w:t>article</w:t>
      </w:r>
      <w:r w:rsidR="00EF491F" w:rsidRPr="00FA4D2A">
        <w:rPr>
          <w:lang w:val="fr-FR"/>
        </w:rPr>
        <w:t> </w:t>
      </w:r>
      <w:r w:rsidRPr="00FA4D2A">
        <w:rPr>
          <w:lang w:val="fr-FR"/>
        </w:rPr>
        <w:t>3 (par.</w:t>
      </w:r>
      <w:r w:rsidR="00EF491F" w:rsidRPr="00FA4D2A">
        <w:rPr>
          <w:lang w:val="fr-FR"/>
        </w:rPr>
        <w:t> </w:t>
      </w:r>
      <w:r w:rsidRPr="00FA4D2A">
        <w:rPr>
          <w:lang w:val="fr-FR"/>
        </w:rPr>
        <w:t>2</w:t>
      </w:r>
      <w:r w:rsidR="00766F0F">
        <w:rPr>
          <w:lang w:val="fr-FR"/>
        </w:rPr>
        <w:t> </w:t>
      </w:r>
      <w:r w:rsidR="00FA4D2A" w:rsidRPr="00FA4D2A">
        <w:rPr>
          <w:lang w:val="fr-FR"/>
        </w:rPr>
        <w:t>e</w:t>
      </w:r>
      <w:r w:rsidRPr="00FA4D2A">
        <w:rPr>
          <w:lang w:val="fr-FR"/>
        </w:rPr>
        <w:t>)</w:t>
      </w:r>
      <w:r>
        <w:rPr>
          <w:lang w:val="fr-FR"/>
        </w:rPr>
        <w:t xml:space="preserve"> du Protocole facultatif</w:t>
      </w:r>
      <w:r>
        <w:rPr>
          <w:lang w:val="fr-FR"/>
        </w:rPr>
        <w:t> </w:t>
      </w:r>
      <w:r>
        <w:rPr>
          <w:lang w:val="fr-FR"/>
        </w:rPr>
        <w:t>;</w:t>
      </w:r>
    </w:p>
    <w:p w14:paraId="287971E6" w14:textId="3B9890C0" w:rsidR="00446FE5" w:rsidRDefault="003579EB" w:rsidP="003579EB">
      <w:pPr>
        <w:pStyle w:val="SingleTxtG"/>
        <w:ind w:firstLine="567"/>
        <w:rPr>
          <w:lang w:val="fr-FR"/>
        </w:rPr>
      </w:pPr>
      <w:r>
        <w:rPr>
          <w:lang w:val="fr-FR"/>
        </w:rPr>
        <w:t>b)</w:t>
      </w:r>
      <w:r>
        <w:rPr>
          <w:lang w:val="fr-FR"/>
        </w:rPr>
        <w:tab/>
        <w:t>L</w:t>
      </w:r>
      <w:r w:rsidRPr="00737953">
        <w:rPr>
          <w:lang w:val="fr-FR"/>
        </w:rPr>
        <w:t>a présente décision sera communiquée à l</w:t>
      </w:r>
      <w:r w:rsidR="00EF491F">
        <w:rPr>
          <w:lang w:val="fr-FR"/>
        </w:rPr>
        <w:t>’</w:t>
      </w:r>
      <w:r w:rsidRPr="00737953">
        <w:rPr>
          <w:lang w:val="fr-FR"/>
        </w:rPr>
        <w:t>auteure de la communication et à l</w:t>
      </w:r>
      <w:r w:rsidR="00EF491F">
        <w:rPr>
          <w:lang w:val="fr-FR"/>
        </w:rPr>
        <w:t>’</w:t>
      </w:r>
      <w:r w:rsidRPr="00737953">
        <w:rPr>
          <w:lang w:val="fr-FR"/>
        </w:rPr>
        <w:t>État partie.</w:t>
      </w:r>
    </w:p>
    <w:p w14:paraId="2EC7C626" w14:textId="410973BA" w:rsidR="003579EB" w:rsidRPr="003579EB" w:rsidRDefault="003579EB" w:rsidP="003579EB">
      <w:pPr>
        <w:pStyle w:val="SingleTxtG"/>
        <w:spacing w:before="240" w:after="0"/>
        <w:jc w:val="center"/>
        <w:rPr>
          <w:u w:val="single"/>
        </w:rPr>
      </w:pPr>
      <w:r>
        <w:rPr>
          <w:u w:val="single"/>
        </w:rPr>
        <w:tab/>
      </w:r>
      <w:r>
        <w:rPr>
          <w:u w:val="single"/>
        </w:rPr>
        <w:tab/>
      </w:r>
      <w:r>
        <w:rPr>
          <w:u w:val="single"/>
        </w:rPr>
        <w:tab/>
      </w:r>
    </w:p>
    <w:sectPr w:rsidR="003579EB" w:rsidRPr="003579EB" w:rsidSect="003579E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B12F" w14:textId="77777777" w:rsidR="00CD237B" w:rsidRDefault="00CD237B" w:rsidP="00F95C08">
      <w:pPr>
        <w:spacing w:line="240" w:lineRule="auto"/>
      </w:pPr>
    </w:p>
  </w:endnote>
  <w:endnote w:type="continuationSeparator" w:id="0">
    <w:p w14:paraId="624D567A" w14:textId="77777777" w:rsidR="00CD237B" w:rsidRPr="00AC3823" w:rsidRDefault="00CD237B" w:rsidP="00AC3823">
      <w:pPr>
        <w:pStyle w:val="Pieddepage"/>
      </w:pPr>
    </w:p>
  </w:endnote>
  <w:endnote w:type="continuationNotice" w:id="1">
    <w:p w14:paraId="06E10858" w14:textId="77777777" w:rsidR="00CD237B" w:rsidRDefault="00CD23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C4EE" w14:textId="1D6C67A2" w:rsidR="003579EB" w:rsidRPr="003579EB" w:rsidRDefault="003579EB" w:rsidP="003579EB">
    <w:pPr>
      <w:pStyle w:val="Pieddepage"/>
      <w:tabs>
        <w:tab w:val="right" w:pos="9638"/>
      </w:tabs>
    </w:pPr>
    <w:r w:rsidRPr="003579EB">
      <w:rPr>
        <w:b/>
        <w:sz w:val="18"/>
      </w:rPr>
      <w:fldChar w:fldCharType="begin"/>
    </w:r>
    <w:r w:rsidRPr="003579EB">
      <w:rPr>
        <w:b/>
        <w:sz w:val="18"/>
      </w:rPr>
      <w:instrText xml:space="preserve"> PAGE  \* MERGEFORMAT </w:instrText>
    </w:r>
    <w:r w:rsidRPr="003579EB">
      <w:rPr>
        <w:b/>
        <w:sz w:val="18"/>
      </w:rPr>
      <w:fldChar w:fldCharType="separate"/>
    </w:r>
    <w:r w:rsidRPr="003579EB">
      <w:rPr>
        <w:b/>
        <w:noProof/>
        <w:sz w:val="18"/>
      </w:rPr>
      <w:t>2</w:t>
    </w:r>
    <w:r w:rsidRPr="003579EB">
      <w:rPr>
        <w:b/>
        <w:sz w:val="18"/>
      </w:rPr>
      <w:fldChar w:fldCharType="end"/>
    </w:r>
    <w:r>
      <w:rPr>
        <w:b/>
        <w:sz w:val="18"/>
      </w:rPr>
      <w:tab/>
    </w:r>
    <w:r>
      <w:t>GE.21-18393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8DF1" w14:textId="15A70021" w:rsidR="003579EB" w:rsidRPr="003579EB" w:rsidRDefault="003579EB" w:rsidP="003579EB">
    <w:pPr>
      <w:pStyle w:val="Pieddepage"/>
      <w:tabs>
        <w:tab w:val="right" w:pos="9638"/>
      </w:tabs>
      <w:rPr>
        <w:b/>
        <w:sz w:val="18"/>
      </w:rPr>
    </w:pPr>
    <w:r>
      <w:t>GE.21-18393</w:t>
    </w:r>
    <w:r>
      <w:tab/>
    </w:r>
    <w:r w:rsidRPr="003579EB">
      <w:rPr>
        <w:b/>
        <w:sz w:val="18"/>
      </w:rPr>
      <w:fldChar w:fldCharType="begin"/>
    </w:r>
    <w:r w:rsidRPr="003579EB">
      <w:rPr>
        <w:b/>
        <w:sz w:val="18"/>
      </w:rPr>
      <w:instrText xml:space="preserve"> PAGE  \* MERGEFORMAT </w:instrText>
    </w:r>
    <w:r w:rsidRPr="003579EB">
      <w:rPr>
        <w:b/>
        <w:sz w:val="18"/>
      </w:rPr>
      <w:fldChar w:fldCharType="separate"/>
    </w:r>
    <w:r w:rsidRPr="003579EB">
      <w:rPr>
        <w:b/>
        <w:noProof/>
        <w:sz w:val="18"/>
      </w:rPr>
      <w:t>3</w:t>
    </w:r>
    <w:r w:rsidRPr="003579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B4" w14:textId="38A400EF" w:rsidR="0080236C" w:rsidRPr="003579EB" w:rsidRDefault="003579EB" w:rsidP="003579EB">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5D2AC589" wp14:editId="550A1E8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21-18393  (F)</w:t>
    </w:r>
    <w:r>
      <w:rPr>
        <w:noProof/>
        <w:sz w:val="20"/>
      </w:rPr>
      <w:drawing>
        <wp:anchor distT="0" distB="0" distL="114300" distR="114300" simplePos="0" relativeHeight="251660288" behindDoc="0" locked="0" layoutInCell="1" allowOverlap="1" wp14:anchorId="575A8F5B" wp14:editId="4B3665E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170222    170222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666A" w14:textId="77777777" w:rsidR="00CD237B" w:rsidRPr="00AC3823" w:rsidRDefault="00CD237B" w:rsidP="00AC3823">
      <w:pPr>
        <w:pStyle w:val="Pieddepage"/>
        <w:tabs>
          <w:tab w:val="right" w:pos="2155"/>
        </w:tabs>
        <w:spacing w:after="80" w:line="240" w:lineRule="atLeast"/>
        <w:ind w:left="680"/>
        <w:rPr>
          <w:u w:val="single"/>
        </w:rPr>
      </w:pPr>
      <w:r>
        <w:rPr>
          <w:u w:val="single"/>
        </w:rPr>
        <w:tab/>
      </w:r>
    </w:p>
  </w:footnote>
  <w:footnote w:type="continuationSeparator" w:id="0">
    <w:p w14:paraId="3EE3D6FF" w14:textId="77777777" w:rsidR="00CD237B" w:rsidRPr="00AC3823" w:rsidRDefault="00CD237B" w:rsidP="00AC3823">
      <w:pPr>
        <w:pStyle w:val="Pieddepage"/>
        <w:tabs>
          <w:tab w:val="right" w:pos="2155"/>
        </w:tabs>
        <w:spacing w:after="80" w:line="240" w:lineRule="atLeast"/>
        <w:ind w:left="680"/>
        <w:rPr>
          <w:u w:val="single"/>
        </w:rPr>
      </w:pPr>
      <w:r>
        <w:rPr>
          <w:u w:val="single"/>
        </w:rPr>
        <w:tab/>
      </w:r>
    </w:p>
  </w:footnote>
  <w:footnote w:type="continuationNotice" w:id="1">
    <w:p w14:paraId="528ADD5E" w14:textId="77777777" w:rsidR="00CD237B" w:rsidRPr="00AC3823" w:rsidRDefault="00CD237B">
      <w:pPr>
        <w:spacing w:line="240" w:lineRule="auto"/>
        <w:rPr>
          <w:sz w:val="2"/>
          <w:szCs w:val="2"/>
        </w:rPr>
      </w:pPr>
    </w:p>
  </w:footnote>
  <w:footnote w:id="2">
    <w:p w14:paraId="57FBF253" w14:textId="6A437804" w:rsidR="003579EB" w:rsidRPr="003579EB" w:rsidRDefault="003579EB">
      <w:pPr>
        <w:pStyle w:val="Notedebasdepage"/>
      </w:pPr>
      <w:r>
        <w:rPr>
          <w:rStyle w:val="Appelnotedebasdep"/>
        </w:rPr>
        <w:tab/>
      </w:r>
      <w:r w:rsidRPr="003579EB">
        <w:rPr>
          <w:rStyle w:val="Appelnotedebasdep"/>
          <w:sz w:val="20"/>
          <w:vertAlign w:val="baseline"/>
        </w:rPr>
        <w:t>*</w:t>
      </w:r>
      <w:r>
        <w:rPr>
          <w:rStyle w:val="Appelnotedebasdep"/>
          <w:sz w:val="20"/>
          <w:vertAlign w:val="baseline"/>
        </w:rPr>
        <w:tab/>
      </w:r>
      <w:r>
        <w:t>Adoptée par le Comité à sa soixante-dixième session (27 septembre-15 octobre 2021).</w:t>
      </w:r>
    </w:p>
  </w:footnote>
  <w:footnote w:id="3">
    <w:p w14:paraId="274154EB" w14:textId="77777777" w:rsidR="003579EB" w:rsidRPr="003E4387" w:rsidRDefault="003579EB" w:rsidP="003579EB">
      <w:pPr>
        <w:pStyle w:val="Notedebasdepage"/>
        <w:rPr>
          <w:lang w:val="fr-FR"/>
        </w:rPr>
      </w:pPr>
      <w:r w:rsidRPr="001E5611">
        <w:rPr>
          <w:lang w:val="fr-FR"/>
        </w:rPr>
        <w:tab/>
      </w:r>
      <w:r w:rsidRPr="00CC043C">
        <w:rPr>
          <w:rStyle w:val="Appelnotedebasdep"/>
        </w:rPr>
        <w:footnoteRef/>
      </w:r>
      <w:r w:rsidRPr="003E4387">
        <w:rPr>
          <w:lang w:val="fr-FR"/>
        </w:rPr>
        <w:tab/>
        <w:t>Les faits ont été reconstitués à partir de la lettre initiale et des renseignements fournis ultérieurement par les parties dans leurs observations et commentaires sur le fond.</w:t>
      </w:r>
    </w:p>
  </w:footnote>
  <w:footnote w:id="4">
    <w:p w14:paraId="10637BF6" w14:textId="6512CB3F" w:rsidR="003579EB" w:rsidRPr="00A816C9" w:rsidRDefault="003579EB" w:rsidP="003579EB">
      <w:pPr>
        <w:pStyle w:val="Notedebasdepage"/>
        <w:rPr>
          <w:lang w:val="fr-FR"/>
        </w:rPr>
      </w:pPr>
      <w:r w:rsidRPr="003E4387">
        <w:rPr>
          <w:lang w:val="fr-FR"/>
        </w:rPr>
        <w:tab/>
      </w:r>
      <w:r w:rsidRPr="00CC043C">
        <w:rPr>
          <w:rStyle w:val="Appelnotedebasdep"/>
        </w:rPr>
        <w:footnoteRef/>
      </w:r>
      <w:r w:rsidRPr="00A5359B">
        <w:rPr>
          <w:lang w:val="fr-FR"/>
        </w:rPr>
        <w:tab/>
        <w:t>L</w:t>
      </w:r>
      <w:r w:rsidR="00EF491F">
        <w:rPr>
          <w:lang w:val="fr-FR"/>
        </w:rPr>
        <w:t>’</w:t>
      </w:r>
      <w:r w:rsidRPr="00A5359B">
        <w:rPr>
          <w:lang w:val="fr-FR"/>
        </w:rPr>
        <w:t xml:space="preserve">auteure </w:t>
      </w:r>
      <w:r>
        <w:rPr>
          <w:lang w:val="fr-FR"/>
        </w:rPr>
        <w:t>ne précise</w:t>
      </w:r>
      <w:r w:rsidRPr="00A5359B">
        <w:rPr>
          <w:lang w:val="fr-FR"/>
        </w:rPr>
        <w:t xml:space="preserve"> pas la date exacte. </w:t>
      </w:r>
      <w:r w:rsidRPr="00A816C9">
        <w:rPr>
          <w:lang w:val="fr-FR"/>
        </w:rPr>
        <w:t>Selon le rapport</w:t>
      </w:r>
      <w:r>
        <w:rPr>
          <w:lang w:val="fr-FR"/>
        </w:rPr>
        <w:t xml:space="preserve"> daté du</w:t>
      </w:r>
      <w:r w:rsidRPr="00A816C9">
        <w:rPr>
          <w:lang w:val="fr-FR"/>
        </w:rPr>
        <w:t xml:space="preserve"> 23</w:t>
      </w:r>
      <w:r>
        <w:rPr>
          <w:lang w:val="fr-FR"/>
        </w:rPr>
        <w:t> </w:t>
      </w:r>
      <w:r w:rsidRPr="00A816C9">
        <w:rPr>
          <w:lang w:val="fr-FR"/>
        </w:rPr>
        <w:t>septembre 2019</w:t>
      </w:r>
      <w:r>
        <w:rPr>
          <w:lang w:val="fr-FR"/>
        </w:rPr>
        <w:t xml:space="preserve"> </w:t>
      </w:r>
      <w:r w:rsidRPr="00A816C9">
        <w:rPr>
          <w:lang w:val="fr-FR"/>
        </w:rPr>
        <w:t>établi par les services sociaux, en ju</w:t>
      </w:r>
      <w:r>
        <w:rPr>
          <w:lang w:val="fr-FR"/>
        </w:rPr>
        <w:t xml:space="preserve">illet et août </w:t>
      </w:r>
      <w:r w:rsidRPr="00A816C9">
        <w:rPr>
          <w:lang w:val="fr-FR"/>
        </w:rPr>
        <w:t>2018</w:t>
      </w:r>
      <w:r>
        <w:rPr>
          <w:lang w:val="fr-FR"/>
        </w:rPr>
        <w:t xml:space="preserve"> elle occupait un logement dont elle était propriétaire et qui faisait l</w:t>
      </w:r>
      <w:r w:rsidR="00EF491F">
        <w:rPr>
          <w:lang w:val="fr-FR"/>
        </w:rPr>
        <w:t>’</w:t>
      </w:r>
      <w:r>
        <w:rPr>
          <w:lang w:val="fr-FR"/>
        </w:rPr>
        <w:t>objet d</w:t>
      </w:r>
      <w:r w:rsidR="00EF491F">
        <w:rPr>
          <w:lang w:val="fr-FR"/>
        </w:rPr>
        <w:t>’</w:t>
      </w:r>
      <w:r>
        <w:rPr>
          <w:lang w:val="fr-FR"/>
        </w:rPr>
        <w:t>une procédure de saisie hypothécaire et, en</w:t>
      </w:r>
      <w:r w:rsidRPr="00A816C9">
        <w:rPr>
          <w:lang w:val="fr-FR"/>
        </w:rPr>
        <w:t xml:space="preserve"> a</w:t>
      </w:r>
      <w:r>
        <w:rPr>
          <w:lang w:val="fr-FR"/>
        </w:rPr>
        <w:t>vril</w:t>
      </w:r>
      <w:r w:rsidRPr="00A816C9">
        <w:rPr>
          <w:lang w:val="fr-FR"/>
        </w:rPr>
        <w:t xml:space="preserve"> 2018</w:t>
      </w:r>
      <w:r>
        <w:rPr>
          <w:lang w:val="fr-FR"/>
        </w:rPr>
        <w:t>, elle a fait savoir qu</w:t>
      </w:r>
      <w:r w:rsidR="00EF491F">
        <w:rPr>
          <w:lang w:val="fr-FR"/>
        </w:rPr>
        <w:t>’</w:t>
      </w:r>
      <w:r>
        <w:rPr>
          <w:lang w:val="fr-FR"/>
        </w:rPr>
        <w:t xml:space="preserve">elle </w:t>
      </w:r>
      <w:r w:rsidRPr="00A816C9">
        <w:rPr>
          <w:lang w:val="fr-FR"/>
        </w:rPr>
        <w:t>oc</w:t>
      </w:r>
      <w:r>
        <w:rPr>
          <w:lang w:val="fr-FR"/>
        </w:rPr>
        <w:t>c</w:t>
      </w:r>
      <w:r w:rsidRPr="00A816C9">
        <w:rPr>
          <w:lang w:val="fr-FR"/>
        </w:rPr>
        <w:t>upa</w:t>
      </w:r>
      <w:r>
        <w:rPr>
          <w:lang w:val="fr-FR"/>
        </w:rPr>
        <w:t>it</w:t>
      </w:r>
      <w:r w:rsidRPr="00A816C9">
        <w:rPr>
          <w:lang w:val="fr-FR"/>
        </w:rPr>
        <w:t xml:space="preserve"> le logement </w:t>
      </w:r>
      <w:r>
        <w:rPr>
          <w:lang w:val="fr-FR"/>
        </w:rPr>
        <w:t>dont il est question dans</w:t>
      </w:r>
      <w:r w:rsidRPr="00A816C9">
        <w:rPr>
          <w:lang w:val="fr-FR"/>
        </w:rPr>
        <w:t xml:space="preserve"> la pr</w:t>
      </w:r>
      <w:r>
        <w:rPr>
          <w:lang w:val="fr-FR"/>
        </w:rPr>
        <w:t>é</w:t>
      </w:r>
      <w:r w:rsidRPr="00A816C9">
        <w:rPr>
          <w:lang w:val="fr-FR"/>
        </w:rPr>
        <w:t>sente communication.</w:t>
      </w:r>
    </w:p>
  </w:footnote>
  <w:footnote w:id="5">
    <w:p w14:paraId="539755DF" w14:textId="4A63CB22" w:rsidR="003579EB" w:rsidRPr="009B7E06" w:rsidRDefault="003579EB" w:rsidP="003579EB">
      <w:pPr>
        <w:pStyle w:val="Notedebasdepage"/>
        <w:rPr>
          <w:lang w:val="fr-FR"/>
        </w:rPr>
      </w:pPr>
      <w:r w:rsidRPr="00A816C9">
        <w:rPr>
          <w:lang w:val="fr-FR"/>
        </w:rPr>
        <w:tab/>
      </w:r>
      <w:r w:rsidRPr="00CC043C">
        <w:rPr>
          <w:rStyle w:val="Appelnotedebasdep"/>
        </w:rPr>
        <w:footnoteRef/>
      </w:r>
      <w:r w:rsidRPr="00A5359B">
        <w:rPr>
          <w:lang w:val="fr-FR"/>
        </w:rPr>
        <w:tab/>
        <w:t>L</w:t>
      </w:r>
      <w:r w:rsidR="00EF491F">
        <w:rPr>
          <w:lang w:val="fr-FR"/>
        </w:rPr>
        <w:t>’</w:t>
      </w:r>
      <w:r w:rsidRPr="00A5359B">
        <w:rPr>
          <w:lang w:val="fr-FR"/>
        </w:rPr>
        <w:t xml:space="preserve">expulsion pour occupation à titre précaire est une procédure judiciaire civile </w:t>
      </w:r>
      <w:r>
        <w:rPr>
          <w:lang w:val="fr-FR"/>
        </w:rPr>
        <w:t>que</w:t>
      </w:r>
      <w:r w:rsidRPr="00A5359B">
        <w:rPr>
          <w:lang w:val="fr-FR"/>
        </w:rPr>
        <w:t xml:space="preserve"> le propriétaire d</w:t>
      </w:r>
      <w:r w:rsidR="00EF491F">
        <w:rPr>
          <w:lang w:val="fr-FR"/>
        </w:rPr>
        <w:t>’</w:t>
      </w:r>
      <w:r w:rsidRPr="00A5359B">
        <w:rPr>
          <w:lang w:val="fr-FR"/>
        </w:rPr>
        <w:t xml:space="preserve">un bien immobilier </w:t>
      </w:r>
      <w:r>
        <w:rPr>
          <w:lang w:val="fr-FR"/>
        </w:rPr>
        <w:t>peut engager pour contraindre une personne qui occupe son bien</w:t>
      </w:r>
      <w:r w:rsidRPr="00A5359B">
        <w:rPr>
          <w:lang w:val="fr-FR"/>
        </w:rPr>
        <w:t xml:space="preserve"> s</w:t>
      </w:r>
      <w:r>
        <w:rPr>
          <w:lang w:val="fr-FR"/>
        </w:rPr>
        <w:t>a</w:t>
      </w:r>
      <w:r w:rsidRPr="00A5359B">
        <w:rPr>
          <w:lang w:val="fr-FR"/>
        </w:rPr>
        <w:t>n</w:t>
      </w:r>
      <w:r>
        <w:rPr>
          <w:lang w:val="fr-FR"/>
        </w:rPr>
        <w:t>s</w:t>
      </w:r>
      <w:r w:rsidRPr="00A5359B">
        <w:rPr>
          <w:lang w:val="fr-FR"/>
        </w:rPr>
        <w:t xml:space="preserve"> s</w:t>
      </w:r>
      <w:r>
        <w:rPr>
          <w:lang w:val="fr-FR"/>
        </w:rPr>
        <w:t xml:space="preserve">on accord à </w:t>
      </w:r>
      <w:r w:rsidRPr="00A5359B">
        <w:rPr>
          <w:lang w:val="fr-FR"/>
        </w:rPr>
        <w:t>l</w:t>
      </w:r>
      <w:r>
        <w:rPr>
          <w:lang w:val="fr-FR"/>
        </w:rPr>
        <w:t>ibérer les lieux</w:t>
      </w:r>
      <w:r w:rsidRPr="00A5359B">
        <w:rPr>
          <w:lang w:val="fr-FR"/>
        </w:rPr>
        <w:t xml:space="preserve">. </w:t>
      </w:r>
      <w:r>
        <w:rPr>
          <w:lang w:val="fr-FR"/>
        </w:rPr>
        <w:t>Un</w:t>
      </w:r>
      <w:r w:rsidRPr="009B7E06">
        <w:rPr>
          <w:lang w:val="fr-FR"/>
        </w:rPr>
        <w:t xml:space="preserve"> bien </w:t>
      </w:r>
      <w:r>
        <w:rPr>
          <w:lang w:val="fr-FR"/>
        </w:rPr>
        <w:t>est</w:t>
      </w:r>
      <w:r w:rsidRPr="009B7E06">
        <w:rPr>
          <w:lang w:val="fr-FR"/>
        </w:rPr>
        <w:t xml:space="preserve"> occupé sans </w:t>
      </w:r>
      <w:r>
        <w:rPr>
          <w:lang w:val="fr-FR"/>
        </w:rPr>
        <w:t>l</w:t>
      </w:r>
      <w:r w:rsidR="00EF491F">
        <w:rPr>
          <w:lang w:val="fr-FR"/>
        </w:rPr>
        <w:t>’</w:t>
      </w:r>
      <w:r>
        <w:rPr>
          <w:lang w:val="fr-FR"/>
        </w:rPr>
        <w:t>accord de son propriétaire lorsque l</w:t>
      </w:r>
      <w:r w:rsidR="00EF491F">
        <w:rPr>
          <w:lang w:val="fr-FR"/>
        </w:rPr>
        <w:t>’</w:t>
      </w:r>
      <w:r>
        <w:rPr>
          <w:lang w:val="fr-FR"/>
        </w:rPr>
        <w:t>occupant du bien ne bénéficie plus de l</w:t>
      </w:r>
      <w:r w:rsidR="00EF491F">
        <w:rPr>
          <w:lang w:val="fr-FR"/>
        </w:rPr>
        <w:t>’</w:t>
      </w:r>
      <w:r>
        <w:rPr>
          <w:lang w:val="fr-FR"/>
        </w:rPr>
        <w:t>accord du propriétaire, ou s</w:t>
      </w:r>
      <w:r w:rsidR="00EF491F">
        <w:rPr>
          <w:lang w:val="fr-FR"/>
        </w:rPr>
        <w:t>’</w:t>
      </w:r>
      <w:r>
        <w:rPr>
          <w:lang w:val="fr-FR"/>
        </w:rPr>
        <w:t>il n</w:t>
      </w:r>
      <w:r w:rsidR="00EF491F">
        <w:rPr>
          <w:lang w:val="fr-FR"/>
        </w:rPr>
        <w:t>’</w:t>
      </w:r>
      <w:r>
        <w:rPr>
          <w:lang w:val="fr-FR"/>
        </w:rPr>
        <w:t>en a jamais bénéficié</w:t>
      </w:r>
      <w:r w:rsidRPr="009B7E06">
        <w:rPr>
          <w:lang w:val="fr-FR"/>
        </w:rPr>
        <w:t>.</w:t>
      </w:r>
    </w:p>
  </w:footnote>
  <w:footnote w:id="6">
    <w:p w14:paraId="6FC62D1E" w14:textId="7E6EA237" w:rsidR="003579EB" w:rsidRPr="00A5359B" w:rsidRDefault="003579EB" w:rsidP="003579EB">
      <w:pPr>
        <w:pStyle w:val="Notedebasdepage"/>
        <w:rPr>
          <w:lang w:val="fr-FR"/>
        </w:rPr>
      </w:pPr>
      <w:r w:rsidRPr="009B7E06">
        <w:rPr>
          <w:lang w:val="fr-FR"/>
        </w:rPr>
        <w:tab/>
      </w:r>
      <w:r w:rsidRPr="00CC043C">
        <w:rPr>
          <w:rStyle w:val="Appelnotedebasdep"/>
        </w:rPr>
        <w:footnoteRef/>
      </w:r>
      <w:r w:rsidRPr="00A5359B">
        <w:rPr>
          <w:lang w:val="fr-FR"/>
        </w:rPr>
        <w:tab/>
        <w:t>L</w:t>
      </w:r>
      <w:r w:rsidR="00EF491F">
        <w:rPr>
          <w:lang w:val="fr-FR"/>
        </w:rPr>
        <w:t>’</w:t>
      </w:r>
      <w:r w:rsidRPr="00A5359B">
        <w:rPr>
          <w:lang w:val="fr-FR"/>
        </w:rPr>
        <w:t xml:space="preserve">auteure ne </w:t>
      </w:r>
      <w:r>
        <w:rPr>
          <w:lang w:val="fr-FR"/>
        </w:rPr>
        <w:t>précise pas l</w:t>
      </w:r>
      <w:r w:rsidR="00EF491F">
        <w:rPr>
          <w:lang w:val="fr-FR"/>
        </w:rPr>
        <w:t>’</w:t>
      </w:r>
      <w:r>
        <w:rPr>
          <w:lang w:val="fr-FR"/>
        </w:rPr>
        <w:t xml:space="preserve">issue </w:t>
      </w:r>
      <w:r w:rsidRPr="00A5359B">
        <w:rPr>
          <w:lang w:val="fr-FR"/>
        </w:rPr>
        <w:t>du recours en appel.</w:t>
      </w:r>
    </w:p>
  </w:footnote>
  <w:footnote w:id="7">
    <w:p w14:paraId="20BDC153" w14:textId="6B707E0F" w:rsidR="003579EB" w:rsidRPr="00086F85" w:rsidRDefault="003579EB" w:rsidP="003579EB">
      <w:pPr>
        <w:pStyle w:val="Notedebasdepage"/>
        <w:rPr>
          <w:lang w:val="fr-FR"/>
        </w:rPr>
      </w:pPr>
      <w:r w:rsidRPr="00A5359B">
        <w:rPr>
          <w:lang w:val="fr-FR"/>
        </w:rPr>
        <w:tab/>
      </w:r>
      <w:r w:rsidRPr="00CC043C">
        <w:rPr>
          <w:rStyle w:val="Appelnotedebasdep"/>
        </w:rPr>
        <w:footnoteRef/>
      </w:r>
      <w:r w:rsidRPr="00086F85">
        <w:rPr>
          <w:lang w:val="fr-FR"/>
        </w:rPr>
        <w:tab/>
        <w:t>L</w:t>
      </w:r>
      <w:r w:rsidR="00EF491F">
        <w:rPr>
          <w:lang w:val="fr-FR"/>
        </w:rPr>
        <w:t>’</w:t>
      </w:r>
      <w:r w:rsidRPr="00086F85">
        <w:rPr>
          <w:lang w:val="fr-FR"/>
        </w:rPr>
        <w:t>auteure ne donne pas plus de précision</w:t>
      </w:r>
      <w:r>
        <w:rPr>
          <w:lang w:val="fr-FR"/>
        </w:rPr>
        <w:t>s</w:t>
      </w:r>
      <w:r w:rsidRPr="00086F85">
        <w:rPr>
          <w:lang w:val="fr-FR"/>
        </w:rPr>
        <w:t>.</w:t>
      </w:r>
    </w:p>
  </w:footnote>
  <w:footnote w:id="8">
    <w:p w14:paraId="2AAE5682" w14:textId="61926D83" w:rsidR="003579EB" w:rsidRPr="00086F85" w:rsidRDefault="003579EB" w:rsidP="003579EB">
      <w:pPr>
        <w:pStyle w:val="Notedebasdepage"/>
        <w:rPr>
          <w:lang w:val="fr-FR"/>
        </w:rPr>
      </w:pPr>
      <w:r w:rsidRPr="00086F85">
        <w:rPr>
          <w:lang w:val="fr-FR"/>
        </w:rPr>
        <w:tab/>
      </w:r>
      <w:r w:rsidRPr="00CC043C">
        <w:rPr>
          <w:rStyle w:val="Appelnotedebasdep"/>
        </w:rPr>
        <w:footnoteRef/>
      </w:r>
      <w:r w:rsidRPr="00086F85">
        <w:rPr>
          <w:lang w:val="fr-FR"/>
        </w:rPr>
        <w:tab/>
        <w:t>L</w:t>
      </w:r>
      <w:r w:rsidR="00EF491F">
        <w:rPr>
          <w:lang w:val="fr-FR"/>
        </w:rPr>
        <w:t>’</w:t>
      </w:r>
      <w:r w:rsidRPr="00086F85">
        <w:rPr>
          <w:lang w:val="fr-FR"/>
        </w:rPr>
        <w:t>auteure produit un rapport des services sociaux daté du</w:t>
      </w:r>
      <w:r>
        <w:rPr>
          <w:lang w:val="fr-FR"/>
        </w:rPr>
        <w:t xml:space="preserve"> </w:t>
      </w:r>
      <w:r w:rsidRPr="00086F85">
        <w:rPr>
          <w:lang w:val="fr-FR"/>
        </w:rPr>
        <w:t>22</w:t>
      </w:r>
      <w:r>
        <w:rPr>
          <w:lang w:val="fr-FR"/>
        </w:rPr>
        <w:t> juin</w:t>
      </w:r>
      <w:r w:rsidRPr="00086F85">
        <w:rPr>
          <w:lang w:val="fr-FR"/>
        </w:rPr>
        <w:t xml:space="preserve"> 2018</w:t>
      </w:r>
      <w:r>
        <w:rPr>
          <w:lang w:val="fr-FR"/>
        </w:rPr>
        <w:t xml:space="preserve">, dont il ressort que ses </w:t>
      </w:r>
      <w:r w:rsidRPr="00F27E76">
        <w:t>revenus</w:t>
      </w:r>
      <w:r w:rsidRPr="00086F85">
        <w:rPr>
          <w:lang w:val="fr-FR"/>
        </w:rPr>
        <w:t xml:space="preserve"> mensu</w:t>
      </w:r>
      <w:r>
        <w:rPr>
          <w:lang w:val="fr-FR"/>
        </w:rPr>
        <w:t>e</w:t>
      </w:r>
      <w:r w:rsidRPr="00086F85">
        <w:rPr>
          <w:lang w:val="fr-FR"/>
        </w:rPr>
        <w:t>ls</w:t>
      </w:r>
      <w:r>
        <w:rPr>
          <w:lang w:val="fr-FR"/>
        </w:rPr>
        <w:t xml:space="preserve"> consistent en une allocation de chômage</w:t>
      </w:r>
      <w:r w:rsidRPr="00086F85">
        <w:rPr>
          <w:lang w:val="fr-FR"/>
        </w:rPr>
        <w:t xml:space="preserve"> d</w:t>
      </w:r>
      <w:r w:rsidR="00EF491F">
        <w:rPr>
          <w:lang w:val="fr-FR"/>
        </w:rPr>
        <w:t>’</w:t>
      </w:r>
      <w:r>
        <w:rPr>
          <w:lang w:val="fr-FR"/>
        </w:rPr>
        <w:t>un montant d</w:t>
      </w:r>
      <w:r w:rsidRPr="00086F85">
        <w:rPr>
          <w:lang w:val="fr-FR"/>
        </w:rPr>
        <w:t>e 430</w:t>
      </w:r>
      <w:r>
        <w:rPr>
          <w:lang w:val="fr-FR"/>
        </w:rPr>
        <w:t> euros</w:t>
      </w:r>
      <w:r w:rsidRPr="00086F85">
        <w:rPr>
          <w:lang w:val="fr-FR"/>
        </w:rPr>
        <w:t>.</w:t>
      </w:r>
    </w:p>
  </w:footnote>
  <w:footnote w:id="9">
    <w:p w14:paraId="7D398C65" w14:textId="52884707" w:rsidR="003579EB" w:rsidRPr="0048641B" w:rsidRDefault="003579EB" w:rsidP="003579EB">
      <w:pPr>
        <w:pStyle w:val="Notedebasdepage"/>
        <w:rPr>
          <w:lang w:val="fr-FR"/>
        </w:rPr>
      </w:pPr>
      <w:r w:rsidRPr="00086F85">
        <w:rPr>
          <w:lang w:val="fr-FR"/>
        </w:rPr>
        <w:tab/>
      </w:r>
      <w:r w:rsidRPr="00CC043C">
        <w:rPr>
          <w:rStyle w:val="Appelnotedebasdep"/>
        </w:rPr>
        <w:footnoteRef/>
      </w:r>
      <w:r w:rsidRPr="0048641B">
        <w:rPr>
          <w:lang w:val="fr-FR"/>
        </w:rPr>
        <w:tab/>
        <w:t>Cour de justice de l</w:t>
      </w:r>
      <w:r w:rsidR="00EF491F">
        <w:rPr>
          <w:lang w:val="fr-FR"/>
        </w:rPr>
        <w:t>’</w:t>
      </w:r>
      <w:r w:rsidRPr="0048641B">
        <w:rPr>
          <w:lang w:val="fr-FR"/>
        </w:rPr>
        <w:t>Union européenne</w:t>
      </w:r>
      <w:r>
        <w:rPr>
          <w:lang w:val="fr-FR"/>
        </w:rPr>
        <w:t xml:space="preserve">, </w:t>
      </w:r>
      <w:r w:rsidRPr="0048641B">
        <w:rPr>
          <w:i/>
          <w:iCs/>
          <w:lang w:val="fr-FR"/>
        </w:rPr>
        <w:t xml:space="preserve">Sánchez Morcillo </w:t>
      </w:r>
      <w:r>
        <w:rPr>
          <w:i/>
          <w:iCs/>
          <w:lang w:val="fr-FR"/>
        </w:rPr>
        <w:t>et</w:t>
      </w:r>
      <w:r w:rsidRPr="0048641B">
        <w:rPr>
          <w:i/>
          <w:iCs/>
          <w:lang w:val="fr-FR"/>
        </w:rPr>
        <w:t xml:space="preserve"> Abril García c</w:t>
      </w:r>
      <w:r>
        <w:rPr>
          <w:i/>
          <w:iCs/>
          <w:lang w:val="fr-FR"/>
        </w:rPr>
        <w:t>. </w:t>
      </w:r>
      <w:r w:rsidRPr="0048641B">
        <w:rPr>
          <w:i/>
          <w:iCs/>
          <w:lang w:val="fr-FR"/>
        </w:rPr>
        <w:t>Banco Bilbao Vizcaya Argentaria</w:t>
      </w:r>
      <w:r w:rsidRPr="0048641B">
        <w:rPr>
          <w:lang w:val="fr-FR"/>
        </w:rPr>
        <w:t xml:space="preserve">, </w:t>
      </w:r>
      <w:r>
        <w:rPr>
          <w:lang w:val="fr-FR"/>
        </w:rPr>
        <w:t>arrêt </w:t>
      </w:r>
      <w:r w:rsidRPr="0048641B">
        <w:rPr>
          <w:lang w:val="fr-FR"/>
        </w:rPr>
        <w:t xml:space="preserve">C-539/14 </w:t>
      </w:r>
      <w:r>
        <w:rPr>
          <w:lang w:val="fr-FR"/>
        </w:rPr>
        <w:t xml:space="preserve">en date </w:t>
      </w:r>
      <w:r w:rsidRPr="0048641B">
        <w:rPr>
          <w:lang w:val="fr-FR"/>
        </w:rPr>
        <w:t>du 16</w:t>
      </w:r>
      <w:r>
        <w:rPr>
          <w:lang w:val="fr-FR"/>
        </w:rPr>
        <w:t> </w:t>
      </w:r>
      <w:r w:rsidRPr="0048641B">
        <w:rPr>
          <w:lang w:val="fr-FR"/>
        </w:rPr>
        <w:t>juill</w:t>
      </w:r>
      <w:r>
        <w:rPr>
          <w:lang w:val="fr-FR"/>
        </w:rPr>
        <w:t>et</w:t>
      </w:r>
      <w:r w:rsidRPr="0048641B">
        <w:rPr>
          <w:lang w:val="fr-FR"/>
        </w:rPr>
        <w:t xml:space="preserve"> 2015, p</w:t>
      </w:r>
      <w:r>
        <w:rPr>
          <w:lang w:val="fr-FR"/>
        </w:rPr>
        <w:t>a</w:t>
      </w:r>
      <w:r w:rsidRPr="0048641B">
        <w:rPr>
          <w:lang w:val="fr-FR"/>
        </w:rPr>
        <w:t>r.</w:t>
      </w:r>
      <w:r>
        <w:rPr>
          <w:lang w:val="fr-FR"/>
        </w:rPr>
        <w:t> </w:t>
      </w:r>
      <w:r w:rsidRPr="0048641B">
        <w:rPr>
          <w:lang w:val="fr-FR"/>
        </w:rPr>
        <w:t>49.</w:t>
      </w:r>
    </w:p>
  </w:footnote>
  <w:footnote w:id="10">
    <w:p w14:paraId="23CBF05C" w14:textId="77777777" w:rsidR="003579EB" w:rsidRPr="0048641B" w:rsidRDefault="003579EB" w:rsidP="003579EB">
      <w:pPr>
        <w:pStyle w:val="Notedebasdepage"/>
        <w:rPr>
          <w:lang w:val="fr-FR"/>
        </w:rPr>
      </w:pPr>
      <w:r w:rsidRPr="0048641B">
        <w:rPr>
          <w:lang w:val="fr-FR"/>
        </w:rPr>
        <w:tab/>
      </w:r>
      <w:r w:rsidRPr="00CC043C">
        <w:rPr>
          <w:rStyle w:val="Appelnotedebasdep"/>
        </w:rPr>
        <w:footnoteRef/>
      </w:r>
      <w:r w:rsidRPr="0048641B">
        <w:rPr>
          <w:lang w:val="fr-FR"/>
        </w:rPr>
        <w:tab/>
        <w:t>Cour constitutionne</w:t>
      </w:r>
      <w:r>
        <w:rPr>
          <w:lang w:val="fr-FR"/>
        </w:rPr>
        <w:t>lle, a</w:t>
      </w:r>
      <w:r w:rsidRPr="0048641B">
        <w:rPr>
          <w:lang w:val="fr-FR"/>
        </w:rPr>
        <w:t>rrêts n</w:t>
      </w:r>
      <w:r w:rsidRPr="0048641B">
        <w:rPr>
          <w:vertAlign w:val="superscript"/>
          <w:lang w:val="fr-FR"/>
        </w:rPr>
        <w:t>os</w:t>
      </w:r>
      <w:r>
        <w:rPr>
          <w:lang w:val="fr-FR"/>
        </w:rPr>
        <w:t> </w:t>
      </w:r>
      <w:r w:rsidRPr="0048641B">
        <w:rPr>
          <w:lang w:val="fr-FR"/>
        </w:rPr>
        <w:t>152/1988, 7/2010 et 33/2019.</w:t>
      </w:r>
    </w:p>
  </w:footnote>
  <w:footnote w:id="11">
    <w:p w14:paraId="61D0C207" w14:textId="77777777" w:rsidR="003579EB" w:rsidRPr="004E17E0" w:rsidRDefault="003579EB" w:rsidP="003579EB">
      <w:pPr>
        <w:pStyle w:val="Notedebasdepage"/>
        <w:rPr>
          <w:lang w:val="fr-FR"/>
        </w:rPr>
      </w:pPr>
      <w:r w:rsidRPr="0048641B">
        <w:rPr>
          <w:lang w:val="fr-FR"/>
        </w:rPr>
        <w:tab/>
      </w:r>
      <w:r w:rsidRPr="00CC043C">
        <w:rPr>
          <w:rStyle w:val="Appelnotedebasdep"/>
        </w:rPr>
        <w:footnoteRef/>
      </w:r>
      <w:r w:rsidRPr="004E17E0">
        <w:rPr>
          <w:lang w:val="fr-FR"/>
        </w:rPr>
        <w:tab/>
      </w:r>
      <w:r w:rsidRPr="004E17E0">
        <w:rPr>
          <w:i/>
          <w:iCs/>
          <w:lang w:val="fr-FR"/>
        </w:rPr>
        <w:t xml:space="preserve">Taghzouti Ezqouihel </w:t>
      </w:r>
      <w:r w:rsidRPr="00BD54EE">
        <w:rPr>
          <w:i/>
          <w:lang w:val="fr-FR"/>
        </w:rPr>
        <w:t>c.</w:t>
      </w:r>
      <w:r>
        <w:rPr>
          <w:i/>
          <w:iCs/>
          <w:lang w:val="fr-FR"/>
        </w:rPr>
        <w:t> </w:t>
      </w:r>
      <w:r w:rsidRPr="004E17E0">
        <w:rPr>
          <w:i/>
          <w:iCs/>
          <w:lang w:val="fr-FR"/>
        </w:rPr>
        <w:t>Espagne</w:t>
      </w:r>
      <w:r w:rsidRPr="004E17E0">
        <w:rPr>
          <w:lang w:val="fr-FR"/>
        </w:rPr>
        <w:t xml:space="preserve"> (E/C.12/69/D/56/2018), p</w:t>
      </w:r>
      <w:r>
        <w:rPr>
          <w:lang w:val="fr-FR"/>
        </w:rPr>
        <w:t>a</w:t>
      </w:r>
      <w:r w:rsidRPr="004E17E0">
        <w:rPr>
          <w:lang w:val="fr-FR"/>
        </w:rPr>
        <w:t>r.</w:t>
      </w:r>
      <w:r>
        <w:rPr>
          <w:lang w:val="fr-FR"/>
        </w:rPr>
        <w:t> </w:t>
      </w:r>
      <w:r w:rsidRPr="004E17E0">
        <w:rPr>
          <w:lang w:val="fr-FR"/>
        </w:rPr>
        <w:t>6.4.</w:t>
      </w:r>
    </w:p>
  </w:footnote>
  <w:footnote w:id="12">
    <w:p w14:paraId="20B060C2" w14:textId="77777777" w:rsidR="003579EB" w:rsidRPr="00A04537" w:rsidRDefault="003579EB" w:rsidP="003579EB">
      <w:pPr>
        <w:pStyle w:val="Notedebasdepage"/>
      </w:pPr>
      <w:r w:rsidRPr="004E17E0">
        <w:rPr>
          <w:lang w:val="fr-FR"/>
        </w:rPr>
        <w:tab/>
      </w:r>
      <w:r w:rsidRPr="00CC043C">
        <w:rPr>
          <w:rStyle w:val="Appelnotedebasdep"/>
        </w:rPr>
        <w:footnoteRef/>
      </w:r>
      <w:r w:rsidRPr="00A04537">
        <w:tab/>
        <w:t>Ibid.</w:t>
      </w:r>
      <w:r>
        <w:t>,</w:t>
      </w:r>
      <w:r w:rsidRPr="00A04537">
        <w:t xml:space="preserve"> par.</w:t>
      </w:r>
      <w:r>
        <w:t> </w:t>
      </w:r>
      <w:r w:rsidRPr="00A04537">
        <w:t>6.3.</w:t>
      </w:r>
    </w:p>
  </w:footnote>
  <w:footnote w:id="13">
    <w:p w14:paraId="297CC0A1" w14:textId="77777777" w:rsidR="003579EB" w:rsidRPr="004E17E0" w:rsidRDefault="003579EB" w:rsidP="003579EB">
      <w:pPr>
        <w:pStyle w:val="Notedebasdepage"/>
        <w:rPr>
          <w:lang w:val="fr-FR"/>
        </w:rPr>
      </w:pPr>
      <w:r w:rsidRPr="00A04537">
        <w:tab/>
      </w:r>
      <w:r w:rsidRPr="00CC043C">
        <w:rPr>
          <w:rStyle w:val="Appelnotedebasdep"/>
        </w:rPr>
        <w:footnoteRef/>
      </w:r>
      <w:r w:rsidRPr="004E17E0">
        <w:rPr>
          <w:lang w:val="fr-FR"/>
        </w:rPr>
        <w:tab/>
      </w:r>
      <w:r w:rsidRPr="004E17E0">
        <w:rPr>
          <w:i/>
          <w:iCs/>
          <w:lang w:val="fr-FR"/>
        </w:rPr>
        <w:t>A.</w:t>
      </w:r>
      <w:r>
        <w:rPr>
          <w:i/>
          <w:iCs/>
          <w:lang w:val="fr-FR"/>
        </w:rPr>
        <w:t> </w:t>
      </w:r>
      <w:r w:rsidRPr="004E17E0">
        <w:rPr>
          <w:i/>
          <w:iCs/>
          <w:lang w:val="fr-FR"/>
        </w:rPr>
        <w:t>M.</w:t>
      </w:r>
      <w:r>
        <w:rPr>
          <w:i/>
          <w:iCs/>
          <w:lang w:val="fr-FR"/>
        </w:rPr>
        <w:t> </w:t>
      </w:r>
      <w:r w:rsidRPr="004E17E0">
        <w:rPr>
          <w:i/>
          <w:iCs/>
          <w:lang w:val="fr-FR"/>
        </w:rPr>
        <w:t>O. et J.</w:t>
      </w:r>
      <w:r>
        <w:rPr>
          <w:i/>
          <w:iCs/>
          <w:lang w:val="fr-FR"/>
        </w:rPr>
        <w:t> </w:t>
      </w:r>
      <w:r w:rsidRPr="004E17E0">
        <w:rPr>
          <w:i/>
          <w:iCs/>
          <w:lang w:val="fr-FR"/>
        </w:rPr>
        <w:t>M.</w:t>
      </w:r>
      <w:r>
        <w:rPr>
          <w:i/>
          <w:iCs/>
          <w:lang w:val="fr-FR"/>
        </w:rPr>
        <w:t> </w:t>
      </w:r>
      <w:r w:rsidRPr="004E17E0">
        <w:rPr>
          <w:i/>
          <w:iCs/>
          <w:lang w:val="fr-FR"/>
        </w:rPr>
        <w:t xml:space="preserve">U. </w:t>
      </w:r>
      <w:r w:rsidRPr="00BD54EE">
        <w:rPr>
          <w:i/>
          <w:lang w:val="fr-FR"/>
        </w:rPr>
        <w:t>c.</w:t>
      </w:r>
      <w:r>
        <w:rPr>
          <w:i/>
          <w:iCs/>
          <w:lang w:val="fr-FR"/>
        </w:rPr>
        <w:t> </w:t>
      </w:r>
      <w:r w:rsidRPr="004E17E0">
        <w:rPr>
          <w:i/>
          <w:iCs/>
          <w:lang w:val="fr-FR"/>
        </w:rPr>
        <w:t>Espagne</w:t>
      </w:r>
      <w:r w:rsidRPr="004E17E0">
        <w:rPr>
          <w:lang w:val="fr-FR"/>
        </w:rPr>
        <w:t xml:space="preserve"> (E/C.12/68/D/45/2018), par.</w:t>
      </w:r>
      <w:r>
        <w:rPr>
          <w:lang w:val="fr-FR"/>
        </w:rPr>
        <w:t> </w:t>
      </w:r>
      <w:r w:rsidRPr="004E17E0">
        <w:rPr>
          <w:lang w:val="fr-FR"/>
        </w:rPr>
        <w:t>10.3</w:t>
      </w:r>
      <w:r>
        <w:rPr>
          <w:lang w:val="fr-FR"/>
        </w:rPr>
        <w:t> ;</w:t>
      </w:r>
      <w:r w:rsidRPr="004E17E0">
        <w:rPr>
          <w:lang w:val="fr-FR"/>
        </w:rPr>
        <w:t xml:space="preserve"> </w:t>
      </w:r>
      <w:r w:rsidRPr="004E17E0">
        <w:rPr>
          <w:i/>
          <w:lang w:val="fr-FR"/>
        </w:rPr>
        <w:t xml:space="preserve">Arellano Medina </w:t>
      </w:r>
      <w:r w:rsidRPr="00BD54EE">
        <w:rPr>
          <w:i/>
          <w:lang w:val="fr-FR"/>
        </w:rPr>
        <w:t>c.</w:t>
      </w:r>
      <w:r>
        <w:rPr>
          <w:i/>
          <w:lang w:val="fr-FR"/>
        </w:rPr>
        <w:t> É</w:t>
      </w:r>
      <w:r w:rsidRPr="004E17E0">
        <w:rPr>
          <w:i/>
          <w:lang w:val="fr-FR"/>
        </w:rPr>
        <w:t>quateur</w:t>
      </w:r>
      <w:r w:rsidRPr="004E17E0">
        <w:rPr>
          <w:lang w:val="fr-FR"/>
        </w:rPr>
        <w:t xml:space="preserve"> </w:t>
      </w:r>
      <w:r w:rsidRPr="004E17E0">
        <w:rPr>
          <w:spacing w:val="-4"/>
          <w:lang w:val="fr-FR"/>
        </w:rPr>
        <w:t>(E/C.12/63/D/7/2015), par.</w:t>
      </w:r>
      <w:r>
        <w:rPr>
          <w:spacing w:val="-4"/>
          <w:lang w:val="fr-FR"/>
        </w:rPr>
        <w:t> </w:t>
      </w:r>
      <w:r w:rsidRPr="004E17E0">
        <w:rPr>
          <w:spacing w:val="-4"/>
          <w:lang w:val="fr-FR"/>
        </w:rPr>
        <w:t>8.10</w:t>
      </w:r>
      <w:r>
        <w:rPr>
          <w:spacing w:val="-4"/>
          <w:lang w:val="fr-FR"/>
        </w:rPr>
        <w:t> ;</w:t>
      </w:r>
      <w:r w:rsidRPr="004E17E0">
        <w:rPr>
          <w:spacing w:val="-4"/>
          <w:lang w:val="fr-FR"/>
        </w:rPr>
        <w:t xml:space="preserve"> et </w:t>
      </w:r>
      <w:r w:rsidRPr="004E17E0">
        <w:rPr>
          <w:i/>
          <w:spacing w:val="-4"/>
          <w:lang w:val="fr-FR"/>
        </w:rPr>
        <w:t xml:space="preserve">Martínez Fernández </w:t>
      </w:r>
      <w:r w:rsidRPr="00BD54EE">
        <w:rPr>
          <w:i/>
          <w:spacing w:val="-4"/>
          <w:lang w:val="fr-FR"/>
        </w:rPr>
        <w:t>c.</w:t>
      </w:r>
      <w:r>
        <w:rPr>
          <w:i/>
          <w:spacing w:val="-4"/>
          <w:lang w:val="fr-FR"/>
        </w:rPr>
        <w:t> </w:t>
      </w:r>
      <w:r w:rsidRPr="004E17E0">
        <w:rPr>
          <w:i/>
          <w:spacing w:val="-4"/>
          <w:lang w:val="fr-FR"/>
        </w:rPr>
        <w:t>Espagne</w:t>
      </w:r>
      <w:r w:rsidRPr="004E17E0">
        <w:rPr>
          <w:spacing w:val="-4"/>
          <w:lang w:val="fr-FR"/>
        </w:rPr>
        <w:t xml:space="preserve"> (E/C.12/64/D/19/2016), par.</w:t>
      </w:r>
      <w:r>
        <w:rPr>
          <w:spacing w:val="-4"/>
          <w:lang w:val="fr-FR"/>
        </w:rPr>
        <w:t> </w:t>
      </w:r>
      <w:r w:rsidRPr="004E17E0">
        <w:rPr>
          <w:spacing w:val="-4"/>
          <w:lang w:val="fr-FR"/>
        </w:rPr>
        <w:t>6.4 et 6.5.</w:t>
      </w:r>
    </w:p>
  </w:footnote>
  <w:footnote w:id="14">
    <w:p w14:paraId="31F6A546" w14:textId="0485981C" w:rsidR="003579EB" w:rsidRPr="004E17E0" w:rsidRDefault="003579EB" w:rsidP="003579EB">
      <w:pPr>
        <w:pStyle w:val="Notedebasdepage"/>
        <w:rPr>
          <w:lang w:val="fr-FR"/>
        </w:rPr>
      </w:pPr>
      <w:r w:rsidRPr="004E17E0">
        <w:rPr>
          <w:lang w:val="fr-FR"/>
        </w:rPr>
        <w:tab/>
      </w:r>
      <w:r w:rsidRPr="00CC043C">
        <w:rPr>
          <w:rStyle w:val="Appelnotedebasdep"/>
        </w:rPr>
        <w:footnoteRef/>
      </w:r>
      <w:r w:rsidRPr="004E17E0">
        <w:rPr>
          <w:lang w:val="fr-FR"/>
        </w:rPr>
        <w:tab/>
      </w:r>
      <w:r w:rsidRPr="004E17E0">
        <w:rPr>
          <w:i/>
          <w:iCs/>
          <w:lang w:val="fr-FR"/>
        </w:rPr>
        <w:t>S.</w:t>
      </w:r>
      <w:r>
        <w:rPr>
          <w:i/>
          <w:iCs/>
          <w:lang w:val="fr-FR"/>
        </w:rPr>
        <w:t> </w:t>
      </w:r>
      <w:r w:rsidRPr="004E17E0">
        <w:rPr>
          <w:i/>
          <w:iCs/>
          <w:lang w:val="fr-FR"/>
        </w:rPr>
        <w:t>C. et G.</w:t>
      </w:r>
      <w:r>
        <w:rPr>
          <w:i/>
          <w:iCs/>
          <w:lang w:val="fr-FR"/>
        </w:rPr>
        <w:t> </w:t>
      </w:r>
      <w:r w:rsidRPr="004E17E0">
        <w:rPr>
          <w:i/>
          <w:iCs/>
          <w:lang w:val="fr-FR"/>
        </w:rPr>
        <w:t xml:space="preserve">P. </w:t>
      </w:r>
      <w:r w:rsidRPr="00BD54EE">
        <w:rPr>
          <w:i/>
          <w:lang w:val="fr-FR"/>
        </w:rPr>
        <w:t>c.</w:t>
      </w:r>
      <w:r>
        <w:rPr>
          <w:i/>
          <w:lang w:val="fr-FR"/>
        </w:rPr>
        <w:t> </w:t>
      </w:r>
      <w:r w:rsidRPr="004E17E0">
        <w:rPr>
          <w:i/>
          <w:iCs/>
          <w:lang w:val="fr-FR"/>
        </w:rPr>
        <w:t>Italie</w:t>
      </w:r>
      <w:r w:rsidRPr="004E17E0">
        <w:rPr>
          <w:lang w:val="fr-FR"/>
        </w:rPr>
        <w:t xml:space="preserve"> (E/C.12/65/D/22/2017), par.</w:t>
      </w:r>
      <w:r>
        <w:rPr>
          <w:lang w:val="fr-FR"/>
        </w:rPr>
        <w:t> </w:t>
      </w:r>
      <w:r w:rsidRPr="004E17E0">
        <w:rPr>
          <w:lang w:val="fr-FR"/>
        </w:rPr>
        <w:t>6.15</w:t>
      </w:r>
      <w:r>
        <w:rPr>
          <w:lang w:val="fr-FR"/>
        </w:rPr>
        <w:t xml:space="preserve">, </w:t>
      </w:r>
      <w:r w:rsidRPr="004E17E0">
        <w:rPr>
          <w:lang w:val="fr-FR"/>
        </w:rPr>
        <w:t xml:space="preserve">et </w:t>
      </w:r>
      <w:r w:rsidRPr="004E17E0">
        <w:rPr>
          <w:i/>
          <w:iCs/>
          <w:lang w:val="fr-FR"/>
        </w:rPr>
        <w:t>S</w:t>
      </w:r>
      <w:r>
        <w:rPr>
          <w:i/>
          <w:iCs/>
          <w:lang w:val="fr-FR"/>
        </w:rPr>
        <w:t xml:space="preserve">. </w:t>
      </w:r>
      <w:r w:rsidRPr="004E17E0">
        <w:rPr>
          <w:i/>
          <w:iCs/>
          <w:lang w:val="fr-FR"/>
        </w:rPr>
        <w:t>S</w:t>
      </w:r>
      <w:r>
        <w:rPr>
          <w:i/>
          <w:iCs/>
          <w:lang w:val="fr-FR"/>
        </w:rPr>
        <w:t xml:space="preserve">. </w:t>
      </w:r>
      <w:r w:rsidRPr="004E17E0">
        <w:rPr>
          <w:i/>
          <w:iCs/>
          <w:lang w:val="fr-FR"/>
        </w:rPr>
        <w:t>R</w:t>
      </w:r>
      <w:r>
        <w:rPr>
          <w:i/>
          <w:iCs/>
          <w:lang w:val="fr-FR"/>
        </w:rPr>
        <w:t>.</w:t>
      </w:r>
      <w:r w:rsidRPr="00BD54EE">
        <w:rPr>
          <w:i/>
          <w:lang w:val="fr-FR"/>
        </w:rPr>
        <w:t xml:space="preserve"> c.</w:t>
      </w:r>
      <w:r>
        <w:rPr>
          <w:i/>
          <w:lang w:val="fr-FR"/>
        </w:rPr>
        <w:t> </w:t>
      </w:r>
      <w:r w:rsidRPr="004E17E0">
        <w:rPr>
          <w:i/>
          <w:iCs/>
          <w:lang w:val="fr-FR"/>
        </w:rPr>
        <w:t>Espagne</w:t>
      </w:r>
      <w:r w:rsidRPr="004E17E0">
        <w:rPr>
          <w:lang w:val="fr-FR"/>
        </w:rPr>
        <w:t xml:space="preserve"> (E/C.12/66/D/51/2018), p</w:t>
      </w:r>
      <w:r>
        <w:rPr>
          <w:lang w:val="fr-FR"/>
        </w:rPr>
        <w:t>a</w:t>
      </w:r>
      <w:r w:rsidRPr="004E17E0">
        <w:rPr>
          <w:lang w:val="fr-FR"/>
        </w:rPr>
        <w:t>r.</w:t>
      </w:r>
      <w:r>
        <w:rPr>
          <w:lang w:val="fr-FR"/>
        </w:rPr>
        <w:t> </w:t>
      </w:r>
      <w:r w:rsidRPr="004E17E0">
        <w:rPr>
          <w:lang w:val="fr-FR"/>
        </w:rPr>
        <w:t>6.4.</w:t>
      </w:r>
    </w:p>
  </w:footnote>
  <w:footnote w:id="15">
    <w:p w14:paraId="5E2F3E87" w14:textId="63BDD6F9" w:rsidR="003579EB" w:rsidRPr="00AF270D" w:rsidRDefault="003579EB" w:rsidP="003579EB">
      <w:pPr>
        <w:pStyle w:val="Notedebasdepage"/>
      </w:pPr>
      <w:r w:rsidRPr="00980188">
        <w:rPr>
          <w:lang w:val="fr-FR"/>
        </w:rPr>
        <w:tab/>
      </w:r>
      <w:r w:rsidRPr="00980188">
        <w:rPr>
          <w:rStyle w:val="Appelnotedebasdep"/>
        </w:rPr>
        <w:footnoteRef/>
      </w:r>
      <w:r w:rsidRPr="00980188">
        <w:rPr>
          <w:lang w:val="fr-FR"/>
        </w:rPr>
        <w:tab/>
      </w:r>
      <w:r w:rsidR="00FA4D2A" w:rsidRPr="00BF1B44">
        <w:rPr>
          <w:i/>
          <w:iCs/>
          <w:lang w:val="fr-FR"/>
        </w:rPr>
        <w:t>S</w:t>
      </w:r>
      <w:r w:rsidR="00FA4D2A">
        <w:rPr>
          <w:i/>
          <w:iCs/>
          <w:lang w:val="fr-FR"/>
        </w:rPr>
        <w:t xml:space="preserve">. </w:t>
      </w:r>
      <w:r w:rsidR="00FA4D2A" w:rsidRPr="00BF1B44">
        <w:rPr>
          <w:i/>
          <w:iCs/>
          <w:lang w:val="fr-FR"/>
        </w:rPr>
        <w:t>S</w:t>
      </w:r>
      <w:r w:rsidR="00FA4D2A">
        <w:rPr>
          <w:i/>
          <w:iCs/>
          <w:lang w:val="fr-FR"/>
        </w:rPr>
        <w:t xml:space="preserve">. </w:t>
      </w:r>
      <w:r w:rsidR="00FA4D2A" w:rsidRPr="00FA4D2A">
        <w:rPr>
          <w:i/>
          <w:iCs/>
          <w:lang w:val="fr-FR"/>
        </w:rPr>
        <w:t>R. c. Espagne</w:t>
      </w:r>
      <w:r w:rsidRPr="00FA4D2A">
        <w:rPr>
          <w:lang w:val="fr-FR"/>
        </w:rPr>
        <w:t>,</w:t>
      </w:r>
      <w:r w:rsidRPr="00980188">
        <w:rPr>
          <w:lang w:val="fr-FR"/>
        </w:rPr>
        <w:t xml:space="preserve"> par. 7.6</w:t>
      </w:r>
      <w:r w:rsidR="003B37B5">
        <w:rPr>
          <w:lang w:val="fr-FR"/>
        </w:rPr>
        <w:t> </w:t>
      </w:r>
      <w:r>
        <w:rPr>
          <w:lang w:val="fr-FR"/>
        </w:rPr>
        <w:t xml:space="preserve">; </w:t>
      </w:r>
      <w:r w:rsidRPr="00980188">
        <w:rPr>
          <w:lang w:val="fr-FR"/>
        </w:rPr>
        <w:t>Comité contre la torture,</w:t>
      </w:r>
      <w:r w:rsidRPr="00980188">
        <w:rPr>
          <w:i/>
          <w:iCs/>
          <w:lang w:val="fr-FR"/>
        </w:rPr>
        <w:t xml:space="preserve"> Thirugnanasampanthar</w:t>
      </w:r>
      <w:r w:rsidRPr="00BF1B44">
        <w:rPr>
          <w:i/>
          <w:iCs/>
          <w:lang w:val="fr-FR"/>
        </w:rPr>
        <w:t xml:space="preserve"> c.</w:t>
      </w:r>
      <w:r>
        <w:rPr>
          <w:i/>
          <w:iCs/>
          <w:lang w:val="fr-FR"/>
        </w:rPr>
        <w:t> </w:t>
      </w:r>
      <w:r w:rsidRPr="00BF1B44">
        <w:rPr>
          <w:i/>
          <w:iCs/>
          <w:lang w:val="fr-FR"/>
        </w:rPr>
        <w:t>Australie</w:t>
      </w:r>
      <w:r>
        <w:rPr>
          <w:lang w:val="fr-FR"/>
        </w:rPr>
        <w:t xml:space="preserve"> (CAT/C/61/D/614/2014), par. 6.1.</w:t>
      </w:r>
    </w:p>
  </w:footnote>
  <w:footnote w:id="16">
    <w:p w14:paraId="557EA18D" w14:textId="6925BE29" w:rsidR="003579EB" w:rsidRPr="00187A6D" w:rsidRDefault="003579EB" w:rsidP="003579EB">
      <w:pPr>
        <w:pStyle w:val="Notedebasdepage"/>
      </w:pPr>
      <w:r w:rsidRPr="00AF270D">
        <w:rPr>
          <w:lang w:val="fr-FR"/>
        </w:rPr>
        <w:tab/>
      </w:r>
      <w:r w:rsidRPr="00CC043C">
        <w:rPr>
          <w:rStyle w:val="Appelnotedebasdep"/>
        </w:rPr>
        <w:footnoteRef/>
      </w:r>
      <w:r>
        <w:rPr>
          <w:lang w:val="fr-FR"/>
        </w:rPr>
        <w:tab/>
      </w:r>
      <w:r w:rsidRPr="00BF1B44">
        <w:rPr>
          <w:i/>
          <w:iCs/>
          <w:lang w:val="fr-FR"/>
        </w:rPr>
        <w:t>S</w:t>
      </w:r>
      <w:r>
        <w:rPr>
          <w:i/>
          <w:iCs/>
          <w:lang w:val="fr-FR"/>
        </w:rPr>
        <w:t xml:space="preserve">. </w:t>
      </w:r>
      <w:r w:rsidRPr="00BF1B44">
        <w:rPr>
          <w:i/>
          <w:iCs/>
          <w:lang w:val="fr-FR"/>
        </w:rPr>
        <w:t>S</w:t>
      </w:r>
      <w:r>
        <w:rPr>
          <w:i/>
          <w:iCs/>
          <w:lang w:val="fr-FR"/>
        </w:rPr>
        <w:t xml:space="preserve">. </w:t>
      </w:r>
      <w:r w:rsidRPr="00BF1B44">
        <w:rPr>
          <w:i/>
          <w:iCs/>
          <w:lang w:val="fr-FR"/>
        </w:rPr>
        <w:t>R</w:t>
      </w:r>
      <w:r>
        <w:rPr>
          <w:i/>
          <w:iCs/>
          <w:lang w:val="fr-FR"/>
        </w:rPr>
        <w:t>.</w:t>
      </w:r>
      <w:r w:rsidRPr="00BF1B44">
        <w:rPr>
          <w:i/>
          <w:iCs/>
          <w:lang w:val="fr-FR"/>
        </w:rPr>
        <w:t xml:space="preserve"> c.</w:t>
      </w:r>
      <w:r>
        <w:rPr>
          <w:i/>
          <w:iCs/>
          <w:lang w:val="fr-FR"/>
        </w:rPr>
        <w:t> </w:t>
      </w:r>
      <w:r w:rsidRPr="00BF1B44">
        <w:rPr>
          <w:i/>
          <w:iCs/>
          <w:lang w:val="fr-FR"/>
        </w:rPr>
        <w:t>Espagne</w:t>
      </w:r>
      <w:r>
        <w:rPr>
          <w:lang w:val="fr-FR"/>
        </w:rPr>
        <w:t xml:space="preserve">, par. 7.6, Voir également, </w:t>
      </w:r>
      <w:r w:rsidRPr="00BF1B44">
        <w:rPr>
          <w:i/>
          <w:iCs/>
          <w:lang w:val="fr-FR"/>
        </w:rPr>
        <w:t>mutatis</w:t>
      </w:r>
      <w:r>
        <w:rPr>
          <w:i/>
          <w:iCs/>
          <w:lang w:val="fr-FR"/>
        </w:rPr>
        <w:t> </w:t>
      </w:r>
      <w:r w:rsidRPr="00BF1B44">
        <w:rPr>
          <w:i/>
          <w:iCs/>
          <w:lang w:val="fr-FR"/>
        </w:rPr>
        <w:t>mutandis</w:t>
      </w:r>
      <w:r>
        <w:rPr>
          <w:lang w:val="fr-FR"/>
        </w:rPr>
        <w:t>, Cour européenne des droits de l</w:t>
      </w:r>
      <w:r w:rsidR="00EF491F">
        <w:rPr>
          <w:lang w:val="fr-FR"/>
        </w:rPr>
        <w:t>’</w:t>
      </w:r>
      <w:r>
        <w:rPr>
          <w:lang w:val="fr-FR"/>
        </w:rPr>
        <w:t xml:space="preserve">homme (Grande Chambre), </w:t>
      </w:r>
      <w:r w:rsidRPr="00BF1B44">
        <w:rPr>
          <w:i/>
          <w:iCs/>
          <w:lang w:val="fr-FR"/>
        </w:rPr>
        <w:t>Mamatkulov et Askarov c.</w:t>
      </w:r>
      <w:r>
        <w:rPr>
          <w:i/>
          <w:iCs/>
          <w:lang w:val="fr-FR"/>
        </w:rPr>
        <w:t> </w:t>
      </w:r>
      <w:r w:rsidRPr="00BF1B44">
        <w:rPr>
          <w:i/>
          <w:iCs/>
          <w:lang w:val="fr-FR"/>
        </w:rPr>
        <w:t>Turquie</w:t>
      </w:r>
      <w:r>
        <w:rPr>
          <w:lang w:val="fr-FR"/>
        </w:rPr>
        <w:t xml:space="preserve"> (requêtes n</w:t>
      </w:r>
      <w:r w:rsidRPr="00F27E76">
        <w:rPr>
          <w:vertAlign w:val="superscript"/>
          <w:lang w:val="fr-FR"/>
        </w:rPr>
        <w:t>o</w:t>
      </w:r>
      <w:r>
        <w:rPr>
          <w:lang w:val="fr-FR"/>
        </w:rPr>
        <w:t> 46827/99 et 46951/99), arrêt du 4 février 2005, par. 128 (« les États contractants s</w:t>
      </w:r>
      <w:r w:rsidR="00EF491F">
        <w:rPr>
          <w:lang w:val="fr-FR"/>
        </w:rPr>
        <w:t>’</w:t>
      </w:r>
      <w:r>
        <w:rPr>
          <w:lang w:val="fr-FR"/>
        </w:rPr>
        <w:t>engagent à s</w:t>
      </w:r>
      <w:r w:rsidR="00EF491F">
        <w:rPr>
          <w:lang w:val="fr-FR"/>
        </w:rPr>
        <w:t>’</w:t>
      </w:r>
      <w:r>
        <w:rPr>
          <w:lang w:val="fr-FR"/>
        </w:rPr>
        <w:t>abstenir de tout acte ou à se garder de toute omission qui entraverait l</w:t>
      </w:r>
      <w:r w:rsidR="00EF491F">
        <w:rPr>
          <w:lang w:val="fr-FR"/>
        </w:rPr>
        <w:t>’</w:t>
      </w:r>
      <w:r>
        <w:rPr>
          <w:lang w:val="fr-FR"/>
        </w:rPr>
        <w:t>exercice effectif du droit de recours d</w:t>
      </w:r>
      <w:r w:rsidR="00EF491F">
        <w:rPr>
          <w:lang w:val="fr-FR"/>
        </w:rPr>
        <w:t>’</w:t>
      </w:r>
      <w:r>
        <w:rPr>
          <w:lang w:val="fr-FR"/>
        </w:rPr>
        <w:t>un requérant. L</w:t>
      </w:r>
      <w:r w:rsidR="00EF491F">
        <w:rPr>
          <w:lang w:val="fr-FR"/>
        </w:rPr>
        <w:t>’</w:t>
      </w:r>
      <w:r>
        <w:rPr>
          <w:lang w:val="fr-FR"/>
        </w:rPr>
        <w:t>inobservation de mesures provisoires par un État contractant doit être considérée comme empêchant la Cour d</w:t>
      </w:r>
      <w:r w:rsidR="00EF491F">
        <w:rPr>
          <w:lang w:val="fr-FR"/>
        </w:rPr>
        <w:t>’</w:t>
      </w:r>
      <w:r>
        <w:rPr>
          <w:lang w:val="fr-FR"/>
        </w:rPr>
        <w:t>examiner efficacement le grief du requérant et entravant l</w:t>
      </w:r>
      <w:r w:rsidR="00EF491F">
        <w:rPr>
          <w:lang w:val="fr-FR"/>
        </w:rPr>
        <w:t>’</w:t>
      </w:r>
      <w:r>
        <w:rPr>
          <w:lang w:val="fr-FR"/>
        </w:rPr>
        <w:t>exercice efficace de son droit et, partant, comme une violation de l</w:t>
      </w:r>
      <w:r w:rsidR="00EF491F">
        <w:rPr>
          <w:lang w:val="fr-FR"/>
        </w:rPr>
        <w:t>’</w:t>
      </w:r>
      <w:r>
        <w:rPr>
          <w:lang w:val="fr-FR"/>
        </w:rPr>
        <w:t xml:space="preserve">article 34 ») et Comité contre la torture, </w:t>
      </w:r>
      <w:r>
        <w:rPr>
          <w:i/>
          <w:iCs/>
          <w:lang w:val="fr-FR"/>
        </w:rPr>
        <w:t>Thirugnanasampanthar c. Australie</w:t>
      </w:r>
      <w:r>
        <w:rPr>
          <w:lang w:val="fr-FR"/>
        </w:rPr>
        <w:t>, par. 6.1.</w:t>
      </w:r>
    </w:p>
  </w:footnote>
  <w:footnote w:id="17">
    <w:p w14:paraId="76087643" w14:textId="0746C99F" w:rsidR="003579EB" w:rsidRPr="00E87AB8" w:rsidRDefault="003579EB" w:rsidP="003579EB">
      <w:pPr>
        <w:pStyle w:val="Notedebasdepage"/>
      </w:pPr>
      <w:r w:rsidRPr="00187A6D">
        <w:rPr>
          <w:lang w:val="fr-FR"/>
        </w:rPr>
        <w:tab/>
      </w:r>
      <w:r w:rsidRPr="00CC043C">
        <w:rPr>
          <w:rStyle w:val="Appelnotedebasdep"/>
        </w:rPr>
        <w:footnoteRef/>
      </w:r>
      <w:r>
        <w:rPr>
          <w:lang w:val="fr-FR"/>
        </w:rPr>
        <w:tab/>
      </w:r>
      <w:r w:rsidRPr="00BF1B44">
        <w:rPr>
          <w:i/>
          <w:iCs/>
          <w:lang w:val="fr-FR"/>
        </w:rPr>
        <w:t>S</w:t>
      </w:r>
      <w:r>
        <w:rPr>
          <w:i/>
          <w:iCs/>
          <w:lang w:val="fr-FR"/>
        </w:rPr>
        <w:t xml:space="preserve">. </w:t>
      </w:r>
      <w:r w:rsidRPr="00BF1B44">
        <w:rPr>
          <w:i/>
          <w:iCs/>
          <w:lang w:val="fr-FR"/>
        </w:rPr>
        <w:t>S</w:t>
      </w:r>
      <w:r>
        <w:rPr>
          <w:i/>
          <w:iCs/>
          <w:lang w:val="fr-FR"/>
        </w:rPr>
        <w:t xml:space="preserve">. </w:t>
      </w:r>
      <w:r w:rsidRPr="00BF1B44">
        <w:rPr>
          <w:i/>
          <w:iCs/>
          <w:lang w:val="fr-FR"/>
        </w:rPr>
        <w:t>R</w:t>
      </w:r>
      <w:r>
        <w:rPr>
          <w:i/>
          <w:iCs/>
          <w:lang w:val="fr-FR"/>
        </w:rPr>
        <w:t>.</w:t>
      </w:r>
      <w:r w:rsidRPr="00BF1B44">
        <w:rPr>
          <w:i/>
          <w:iCs/>
          <w:lang w:val="fr-FR"/>
        </w:rPr>
        <w:t xml:space="preserve"> c.</w:t>
      </w:r>
      <w:r>
        <w:rPr>
          <w:i/>
          <w:iCs/>
          <w:lang w:val="fr-FR"/>
        </w:rPr>
        <w:t> </w:t>
      </w:r>
      <w:r w:rsidRPr="00BF1B44">
        <w:rPr>
          <w:i/>
          <w:iCs/>
          <w:lang w:val="fr-FR"/>
        </w:rPr>
        <w:t>Espagne</w:t>
      </w:r>
      <w:r>
        <w:rPr>
          <w:lang w:val="fr-FR"/>
        </w:rPr>
        <w:t>, par. 7.7</w:t>
      </w:r>
      <w:r w:rsidR="003B37B5">
        <w:rPr>
          <w:lang w:val="fr-FR"/>
        </w:rPr>
        <w:t> </w:t>
      </w:r>
      <w:r>
        <w:rPr>
          <w:lang w:val="fr-FR"/>
        </w:rPr>
        <w:t>; voir aussi Comité des droits de l</w:t>
      </w:r>
      <w:r w:rsidR="00EF491F">
        <w:rPr>
          <w:lang w:val="fr-FR"/>
        </w:rPr>
        <w:t>’</w:t>
      </w:r>
      <w:r>
        <w:rPr>
          <w:lang w:val="fr-FR"/>
        </w:rPr>
        <w:t>homme, observation générale n</w:t>
      </w:r>
      <w:r w:rsidRPr="00F27E76">
        <w:rPr>
          <w:vertAlign w:val="superscript"/>
          <w:lang w:val="fr-FR"/>
        </w:rPr>
        <w:t>o</w:t>
      </w:r>
      <w:r>
        <w:rPr>
          <w:lang w:val="fr-FR"/>
        </w:rPr>
        <w:t> 33 (2008), par. 19.</w:t>
      </w:r>
    </w:p>
  </w:footnote>
  <w:footnote w:id="18">
    <w:p w14:paraId="3DADD297" w14:textId="04ED0D2A" w:rsidR="003579EB" w:rsidRPr="005977AD" w:rsidRDefault="003579EB" w:rsidP="003579EB">
      <w:pPr>
        <w:pStyle w:val="Notedebasdepage"/>
      </w:pPr>
      <w:r w:rsidRPr="00E87AB8">
        <w:rPr>
          <w:lang w:val="fr-FR"/>
        </w:rPr>
        <w:tab/>
      </w:r>
      <w:r w:rsidRPr="00CC043C">
        <w:rPr>
          <w:rStyle w:val="Appelnotedebasdep"/>
        </w:rPr>
        <w:footnoteRef/>
      </w:r>
      <w:r>
        <w:rPr>
          <w:lang w:val="fr-FR"/>
        </w:rPr>
        <w:tab/>
      </w:r>
      <w:r w:rsidRPr="00BF1B44">
        <w:rPr>
          <w:i/>
          <w:iCs/>
          <w:lang w:val="fr-FR"/>
        </w:rPr>
        <w:t>S</w:t>
      </w:r>
      <w:r>
        <w:rPr>
          <w:i/>
          <w:iCs/>
          <w:lang w:val="fr-FR"/>
        </w:rPr>
        <w:t xml:space="preserve">. </w:t>
      </w:r>
      <w:r w:rsidRPr="00BF1B44">
        <w:rPr>
          <w:i/>
          <w:iCs/>
          <w:lang w:val="fr-FR"/>
        </w:rPr>
        <w:t>S</w:t>
      </w:r>
      <w:r>
        <w:rPr>
          <w:i/>
          <w:iCs/>
          <w:lang w:val="fr-FR"/>
        </w:rPr>
        <w:t xml:space="preserve">. </w:t>
      </w:r>
      <w:r w:rsidRPr="00BF1B44">
        <w:rPr>
          <w:i/>
          <w:iCs/>
          <w:lang w:val="fr-FR"/>
        </w:rPr>
        <w:t>R</w:t>
      </w:r>
      <w:r>
        <w:rPr>
          <w:i/>
          <w:iCs/>
          <w:lang w:val="fr-FR"/>
        </w:rPr>
        <w:t>.</w:t>
      </w:r>
      <w:r w:rsidRPr="00BF1B44">
        <w:rPr>
          <w:i/>
          <w:iCs/>
          <w:lang w:val="fr-FR"/>
        </w:rPr>
        <w:t xml:space="preserve"> c.</w:t>
      </w:r>
      <w:r>
        <w:rPr>
          <w:i/>
          <w:iCs/>
          <w:lang w:val="fr-FR"/>
        </w:rPr>
        <w:t> </w:t>
      </w:r>
      <w:r w:rsidRPr="00BF1B44">
        <w:rPr>
          <w:i/>
          <w:iCs/>
          <w:lang w:val="fr-FR"/>
        </w:rPr>
        <w:t>Espagne</w:t>
      </w:r>
      <w:r>
        <w:rPr>
          <w:lang w:val="fr-FR"/>
        </w:rPr>
        <w:t>, par. 7.8</w:t>
      </w:r>
      <w:r w:rsidR="003B37B5">
        <w:rPr>
          <w:lang w:val="fr-FR"/>
        </w:rPr>
        <w:t> </w:t>
      </w:r>
      <w:r>
        <w:rPr>
          <w:lang w:val="fr-FR"/>
        </w:rPr>
        <w:t xml:space="preserve">; Comité contre la torture, </w:t>
      </w:r>
      <w:r>
        <w:rPr>
          <w:i/>
          <w:iCs/>
          <w:lang w:val="fr-FR"/>
        </w:rPr>
        <w:t>Thirugnanasampanthar c. Australie</w:t>
      </w:r>
      <w:r>
        <w:rPr>
          <w:lang w:val="fr-FR"/>
        </w:rPr>
        <w:t>, par. 6.3.</w:t>
      </w:r>
    </w:p>
  </w:footnote>
  <w:footnote w:id="19">
    <w:p w14:paraId="5074B436" w14:textId="75F750CF" w:rsidR="003579EB" w:rsidRDefault="003579EB" w:rsidP="003579EB">
      <w:pPr>
        <w:pStyle w:val="Notedebasdepage"/>
      </w:pPr>
      <w:r>
        <w:rPr>
          <w:lang w:val="fr-FR"/>
        </w:rPr>
        <w:tab/>
      </w:r>
      <w:r w:rsidRPr="00CC043C">
        <w:rPr>
          <w:rStyle w:val="Appelnotedebasdep"/>
        </w:rPr>
        <w:footnoteRef/>
      </w:r>
      <w:r>
        <w:rPr>
          <w:lang w:val="fr-FR"/>
        </w:rPr>
        <w:tab/>
      </w:r>
      <w:r>
        <w:rPr>
          <w:lang w:val="fr-FR"/>
        </w:rPr>
        <w:tab/>
        <w:t xml:space="preserve">Voir </w:t>
      </w:r>
      <w:r>
        <w:rPr>
          <w:i/>
          <w:iCs/>
          <w:lang w:val="fr-FR"/>
        </w:rPr>
        <w:t>S. S. R. c. Espagne</w:t>
      </w:r>
      <w:r>
        <w:rPr>
          <w:lang w:val="fr-FR"/>
        </w:rPr>
        <w:t>, par. 7.9.</w:t>
      </w:r>
    </w:p>
  </w:footnote>
  <w:footnote w:id="20">
    <w:p w14:paraId="28324ECA" w14:textId="77777777" w:rsidR="003579EB" w:rsidRPr="00BF1B44" w:rsidRDefault="003579EB" w:rsidP="003579EB">
      <w:pPr>
        <w:pStyle w:val="Notedebasdepage"/>
        <w:rPr>
          <w:lang w:val="en-US"/>
        </w:rPr>
      </w:pPr>
      <w:r w:rsidRPr="005534DE">
        <w:tab/>
      </w:r>
      <w:r w:rsidRPr="00CC043C">
        <w:rPr>
          <w:rStyle w:val="Appelnotedebasdep"/>
        </w:rPr>
        <w:footnoteRef/>
      </w:r>
      <w:r w:rsidRPr="00BF1B44">
        <w:rPr>
          <w:lang w:val="en-US"/>
        </w:rPr>
        <w:tab/>
      </w:r>
      <w:r w:rsidRPr="00BF1B44">
        <w:rPr>
          <w:lang w:val="en-US"/>
        </w:rPr>
        <w:tab/>
        <w:t>Ibid.</w:t>
      </w:r>
    </w:p>
  </w:footnote>
  <w:footnote w:id="21">
    <w:p w14:paraId="2D0566B0" w14:textId="77777777" w:rsidR="003579EB" w:rsidRPr="00BF1B44" w:rsidRDefault="003579EB" w:rsidP="003579EB">
      <w:pPr>
        <w:pStyle w:val="Notedebasdepage"/>
        <w:rPr>
          <w:lang w:val="en-US"/>
        </w:rPr>
      </w:pPr>
      <w:r w:rsidRPr="00BF1B44">
        <w:rPr>
          <w:lang w:val="en-US"/>
        </w:rPr>
        <w:tab/>
      </w:r>
      <w:r w:rsidRPr="00CC043C">
        <w:rPr>
          <w:rStyle w:val="Appelnotedebasdep"/>
        </w:rPr>
        <w:footnoteRef/>
      </w:r>
      <w:r w:rsidRPr="00BF1B44">
        <w:rPr>
          <w:lang w:val="en-US"/>
        </w:rPr>
        <w:tab/>
      </w:r>
      <w:r w:rsidRPr="00BF1B44">
        <w:rPr>
          <w:lang w:val="en-US"/>
        </w:rPr>
        <w:tab/>
        <w:t>Ibid.</w:t>
      </w:r>
    </w:p>
  </w:footnote>
  <w:footnote w:id="22">
    <w:p w14:paraId="43413678" w14:textId="77777777" w:rsidR="003579EB" w:rsidRPr="005534DE" w:rsidRDefault="003579EB" w:rsidP="003579EB">
      <w:pPr>
        <w:pStyle w:val="Notedebasdepage"/>
        <w:rPr>
          <w:lang w:val="en-GB"/>
        </w:rPr>
      </w:pPr>
      <w:r w:rsidRPr="00BF1B44">
        <w:rPr>
          <w:lang w:val="en-US"/>
        </w:rPr>
        <w:tab/>
      </w:r>
      <w:r w:rsidRPr="00CC043C">
        <w:rPr>
          <w:rStyle w:val="Appelnotedebasdep"/>
        </w:rPr>
        <w:footnoteRef/>
      </w:r>
      <w:r>
        <w:rPr>
          <w:lang w:val="en-GB"/>
        </w:rPr>
        <w:tab/>
      </w:r>
      <w:r>
        <w:rPr>
          <w:lang w:val="en-GB"/>
        </w:rPr>
        <w:tab/>
      </w:r>
      <w:r w:rsidRPr="005534DE">
        <w:rPr>
          <w:lang w:val="en-GB"/>
        </w:rPr>
        <w:t>Ibid.</w:t>
      </w:r>
    </w:p>
  </w:footnote>
  <w:footnote w:id="23">
    <w:p w14:paraId="37D36CD7" w14:textId="77777777" w:rsidR="003579EB" w:rsidRPr="005534DE" w:rsidRDefault="003579EB" w:rsidP="003579EB">
      <w:pPr>
        <w:pStyle w:val="Notedebasdepage"/>
        <w:rPr>
          <w:lang w:val="en-GB"/>
        </w:rPr>
      </w:pPr>
      <w:r>
        <w:rPr>
          <w:lang w:val="en-GB"/>
        </w:rPr>
        <w:tab/>
      </w:r>
      <w:r w:rsidRPr="00CC043C">
        <w:rPr>
          <w:rStyle w:val="Appelnotedebasdep"/>
        </w:rPr>
        <w:footnoteRef/>
      </w:r>
      <w:r w:rsidRPr="005534DE">
        <w:rPr>
          <w:lang w:val="en-GB"/>
        </w:rPr>
        <w:tab/>
      </w:r>
      <w:r>
        <w:rPr>
          <w:lang w:val="en-GB"/>
        </w:rPr>
        <w:tab/>
      </w:r>
      <w:r w:rsidRPr="005534DE">
        <w:rPr>
          <w:lang w:val="en-GB"/>
        </w:rPr>
        <w:t>Ibid.</w:t>
      </w:r>
    </w:p>
  </w:footnote>
  <w:footnote w:id="24">
    <w:p w14:paraId="45034660" w14:textId="77777777" w:rsidR="003579EB" w:rsidRPr="005534DE" w:rsidRDefault="003579EB" w:rsidP="003579EB">
      <w:pPr>
        <w:pStyle w:val="Notedebasdepage"/>
        <w:rPr>
          <w:lang w:val="en-GB"/>
        </w:rPr>
      </w:pPr>
      <w:r>
        <w:rPr>
          <w:lang w:val="en-GB"/>
        </w:rPr>
        <w:tab/>
      </w:r>
      <w:r w:rsidRPr="00CC043C">
        <w:rPr>
          <w:rStyle w:val="Appelnotedebasdep"/>
        </w:rPr>
        <w:footnoteRef/>
      </w:r>
      <w:r w:rsidRPr="005534DE">
        <w:rPr>
          <w:lang w:val="en-GB"/>
        </w:rPr>
        <w:t xml:space="preserve"> </w:t>
      </w:r>
      <w:r w:rsidRPr="005534DE">
        <w:rPr>
          <w:lang w:val="en-GB"/>
        </w:rPr>
        <w:tab/>
      </w:r>
      <w:r>
        <w:rPr>
          <w:lang w:val="en-GB"/>
        </w:rPr>
        <w:tab/>
      </w:r>
      <w:r w:rsidRPr="005534DE">
        <w:rPr>
          <w:lang w:val="en-GB"/>
        </w:rPr>
        <w:t>Ibid.</w:t>
      </w:r>
    </w:p>
  </w:footnote>
  <w:footnote w:id="25">
    <w:p w14:paraId="29AFBBA6" w14:textId="77777777" w:rsidR="003579EB" w:rsidRPr="005534DE" w:rsidRDefault="003579EB" w:rsidP="003579EB">
      <w:pPr>
        <w:pStyle w:val="Notedebasdepage"/>
        <w:rPr>
          <w:lang w:val="en-GB"/>
        </w:rPr>
      </w:pPr>
      <w:r>
        <w:rPr>
          <w:lang w:val="en-GB"/>
        </w:rPr>
        <w:tab/>
      </w:r>
      <w:r w:rsidRPr="00CC043C">
        <w:rPr>
          <w:rStyle w:val="Appelnotedebasdep"/>
        </w:rPr>
        <w:footnoteRef/>
      </w:r>
      <w:r w:rsidRPr="005534DE">
        <w:rPr>
          <w:lang w:val="en-GB"/>
        </w:rPr>
        <w:t xml:space="preserve"> </w:t>
      </w:r>
      <w:r>
        <w:rPr>
          <w:lang w:val="en-GB"/>
        </w:rPr>
        <w:tab/>
      </w:r>
      <w:r>
        <w:rPr>
          <w:lang w:val="en-GB"/>
        </w:rPr>
        <w:tab/>
      </w:r>
      <w:r w:rsidRPr="005534DE">
        <w:rPr>
          <w:lang w:val="en-GB"/>
        </w:rPr>
        <w:t>Ibid.</w:t>
      </w:r>
    </w:p>
  </w:footnote>
  <w:footnote w:id="26">
    <w:p w14:paraId="55BEA2EC" w14:textId="77777777" w:rsidR="003579EB" w:rsidRPr="005534DE" w:rsidRDefault="003579EB" w:rsidP="003579EB">
      <w:pPr>
        <w:pStyle w:val="Notedebasdepage"/>
      </w:pPr>
      <w:r>
        <w:rPr>
          <w:lang w:val="fr-FR"/>
        </w:rPr>
        <w:tab/>
      </w:r>
      <w:r w:rsidRPr="00CC043C">
        <w:rPr>
          <w:rStyle w:val="Appelnotedebasdep"/>
        </w:rPr>
        <w:footnoteRef/>
      </w:r>
      <w:r>
        <w:rPr>
          <w:lang w:val="fr-FR"/>
        </w:rPr>
        <w:t xml:space="preserve"> </w:t>
      </w:r>
      <w:r>
        <w:rPr>
          <w:lang w:val="fr-FR"/>
        </w:rPr>
        <w:tab/>
      </w:r>
      <w:r>
        <w:rPr>
          <w:lang w:val="fr-FR"/>
        </w:rPr>
        <w:tab/>
        <w:t>Ibid., par.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E5B7" w14:textId="0413DC2A" w:rsidR="003579EB" w:rsidRPr="003579EB" w:rsidRDefault="003579EB">
    <w:pPr>
      <w:pStyle w:val="En-tte"/>
    </w:pPr>
    <w:fldSimple w:instr=" TITLE  \* MERGEFORMAT ">
      <w:r w:rsidR="00BD5041">
        <w:t>E/C.12/70/D/102/2019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3D4D" w14:textId="446DB878" w:rsidR="003579EB" w:rsidRPr="003579EB" w:rsidRDefault="003579EB" w:rsidP="003579EB">
    <w:pPr>
      <w:pStyle w:val="En-tte"/>
      <w:jc w:val="right"/>
    </w:pPr>
    <w:fldSimple w:instr=" TITLE  \* MERGEFORMAT ">
      <w:r w:rsidR="00BD5041">
        <w:t>E/C.12/70/D/102/2019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7B"/>
    <w:rsid w:val="00017F94"/>
    <w:rsid w:val="00023842"/>
    <w:rsid w:val="0002432E"/>
    <w:rsid w:val="000334F9"/>
    <w:rsid w:val="00073B9D"/>
    <w:rsid w:val="0007796D"/>
    <w:rsid w:val="000B7790"/>
    <w:rsid w:val="00111F2F"/>
    <w:rsid w:val="0014365E"/>
    <w:rsid w:val="00176178"/>
    <w:rsid w:val="001C3868"/>
    <w:rsid w:val="001F525A"/>
    <w:rsid w:val="00223272"/>
    <w:rsid w:val="0024779E"/>
    <w:rsid w:val="002515E3"/>
    <w:rsid w:val="00266400"/>
    <w:rsid w:val="00266ACE"/>
    <w:rsid w:val="002832AC"/>
    <w:rsid w:val="002D7C93"/>
    <w:rsid w:val="003579EB"/>
    <w:rsid w:val="003B37B5"/>
    <w:rsid w:val="00441C3B"/>
    <w:rsid w:val="00446FE5"/>
    <w:rsid w:val="00452396"/>
    <w:rsid w:val="004E468C"/>
    <w:rsid w:val="005505B7"/>
    <w:rsid w:val="00573BE5"/>
    <w:rsid w:val="00586ED3"/>
    <w:rsid w:val="00596AA9"/>
    <w:rsid w:val="00623D76"/>
    <w:rsid w:val="0071601D"/>
    <w:rsid w:val="00766F0F"/>
    <w:rsid w:val="007A62E6"/>
    <w:rsid w:val="007C1326"/>
    <w:rsid w:val="0080236C"/>
    <w:rsid w:val="0080684C"/>
    <w:rsid w:val="00871C75"/>
    <w:rsid w:val="008776DC"/>
    <w:rsid w:val="00967489"/>
    <w:rsid w:val="009705C8"/>
    <w:rsid w:val="009C1CF4"/>
    <w:rsid w:val="00A30353"/>
    <w:rsid w:val="00A57427"/>
    <w:rsid w:val="00AA42FA"/>
    <w:rsid w:val="00AC3823"/>
    <w:rsid w:val="00AE323C"/>
    <w:rsid w:val="00AF290F"/>
    <w:rsid w:val="00B00181"/>
    <w:rsid w:val="00B00B0D"/>
    <w:rsid w:val="00B765F7"/>
    <w:rsid w:val="00BA0CA9"/>
    <w:rsid w:val="00BD5041"/>
    <w:rsid w:val="00BE6C81"/>
    <w:rsid w:val="00C02897"/>
    <w:rsid w:val="00CD237B"/>
    <w:rsid w:val="00D32A3F"/>
    <w:rsid w:val="00D3439C"/>
    <w:rsid w:val="00D75300"/>
    <w:rsid w:val="00DB1831"/>
    <w:rsid w:val="00DD3BFD"/>
    <w:rsid w:val="00DF6678"/>
    <w:rsid w:val="00E0590B"/>
    <w:rsid w:val="00EF2E22"/>
    <w:rsid w:val="00EF491F"/>
    <w:rsid w:val="00F660DF"/>
    <w:rsid w:val="00F95C08"/>
    <w:rsid w:val="00FA4D2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CBC346"/>
  <w15:docId w15:val="{73D9FAFE-A085-4DCB-89DF-E47B3CE9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3579E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9</Pages>
  <Words>4281</Words>
  <Characters>26371</Characters>
  <Application>Microsoft Office Word</Application>
  <DocSecurity>0</DocSecurity>
  <Lines>4395</Lines>
  <Paragraphs>1613</Paragraphs>
  <ScaleCrop>false</ScaleCrop>
  <HeadingPairs>
    <vt:vector size="2" baseType="variant">
      <vt:variant>
        <vt:lpstr>Titre</vt:lpstr>
      </vt:variant>
      <vt:variant>
        <vt:i4>1</vt:i4>
      </vt:variant>
    </vt:vector>
  </HeadingPairs>
  <TitlesOfParts>
    <vt:vector size="1" baseType="lpstr">
      <vt:lpstr>E/C.12/70/D/102/2019</vt:lpstr>
    </vt:vector>
  </TitlesOfParts>
  <Company>DCM</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E/C.12/70/D/102/2019</dc:title>
  <dc:subject/>
  <dc:creator>Julien OKRZESIK</dc:creator>
  <cp:keywords/>
  <cp:lastModifiedBy>Julien Okrzesik</cp:lastModifiedBy>
  <cp:revision>3</cp:revision>
  <cp:lastPrinted>2022-02-17T10:53:00Z</cp:lastPrinted>
  <dcterms:created xsi:type="dcterms:W3CDTF">2022-02-17T10:53:00Z</dcterms:created>
  <dcterms:modified xsi:type="dcterms:W3CDTF">2022-02-17T10:53:00Z</dcterms:modified>
</cp:coreProperties>
</file>