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2B9D1532" w14:textId="77777777" w:rsidTr="00EE2AFF">
        <w:trPr>
          <w:trHeight w:hRule="exact" w:val="851"/>
        </w:trPr>
        <w:tc>
          <w:tcPr>
            <w:tcW w:w="1274" w:type="dxa"/>
            <w:tcBorders>
              <w:bottom w:val="single" w:sz="4" w:space="0" w:color="auto"/>
            </w:tcBorders>
          </w:tcPr>
          <w:p w14:paraId="6D893930" w14:textId="77777777" w:rsidR="006B3E27" w:rsidRPr="00575C09" w:rsidRDefault="006B3E27" w:rsidP="00FA1FB7">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4463E2BE"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46FE7A0D" w14:textId="1738B651" w:rsidR="006B3E27" w:rsidRPr="00C22A2A" w:rsidRDefault="00C22A2A" w:rsidP="00C22A2A">
            <w:pPr>
              <w:bidi w:val="0"/>
              <w:jc w:val="left"/>
            </w:pPr>
            <w:r w:rsidRPr="00C22A2A">
              <w:rPr>
                <w:sz w:val="40"/>
              </w:rPr>
              <w:t>E</w:t>
            </w:r>
            <w:r>
              <w:t>/C.</w:t>
            </w:r>
            <w:r w:rsidRPr="00575C09">
              <w:t>12</w:t>
            </w:r>
            <w:r>
              <w:t>/</w:t>
            </w:r>
            <w:r w:rsidRPr="00575C09">
              <w:t>70</w:t>
            </w:r>
            <w:r>
              <w:t>/D/</w:t>
            </w:r>
            <w:r w:rsidRPr="00575C09">
              <w:t>61</w:t>
            </w:r>
            <w:r>
              <w:t>/</w:t>
            </w:r>
            <w:r w:rsidRPr="00575C09">
              <w:t>2018</w:t>
            </w:r>
          </w:p>
        </w:tc>
      </w:tr>
      <w:tr w:rsidR="006B3E27" w:rsidRPr="00ED7442" w14:paraId="505D0923" w14:textId="77777777" w:rsidTr="00EE2AFF">
        <w:trPr>
          <w:trHeight w:hRule="exact" w:val="2835"/>
        </w:trPr>
        <w:tc>
          <w:tcPr>
            <w:tcW w:w="1274" w:type="dxa"/>
            <w:tcBorders>
              <w:top w:val="single" w:sz="4" w:space="0" w:color="auto"/>
              <w:bottom w:val="single" w:sz="12" w:space="0" w:color="auto"/>
            </w:tcBorders>
          </w:tcPr>
          <w:p w14:paraId="4442FC26" w14:textId="77777777" w:rsidR="006B3E27" w:rsidRPr="00ED7442" w:rsidRDefault="0059622A" w:rsidP="00EE2AFF">
            <w:pPr>
              <w:jc w:val="center"/>
              <w:rPr>
                <w:sz w:val="56"/>
                <w:szCs w:val="56"/>
                <w:rtl/>
              </w:rPr>
            </w:pPr>
            <w:r w:rsidRPr="00ED7442">
              <w:rPr>
                <w:noProof/>
                <w:sz w:val="56"/>
                <w:szCs w:val="56"/>
              </w:rPr>
              <w:drawing>
                <wp:inline distT="0" distB="0" distL="0" distR="0" wp14:anchorId="1EAE3101" wp14:editId="1B9AAFD5">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58D0279A" w14:textId="77777777" w:rsidR="006B3E27" w:rsidRPr="00575C09" w:rsidRDefault="00606EDF" w:rsidP="009E0EDE">
            <w:pPr>
              <w:spacing w:before="120" w:after="40" w:line="640" w:lineRule="exact"/>
              <w:ind w:left="57"/>
              <w:jc w:val="left"/>
              <w:rPr>
                <w:rFonts w:ascii="Times New Roman Bold" w:hAnsi="Times New Roman Bold" w:hint="eastAsia"/>
                <w:b/>
                <w:bCs/>
                <w:spacing w:val="-4"/>
                <w:sz w:val="48"/>
                <w:szCs w:val="48"/>
              </w:rPr>
            </w:pPr>
            <w:r w:rsidRPr="00575C09">
              <w:rPr>
                <w:rFonts w:ascii="Times New Roman Bold" w:hAnsi="Times New Roman Bold" w:hint="cs"/>
                <w:b/>
                <w:bCs/>
                <w:spacing w:val="-4"/>
                <w:sz w:val="48"/>
                <w:szCs w:val="48"/>
                <w:rtl/>
              </w:rPr>
              <w:t>ا</w:t>
            </w:r>
            <w:r w:rsidR="008930DB" w:rsidRPr="00575C09">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12B70052" w14:textId="77777777" w:rsidR="001D7A1E" w:rsidRPr="001D7A1E" w:rsidRDefault="001D7A1E" w:rsidP="001D7A1E">
            <w:pPr>
              <w:suppressAutoHyphens/>
              <w:bidi w:val="0"/>
              <w:spacing w:before="240"/>
              <w:jc w:val="left"/>
              <w:rPr>
                <w:rFonts w:eastAsia="Times New Roman" w:cs="Times New Roman"/>
                <w:lang w:val="en-GB"/>
              </w:rPr>
            </w:pPr>
            <w:r w:rsidRPr="001D7A1E">
              <w:rPr>
                <w:rFonts w:eastAsia="Times New Roman" w:cs="Times New Roman"/>
                <w:lang w:val="en-GB"/>
              </w:rPr>
              <w:t>Distr.: General</w:t>
            </w:r>
          </w:p>
          <w:p w14:paraId="11940B5B" w14:textId="77777777" w:rsidR="001D7A1E" w:rsidRPr="001D7A1E" w:rsidRDefault="001D7A1E" w:rsidP="001D7A1E">
            <w:pPr>
              <w:bidi w:val="0"/>
              <w:jc w:val="left"/>
              <w:rPr>
                <w:rFonts w:eastAsia="Times New Roman" w:cs="Times New Roman"/>
                <w:lang w:val="en-GB"/>
              </w:rPr>
            </w:pPr>
            <w:r w:rsidRPr="00575C09">
              <w:rPr>
                <w:rFonts w:eastAsia="Times New Roman" w:cs="Times New Roman"/>
                <w:lang w:val="en-GB"/>
              </w:rPr>
              <w:t>23</w:t>
            </w:r>
            <w:r w:rsidRPr="001D7A1E">
              <w:rPr>
                <w:rFonts w:eastAsia="Times New Roman" w:cs="Times New Roman"/>
                <w:lang w:val="en-GB"/>
              </w:rPr>
              <w:t xml:space="preserve"> November </w:t>
            </w:r>
            <w:r w:rsidRPr="00575C09">
              <w:rPr>
                <w:rFonts w:eastAsia="Times New Roman" w:cs="Times New Roman"/>
                <w:lang w:val="en-GB"/>
              </w:rPr>
              <w:t>2021</w:t>
            </w:r>
          </w:p>
          <w:p w14:paraId="7784530F" w14:textId="77777777" w:rsidR="001D7A1E" w:rsidRPr="001D7A1E" w:rsidRDefault="001D7A1E" w:rsidP="001D7A1E">
            <w:pPr>
              <w:bidi w:val="0"/>
              <w:jc w:val="left"/>
              <w:rPr>
                <w:rFonts w:eastAsia="Times New Roman" w:cs="Times New Roman"/>
                <w:lang w:val="en-GB"/>
              </w:rPr>
            </w:pPr>
            <w:r w:rsidRPr="001D7A1E">
              <w:rPr>
                <w:rFonts w:eastAsia="Times New Roman" w:cs="Times New Roman"/>
                <w:lang w:val="en-GB"/>
              </w:rPr>
              <w:t>English</w:t>
            </w:r>
          </w:p>
          <w:p w14:paraId="448C2B11" w14:textId="2A735EB6" w:rsidR="00C22A2A" w:rsidRPr="001D7A1E" w:rsidRDefault="001D7A1E" w:rsidP="001D7A1E">
            <w:pPr>
              <w:bidi w:val="0"/>
              <w:spacing w:line="240" w:lineRule="exact"/>
              <w:jc w:val="left"/>
              <w:rPr>
                <w:lang w:val="en-GB"/>
              </w:rPr>
            </w:pPr>
            <w:r w:rsidRPr="001D7A1E">
              <w:rPr>
                <w:rFonts w:eastAsia="Times New Roman" w:cs="Times New Roman"/>
                <w:lang w:val="en-GB" w:eastAsia="en-US"/>
              </w:rPr>
              <w:t>Original: French</w:t>
            </w:r>
          </w:p>
        </w:tc>
      </w:tr>
    </w:tbl>
    <w:p w14:paraId="76B24E45" w14:textId="77777777" w:rsidR="000D7670" w:rsidRPr="00575C09" w:rsidRDefault="000D7670" w:rsidP="003D1720">
      <w:pPr>
        <w:pStyle w:val="SingleTxtGA"/>
        <w:spacing w:before="120" w:after="0"/>
        <w:ind w:left="0"/>
        <w:rPr>
          <w:b/>
          <w:bCs/>
          <w:sz w:val="26"/>
          <w:szCs w:val="26"/>
          <w:lang w:val="en-US"/>
        </w:rPr>
      </w:pPr>
      <w:r w:rsidRPr="00575C09">
        <w:rPr>
          <w:b/>
          <w:bCs/>
          <w:sz w:val="26"/>
          <w:szCs w:val="26"/>
          <w:cs/>
          <w:lang w:val="en-US"/>
        </w:rPr>
        <w:t>‎‎</w:t>
      </w:r>
      <w:r w:rsidRPr="00575C09">
        <w:rPr>
          <w:b/>
          <w:bCs/>
          <w:sz w:val="26"/>
          <w:szCs w:val="26"/>
          <w:rtl/>
          <w:lang w:val="en-US"/>
        </w:rPr>
        <w:t>اللجنة المعنية بالحقوق الاقتصادية والاجتماعية والثقافية‏‏</w:t>
      </w:r>
    </w:p>
    <w:p w14:paraId="31719AC3" w14:textId="5CB64220" w:rsidR="000D7670" w:rsidRPr="00575C09" w:rsidRDefault="000D7670" w:rsidP="000D7670">
      <w:pPr>
        <w:pStyle w:val="HChGA"/>
      </w:pPr>
      <w:r w:rsidRPr="00575C09">
        <w:rPr>
          <w:rtl/>
        </w:rPr>
        <w:tab/>
      </w:r>
      <w:r w:rsidRPr="00575C09">
        <w:rPr>
          <w:rtl/>
        </w:rPr>
        <w:tab/>
        <w:t>الآراء التي اعتمدتها اللجنة بموجب البروتوكول الاختياري الملحق بالعهد الدولي الخاص بالحقوق الاقتصادية والاجتماعية والثقافية بشأن البلاغ رقم</w:t>
      </w:r>
      <w:r w:rsidRPr="00575C09">
        <w:rPr>
          <w:rFonts w:hint="cs"/>
          <w:rtl/>
        </w:rPr>
        <w:t> </w:t>
      </w:r>
      <w:r w:rsidRPr="00575C09">
        <w:rPr>
          <w:rtl/>
        </w:rPr>
        <w:t>61/2018</w:t>
      </w:r>
      <w:r w:rsidRPr="00575C09">
        <w:rPr>
          <w:rStyle w:val="FootnoteReference"/>
          <w:sz w:val="22"/>
          <w:szCs w:val="22"/>
          <w:vertAlign w:val="baseline"/>
          <w:rtl/>
        </w:rPr>
        <w:footnoteReference w:customMarkFollows="1" w:id="1"/>
        <w:t>*</w:t>
      </w:r>
    </w:p>
    <w:p w14:paraId="6E4B01AE" w14:textId="4C5A78D2"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rPr>
          <w:spacing w:val="-4"/>
        </w:rPr>
      </w:pPr>
      <w:r w:rsidRPr="00575C09">
        <w:rPr>
          <w:i/>
          <w:iCs/>
          <w:spacing w:val="-4"/>
          <w:rtl/>
        </w:rPr>
        <w:t>بلاغ مقدم من:</w:t>
      </w:r>
      <w:r w:rsidRPr="000D7670">
        <w:rPr>
          <w:spacing w:val="-4"/>
          <w:rtl/>
        </w:rPr>
        <w:tab/>
      </w:r>
      <w:proofErr w:type="spellStart"/>
      <w:r w:rsidRPr="000D7670">
        <w:rPr>
          <w:spacing w:val="-4"/>
          <w:rtl/>
        </w:rPr>
        <w:t>لورن</w:t>
      </w:r>
      <w:proofErr w:type="spellEnd"/>
      <w:r w:rsidRPr="000D7670">
        <w:rPr>
          <w:spacing w:val="-4"/>
          <w:rtl/>
        </w:rPr>
        <w:t xml:space="preserve"> جوزيف والترز (ممثل بالمحامية كريستين </w:t>
      </w:r>
      <w:proofErr w:type="spellStart"/>
      <w:r w:rsidRPr="000D7670">
        <w:rPr>
          <w:spacing w:val="-4"/>
          <w:rtl/>
        </w:rPr>
        <w:t>رايغارت</w:t>
      </w:r>
      <w:proofErr w:type="spellEnd"/>
      <w:r w:rsidRPr="000D7670">
        <w:rPr>
          <w:spacing w:val="-4"/>
          <w:rtl/>
        </w:rPr>
        <w:t>)</w:t>
      </w:r>
    </w:p>
    <w:p w14:paraId="4E8C5E0E" w14:textId="3FE14D74"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pPr>
      <w:r w:rsidRPr="00575C09">
        <w:rPr>
          <w:i/>
          <w:iCs/>
          <w:rtl/>
        </w:rPr>
        <w:t>الشخص المدعى أنه ضحية:</w:t>
      </w:r>
      <w:r>
        <w:rPr>
          <w:rtl/>
        </w:rPr>
        <w:tab/>
      </w:r>
      <w:r w:rsidRPr="000D7670">
        <w:rPr>
          <w:rtl/>
        </w:rPr>
        <w:t>صاحب الشكوى</w:t>
      </w:r>
    </w:p>
    <w:p w14:paraId="7A012403" w14:textId="169D12F9"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pPr>
      <w:r w:rsidRPr="00575C09">
        <w:rPr>
          <w:i/>
          <w:iCs/>
          <w:rtl/>
        </w:rPr>
        <w:t>الدولة الطرف:</w:t>
      </w:r>
      <w:r>
        <w:rPr>
          <w:rtl/>
        </w:rPr>
        <w:tab/>
      </w:r>
      <w:r w:rsidRPr="000D7670">
        <w:rPr>
          <w:rtl/>
        </w:rPr>
        <w:t>بلجيكا</w:t>
      </w:r>
    </w:p>
    <w:p w14:paraId="18CF7AA2" w14:textId="5F52CA21"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pPr>
      <w:r w:rsidRPr="00575C09">
        <w:rPr>
          <w:i/>
          <w:iCs/>
          <w:rtl/>
        </w:rPr>
        <w:t>تاريخ تقديم البلاغ:</w:t>
      </w:r>
      <w:r>
        <w:rPr>
          <w:rtl/>
        </w:rPr>
        <w:tab/>
      </w:r>
      <w:r w:rsidRPr="00575C09">
        <w:rPr>
          <w:spacing w:val="-4"/>
          <w:rtl/>
        </w:rPr>
        <w:t>5</w:t>
      </w:r>
      <w:r w:rsidRPr="001D7A1E">
        <w:rPr>
          <w:spacing w:val="-4"/>
          <w:rtl/>
        </w:rPr>
        <w:t xml:space="preserve"> تشرين الأول/أكتوبر </w:t>
      </w:r>
      <w:r w:rsidRPr="00575C09">
        <w:rPr>
          <w:spacing w:val="-4"/>
          <w:rtl/>
        </w:rPr>
        <w:t>2018</w:t>
      </w:r>
      <w:r w:rsidRPr="001D7A1E">
        <w:rPr>
          <w:spacing w:val="-4"/>
          <w:rtl/>
        </w:rPr>
        <w:t xml:space="preserve"> (تاريخ تقديم الرسالة الأولى)</w:t>
      </w:r>
    </w:p>
    <w:p w14:paraId="6AA04FEC" w14:textId="56D856C7"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pPr>
      <w:r w:rsidRPr="00575C09">
        <w:rPr>
          <w:i/>
          <w:iCs/>
          <w:rtl/>
        </w:rPr>
        <w:t>تاريخ اعتماد هذه الآراء:</w:t>
      </w:r>
      <w:r>
        <w:rPr>
          <w:rtl/>
        </w:rPr>
        <w:tab/>
      </w:r>
      <w:r w:rsidRPr="00575C09">
        <w:rPr>
          <w:rtl/>
        </w:rPr>
        <w:t>12</w:t>
      </w:r>
      <w:r w:rsidRPr="000D7670">
        <w:rPr>
          <w:rtl/>
        </w:rPr>
        <w:t xml:space="preserve"> تشرين الأول/أكتوبر </w:t>
      </w:r>
      <w:r w:rsidRPr="00575C09">
        <w:rPr>
          <w:rtl/>
        </w:rPr>
        <w:t>2021</w:t>
      </w:r>
    </w:p>
    <w:p w14:paraId="2326FDFB" w14:textId="2973A0D5"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pPr>
      <w:r w:rsidRPr="00575C09">
        <w:rPr>
          <w:i/>
          <w:iCs/>
          <w:rtl/>
        </w:rPr>
        <w:t>الموضوع:</w:t>
      </w:r>
      <w:r>
        <w:rPr>
          <w:rtl/>
        </w:rPr>
        <w:tab/>
      </w:r>
      <w:r w:rsidRPr="000D7670">
        <w:rPr>
          <w:rtl/>
        </w:rPr>
        <w:t>إخلاء المستأجر إثر إجراءات قضائية قامت بها المؤجرة</w:t>
      </w:r>
    </w:p>
    <w:p w14:paraId="29EA5995" w14:textId="3E5277B4"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pPr>
      <w:r w:rsidRPr="00575C09">
        <w:rPr>
          <w:i/>
          <w:iCs/>
          <w:rtl/>
        </w:rPr>
        <w:t>المسائل الإجرائية:</w:t>
      </w:r>
      <w:r>
        <w:rPr>
          <w:rtl/>
        </w:rPr>
        <w:tab/>
      </w:r>
      <w:r w:rsidRPr="000D7670">
        <w:rPr>
          <w:rtl/>
        </w:rPr>
        <w:t>استنفاد سبل الانتصاف المحلية؛ وإساءة استعمال الحق في تقديم البلاغات</w:t>
      </w:r>
    </w:p>
    <w:p w14:paraId="1E7B62FA" w14:textId="61513E50"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pPr>
      <w:r w:rsidRPr="00575C09">
        <w:rPr>
          <w:i/>
          <w:iCs/>
          <w:rtl/>
        </w:rPr>
        <w:t>المسألة الموضوعية:</w:t>
      </w:r>
      <w:r>
        <w:rPr>
          <w:rtl/>
        </w:rPr>
        <w:tab/>
      </w:r>
      <w:r w:rsidRPr="000D7670">
        <w:rPr>
          <w:rtl/>
        </w:rPr>
        <w:t>الحق في سكن لائق</w:t>
      </w:r>
    </w:p>
    <w:p w14:paraId="7E90CCFC" w14:textId="62F72865" w:rsidR="000D7670" w:rsidRPr="000D7670" w:rsidRDefault="000D7670" w:rsidP="000D7670">
      <w:pPr>
        <w:pStyle w:val="SingleTxtGA"/>
        <w:tabs>
          <w:tab w:val="clear" w:pos="1928"/>
          <w:tab w:val="clear" w:pos="2608"/>
          <w:tab w:val="clear" w:pos="3289"/>
          <w:tab w:val="clear" w:pos="3969"/>
          <w:tab w:val="clear" w:pos="4649"/>
          <w:tab w:val="clear" w:pos="5330"/>
        </w:tabs>
        <w:ind w:left="4649" w:hanging="2721"/>
      </w:pPr>
      <w:r w:rsidRPr="00575C09">
        <w:rPr>
          <w:i/>
          <w:iCs/>
          <w:rtl/>
        </w:rPr>
        <w:t>مواد العهد:</w:t>
      </w:r>
      <w:r>
        <w:rPr>
          <w:rtl/>
        </w:rPr>
        <w:tab/>
      </w:r>
      <w:r w:rsidRPr="000D7670">
        <w:rPr>
          <w:rtl/>
        </w:rPr>
        <w:t xml:space="preserve">المادة </w:t>
      </w:r>
      <w:r w:rsidRPr="00575C09">
        <w:rPr>
          <w:rtl/>
        </w:rPr>
        <w:t>11</w:t>
      </w:r>
      <w:r w:rsidRPr="000D7670">
        <w:rPr>
          <w:rtl/>
        </w:rPr>
        <w:t>(</w:t>
      </w:r>
      <w:r w:rsidRPr="00575C09">
        <w:rPr>
          <w:rtl/>
        </w:rPr>
        <w:t>1</w:t>
      </w:r>
      <w:r w:rsidRPr="000D7670">
        <w:rPr>
          <w:rtl/>
        </w:rPr>
        <w:t>)</w:t>
      </w:r>
    </w:p>
    <w:p w14:paraId="1414DA48" w14:textId="483CD40B" w:rsidR="000D7670" w:rsidRDefault="000D7670" w:rsidP="000D7670">
      <w:pPr>
        <w:pStyle w:val="SingleTxtGA"/>
        <w:tabs>
          <w:tab w:val="clear" w:pos="1928"/>
          <w:tab w:val="clear" w:pos="2608"/>
          <w:tab w:val="clear" w:pos="3289"/>
          <w:tab w:val="clear" w:pos="3969"/>
          <w:tab w:val="clear" w:pos="4649"/>
          <w:tab w:val="clear" w:pos="5330"/>
        </w:tabs>
        <w:ind w:left="4649" w:hanging="2721"/>
        <w:rPr>
          <w:rtl/>
        </w:rPr>
      </w:pPr>
      <w:r w:rsidRPr="00575C09">
        <w:rPr>
          <w:i/>
          <w:iCs/>
          <w:rtl/>
        </w:rPr>
        <w:t>مواد البروتوكول الاختياري:</w:t>
      </w:r>
      <w:r>
        <w:rPr>
          <w:rtl/>
        </w:rPr>
        <w:tab/>
      </w:r>
      <w:r w:rsidRPr="000D7670">
        <w:rPr>
          <w:rtl/>
        </w:rPr>
        <w:t xml:space="preserve">المادة </w:t>
      </w:r>
      <w:r w:rsidRPr="00575C09">
        <w:rPr>
          <w:rtl/>
        </w:rPr>
        <w:t>3</w:t>
      </w:r>
      <w:r w:rsidRPr="000D7670">
        <w:rPr>
          <w:rtl/>
        </w:rPr>
        <w:t>(</w:t>
      </w:r>
      <w:r w:rsidRPr="00575C09">
        <w:rPr>
          <w:rtl/>
        </w:rPr>
        <w:t>1</w:t>
      </w:r>
      <w:r w:rsidRPr="000D7670">
        <w:rPr>
          <w:rtl/>
        </w:rPr>
        <w:t xml:space="preserve"> و</w:t>
      </w:r>
      <w:r w:rsidRPr="00575C09">
        <w:rPr>
          <w:rtl/>
        </w:rPr>
        <w:t>2</w:t>
      </w:r>
      <w:r w:rsidRPr="000D7670">
        <w:rPr>
          <w:rtl/>
        </w:rPr>
        <w:t>(و))</w:t>
      </w:r>
    </w:p>
    <w:p w14:paraId="7F06C402" w14:textId="1B0C441F" w:rsidR="000D7670" w:rsidRPr="000D7670" w:rsidRDefault="000D7670" w:rsidP="00B6606A">
      <w:pPr>
        <w:pStyle w:val="SingleTxtGA"/>
        <w:spacing w:before="120"/>
        <w:rPr>
          <w:lang w:val="en-US"/>
        </w:rPr>
      </w:pPr>
      <w:r w:rsidRPr="00575C09">
        <w:rPr>
          <w:rtl/>
          <w:lang w:val="en-US"/>
        </w:rPr>
        <w:t>1</w:t>
      </w:r>
      <w:r w:rsidRPr="000D7670">
        <w:rPr>
          <w:rtl/>
          <w:lang w:val="en-US"/>
        </w:rPr>
        <w:t>-</w:t>
      </w:r>
      <w:r w:rsidRPr="00575C09">
        <w:rPr>
          <w:rtl/>
          <w:lang w:val="en-US"/>
        </w:rPr>
        <w:t>1</w:t>
      </w:r>
      <w:r w:rsidRPr="000D7670">
        <w:rPr>
          <w:rtl/>
          <w:lang w:val="en-US"/>
        </w:rPr>
        <w:tab/>
        <w:t xml:space="preserve">صاحب البلاغ هو </w:t>
      </w:r>
      <w:proofErr w:type="spellStart"/>
      <w:r w:rsidRPr="000D7670">
        <w:rPr>
          <w:rtl/>
          <w:lang w:val="en-US"/>
        </w:rPr>
        <w:t>لورن</w:t>
      </w:r>
      <w:proofErr w:type="spellEnd"/>
      <w:r w:rsidRPr="000D7670">
        <w:rPr>
          <w:rtl/>
          <w:lang w:val="en-US"/>
        </w:rPr>
        <w:t xml:space="preserve"> جوزيف والترز، وهو مواطن بلجيكي ولد في </w:t>
      </w:r>
      <w:r w:rsidRPr="00575C09">
        <w:rPr>
          <w:rtl/>
          <w:lang w:val="en-US"/>
        </w:rPr>
        <w:t>7</w:t>
      </w:r>
      <w:r w:rsidRPr="000D7670">
        <w:rPr>
          <w:rtl/>
          <w:lang w:val="en-US"/>
        </w:rPr>
        <w:t xml:space="preserve"> تشرين الأول/</w:t>
      </w:r>
      <w:r w:rsidR="00B6606A">
        <w:rPr>
          <w:rFonts w:hint="cs"/>
          <w:rtl/>
          <w:lang w:val="en-US"/>
        </w:rPr>
        <w:t xml:space="preserve">      </w:t>
      </w:r>
      <w:r w:rsidRPr="000D7670">
        <w:rPr>
          <w:rtl/>
          <w:lang w:val="en-US"/>
        </w:rPr>
        <w:t xml:space="preserve">أكتوبر </w:t>
      </w:r>
      <w:r w:rsidRPr="00575C09">
        <w:rPr>
          <w:rtl/>
          <w:lang w:val="en-US"/>
        </w:rPr>
        <w:t>1945</w:t>
      </w:r>
      <w:r w:rsidRPr="000D7670">
        <w:rPr>
          <w:rtl/>
          <w:lang w:val="en-US"/>
        </w:rPr>
        <w:t xml:space="preserve">. ويدّعي أن الدولة الطرف انتهكت حقوقه التي تكفلها المادة </w:t>
      </w:r>
      <w:r w:rsidRPr="00575C09">
        <w:rPr>
          <w:rtl/>
          <w:lang w:val="en-US"/>
        </w:rPr>
        <w:t>11</w:t>
      </w:r>
      <w:r w:rsidRPr="000D7670">
        <w:rPr>
          <w:rtl/>
          <w:lang w:val="en-US"/>
        </w:rPr>
        <w:t xml:space="preserve"> من العهد الدولي الخاص </w:t>
      </w:r>
      <w:r w:rsidRPr="00B6606A">
        <w:rPr>
          <w:spacing w:val="-2"/>
          <w:rtl/>
          <w:lang w:val="en-US"/>
        </w:rPr>
        <w:t>بالحقوق الاقتصادية والاجتماعية والثقافية. وقد دخل البروتوكول الاختياري حيز النفاذ بالنسبة للدولة الطرف</w:t>
      </w:r>
      <w:r w:rsidRPr="000D7670">
        <w:rPr>
          <w:rtl/>
          <w:lang w:val="en-US"/>
        </w:rPr>
        <w:t xml:space="preserve"> في </w:t>
      </w:r>
      <w:r w:rsidRPr="00575C09">
        <w:rPr>
          <w:rtl/>
          <w:lang w:val="en-US"/>
        </w:rPr>
        <w:t>20</w:t>
      </w:r>
      <w:r w:rsidRPr="000D7670">
        <w:rPr>
          <w:rtl/>
          <w:lang w:val="en-US"/>
        </w:rPr>
        <w:t xml:space="preserve"> آب/أغسطس </w:t>
      </w:r>
      <w:r w:rsidRPr="00575C09">
        <w:rPr>
          <w:rtl/>
          <w:lang w:val="en-US"/>
        </w:rPr>
        <w:t>2014</w:t>
      </w:r>
      <w:r w:rsidRPr="000D7670">
        <w:rPr>
          <w:rtl/>
          <w:lang w:val="en-US"/>
        </w:rPr>
        <w:t>. وتمثل محامية صاحبَ البلاغ.</w:t>
      </w:r>
    </w:p>
    <w:p w14:paraId="419A8859" w14:textId="349AEC91" w:rsidR="000D7670" w:rsidRPr="000D7670" w:rsidRDefault="000D7670" w:rsidP="000D7670">
      <w:pPr>
        <w:pStyle w:val="SingleTxtGA"/>
        <w:rPr>
          <w:lang w:val="en-US"/>
        </w:rPr>
      </w:pPr>
      <w:r w:rsidRPr="00575C09">
        <w:rPr>
          <w:rtl/>
          <w:lang w:val="en-US"/>
        </w:rPr>
        <w:t>1</w:t>
      </w:r>
      <w:r w:rsidRPr="000D7670">
        <w:rPr>
          <w:rtl/>
          <w:lang w:val="en-US"/>
        </w:rPr>
        <w:t>-</w:t>
      </w:r>
      <w:r w:rsidRPr="00575C09">
        <w:rPr>
          <w:rtl/>
          <w:lang w:val="en-US"/>
        </w:rPr>
        <w:t>2</w:t>
      </w:r>
      <w:r w:rsidRPr="000D7670">
        <w:rPr>
          <w:rtl/>
          <w:lang w:val="en-US"/>
        </w:rPr>
        <w:tab/>
        <w:t xml:space="preserve">وفي هذه الآراء، تلخص اللجنة أولاً المعلومات والحجج التي قدمها الطرفان والطرف الثالث المتدخل (الفقرات من </w:t>
      </w:r>
      <w:r w:rsidRPr="00575C09">
        <w:rPr>
          <w:rtl/>
          <w:lang w:val="en-US"/>
        </w:rPr>
        <w:t>2</w:t>
      </w:r>
      <w:r w:rsidRPr="000D7670">
        <w:rPr>
          <w:rtl/>
          <w:lang w:val="en-US"/>
        </w:rPr>
        <w:t>-</w:t>
      </w:r>
      <w:r w:rsidRPr="00575C09">
        <w:rPr>
          <w:rtl/>
          <w:lang w:val="en-US"/>
        </w:rPr>
        <w:t>1</w:t>
      </w:r>
      <w:r w:rsidRPr="000D7670">
        <w:rPr>
          <w:rtl/>
          <w:lang w:val="en-US"/>
        </w:rPr>
        <w:t xml:space="preserve"> إلى </w:t>
      </w:r>
      <w:r w:rsidRPr="00575C09">
        <w:rPr>
          <w:rtl/>
          <w:lang w:val="en-US"/>
        </w:rPr>
        <w:t>6</w:t>
      </w:r>
      <w:r w:rsidRPr="000D7670">
        <w:rPr>
          <w:rtl/>
          <w:lang w:val="en-US"/>
        </w:rPr>
        <w:t>-</w:t>
      </w:r>
      <w:r w:rsidRPr="00575C09">
        <w:rPr>
          <w:rtl/>
          <w:lang w:val="en-US"/>
        </w:rPr>
        <w:t>6</w:t>
      </w:r>
      <w:r w:rsidRPr="000D7670">
        <w:rPr>
          <w:rtl/>
          <w:lang w:val="en-US"/>
        </w:rPr>
        <w:t xml:space="preserve"> </w:t>
      </w:r>
      <w:r w:rsidRPr="001D7A1E">
        <w:rPr>
          <w:i/>
          <w:iCs/>
          <w:rtl/>
          <w:lang w:val="en-US"/>
        </w:rPr>
        <w:t>أدناه</w:t>
      </w:r>
      <w:r w:rsidRPr="000D7670">
        <w:rPr>
          <w:rtl/>
          <w:lang w:val="en-US"/>
        </w:rPr>
        <w:t xml:space="preserve">)، دون أن تعكس موقف اللجنة منها. ثم تنظر اللجنة في مقبولية البلاغ وأسسه الموضوعية، وتضع في الأخير استنتاجاتها وتوصياتها. </w:t>
      </w:r>
    </w:p>
    <w:p w14:paraId="606D8F7A" w14:textId="77777777" w:rsidR="000D7670" w:rsidRPr="00575C09" w:rsidRDefault="000D7670" w:rsidP="000D7670">
      <w:pPr>
        <w:pStyle w:val="H1GA"/>
      </w:pPr>
      <w:r w:rsidRPr="00575C09">
        <w:rPr>
          <w:rtl/>
        </w:rPr>
        <w:lastRenderedPageBreak/>
        <w:t xml:space="preserve">ألف- </w:t>
      </w:r>
      <w:r w:rsidRPr="00575C09">
        <w:rPr>
          <w:rtl/>
        </w:rPr>
        <w:tab/>
        <w:t>موجز المعلومات والحجج المقدمة من الطرفين</w:t>
      </w:r>
    </w:p>
    <w:p w14:paraId="662630A8" w14:textId="2A94286D" w:rsidR="000D7670" w:rsidRPr="00575C09" w:rsidRDefault="000D7670" w:rsidP="000D7670">
      <w:pPr>
        <w:pStyle w:val="H23GA"/>
      </w:pPr>
      <w:r w:rsidRPr="00575C09">
        <w:rPr>
          <w:rtl/>
        </w:rPr>
        <w:tab/>
      </w:r>
      <w:r w:rsidRPr="00575C09">
        <w:rPr>
          <w:rtl/>
        </w:rPr>
        <w:tab/>
        <w:t xml:space="preserve">الوقائع كما عرضها صاحب </w:t>
      </w:r>
      <w:proofErr w:type="gramStart"/>
      <w:r w:rsidRPr="00575C09">
        <w:rPr>
          <w:rtl/>
        </w:rPr>
        <w:t>البلاغ</w:t>
      </w:r>
      <w:r w:rsidRPr="000D7670">
        <w:rPr>
          <w:b w:val="0"/>
          <w:bCs w:val="0"/>
          <w:vertAlign w:val="superscript"/>
          <w:rtl/>
        </w:rPr>
        <w:t>(</w:t>
      </w:r>
      <w:proofErr w:type="gramEnd"/>
      <w:r w:rsidRPr="00575C09">
        <w:rPr>
          <w:rStyle w:val="FootnoteReference"/>
          <w:b w:val="0"/>
          <w:bCs w:val="0"/>
          <w:szCs w:val="22"/>
          <w:lang w:val="en-US"/>
        </w:rPr>
        <w:footnoteReference w:id="2"/>
      </w:r>
      <w:r w:rsidRPr="000D7670">
        <w:rPr>
          <w:b w:val="0"/>
          <w:bCs w:val="0"/>
          <w:vertAlign w:val="superscript"/>
          <w:rtl/>
        </w:rPr>
        <w:t>)</w:t>
      </w:r>
    </w:p>
    <w:p w14:paraId="6225881A" w14:textId="77777777" w:rsidR="000D7670" w:rsidRPr="00575C09" w:rsidRDefault="000D7670" w:rsidP="00B6606A">
      <w:pPr>
        <w:pStyle w:val="H4GA"/>
      </w:pPr>
      <w:r w:rsidRPr="00575C09">
        <w:rPr>
          <w:rtl/>
        </w:rPr>
        <w:tab/>
      </w:r>
      <w:r w:rsidRPr="00575C09">
        <w:rPr>
          <w:rtl/>
        </w:rPr>
        <w:tab/>
        <w:t xml:space="preserve">قبل تسجيل البلاغ </w:t>
      </w:r>
    </w:p>
    <w:p w14:paraId="54E33CF0" w14:textId="6262469F"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1</w:t>
      </w:r>
      <w:r w:rsidRPr="000D7670">
        <w:rPr>
          <w:rtl/>
          <w:lang w:val="en-US"/>
        </w:rPr>
        <w:tab/>
        <w:t xml:space="preserve">كان صاحب البلاغ يعيش في بروكسل في مسكن مستأجر منذ </w:t>
      </w:r>
      <w:r w:rsidRPr="00575C09">
        <w:rPr>
          <w:rtl/>
          <w:lang w:val="en-US"/>
        </w:rPr>
        <w:t>9</w:t>
      </w:r>
      <w:r w:rsidRPr="000D7670">
        <w:rPr>
          <w:rtl/>
          <w:lang w:val="en-US"/>
        </w:rPr>
        <w:t xml:space="preserve"> آذار/مارس </w:t>
      </w:r>
      <w:r w:rsidRPr="00575C09">
        <w:rPr>
          <w:rtl/>
          <w:lang w:val="en-US"/>
        </w:rPr>
        <w:t>1994</w:t>
      </w:r>
      <w:r w:rsidRPr="000D7670">
        <w:rPr>
          <w:rtl/>
          <w:lang w:val="en-US"/>
        </w:rPr>
        <w:t xml:space="preserve">. ويؤكد أنه على الرغم من انخفاض دخله، البالغ </w:t>
      </w:r>
      <w:r w:rsidRPr="00575C09">
        <w:rPr>
          <w:rtl/>
          <w:lang w:val="en-US"/>
        </w:rPr>
        <w:t>185</w:t>
      </w:r>
      <w:r w:rsidRPr="000D7670">
        <w:rPr>
          <w:rtl/>
          <w:lang w:val="en-US"/>
        </w:rPr>
        <w:t xml:space="preserve"> </w:t>
      </w:r>
      <w:r w:rsidRPr="00575C09">
        <w:rPr>
          <w:rtl/>
          <w:lang w:val="en-US"/>
        </w:rPr>
        <w:t>1</w:t>
      </w:r>
      <w:r w:rsidRPr="000D7670">
        <w:rPr>
          <w:rtl/>
          <w:lang w:val="en-US"/>
        </w:rPr>
        <w:t xml:space="preserve"> يورو</w:t>
      </w:r>
      <w:r w:rsidR="00934890">
        <w:rPr>
          <w:rtl/>
          <w:lang w:val="en-US"/>
        </w:rPr>
        <w:t xml:space="preserve">اً </w:t>
      </w:r>
      <w:r w:rsidRPr="000D7670">
        <w:rPr>
          <w:rtl/>
          <w:lang w:val="en-US"/>
        </w:rPr>
        <w:t>شهري</w:t>
      </w:r>
      <w:r w:rsidR="00934890">
        <w:rPr>
          <w:rtl/>
          <w:lang w:val="en-US"/>
        </w:rPr>
        <w:t xml:space="preserve">اً </w:t>
      </w:r>
      <w:r w:rsidRPr="000D7670">
        <w:rPr>
          <w:rtl/>
          <w:lang w:val="en-US"/>
        </w:rPr>
        <w:t xml:space="preserve">الذي يتقاضاه في إطار الدخل المضمون للمسنين، لطالما دفع إيجاره عند استحقاقه. ويشير صاحب البلاغ إلى أن أسرته الوحيدة تقيم في كندا، ولكنه أقام روابط اجتماعية غنية مع جيرانه وأصحاب المتاجر في حيه. </w:t>
      </w:r>
    </w:p>
    <w:p w14:paraId="2CA5A7D1" w14:textId="2935C32D"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2</w:t>
      </w:r>
      <w:r w:rsidRPr="000D7670">
        <w:rPr>
          <w:rtl/>
          <w:lang w:val="en-US"/>
        </w:rPr>
        <w:tab/>
        <w:t xml:space="preserve">وفي </w:t>
      </w:r>
      <w:r w:rsidRPr="00575C09">
        <w:rPr>
          <w:rtl/>
          <w:lang w:val="en-US"/>
        </w:rPr>
        <w:t>21</w:t>
      </w:r>
      <w:r w:rsidRPr="000D7670">
        <w:rPr>
          <w:rtl/>
          <w:lang w:val="en-US"/>
        </w:rPr>
        <w:t xml:space="preserve"> آب/أغسطس </w:t>
      </w:r>
      <w:r w:rsidRPr="00575C09">
        <w:rPr>
          <w:rtl/>
          <w:lang w:val="en-US"/>
        </w:rPr>
        <w:t>2017</w:t>
      </w:r>
      <w:r w:rsidRPr="000D7670">
        <w:rPr>
          <w:rtl/>
          <w:lang w:val="en-US"/>
        </w:rPr>
        <w:t xml:space="preserve">، أبلغت مالكة الشقة صاحب البلاغ بأنها </w:t>
      </w:r>
      <w:proofErr w:type="spellStart"/>
      <w:r w:rsidRPr="000D7670">
        <w:rPr>
          <w:rtl/>
          <w:lang w:val="en-US"/>
        </w:rPr>
        <w:t>ستنه</w:t>
      </w:r>
      <w:proofErr w:type="spellEnd"/>
      <w:r w:rsidRPr="000D7670">
        <w:rPr>
          <w:rtl/>
          <w:lang w:val="en-US"/>
        </w:rPr>
        <w:t xml:space="preserve"> عقد الإيجار، مقابل منحه تعويضا</w:t>
      </w:r>
      <w:r w:rsidR="001D7A1E">
        <w:rPr>
          <w:rFonts w:hint="cs"/>
          <w:rtl/>
          <w:lang w:val="en-US"/>
        </w:rPr>
        <w:t>ً</w:t>
      </w:r>
      <w:r w:rsidRPr="000D7670">
        <w:rPr>
          <w:rtl/>
          <w:lang w:val="en-US"/>
        </w:rPr>
        <w:t xml:space="preserve"> يعادل قيمة الإيجار لمدة ستة أشهر ومهلة ستة أشهر قبل تاريخ الإنهاء الواقع فيه</w:t>
      </w:r>
      <w:r w:rsidR="003D33AE">
        <w:rPr>
          <w:rFonts w:hint="cs"/>
          <w:rtl/>
          <w:lang w:val="en-US"/>
        </w:rPr>
        <w:t> </w:t>
      </w:r>
      <w:r w:rsidRPr="00575C09">
        <w:rPr>
          <w:rtl/>
          <w:lang w:val="en-US"/>
        </w:rPr>
        <w:t>28</w:t>
      </w:r>
      <w:r w:rsidRPr="000D7670">
        <w:rPr>
          <w:rtl/>
          <w:lang w:val="en-US"/>
        </w:rPr>
        <w:t xml:space="preserve"> شباط/فبراير </w:t>
      </w:r>
      <w:r w:rsidRPr="00575C09">
        <w:rPr>
          <w:rtl/>
          <w:lang w:val="en-US"/>
        </w:rPr>
        <w:t>2018</w:t>
      </w:r>
      <w:r w:rsidRPr="000D7670">
        <w:rPr>
          <w:rtl/>
          <w:lang w:val="en-US"/>
        </w:rPr>
        <w:t>. وهكذا أنهت المالكة عقد الإيجار عمل</w:t>
      </w:r>
      <w:r w:rsidR="00934890">
        <w:rPr>
          <w:rtl/>
          <w:lang w:val="en-US"/>
        </w:rPr>
        <w:t xml:space="preserve">اً </w:t>
      </w:r>
      <w:r w:rsidRPr="000D7670">
        <w:rPr>
          <w:rtl/>
          <w:lang w:val="en-US"/>
        </w:rPr>
        <w:t xml:space="preserve">بالمادة </w:t>
      </w:r>
      <w:r w:rsidRPr="00575C09">
        <w:rPr>
          <w:rtl/>
          <w:lang w:val="en-US"/>
        </w:rPr>
        <w:t>3</w:t>
      </w:r>
      <w:r w:rsidRPr="000D7670">
        <w:rPr>
          <w:rtl/>
          <w:lang w:val="en-US"/>
        </w:rPr>
        <w:t>(</w:t>
      </w:r>
      <w:r w:rsidRPr="00575C09">
        <w:rPr>
          <w:rtl/>
          <w:lang w:val="en-US"/>
        </w:rPr>
        <w:t>4</w:t>
      </w:r>
      <w:r w:rsidRPr="000D7670">
        <w:rPr>
          <w:rtl/>
          <w:lang w:val="en-US"/>
        </w:rPr>
        <w:t>) من القانون الصادر في</w:t>
      </w:r>
      <w:r w:rsidR="003D33AE">
        <w:rPr>
          <w:rFonts w:hint="cs"/>
          <w:rtl/>
          <w:lang w:val="en-US"/>
        </w:rPr>
        <w:t> </w:t>
      </w:r>
      <w:r w:rsidRPr="00575C09">
        <w:rPr>
          <w:rtl/>
          <w:lang w:val="en-US"/>
        </w:rPr>
        <w:t>20</w:t>
      </w:r>
      <w:r w:rsidRPr="000D7670">
        <w:rPr>
          <w:rtl/>
          <w:lang w:val="en-US"/>
        </w:rPr>
        <w:t xml:space="preserve"> شباط/فبراير </w:t>
      </w:r>
      <w:r w:rsidRPr="00575C09">
        <w:rPr>
          <w:rtl/>
          <w:lang w:val="en-US"/>
        </w:rPr>
        <w:t>1991</w:t>
      </w:r>
      <w:r w:rsidRPr="000D7670">
        <w:rPr>
          <w:rtl/>
          <w:lang w:val="en-US"/>
        </w:rPr>
        <w:t xml:space="preserve"> المعدِّل والمتمِّم لأحكام القانون المدني المتعلقة بعقود الإيجار. </w:t>
      </w:r>
    </w:p>
    <w:p w14:paraId="6A23D497" w14:textId="51B71719"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3</w:t>
      </w:r>
      <w:r w:rsidRPr="000D7670">
        <w:rPr>
          <w:rtl/>
          <w:lang w:val="en-US"/>
        </w:rPr>
        <w:tab/>
        <w:t>ويدعي صاحب البلاغ أن قرار المالكة إنهاء عقد الإيجار اتُّخذ في سياق نزاع نشب بين صاحب البلاغ ومالك المبنى المجاور الذي يعدّ ابن شقيق مالكة الشقة التي كان يستأجرها صاحب البلاغ. ويشير إلى أنه تمكن من الحصول على حكم قضائي يقضي بإلغاء رخصة تخطيط تسوية الوضع، التي كانت قد أعطيت لصاحب المبنى المجاور بسبب سوء العزل الصوتي للجدران المشتركة. و</w:t>
      </w:r>
      <w:r w:rsidR="00B6606A">
        <w:rPr>
          <w:rtl/>
          <w:lang w:val="en-US"/>
        </w:rPr>
        <w:t xml:space="preserve">وفقاً </w:t>
      </w:r>
      <w:r w:rsidRPr="000D7670">
        <w:rPr>
          <w:rtl/>
          <w:lang w:val="en-US"/>
        </w:rPr>
        <w:t xml:space="preserve">لصاحب البلاغ، فإن هدف المالكة هو السماح لابن شقيقها بتأجير الشقة المجاورة دون إجراء دراسة صوتية. </w:t>
      </w:r>
    </w:p>
    <w:p w14:paraId="7B9F929F" w14:textId="1C31DAD5"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4</w:t>
      </w:r>
      <w:r w:rsidRPr="000D7670">
        <w:rPr>
          <w:rtl/>
          <w:lang w:val="en-US"/>
        </w:rPr>
        <w:tab/>
      </w:r>
      <w:r w:rsidRPr="00B6606A">
        <w:rPr>
          <w:spacing w:val="-4"/>
          <w:rtl/>
          <w:lang w:val="en-US"/>
        </w:rPr>
        <w:t xml:space="preserve">وفي </w:t>
      </w:r>
      <w:r w:rsidRPr="00575C09">
        <w:rPr>
          <w:spacing w:val="-4"/>
          <w:rtl/>
          <w:lang w:val="en-US"/>
        </w:rPr>
        <w:t>3</w:t>
      </w:r>
      <w:r w:rsidRPr="00B6606A">
        <w:rPr>
          <w:spacing w:val="-4"/>
          <w:rtl/>
          <w:lang w:val="en-US"/>
        </w:rPr>
        <w:t xml:space="preserve"> تشرين الأول/أكتوبر </w:t>
      </w:r>
      <w:r w:rsidRPr="00575C09">
        <w:rPr>
          <w:spacing w:val="-4"/>
          <w:rtl/>
          <w:lang w:val="en-US"/>
        </w:rPr>
        <w:t>2017</w:t>
      </w:r>
      <w:r w:rsidRPr="00B6606A">
        <w:rPr>
          <w:spacing w:val="-4"/>
          <w:rtl/>
          <w:lang w:val="en-US"/>
        </w:rPr>
        <w:t>، قدمت المالكة طلبا</w:t>
      </w:r>
      <w:r w:rsidR="001D7A1E">
        <w:rPr>
          <w:rFonts w:hint="cs"/>
          <w:spacing w:val="-4"/>
          <w:rtl/>
          <w:lang w:val="en-US"/>
        </w:rPr>
        <w:t>ً</w:t>
      </w:r>
      <w:r w:rsidRPr="00B6606A">
        <w:rPr>
          <w:spacing w:val="-4"/>
          <w:rtl/>
          <w:lang w:val="en-US"/>
        </w:rPr>
        <w:t xml:space="preserve"> لإقرار إنهاء الإيجار أمام محكمة الصلح</w:t>
      </w:r>
      <w:r w:rsidRPr="000D7670">
        <w:rPr>
          <w:rtl/>
          <w:lang w:val="en-US"/>
        </w:rPr>
        <w:t xml:space="preserve"> في </w:t>
      </w:r>
      <w:proofErr w:type="spellStart"/>
      <w:r w:rsidRPr="00B6606A">
        <w:rPr>
          <w:spacing w:val="-4"/>
          <w:rtl/>
          <w:lang w:val="en-US"/>
        </w:rPr>
        <w:t>إتربيك</w:t>
      </w:r>
      <w:proofErr w:type="spellEnd"/>
      <w:r w:rsidRPr="00B6606A">
        <w:rPr>
          <w:spacing w:val="-4"/>
          <w:rtl/>
          <w:lang w:val="en-US"/>
        </w:rPr>
        <w:t xml:space="preserve">. وبقرار صادر في </w:t>
      </w:r>
      <w:r w:rsidRPr="00575C09">
        <w:rPr>
          <w:spacing w:val="-4"/>
          <w:rtl/>
          <w:lang w:val="en-US"/>
        </w:rPr>
        <w:t>28</w:t>
      </w:r>
      <w:r w:rsidRPr="00B6606A">
        <w:rPr>
          <w:spacing w:val="-4"/>
          <w:rtl/>
          <w:lang w:val="en-US"/>
        </w:rPr>
        <w:t xml:space="preserve"> تشرين الثاني/نوفمبر </w:t>
      </w:r>
      <w:r w:rsidRPr="00575C09">
        <w:rPr>
          <w:spacing w:val="-4"/>
          <w:rtl/>
          <w:lang w:val="en-US"/>
        </w:rPr>
        <w:t>2017</w:t>
      </w:r>
      <w:r w:rsidRPr="00B6606A">
        <w:rPr>
          <w:spacing w:val="-4"/>
          <w:rtl/>
          <w:lang w:val="en-US"/>
        </w:rPr>
        <w:t>، أكدت هذه المحكمة إنهاء الإيجار وأمرت صاحب</w:t>
      </w:r>
      <w:r w:rsidRPr="000D7670">
        <w:rPr>
          <w:rtl/>
          <w:lang w:val="en-US"/>
        </w:rPr>
        <w:t xml:space="preserve"> البلاغ بمغادرة الشقة في موعد أقصاه </w:t>
      </w:r>
      <w:r w:rsidRPr="00575C09">
        <w:rPr>
          <w:rtl/>
          <w:lang w:val="en-US"/>
        </w:rPr>
        <w:t>28</w:t>
      </w:r>
      <w:r w:rsidRPr="000D7670">
        <w:rPr>
          <w:rtl/>
          <w:lang w:val="en-US"/>
        </w:rPr>
        <w:t xml:space="preserve"> شباط/فبراير </w:t>
      </w:r>
      <w:r w:rsidRPr="00575C09">
        <w:rPr>
          <w:rtl/>
          <w:lang w:val="en-US"/>
        </w:rPr>
        <w:t>2018</w:t>
      </w:r>
      <w:r w:rsidRPr="000D7670">
        <w:rPr>
          <w:rtl/>
          <w:lang w:val="en-US"/>
        </w:rPr>
        <w:t>، وهو تاريخ انتهاء عقد الإيجار، وإلا يصبح من حقّ المالكة طرده بمشيئتها وإخراج أثاثه وأغراضه بمساعدة أول ساعي محكمة يُلتمس لهذا الغرض، وذلك اعتبارا</w:t>
      </w:r>
      <w:r w:rsidR="001D7A1E">
        <w:rPr>
          <w:rFonts w:hint="cs"/>
          <w:rtl/>
          <w:lang w:val="en-US"/>
        </w:rPr>
        <w:t>ً</w:t>
      </w:r>
      <w:r w:rsidRPr="000D7670">
        <w:rPr>
          <w:rtl/>
          <w:lang w:val="en-US"/>
        </w:rPr>
        <w:t xml:space="preserve"> من </w:t>
      </w:r>
      <w:r w:rsidRPr="00575C09">
        <w:rPr>
          <w:rtl/>
          <w:lang w:val="en-US"/>
        </w:rPr>
        <w:t>1</w:t>
      </w:r>
      <w:r w:rsidRPr="000D7670">
        <w:rPr>
          <w:rtl/>
          <w:lang w:val="en-US"/>
        </w:rPr>
        <w:t xml:space="preserve"> آذار/مارس </w:t>
      </w:r>
      <w:r w:rsidRPr="00575C09">
        <w:rPr>
          <w:rtl/>
          <w:lang w:val="en-US"/>
        </w:rPr>
        <w:t>2018</w:t>
      </w:r>
      <w:r w:rsidRPr="000D7670">
        <w:rPr>
          <w:rtl/>
          <w:lang w:val="en-US"/>
        </w:rPr>
        <w:t>. كما أدين صاحب البلاغ بدفع فوائد وتكاليف قانونية.</w:t>
      </w:r>
    </w:p>
    <w:p w14:paraId="33C8E1F0" w14:textId="77777777"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5</w:t>
      </w:r>
      <w:r w:rsidRPr="000D7670">
        <w:rPr>
          <w:rtl/>
          <w:lang w:val="en-US"/>
        </w:rPr>
        <w:tab/>
        <w:t xml:space="preserve">وفي </w:t>
      </w:r>
      <w:r w:rsidRPr="00575C09">
        <w:rPr>
          <w:rtl/>
          <w:lang w:val="en-US"/>
        </w:rPr>
        <w:t>6</w:t>
      </w:r>
      <w:r w:rsidRPr="000D7670">
        <w:rPr>
          <w:rtl/>
          <w:lang w:val="en-US"/>
        </w:rPr>
        <w:t xml:space="preserve"> شباط/فبراير </w:t>
      </w:r>
      <w:r w:rsidRPr="00575C09">
        <w:rPr>
          <w:rtl/>
          <w:lang w:val="en-US"/>
        </w:rPr>
        <w:t>2018</w:t>
      </w:r>
      <w:r w:rsidRPr="000D7670">
        <w:rPr>
          <w:rtl/>
          <w:lang w:val="en-US"/>
        </w:rPr>
        <w:t xml:space="preserve">، استأنف صاحب البلاغ قرار محكمة الصلح في </w:t>
      </w:r>
      <w:proofErr w:type="spellStart"/>
      <w:r w:rsidRPr="000D7670">
        <w:rPr>
          <w:rtl/>
          <w:lang w:val="en-US"/>
        </w:rPr>
        <w:t>إتربيك</w:t>
      </w:r>
      <w:proofErr w:type="spellEnd"/>
      <w:r w:rsidRPr="000D7670">
        <w:rPr>
          <w:rtl/>
          <w:lang w:val="en-US"/>
        </w:rPr>
        <w:t xml:space="preserve">. </w:t>
      </w:r>
    </w:p>
    <w:p w14:paraId="3C90778C" w14:textId="375FB303"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6</w:t>
      </w:r>
      <w:r w:rsidRPr="000D7670">
        <w:rPr>
          <w:rtl/>
          <w:lang w:val="en-US"/>
        </w:rPr>
        <w:tab/>
        <w:t xml:space="preserve">وفي </w:t>
      </w:r>
      <w:r w:rsidRPr="00575C09">
        <w:rPr>
          <w:rtl/>
          <w:lang w:val="en-US"/>
        </w:rPr>
        <w:t>14</w:t>
      </w:r>
      <w:r w:rsidRPr="000D7670">
        <w:rPr>
          <w:rtl/>
          <w:lang w:val="en-US"/>
        </w:rPr>
        <w:t xml:space="preserve"> آذار/مارس و</w:t>
      </w:r>
      <w:r w:rsidRPr="00575C09">
        <w:rPr>
          <w:rtl/>
          <w:lang w:val="en-US"/>
        </w:rPr>
        <w:t>29</w:t>
      </w:r>
      <w:r w:rsidRPr="000D7670">
        <w:rPr>
          <w:rtl/>
          <w:lang w:val="en-US"/>
        </w:rPr>
        <w:t xml:space="preserve"> أيار/مايو </w:t>
      </w:r>
      <w:r w:rsidRPr="00575C09">
        <w:rPr>
          <w:rtl/>
          <w:lang w:val="en-US"/>
        </w:rPr>
        <w:t>2018</w:t>
      </w:r>
      <w:r w:rsidRPr="000D7670">
        <w:rPr>
          <w:rtl/>
          <w:lang w:val="en-US"/>
        </w:rPr>
        <w:t xml:space="preserve">، رفضت الغرفة الأولى للمحكمة الابتدائية الناطقة بالفرنسية في بروكسل ادعاء صاحب البلاغ بأن تصرف المالكة يشكل إساءة استعمال لحقها في إنهاء </w:t>
      </w:r>
      <w:r w:rsidRPr="001D7A1E">
        <w:rPr>
          <w:spacing w:val="-4"/>
          <w:rtl/>
          <w:lang w:val="en-US"/>
        </w:rPr>
        <w:t>عقد الإيجار قبل استحقاق أجله لأسباب غير مشروعة تتعلق بالنزاع القانوني القائم بين ابن أخيها وصاحب</w:t>
      </w:r>
      <w:r w:rsidRPr="000D7670">
        <w:rPr>
          <w:rtl/>
          <w:lang w:val="en-US"/>
        </w:rPr>
        <w:t xml:space="preserve"> البلاغ. وخلصت المحكمة إلى أنه لم يثبت أن المالكة كانت تضمر الأذى في تصرفها وإلى أنه من حقها المشروع أن تسعى إلى "ترتيب شؤونها". ولا تصبح ممارسة الحق تعسفية إلا إذا تجاوزت بوضوح هامش الممارسة العادية المقدّرة لهذا الحق، لا سيما وأنّ المؤجر ليس مضطر</w:t>
      </w:r>
      <w:r w:rsidR="00934890">
        <w:rPr>
          <w:rtl/>
          <w:lang w:val="en-US"/>
        </w:rPr>
        <w:t xml:space="preserve">اً </w:t>
      </w:r>
      <w:r w:rsidRPr="000D7670">
        <w:rPr>
          <w:rtl/>
          <w:lang w:val="en-US"/>
        </w:rPr>
        <w:t xml:space="preserve">إلى تبرير قراره. ونتيجة لذلك، أيدت المحكمة القرار الصادر في </w:t>
      </w:r>
      <w:r w:rsidRPr="00575C09">
        <w:rPr>
          <w:rtl/>
          <w:lang w:val="en-US"/>
        </w:rPr>
        <w:t>28</w:t>
      </w:r>
      <w:r w:rsidRPr="000D7670">
        <w:rPr>
          <w:rtl/>
          <w:lang w:val="en-US"/>
        </w:rPr>
        <w:t xml:space="preserve"> تشرين الثاني/نوفمبر </w:t>
      </w:r>
      <w:r w:rsidRPr="00575C09">
        <w:rPr>
          <w:rtl/>
          <w:lang w:val="en-US"/>
        </w:rPr>
        <w:t>2017</w:t>
      </w:r>
      <w:r w:rsidRPr="000D7670">
        <w:rPr>
          <w:rtl/>
          <w:lang w:val="en-US"/>
        </w:rPr>
        <w:t xml:space="preserve"> بشأن إقرار إنهاء الإيجار وتاريخ انتهاء العقد. ولكنها منحت صاحب البلاغ فترة سماح تمتد حتى </w:t>
      </w:r>
      <w:r w:rsidRPr="00575C09">
        <w:rPr>
          <w:rtl/>
          <w:lang w:val="en-US"/>
        </w:rPr>
        <w:t>30</w:t>
      </w:r>
      <w:r w:rsidRPr="000D7670">
        <w:rPr>
          <w:rtl/>
          <w:lang w:val="en-US"/>
        </w:rPr>
        <w:t xml:space="preserve"> أيلول/سبتمبر </w:t>
      </w:r>
      <w:r w:rsidRPr="00575C09">
        <w:rPr>
          <w:rtl/>
          <w:lang w:val="en-US"/>
        </w:rPr>
        <w:t>2018</w:t>
      </w:r>
      <w:r w:rsidRPr="000D7670">
        <w:rPr>
          <w:rtl/>
          <w:lang w:val="en-US"/>
        </w:rPr>
        <w:t xml:space="preserve"> لمغادرة الشقة، بسبب سنه ووضعه الشخصي. ورأت المحكمة أنه ينبغي إيجاد توازن بين مصالح الطرفين ومراعاة المهل الزمنية التي سبق أن استفاد منها صاحب البلاغ بحكم الواقع. وخلصت بذلك إلى عدم جواز تمديد فترة السماح حتى </w:t>
      </w:r>
      <w:r w:rsidRPr="00575C09">
        <w:rPr>
          <w:rtl/>
          <w:lang w:val="en-US"/>
        </w:rPr>
        <w:t>28</w:t>
      </w:r>
      <w:r w:rsidRPr="000D7670">
        <w:rPr>
          <w:rtl/>
          <w:lang w:val="en-US"/>
        </w:rPr>
        <w:t xml:space="preserve"> شباط/فبراير </w:t>
      </w:r>
      <w:r w:rsidRPr="00575C09">
        <w:rPr>
          <w:rtl/>
          <w:lang w:val="en-US"/>
        </w:rPr>
        <w:t>2021</w:t>
      </w:r>
      <w:r w:rsidRPr="000D7670">
        <w:rPr>
          <w:rtl/>
          <w:lang w:val="en-US"/>
        </w:rPr>
        <w:t xml:space="preserve">، على نحو ما طلبه صاحب البلاغ، لأن ذلك يحرم المالكة من المزايا التي تعتزم الحصول عليها من قرارها إنهاء عقد الإيجار قبل استحقاق أجله ويفرض عليها في الوقت نفسه دفع </w:t>
      </w:r>
      <w:r w:rsidRPr="000D7670">
        <w:rPr>
          <w:rtl/>
          <w:lang w:val="en-US"/>
        </w:rPr>
        <w:lastRenderedPageBreak/>
        <w:t>تعويض يعادل قيمة الإيجار لمدة ستة أشهر. وعدلت المحكمة</w:t>
      </w:r>
      <w:r w:rsidR="00B6606A">
        <w:rPr>
          <w:rtl/>
          <w:lang w:val="en-US"/>
        </w:rPr>
        <w:t xml:space="preserve"> أيضاً </w:t>
      </w:r>
      <w:r w:rsidRPr="000D7670">
        <w:rPr>
          <w:rtl/>
          <w:lang w:val="en-US"/>
        </w:rPr>
        <w:t xml:space="preserve">تكاليف إجراءات المحاكمة التي أجريت أمام القاضي الأول، وحكمت على صاحب البلاغ بدفع مبلغ إجمالي قدره </w:t>
      </w:r>
      <w:r w:rsidRPr="00575C09">
        <w:rPr>
          <w:rtl/>
          <w:lang w:val="en-US"/>
        </w:rPr>
        <w:t>265</w:t>
      </w:r>
      <w:r w:rsidRPr="000D7670">
        <w:rPr>
          <w:rtl/>
          <w:lang w:val="en-US"/>
        </w:rPr>
        <w:t xml:space="preserve"> يورو</w:t>
      </w:r>
      <w:r w:rsidR="00934890">
        <w:rPr>
          <w:rtl/>
          <w:lang w:val="en-US"/>
        </w:rPr>
        <w:t xml:space="preserve">اً </w:t>
      </w:r>
      <w:r w:rsidRPr="000D7670">
        <w:rPr>
          <w:rtl/>
          <w:lang w:val="en-US"/>
        </w:rPr>
        <w:t xml:space="preserve">كتعويض عن إجراءات المحكمتين. </w:t>
      </w:r>
    </w:p>
    <w:p w14:paraId="0D471B04" w14:textId="46DEAD39"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7</w:t>
      </w:r>
      <w:r w:rsidRPr="000D7670">
        <w:rPr>
          <w:rtl/>
          <w:lang w:val="en-US"/>
        </w:rPr>
        <w:tab/>
      </w:r>
      <w:r w:rsidRPr="003D33AE">
        <w:rPr>
          <w:spacing w:val="-4"/>
          <w:rtl/>
          <w:lang w:val="en-US"/>
        </w:rPr>
        <w:t xml:space="preserve">وفي </w:t>
      </w:r>
      <w:r w:rsidRPr="00575C09">
        <w:rPr>
          <w:spacing w:val="-4"/>
          <w:rtl/>
          <w:lang w:val="en-US"/>
        </w:rPr>
        <w:t>4</w:t>
      </w:r>
      <w:r w:rsidRPr="003D33AE">
        <w:rPr>
          <w:spacing w:val="-4"/>
          <w:rtl/>
          <w:lang w:val="en-US"/>
        </w:rPr>
        <w:t xml:space="preserve"> تموز/يوليه </w:t>
      </w:r>
      <w:r w:rsidRPr="00575C09">
        <w:rPr>
          <w:spacing w:val="-4"/>
          <w:rtl/>
          <w:lang w:val="en-US"/>
        </w:rPr>
        <w:t>2018</w:t>
      </w:r>
      <w:r w:rsidRPr="003D33AE">
        <w:rPr>
          <w:spacing w:val="-4"/>
          <w:rtl/>
          <w:lang w:val="en-US"/>
        </w:rPr>
        <w:t>، قدّم صاحب البلاغ طلب</w:t>
      </w:r>
      <w:r w:rsidR="00934890" w:rsidRPr="003D33AE">
        <w:rPr>
          <w:spacing w:val="-4"/>
          <w:rtl/>
          <w:lang w:val="en-US"/>
        </w:rPr>
        <w:t xml:space="preserve">اً </w:t>
      </w:r>
      <w:r w:rsidRPr="003D33AE">
        <w:rPr>
          <w:spacing w:val="-4"/>
          <w:rtl/>
          <w:lang w:val="en-US"/>
        </w:rPr>
        <w:t xml:space="preserve">لدى وكالة </w:t>
      </w:r>
      <w:proofErr w:type="spellStart"/>
      <w:r w:rsidRPr="003D33AE">
        <w:rPr>
          <w:spacing w:val="-4"/>
          <w:rtl/>
          <w:lang w:val="en-US"/>
        </w:rPr>
        <w:t>إتربيك</w:t>
      </w:r>
      <w:proofErr w:type="spellEnd"/>
      <w:r w:rsidRPr="003D33AE">
        <w:rPr>
          <w:spacing w:val="-4"/>
          <w:rtl/>
          <w:lang w:val="en-US"/>
        </w:rPr>
        <w:t xml:space="preserve"> العقارية الاجتماعية وهيئة</w:t>
      </w:r>
      <w:r w:rsidRPr="000D7670">
        <w:rPr>
          <w:rtl/>
          <w:lang w:val="en-US"/>
        </w:rPr>
        <w:t xml:space="preserve"> </w:t>
      </w:r>
      <w:r w:rsidRPr="003D33AE">
        <w:rPr>
          <w:spacing w:val="-4"/>
          <w:rtl/>
          <w:lang w:val="en-US"/>
        </w:rPr>
        <w:t xml:space="preserve">إدارة المساكن بوصفه طالب سكن للاستئجار. وفي </w:t>
      </w:r>
      <w:r w:rsidRPr="00575C09">
        <w:rPr>
          <w:spacing w:val="-4"/>
          <w:rtl/>
          <w:lang w:val="en-US"/>
        </w:rPr>
        <w:t>17</w:t>
      </w:r>
      <w:r w:rsidRPr="003D33AE">
        <w:rPr>
          <w:spacing w:val="-4"/>
          <w:rtl/>
          <w:lang w:val="en-US"/>
        </w:rPr>
        <w:t xml:space="preserve"> أيلول/سبتمبر </w:t>
      </w:r>
      <w:r w:rsidRPr="00575C09">
        <w:rPr>
          <w:spacing w:val="-4"/>
          <w:rtl/>
          <w:lang w:val="en-US"/>
        </w:rPr>
        <w:t>2018</w:t>
      </w:r>
      <w:r w:rsidRPr="003D33AE">
        <w:rPr>
          <w:spacing w:val="-4"/>
          <w:rtl/>
          <w:lang w:val="en-US"/>
        </w:rPr>
        <w:t>، أبلغ ساعي المحكمة صاحب</w:t>
      </w:r>
      <w:r w:rsidRPr="000D7670">
        <w:rPr>
          <w:rtl/>
          <w:lang w:val="en-US"/>
        </w:rPr>
        <w:t xml:space="preserve"> البلاغ بأن طرده من الشقة كان مقرر</w:t>
      </w:r>
      <w:r w:rsidR="00934890">
        <w:rPr>
          <w:rtl/>
          <w:lang w:val="en-US"/>
        </w:rPr>
        <w:t xml:space="preserve">اً </w:t>
      </w:r>
      <w:r w:rsidRPr="000D7670">
        <w:rPr>
          <w:rtl/>
          <w:lang w:val="en-US"/>
        </w:rPr>
        <w:t xml:space="preserve">في </w:t>
      </w:r>
      <w:r w:rsidRPr="00575C09">
        <w:rPr>
          <w:rtl/>
          <w:lang w:val="en-US"/>
        </w:rPr>
        <w:t>8</w:t>
      </w:r>
      <w:r w:rsidRPr="000D7670">
        <w:rPr>
          <w:rtl/>
          <w:lang w:val="en-US"/>
        </w:rPr>
        <w:t xml:space="preserve"> تشرين الأول/أكتوبر </w:t>
      </w:r>
      <w:r w:rsidRPr="00575C09">
        <w:rPr>
          <w:rtl/>
          <w:lang w:val="en-US"/>
        </w:rPr>
        <w:t>2018</w:t>
      </w:r>
      <w:r w:rsidRPr="000D7670">
        <w:rPr>
          <w:rtl/>
          <w:lang w:val="en-US"/>
        </w:rPr>
        <w:t>.</w:t>
      </w:r>
    </w:p>
    <w:p w14:paraId="7BE4242B" w14:textId="028E18F2"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8</w:t>
      </w:r>
      <w:r w:rsidRPr="000D7670">
        <w:rPr>
          <w:rtl/>
          <w:lang w:val="en-US"/>
        </w:rPr>
        <w:tab/>
        <w:t xml:space="preserve">وفي </w:t>
      </w:r>
      <w:r w:rsidRPr="00575C09">
        <w:rPr>
          <w:rtl/>
          <w:lang w:val="en-US"/>
        </w:rPr>
        <w:t>26</w:t>
      </w:r>
      <w:r w:rsidRPr="000D7670">
        <w:rPr>
          <w:rtl/>
          <w:lang w:val="en-US"/>
        </w:rPr>
        <w:t xml:space="preserve"> أيلول/سبتمبر </w:t>
      </w:r>
      <w:r w:rsidRPr="00575C09">
        <w:rPr>
          <w:rtl/>
          <w:lang w:val="en-US"/>
        </w:rPr>
        <w:t>2018</w:t>
      </w:r>
      <w:r w:rsidRPr="000D7670">
        <w:rPr>
          <w:rtl/>
          <w:lang w:val="en-US"/>
        </w:rPr>
        <w:t>، قدّم صاحب البلاغ طلب</w:t>
      </w:r>
      <w:r w:rsidR="00934890">
        <w:rPr>
          <w:rtl/>
          <w:lang w:val="en-US"/>
        </w:rPr>
        <w:t xml:space="preserve">اً </w:t>
      </w:r>
      <w:r w:rsidRPr="000D7670">
        <w:rPr>
          <w:rtl/>
          <w:lang w:val="en-US"/>
        </w:rPr>
        <w:t xml:space="preserve">للحصول على مساعدة قضائية من مكتب المساعدة القضائية التابع لمحكمة النقض كي يطعن في القرار الصادر في حقه أمام هذه المحكمة. ويدعي صاحب البلاغ أنه لم يتمكن من العثور على سكن لائق بسبب دخله المنخفض، وأنه لم يوفَّر له أي سكن اجتماعي. وبالإضافة إلى ذلك، يقول إنه </w:t>
      </w:r>
      <w:r w:rsidR="00B6606A">
        <w:rPr>
          <w:rtl/>
          <w:lang w:val="en-US"/>
        </w:rPr>
        <w:t xml:space="preserve">وفقاً </w:t>
      </w:r>
      <w:r w:rsidRPr="000D7670">
        <w:rPr>
          <w:rtl/>
          <w:lang w:val="en-US"/>
        </w:rPr>
        <w:t xml:space="preserve">لشهادة وضعها طبيبه النفسي في </w:t>
      </w:r>
      <w:r w:rsidRPr="00575C09">
        <w:rPr>
          <w:rtl/>
          <w:lang w:val="en-US"/>
        </w:rPr>
        <w:t>17</w:t>
      </w:r>
      <w:r w:rsidRPr="000D7670">
        <w:rPr>
          <w:rtl/>
          <w:lang w:val="en-US"/>
        </w:rPr>
        <w:t xml:space="preserve"> أيلول/</w:t>
      </w:r>
      <w:r w:rsidR="00934890">
        <w:rPr>
          <w:rFonts w:hint="cs"/>
          <w:rtl/>
          <w:lang w:val="en-US"/>
        </w:rPr>
        <w:t xml:space="preserve"> </w:t>
      </w:r>
      <w:r w:rsidRPr="000D7670">
        <w:rPr>
          <w:rtl/>
          <w:lang w:val="en-US"/>
        </w:rPr>
        <w:t xml:space="preserve">سبتمبر </w:t>
      </w:r>
      <w:r w:rsidRPr="00575C09">
        <w:rPr>
          <w:rtl/>
          <w:lang w:val="en-US"/>
        </w:rPr>
        <w:t>2018</w:t>
      </w:r>
      <w:r w:rsidRPr="000D7670">
        <w:rPr>
          <w:rtl/>
          <w:lang w:val="en-US"/>
        </w:rPr>
        <w:t>، يمنعه وضعه النفسي من مغادرة منزله بالقوة وإلا قد يؤدي ذلك إلى تدهور حالته بصورة مأساوية والتسبب له في آثار دائمة لا رجعة فيها.</w:t>
      </w:r>
    </w:p>
    <w:p w14:paraId="7A4C7CE7" w14:textId="77777777" w:rsidR="000D7670" w:rsidRPr="00575C09" w:rsidRDefault="000D7670" w:rsidP="00190E4B">
      <w:pPr>
        <w:pStyle w:val="H4GA"/>
        <w:spacing w:line="360" w:lineRule="exact"/>
      </w:pPr>
      <w:r w:rsidRPr="00575C09">
        <w:rPr>
          <w:rtl/>
        </w:rPr>
        <w:tab/>
      </w:r>
      <w:r w:rsidRPr="00575C09">
        <w:rPr>
          <w:rtl/>
        </w:rPr>
        <w:tab/>
        <w:t>بعد تسجيل البلاغ</w:t>
      </w:r>
    </w:p>
    <w:p w14:paraId="6360B0B6" w14:textId="14706322"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9</w:t>
      </w:r>
      <w:r w:rsidRPr="000D7670">
        <w:rPr>
          <w:rtl/>
          <w:lang w:val="en-US"/>
        </w:rPr>
        <w:tab/>
        <w:t xml:space="preserve">في </w:t>
      </w:r>
      <w:r w:rsidRPr="00575C09">
        <w:rPr>
          <w:rtl/>
          <w:lang w:val="en-US"/>
        </w:rPr>
        <w:t>5</w:t>
      </w:r>
      <w:r w:rsidRPr="000D7670">
        <w:rPr>
          <w:rtl/>
          <w:lang w:val="en-US"/>
        </w:rPr>
        <w:t xml:space="preserve"> تشرين الأول/أكتوبر </w:t>
      </w:r>
      <w:r w:rsidRPr="00575C09">
        <w:rPr>
          <w:rtl/>
          <w:lang w:val="en-US"/>
        </w:rPr>
        <w:t>2018</w:t>
      </w:r>
      <w:r w:rsidRPr="000D7670">
        <w:rPr>
          <w:rtl/>
          <w:lang w:val="en-US"/>
        </w:rPr>
        <w:t>، سجلت اللجنة بلاغ صاحب البلاغ، وطلبت إلى الدولة الطرف، عمل</w:t>
      </w:r>
      <w:r w:rsidR="00934890">
        <w:rPr>
          <w:rtl/>
          <w:lang w:val="en-US"/>
        </w:rPr>
        <w:t xml:space="preserve">اً </w:t>
      </w:r>
      <w:r w:rsidRPr="000D7670">
        <w:rPr>
          <w:rtl/>
          <w:lang w:val="en-US"/>
        </w:rPr>
        <w:t xml:space="preserve">بالمادة </w:t>
      </w:r>
      <w:r w:rsidRPr="00575C09">
        <w:rPr>
          <w:rtl/>
          <w:lang w:val="en-US"/>
        </w:rPr>
        <w:t>5</w:t>
      </w:r>
      <w:r w:rsidRPr="000D7670">
        <w:rPr>
          <w:rtl/>
          <w:lang w:val="en-US"/>
        </w:rPr>
        <w:t xml:space="preserve"> من البروتوكول الاختياري ولتجنب الأضرار الدائمة التي يمكن أن تلحق بصاحب البلاغ، تعليق قرار طرده من مسكنه طالما أن البلاغ معروض على اللجنة لتنظر فيه، أو توفير سكن بديل لصاحب البلاغ يناسب احتياجاته المعيّنة وذلك بعد التشاور معه بحسن نية وبصورة فعالة.</w:t>
      </w:r>
    </w:p>
    <w:p w14:paraId="0F682DA2" w14:textId="75CC9FB0"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10</w:t>
      </w:r>
      <w:r w:rsidRPr="000D7670">
        <w:rPr>
          <w:rtl/>
          <w:lang w:val="en-US"/>
        </w:rPr>
        <w:tab/>
        <w:t xml:space="preserve">وفي </w:t>
      </w:r>
      <w:r w:rsidRPr="00575C09">
        <w:rPr>
          <w:rtl/>
          <w:lang w:val="en-US"/>
        </w:rPr>
        <w:t>6</w:t>
      </w:r>
      <w:r w:rsidRPr="000D7670">
        <w:rPr>
          <w:rtl/>
          <w:lang w:val="en-US"/>
        </w:rPr>
        <w:t xml:space="preserve"> تشرين الأول/أكتوبر </w:t>
      </w:r>
      <w:r w:rsidRPr="00575C09">
        <w:rPr>
          <w:rtl/>
          <w:lang w:val="en-US"/>
        </w:rPr>
        <w:t>2018</w:t>
      </w:r>
      <w:r w:rsidRPr="000D7670">
        <w:rPr>
          <w:rtl/>
          <w:lang w:val="en-US"/>
        </w:rPr>
        <w:t xml:space="preserve">، طلب </w:t>
      </w:r>
      <w:proofErr w:type="spellStart"/>
      <w:r w:rsidRPr="000D7670">
        <w:rPr>
          <w:rtl/>
          <w:lang w:val="en-US"/>
        </w:rPr>
        <w:t>بورغمستر</w:t>
      </w:r>
      <w:proofErr w:type="spellEnd"/>
      <w:r w:rsidRPr="000D7670">
        <w:rPr>
          <w:rtl/>
          <w:lang w:val="en-US"/>
        </w:rPr>
        <w:t xml:space="preserve"> بلدة </w:t>
      </w:r>
      <w:proofErr w:type="spellStart"/>
      <w:r w:rsidRPr="000D7670">
        <w:rPr>
          <w:rtl/>
          <w:lang w:val="en-US"/>
        </w:rPr>
        <w:t>إتربيك</w:t>
      </w:r>
      <w:proofErr w:type="spellEnd"/>
      <w:r w:rsidRPr="000D7670">
        <w:rPr>
          <w:rtl/>
          <w:lang w:val="en-US"/>
        </w:rPr>
        <w:t xml:space="preserve"> أن يُتخذ إجراء لإخضاع صاحب البلاغ لمراقبة نفسية إلزامية بسبب تهديداته بالانتحار. ونقلته الشرطة بالقوة إلى المستشفى ثم أفرجت عنه بعد أن خضع لفحص طبي خلص إلى أنه ليس معرض</w:t>
      </w:r>
      <w:r w:rsidR="00934890">
        <w:rPr>
          <w:rtl/>
          <w:lang w:val="en-US"/>
        </w:rPr>
        <w:t xml:space="preserve">اً </w:t>
      </w:r>
      <w:r w:rsidRPr="000D7670">
        <w:rPr>
          <w:rtl/>
          <w:lang w:val="en-US"/>
        </w:rPr>
        <w:t xml:space="preserve">لخطر الانتحار ولا يعاني من مرض عقلي ولا يشكل خطراً. ونتيجة لهذا الحدث، وافق ساعي المحكمة على تأجيل عملية الطرد إلى </w:t>
      </w:r>
      <w:r w:rsidRPr="00575C09">
        <w:rPr>
          <w:rtl/>
          <w:lang w:val="en-US"/>
        </w:rPr>
        <w:t>17</w:t>
      </w:r>
      <w:r w:rsidRPr="000D7670">
        <w:rPr>
          <w:rtl/>
          <w:lang w:val="en-US"/>
        </w:rPr>
        <w:t xml:space="preserve"> تشرين الأول/أكتوبر </w:t>
      </w:r>
      <w:r w:rsidRPr="00575C09">
        <w:rPr>
          <w:rtl/>
          <w:lang w:val="en-US"/>
        </w:rPr>
        <w:t>2018</w:t>
      </w:r>
      <w:r w:rsidRPr="000D7670">
        <w:rPr>
          <w:rtl/>
          <w:lang w:val="en-US"/>
        </w:rPr>
        <w:t>.</w:t>
      </w:r>
    </w:p>
    <w:p w14:paraId="2AAB4877" w14:textId="0B091117"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11</w:t>
      </w:r>
      <w:r w:rsidRPr="000D7670">
        <w:rPr>
          <w:rtl/>
          <w:lang w:val="en-US"/>
        </w:rPr>
        <w:tab/>
        <w:t>ويشير صاحب البلاغ إلى أنه اتصل مرار</w:t>
      </w:r>
      <w:r w:rsidR="00934890">
        <w:rPr>
          <w:rtl/>
          <w:lang w:val="en-US"/>
        </w:rPr>
        <w:t xml:space="preserve">اً </w:t>
      </w:r>
      <w:r w:rsidRPr="000D7670">
        <w:rPr>
          <w:rtl/>
          <w:lang w:val="en-US"/>
        </w:rPr>
        <w:t xml:space="preserve">بسلطات الدولة الطرف لإبلاغها بعدم توافر سكن بديل له، رغم التدابير المؤقتة التي طلبتها </w:t>
      </w:r>
      <w:proofErr w:type="gramStart"/>
      <w:r w:rsidRPr="000D7670">
        <w:rPr>
          <w:rtl/>
          <w:lang w:val="en-US"/>
        </w:rPr>
        <w:t>اللجنة</w:t>
      </w:r>
      <w:r w:rsidRPr="000D7670">
        <w:rPr>
          <w:vertAlign w:val="superscript"/>
          <w:rtl/>
          <w:lang w:val="en-US"/>
        </w:rPr>
        <w:t>(</w:t>
      </w:r>
      <w:proofErr w:type="gramEnd"/>
      <w:r w:rsidRPr="00575C09">
        <w:rPr>
          <w:rStyle w:val="FootnoteReference"/>
          <w:szCs w:val="22"/>
          <w:lang w:val="en-US"/>
        </w:rPr>
        <w:footnoteReference w:id="3"/>
      </w:r>
      <w:r w:rsidRPr="000D7670">
        <w:rPr>
          <w:vertAlign w:val="superscript"/>
          <w:rtl/>
          <w:lang w:val="en-US"/>
        </w:rPr>
        <w:t>)</w:t>
      </w:r>
      <w:r>
        <w:rPr>
          <w:rtl/>
          <w:lang w:val="en-US"/>
        </w:rPr>
        <w:t>.</w:t>
      </w:r>
      <w:r w:rsidRPr="000D7670">
        <w:rPr>
          <w:rtl/>
          <w:lang w:val="en-US"/>
        </w:rPr>
        <w:t xml:space="preserve"> وفي </w:t>
      </w:r>
      <w:r w:rsidRPr="00575C09">
        <w:rPr>
          <w:rtl/>
          <w:lang w:val="en-US"/>
        </w:rPr>
        <w:t>15</w:t>
      </w:r>
      <w:r w:rsidRPr="000D7670">
        <w:rPr>
          <w:rtl/>
          <w:lang w:val="en-US"/>
        </w:rPr>
        <w:t xml:space="preserve"> تشرين الأول/أكتوبر </w:t>
      </w:r>
      <w:r w:rsidRPr="00575C09">
        <w:rPr>
          <w:rtl/>
          <w:lang w:val="en-US"/>
        </w:rPr>
        <w:t>2018</w:t>
      </w:r>
      <w:r w:rsidRPr="000D7670">
        <w:rPr>
          <w:rtl/>
          <w:lang w:val="en-US"/>
        </w:rPr>
        <w:t>، قدم صاحب البلاغ طلب</w:t>
      </w:r>
      <w:r w:rsidR="00934890">
        <w:rPr>
          <w:rtl/>
          <w:lang w:val="en-US"/>
        </w:rPr>
        <w:t xml:space="preserve">اً </w:t>
      </w:r>
      <w:r w:rsidRPr="000D7670">
        <w:rPr>
          <w:rtl/>
          <w:lang w:val="en-US"/>
        </w:rPr>
        <w:t>من جانب واحد إلى رئيس المحكمة الابتدائية الناطقة بالفرنسية في بروكسل، بصفته قاضي الأمور المستعجلة، كي تُتخذ التدابير المؤقتة التي طلبتها اللجنة. وفي اليوم نفسه، رفض رئيس المحكمة طلبه، معتبر</w:t>
      </w:r>
      <w:r w:rsidR="00934890">
        <w:rPr>
          <w:rtl/>
          <w:lang w:val="en-US"/>
        </w:rPr>
        <w:t xml:space="preserve">اً </w:t>
      </w:r>
      <w:r w:rsidRPr="000D7670">
        <w:rPr>
          <w:rtl/>
          <w:lang w:val="en-US"/>
        </w:rPr>
        <w:t xml:space="preserve">أن اللجنة لا يجوز لها المساس بالقرارات القضائية الصادرة عن المحاكم المحلية. وقررت بلدية </w:t>
      </w:r>
      <w:proofErr w:type="spellStart"/>
      <w:r w:rsidRPr="000D7670">
        <w:rPr>
          <w:rtl/>
          <w:lang w:val="en-US"/>
        </w:rPr>
        <w:t>إتربيك</w:t>
      </w:r>
      <w:proofErr w:type="spellEnd"/>
      <w:r w:rsidRPr="000D7670">
        <w:rPr>
          <w:rtl/>
          <w:lang w:val="en-US"/>
        </w:rPr>
        <w:t xml:space="preserve">، بعد استشارة خبير ومحام، عدم التدخل في عملية الإخلاء الجارية. </w:t>
      </w:r>
    </w:p>
    <w:p w14:paraId="0807C1F2" w14:textId="5F7E6F32" w:rsidR="000D7670" w:rsidRPr="000D7670" w:rsidRDefault="000D7670" w:rsidP="00190E4B">
      <w:pPr>
        <w:pStyle w:val="SingleTxtGA"/>
        <w:rPr>
          <w:lang w:val="en-US"/>
        </w:rPr>
      </w:pPr>
      <w:r w:rsidRPr="00575C09">
        <w:rPr>
          <w:rtl/>
          <w:lang w:val="en-US"/>
        </w:rPr>
        <w:t>2</w:t>
      </w:r>
      <w:r w:rsidRPr="000D7670">
        <w:rPr>
          <w:rtl/>
          <w:lang w:val="en-US"/>
        </w:rPr>
        <w:t>-</w:t>
      </w:r>
      <w:r w:rsidRPr="00575C09">
        <w:rPr>
          <w:rtl/>
          <w:lang w:val="en-US"/>
        </w:rPr>
        <w:t>12</w:t>
      </w:r>
      <w:r w:rsidRPr="000D7670">
        <w:rPr>
          <w:rtl/>
          <w:lang w:val="en-US"/>
        </w:rPr>
        <w:tab/>
        <w:t xml:space="preserve">وفي </w:t>
      </w:r>
      <w:r w:rsidRPr="00575C09">
        <w:rPr>
          <w:rtl/>
          <w:lang w:val="en-US"/>
        </w:rPr>
        <w:t>17</w:t>
      </w:r>
      <w:r w:rsidRPr="000D7670">
        <w:rPr>
          <w:rtl/>
          <w:lang w:val="en-US"/>
        </w:rPr>
        <w:t xml:space="preserve"> تشرين الأول/أكتوبر </w:t>
      </w:r>
      <w:r w:rsidRPr="00575C09">
        <w:rPr>
          <w:rtl/>
          <w:lang w:val="en-US"/>
        </w:rPr>
        <w:t>2018</w:t>
      </w:r>
      <w:r w:rsidRPr="000D7670">
        <w:rPr>
          <w:rtl/>
          <w:lang w:val="en-US"/>
        </w:rPr>
        <w:t>، طرد صاحب البلاغ من منزله. و</w:t>
      </w:r>
      <w:r w:rsidR="00B6606A">
        <w:rPr>
          <w:rtl/>
          <w:lang w:val="en-US"/>
        </w:rPr>
        <w:t xml:space="preserve">وفقاً </w:t>
      </w:r>
      <w:r w:rsidRPr="000D7670">
        <w:rPr>
          <w:rtl/>
          <w:lang w:val="en-US"/>
        </w:rPr>
        <w:t xml:space="preserve">لمحضر عملية الطرد، كان هناك مرشد اجتماعي من بلدية </w:t>
      </w:r>
      <w:proofErr w:type="spellStart"/>
      <w:r w:rsidRPr="000D7670">
        <w:rPr>
          <w:rtl/>
          <w:lang w:val="en-US"/>
        </w:rPr>
        <w:t>إتربيك</w:t>
      </w:r>
      <w:proofErr w:type="spellEnd"/>
      <w:r w:rsidRPr="000D7670">
        <w:rPr>
          <w:rtl/>
          <w:lang w:val="en-US"/>
        </w:rPr>
        <w:t xml:space="preserve"> حاضر</w:t>
      </w:r>
      <w:r w:rsidR="00934890">
        <w:rPr>
          <w:rtl/>
          <w:lang w:val="en-US"/>
        </w:rPr>
        <w:t xml:space="preserve">اً </w:t>
      </w:r>
      <w:r w:rsidRPr="000D7670">
        <w:rPr>
          <w:rtl/>
          <w:lang w:val="en-US"/>
        </w:rPr>
        <w:t xml:space="preserve">وعرض المساعدة على صاحب البلاغ الذي رفضها. وقدم العديد من أصدقاء صاحب البلاغ لمساعدته على حزم أمتعته. ثم أخذ صاحب البلاغ معه بعض أغراضه، ونقل الباقي إلى مستودع بلدية </w:t>
      </w:r>
      <w:proofErr w:type="spellStart"/>
      <w:r w:rsidRPr="000D7670">
        <w:rPr>
          <w:rtl/>
          <w:lang w:val="en-US"/>
        </w:rPr>
        <w:t>إتربيك</w:t>
      </w:r>
      <w:proofErr w:type="spellEnd"/>
      <w:r w:rsidRPr="000D7670">
        <w:rPr>
          <w:rtl/>
          <w:lang w:val="en-US"/>
        </w:rPr>
        <w:t>.</w:t>
      </w:r>
    </w:p>
    <w:p w14:paraId="2CA803AF" w14:textId="660148FD" w:rsidR="000D7670" w:rsidRPr="000D7670" w:rsidRDefault="000D7670" w:rsidP="000D7670">
      <w:pPr>
        <w:pStyle w:val="SingleTxtGA"/>
        <w:rPr>
          <w:lang w:val="en-US"/>
        </w:rPr>
      </w:pPr>
      <w:r w:rsidRPr="00575C09">
        <w:rPr>
          <w:rtl/>
          <w:lang w:val="en-US"/>
        </w:rPr>
        <w:t>2</w:t>
      </w:r>
      <w:r w:rsidRPr="000D7670">
        <w:rPr>
          <w:rtl/>
          <w:lang w:val="en-US"/>
        </w:rPr>
        <w:t>-</w:t>
      </w:r>
      <w:r w:rsidRPr="00575C09">
        <w:rPr>
          <w:rtl/>
          <w:lang w:val="en-US"/>
        </w:rPr>
        <w:t>13</w:t>
      </w:r>
      <w:r w:rsidRPr="00190E4B">
        <w:rPr>
          <w:spacing w:val="-4"/>
          <w:rtl/>
          <w:lang w:val="en-US"/>
        </w:rPr>
        <w:tab/>
        <w:t xml:space="preserve">وفي </w:t>
      </w:r>
      <w:r w:rsidRPr="00575C09">
        <w:rPr>
          <w:spacing w:val="-4"/>
          <w:rtl/>
          <w:lang w:val="en-US"/>
        </w:rPr>
        <w:t>24</w:t>
      </w:r>
      <w:r w:rsidRPr="00190E4B">
        <w:rPr>
          <w:spacing w:val="-4"/>
          <w:rtl/>
          <w:lang w:val="en-US"/>
        </w:rPr>
        <w:t xml:space="preserve"> و</w:t>
      </w:r>
      <w:r w:rsidRPr="00575C09">
        <w:rPr>
          <w:spacing w:val="-4"/>
          <w:rtl/>
          <w:lang w:val="en-US"/>
        </w:rPr>
        <w:t>31</w:t>
      </w:r>
      <w:r w:rsidRPr="00190E4B">
        <w:rPr>
          <w:spacing w:val="-4"/>
          <w:rtl/>
          <w:lang w:val="en-US"/>
        </w:rPr>
        <w:t xml:space="preserve"> تشرين الأول/أكتوبر </w:t>
      </w:r>
      <w:r w:rsidRPr="00575C09">
        <w:rPr>
          <w:spacing w:val="-4"/>
          <w:rtl/>
          <w:lang w:val="en-US"/>
        </w:rPr>
        <w:t>2018</w:t>
      </w:r>
      <w:r w:rsidRPr="00190E4B">
        <w:rPr>
          <w:spacing w:val="-4"/>
          <w:rtl/>
          <w:lang w:val="en-US"/>
        </w:rPr>
        <w:t>، اتصل مكتب وزيرة الإسكان لمنطقة بروكسل العاصمة</w:t>
      </w:r>
      <w:r w:rsidRPr="000D7670">
        <w:rPr>
          <w:rtl/>
          <w:lang w:val="en-US"/>
        </w:rPr>
        <w:t xml:space="preserve"> بصاحب البلاغ لتقديم المساعدة في بحثه عن سكن. واقترح المكتب على صاحب البلاغ تسجيل نفسه </w:t>
      </w:r>
      <w:r w:rsidRPr="00190E4B">
        <w:rPr>
          <w:spacing w:val="2"/>
          <w:rtl/>
          <w:lang w:val="en-US"/>
        </w:rPr>
        <w:lastRenderedPageBreak/>
        <w:t xml:space="preserve">لدى المركز العام للرعاية الاجتماعية، ولكنه أكد له أنه لن يعرض عليه سوى خيارين هما: سكن عابر ومأوى. وأبلغ المكتب صاحب البلاغ بأنه سيرسل إليه قائمة بمساكن معروضة للإيجار في السوق الخاصة قد تهمّه، وبأنه يمكن، في سياق البحث عن سكن للإيجار، طلب مساعدات فيما يخص ضمان الإيجار. وفي </w:t>
      </w:r>
      <w:r w:rsidRPr="00575C09">
        <w:rPr>
          <w:spacing w:val="2"/>
          <w:rtl/>
          <w:lang w:val="en-US"/>
        </w:rPr>
        <w:t>2</w:t>
      </w:r>
      <w:r w:rsidRPr="00190E4B">
        <w:rPr>
          <w:spacing w:val="2"/>
          <w:rtl/>
          <w:lang w:val="en-US"/>
        </w:rPr>
        <w:t xml:space="preserve"> تشرين الثاني/نوفمبر </w:t>
      </w:r>
      <w:r w:rsidRPr="00575C09">
        <w:rPr>
          <w:spacing w:val="2"/>
          <w:rtl/>
          <w:lang w:val="en-US"/>
        </w:rPr>
        <w:t>2018</w:t>
      </w:r>
      <w:r w:rsidRPr="00190E4B">
        <w:rPr>
          <w:spacing w:val="2"/>
          <w:rtl/>
          <w:lang w:val="en-US"/>
        </w:rPr>
        <w:t>، رد صاحب البلاغ على مكتب الوزيرة، موضح</w:t>
      </w:r>
      <w:r w:rsidR="00934890" w:rsidRPr="00190E4B">
        <w:rPr>
          <w:spacing w:val="2"/>
          <w:rtl/>
          <w:lang w:val="en-US"/>
        </w:rPr>
        <w:t xml:space="preserve">اً </w:t>
      </w:r>
      <w:r w:rsidRPr="00190E4B">
        <w:rPr>
          <w:spacing w:val="2"/>
          <w:rtl/>
          <w:lang w:val="en-US"/>
        </w:rPr>
        <w:t>أنه لا</w:t>
      </w:r>
      <w:r w:rsidR="00190E4B">
        <w:rPr>
          <w:rFonts w:hint="cs"/>
          <w:spacing w:val="2"/>
          <w:rtl/>
          <w:lang w:val="en-US"/>
        </w:rPr>
        <w:t> </w:t>
      </w:r>
      <w:r w:rsidRPr="00190E4B">
        <w:rPr>
          <w:spacing w:val="2"/>
          <w:rtl/>
          <w:lang w:val="en-US"/>
        </w:rPr>
        <w:t xml:space="preserve">طائل من تسجيل نفسه لدى المركز العام للرعاية الاجتماعية لأن ملفه لن يسمح له بالتقدم في قائمة الانتظار الطويلة، ولأن احتياجاته تتطلب شقة تبلغ مساحتها </w:t>
      </w:r>
      <w:r w:rsidR="00575C09">
        <w:rPr>
          <w:rFonts w:hint="cs"/>
          <w:spacing w:val="2"/>
          <w:rtl/>
          <w:lang w:val="en-US"/>
        </w:rPr>
        <w:t>حوالي</w:t>
      </w:r>
      <w:r w:rsidRPr="00190E4B">
        <w:rPr>
          <w:spacing w:val="2"/>
          <w:rtl/>
          <w:lang w:val="en-US"/>
        </w:rPr>
        <w:t xml:space="preserve"> </w:t>
      </w:r>
      <w:r w:rsidRPr="00575C09">
        <w:rPr>
          <w:spacing w:val="2"/>
          <w:rtl/>
          <w:lang w:val="en-US"/>
        </w:rPr>
        <w:t>80</w:t>
      </w:r>
      <w:r w:rsidRPr="00190E4B">
        <w:rPr>
          <w:spacing w:val="2"/>
          <w:rtl/>
          <w:lang w:val="en-US"/>
        </w:rPr>
        <w:t xml:space="preserve"> متر</w:t>
      </w:r>
      <w:r w:rsidR="00934890" w:rsidRPr="00190E4B">
        <w:rPr>
          <w:spacing w:val="2"/>
          <w:rtl/>
          <w:lang w:val="en-US"/>
        </w:rPr>
        <w:t xml:space="preserve">اً </w:t>
      </w:r>
      <w:r w:rsidRPr="00190E4B">
        <w:rPr>
          <w:spacing w:val="2"/>
          <w:rtl/>
          <w:lang w:val="en-US"/>
        </w:rPr>
        <w:t>مربع</w:t>
      </w:r>
      <w:r w:rsidR="00DD7E44" w:rsidRPr="00190E4B">
        <w:rPr>
          <w:spacing w:val="2"/>
          <w:rtl/>
          <w:lang w:val="en-US"/>
        </w:rPr>
        <w:t>اً،</w:t>
      </w:r>
      <w:r w:rsidRPr="00190E4B">
        <w:rPr>
          <w:spacing w:val="2"/>
          <w:rtl/>
          <w:lang w:val="en-US"/>
        </w:rPr>
        <w:t xml:space="preserve"> لتكون له مساحة كافية للاحتفاظ بأمتعته واستقبال حفيدتيه عندما تأتيان لزيارته من كندا، وإن أمكن، شرفة صغيرة للاعتناء بنباتاته.</w:t>
      </w:r>
      <w:r w:rsidRPr="000D7670">
        <w:rPr>
          <w:rtl/>
          <w:lang w:val="en-US"/>
        </w:rPr>
        <w:t xml:space="preserve"> </w:t>
      </w:r>
    </w:p>
    <w:p w14:paraId="44A20ED7" w14:textId="650668A1" w:rsidR="000D7670" w:rsidRPr="000D7670" w:rsidRDefault="000D7670" w:rsidP="000D7670">
      <w:pPr>
        <w:pStyle w:val="SingleTxtGA"/>
        <w:rPr>
          <w:lang w:val="en-US"/>
        </w:rPr>
      </w:pPr>
      <w:r w:rsidRPr="00575C09">
        <w:rPr>
          <w:rtl/>
          <w:lang w:val="en-US"/>
        </w:rPr>
        <w:t>2</w:t>
      </w:r>
      <w:r w:rsidRPr="000D7670">
        <w:rPr>
          <w:rtl/>
          <w:lang w:val="en-US"/>
        </w:rPr>
        <w:t>-</w:t>
      </w:r>
      <w:r w:rsidRPr="00575C09">
        <w:rPr>
          <w:rtl/>
          <w:lang w:val="en-US"/>
        </w:rPr>
        <w:t>14</w:t>
      </w:r>
      <w:r w:rsidRPr="003D33AE">
        <w:rPr>
          <w:spacing w:val="-4"/>
          <w:rtl/>
          <w:lang w:val="en-US"/>
        </w:rPr>
        <w:tab/>
        <w:t xml:space="preserve">وفي </w:t>
      </w:r>
      <w:r w:rsidRPr="00575C09">
        <w:rPr>
          <w:spacing w:val="-4"/>
          <w:rtl/>
          <w:lang w:val="en-US"/>
        </w:rPr>
        <w:t>27</w:t>
      </w:r>
      <w:r w:rsidRPr="003D33AE">
        <w:rPr>
          <w:spacing w:val="-4"/>
          <w:rtl/>
          <w:lang w:val="en-US"/>
        </w:rPr>
        <w:t xml:space="preserve"> تشرين الثاني/نوفمبر </w:t>
      </w:r>
      <w:r w:rsidRPr="00575C09">
        <w:rPr>
          <w:spacing w:val="-4"/>
          <w:rtl/>
          <w:lang w:val="en-US"/>
        </w:rPr>
        <w:t>2018</w:t>
      </w:r>
      <w:r w:rsidRPr="003D33AE">
        <w:rPr>
          <w:spacing w:val="-4"/>
          <w:rtl/>
          <w:lang w:val="en-US"/>
        </w:rPr>
        <w:t>، أعدت مرافق الرعاية الاجتماعية تقرير</w:t>
      </w:r>
      <w:r w:rsidR="00934890" w:rsidRPr="003D33AE">
        <w:rPr>
          <w:spacing w:val="-4"/>
          <w:rtl/>
          <w:lang w:val="en-US"/>
        </w:rPr>
        <w:t xml:space="preserve">اً </w:t>
      </w:r>
      <w:r w:rsidRPr="003D33AE">
        <w:rPr>
          <w:spacing w:val="-4"/>
          <w:rtl/>
          <w:lang w:val="en-US"/>
        </w:rPr>
        <w:t>يوضح أن صاحب</w:t>
      </w:r>
      <w:r w:rsidRPr="000D7670">
        <w:rPr>
          <w:rtl/>
          <w:lang w:val="en-US"/>
        </w:rPr>
        <w:t xml:space="preserve"> البلاغ رفض، قبل طرده، أي اقتراح لأن هدفه كان البقاء في شقته بأي ثمن، وأنه رفض بعد طرده البقاء في أحد أماكن الإيواء العاجل لأنه كان من المفترض أن يبقى عند أحد معارفه.</w:t>
      </w:r>
    </w:p>
    <w:p w14:paraId="182025C6" w14:textId="44C20C1F" w:rsidR="000D7670" w:rsidRPr="000D7670" w:rsidRDefault="000D7670" w:rsidP="000D7670">
      <w:pPr>
        <w:pStyle w:val="SingleTxtGA"/>
        <w:rPr>
          <w:lang w:val="en-US"/>
        </w:rPr>
      </w:pPr>
      <w:r w:rsidRPr="00575C09">
        <w:rPr>
          <w:rtl/>
          <w:lang w:val="en-US"/>
        </w:rPr>
        <w:t>2</w:t>
      </w:r>
      <w:r w:rsidRPr="000D7670">
        <w:rPr>
          <w:rtl/>
          <w:lang w:val="en-US"/>
        </w:rPr>
        <w:t>-</w:t>
      </w:r>
      <w:r w:rsidRPr="00575C09">
        <w:rPr>
          <w:rtl/>
          <w:lang w:val="en-US"/>
        </w:rPr>
        <w:t>15</w:t>
      </w:r>
      <w:r w:rsidRPr="000D7670">
        <w:rPr>
          <w:rtl/>
          <w:lang w:val="en-US"/>
        </w:rPr>
        <w:tab/>
        <w:t xml:space="preserve">وفي </w:t>
      </w:r>
      <w:r w:rsidRPr="00575C09">
        <w:rPr>
          <w:rtl/>
          <w:lang w:val="en-US"/>
        </w:rPr>
        <w:t>28</w:t>
      </w:r>
      <w:r w:rsidRPr="000D7670">
        <w:rPr>
          <w:rtl/>
          <w:lang w:val="en-US"/>
        </w:rPr>
        <w:t xml:space="preserve"> آذار/مارس </w:t>
      </w:r>
      <w:r w:rsidRPr="00575C09">
        <w:rPr>
          <w:rtl/>
          <w:lang w:val="en-US"/>
        </w:rPr>
        <w:t>2019</w:t>
      </w:r>
      <w:r w:rsidRPr="000D7670">
        <w:rPr>
          <w:rtl/>
          <w:lang w:val="en-US"/>
        </w:rPr>
        <w:t xml:space="preserve">، أبلغ صاحب البلاغ مكتب وزيرة الإسكان في منطقة بروكسل العاصمة بأنه لم يعثر بعد على سكن ولم يُطلب إليه قط زيارة شقة يعُرض عليه استئجارها. وفي </w:t>
      </w:r>
      <w:r w:rsidRPr="00575C09">
        <w:rPr>
          <w:rtl/>
          <w:lang w:val="en-US"/>
        </w:rPr>
        <w:t>29</w:t>
      </w:r>
      <w:r w:rsidRPr="000D7670">
        <w:rPr>
          <w:rtl/>
          <w:lang w:val="en-US"/>
        </w:rPr>
        <w:t xml:space="preserve"> آذار/مارس </w:t>
      </w:r>
      <w:r w:rsidRPr="00575C09">
        <w:rPr>
          <w:rtl/>
          <w:lang w:val="en-US"/>
        </w:rPr>
        <w:t>2019</w:t>
      </w:r>
      <w:r w:rsidRPr="000D7670">
        <w:rPr>
          <w:rtl/>
          <w:lang w:val="en-US"/>
        </w:rPr>
        <w:t>، أفاد مكتب الوزيرة بأن مختلف المرافق البلدية والإقليمية اتصلت بصاحب البلاغ الذي رفض هذه المساعدات لأنه فضّل إجراء بحوثه الخاصة ولأنه لم يكن من الممكن منحه سكن</w:t>
      </w:r>
      <w:r w:rsidR="00934890">
        <w:rPr>
          <w:rtl/>
          <w:lang w:val="en-US"/>
        </w:rPr>
        <w:t xml:space="preserve">اً </w:t>
      </w:r>
      <w:r w:rsidRPr="000D7670">
        <w:rPr>
          <w:rtl/>
          <w:lang w:val="en-US"/>
        </w:rPr>
        <w:t>اجتماعي</w:t>
      </w:r>
      <w:r w:rsidR="00DD7E44">
        <w:rPr>
          <w:rtl/>
          <w:lang w:val="en-US"/>
        </w:rPr>
        <w:t>اً،</w:t>
      </w:r>
      <w:r w:rsidRPr="000D7670">
        <w:rPr>
          <w:rtl/>
          <w:lang w:val="en-US"/>
        </w:rPr>
        <w:t xml:space="preserve"> لأن أشخاص</w:t>
      </w:r>
      <w:r w:rsidR="00934890">
        <w:rPr>
          <w:rtl/>
          <w:lang w:val="en-US"/>
        </w:rPr>
        <w:t xml:space="preserve">اً </w:t>
      </w:r>
      <w:r w:rsidRPr="000D7670">
        <w:rPr>
          <w:rtl/>
          <w:lang w:val="en-US"/>
        </w:rPr>
        <w:t>آخرين في أوضاع أكثر هشاشة منه كانوا أمامه على لائحة الانتظار.</w:t>
      </w:r>
    </w:p>
    <w:p w14:paraId="2455E457" w14:textId="43B72191" w:rsidR="000D7670" w:rsidRPr="000D7670" w:rsidRDefault="000D7670" w:rsidP="000D7670">
      <w:pPr>
        <w:pStyle w:val="SingleTxtGA"/>
        <w:rPr>
          <w:lang w:val="en-US"/>
        </w:rPr>
      </w:pPr>
      <w:r w:rsidRPr="00575C09">
        <w:rPr>
          <w:rtl/>
          <w:lang w:val="en-US"/>
        </w:rPr>
        <w:t>2</w:t>
      </w:r>
      <w:r w:rsidRPr="000D7670">
        <w:rPr>
          <w:rtl/>
          <w:lang w:val="en-US"/>
        </w:rPr>
        <w:t>-</w:t>
      </w:r>
      <w:r w:rsidRPr="00575C09">
        <w:rPr>
          <w:rtl/>
          <w:lang w:val="en-US"/>
        </w:rPr>
        <w:t>16</w:t>
      </w:r>
      <w:r w:rsidRPr="000D7670">
        <w:rPr>
          <w:rtl/>
          <w:lang w:val="en-US"/>
        </w:rPr>
        <w:tab/>
        <w:t xml:space="preserve">وفي </w:t>
      </w:r>
      <w:r w:rsidRPr="00575C09">
        <w:rPr>
          <w:rtl/>
          <w:lang w:val="en-US"/>
        </w:rPr>
        <w:t>16</w:t>
      </w:r>
      <w:r w:rsidRPr="000D7670">
        <w:rPr>
          <w:rtl/>
          <w:lang w:val="en-US"/>
        </w:rPr>
        <w:t xml:space="preserve"> تموز/يوليه </w:t>
      </w:r>
      <w:r w:rsidRPr="00575C09">
        <w:rPr>
          <w:rtl/>
          <w:lang w:val="en-US"/>
        </w:rPr>
        <w:t>2019</w:t>
      </w:r>
      <w:r w:rsidRPr="000D7670">
        <w:rPr>
          <w:rtl/>
          <w:lang w:val="en-US"/>
        </w:rPr>
        <w:t xml:space="preserve">، طلب صاحب البلاغ من المركز العام للرعاية الاجتماعية إعطاءه </w:t>
      </w:r>
      <w:r w:rsidRPr="00934890">
        <w:rPr>
          <w:spacing w:val="-4"/>
          <w:rtl/>
          <w:lang w:val="en-US"/>
        </w:rPr>
        <w:t>إذن</w:t>
      </w:r>
      <w:r w:rsidR="00934890">
        <w:rPr>
          <w:spacing w:val="-4"/>
          <w:rtl/>
          <w:lang w:val="en-US"/>
        </w:rPr>
        <w:t xml:space="preserve">اً </w:t>
      </w:r>
      <w:r w:rsidRPr="00934890">
        <w:rPr>
          <w:spacing w:val="-4"/>
          <w:rtl/>
          <w:lang w:val="en-US"/>
        </w:rPr>
        <w:t>خاص</w:t>
      </w:r>
      <w:r w:rsidR="00934890">
        <w:rPr>
          <w:spacing w:val="-4"/>
          <w:rtl/>
          <w:lang w:val="en-US"/>
        </w:rPr>
        <w:t xml:space="preserve">اً </w:t>
      </w:r>
      <w:r w:rsidRPr="00934890">
        <w:rPr>
          <w:spacing w:val="-4"/>
          <w:rtl/>
          <w:lang w:val="en-US"/>
        </w:rPr>
        <w:t>للحصول على سكن، مدعي</w:t>
      </w:r>
      <w:r w:rsidR="00934890">
        <w:rPr>
          <w:spacing w:val="-4"/>
          <w:rtl/>
          <w:lang w:val="en-US"/>
        </w:rPr>
        <w:t xml:space="preserve">اً </w:t>
      </w:r>
      <w:r w:rsidRPr="00934890">
        <w:rPr>
          <w:spacing w:val="-4"/>
          <w:rtl/>
          <w:lang w:val="en-US"/>
        </w:rPr>
        <w:t>أنه لا يستطيع العثور على شقة تناسب احتياجاته في السوق الخاصة.</w:t>
      </w:r>
      <w:r w:rsidRPr="000D7670">
        <w:rPr>
          <w:rtl/>
          <w:lang w:val="en-US"/>
        </w:rPr>
        <w:t xml:space="preserve"> وفي اليوم نفسه، أبلغت الشركة العقارية العامة صاحب البلاغ بأنها لا تستطيع أن تعرض عليه سكن</w:t>
      </w:r>
      <w:r w:rsidR="00DD7E44">
        <w:rPr>
          <w:rtl/>
          <w:lang w:val="en-US"/>
        </w:rPr>
        <w:t>اً.</w:t>
      </w:r>
      <w:r w:rsidRPr="000D7670">
        <w:rPr>
          <w:rtl/>
          <w:lang w:val="en-US"/>
        </w:rPr>
        <w:t xml:space="preserve"> </w:t>
      </w:r>
    </w:p>
    <w:p w14:paraId="0E25950E" w14:textId="77777777" w:rsidR="000D7670" w:rsidRPr="000D7670" w:rsidRDefault="000D7670" w:rsidP="000D7670">
      <w:pPr>
        <w:pStyle w:val="SingleTxtGA"/>
        <w:rPr>
          <w:lang w:val="en-US"/>
        </w:rPr>
      </w:pPr>
      <w:r w:rsidRPr="00575C09">
        <w:rPr>
          <w:rtl/>
          <w:lang w:val="en-US"/>
        </w:rPr>
        <w:t>2</w:t>
      </w:r>
      <w:r w:rsidRPr="000D7670">
        <w:rPr>
          <w:rtl/>
          <w:lang w:val="en-US"/>
        </w:rPr>
        <w:t>-</w:t>
      </w:r>
      <w:r w:rsidRPr="00575C09">
        <w:rPr>
          <w:rtl/>
          <w:lang w:val="en-US"/>
        </w:rPr>
        <w:t>17</w:t>
      </w:r>
      <w:r w:rsidRPr="000D7670">
        <w:rPr>
          <w:rtl/>
          <w:lang w:val="en-US"/>
        </w:rPr>
        <w:tab/>
        <w:t xml:space="preserve">وفي </w:t>
      </w:r>
      <w:r w:rsidRPr="00575C09">
        <w:rPr>
          <w:rtl/>
          <w:lang w:val="en-US"/>
        </w:rPr>
        <w:t>8</w:t>
      </w:r>
      <w:r w:rsidRPr="000D7670">
        <w:rPr>
          <w:rtl/>
          <w:lang w:val="en-US"/>
        </w:rPr>
        <w:t xml:space="preserve"> تشرين الأول/أكتوبر </w:t>
      </w:r>
      <w:r w:rsidRPr="00575C09">
        <w:rPr>
          <w:rtl/>
          <w:lang w:val="en-US"/>
        </w:rPr>
        <w:t>2020</w:t>
      </w:r>
      <w:r w:rsidRPr="000D7670">
        <w:rPr>
          <w:rtl/>
          <w:lang w:val="en-US"/>
        </w:rPr>
        <w:t>، رُفض الطعن بالنقض الذي قدّمه صاحب البلاغ. وارتأت محكمة النقض في قرارها أن قاضي الاستئناف استبعد إساءة استعمال الحق بعد أن نظر في المصالح المعنية بصورة متوازنة، مراعياً جميع ملابسات القضية التي كانت قائمة وقت الانتهاك المزعوم للحق.</w:t>
      </w:r>
    </w:p>
    <w:p w14:paraId="52D3FD72" w14:textId="77777777" w:rsidR="000D7670" w:rsidRPr="00575C09" w:rsidRDefault="000D7670" w:rsidP="00B6606A">
      <w:pPr>
        <w:pStyle w:val="H23GA"/>
      </w:pPr>
      <w:r w:rsidRPr="00575C09">
        <w:rPr>
          <w:rtl/>
        </w:rPr>
        <w:tab/>
      </w:r>
      <w:r w:rsidRPr="00575C09">
        <w:rPr>
          <w:rtl/>
        </w:rPr>
        <w:tab/>
        <w:t>الشكوى</w:t>
      </w:r>
    </w:p>
    <w:p w14:paraId="29AEE392" w14:textId="01B104D4" w:rsidR="000D7670" w:rsidRPr="000D7670" w:rsidRDefault="000D7670" w:rsidP="000D7670">
      <w:pPr>
        <w:pStyle w:val="SingleTxtGA"/>
        <w:rPr>
          <w:lang w:val="en-US"/>
        </w:rPr>
      </w:pPr>
      <w:r w:rsidRPr="00575C09">
        <w:rPr>
          <w:rtl/>
          <w:lang w:val="en-US"/>
        </w:rPr>
        <w:t>3</w:t>
      </w:r>
      <w:r w:rsidRPr="000D7670">
        <w:rPr>
          <w:rtl/>
          <w:lang w:val="en-US"/>
        </w:rPr>
        <w:t>-</w:t>
      </w:r>
      <w:r w:rsidRPr="00575C09">
        <w:rPr>
          <w:rtl/>
          <w:lang w:val="en-US"/>
        </w:rPr>
        <w:t>1</w:t>
      </w:r>
      <w:r w:rsidRPr="000D7670">
        <w:rPr>
          <w:rtl/>
          <w:lang w:val="en-US"/>
        </w:rPr>
        <w:tab/>
        <w:t>يؤكد صاحب البلاغ أن الدولة الطرف انتهكت حقه في السكن اللائق المكفول له بموجب المادة</w:t>
      </w:r>
      <w:r w:rsidR="00190E4B">
        <w:rPr>
          <w:rFonts w:hint="cs"/>
          <w:rtl/>
          <w:lang w:val="en-US"/>
        </w:rPr>
        <w:t> </w:t>
      </w:r>
      <w:r w:rsidRPr="00575C09">
        <w:rPr>
          <w:rtl/>
          <w:lang w:val="en-US"/>
        </w:rPr>
        <w:t>11</w:t>
      </w:r>
      <w:r w:rsidRPr="000D7670">
        <w:rPr>
          <w:rtl/>
          <w:lang w:val="en-US"/>
        </w:rPr>
        <w:t xml:space="preserve"> من العهد.</w:t>
      </w:r>
    </w:p>
    <w:p w14:paraId="355D13C2" w14:textId="5DC8312F" w:rsidR="000D7670" w:rsidRPr="000D7670" w:rsidRDefault="000D7670" w:rsidP="000D7670">
      <w:pPr>
        <w:pStyle w:val="SingleTxtGA"/>
        <w:rPr>
          <w:lang w:val="en-US"/>
        </w:rPr>
      </w:pPr>
      <w:r w:rsidRPr="00575C09">
        <w:rPr>
          <w:rtl/>
          <w:lang w:val="en-US"/>
        </w:rPr>
        <w:t>3</w:t>
      </w:r>
      <w:r w:rsidRPr="000D7670">
        <w:rPr>
          <w:rtl/>
          <w:lang w:val="en-US"/>
        </w:rPr>
        <w:t>-</w:t>
      </w:r>
      <w:r w:rsidRPr="00575C09">
        <w:rPr>
          <w:rtl/>
          <w:lang w:val="en-US"/>
        </w:rPr>
        <w:t>2</w:t>
      </w:r>
      <w:r w:rsidRPr="000D7670">
        <w:rPr>
          <w:rtl/>
          <w:lang w:val="en-US"/>
        </w:rPr>
        <w:tab/>
        <w:t xml:space="preserve">ويدفع صاحب البلاغ بأن الحق في السكن يتحلى اليوم ببُعْد أفقي، ومن هنا يجوز للمستأجر أن يحتج بذلك ضد المؤجر حتى بعد انتهاء عقد الإيجار، </w:t>
      </w:r>
      <w:r w:rsidR="00B6606A">
        <w:rPr>
          <w:rtl/>
          <w:lang w:val="en-US"/>
        </w:rPr>
        <w:t xml:space="preserve">وفقاً </w:t>
      </w:r>
      <w:r w:rsidRPr="000D7670">
        <w:rPr>
          <w:rtl/>
          <w:lang w:val="en-US"/>
        </w:rPr>
        <w:t xml:space="preserve">للقانون الوطني. ويدعي صاحب البلاغ أنّه </w:t>
      </w:r>
      <w:r w:rsidRPr="00575C09">
        <w:rPr>
          <w:spacing w:val="2"/>
          <w:rtl/>
          <w:lang w:val="en-US"/>
        </w:rPr>
        <w:t>يجب أن يكون للمستأجر الحق في إنفاذ حقه في السكن ضد المالك، سواء كان المالك جهة خاصة أو</w:t>
      </w:r>
      <w:r w:rsidR="00190E4B" w:rsidRPr="00575C09">
        <w:rPr>
          <w:rFonts w:hint="cs"/>
          <w:spacing w:val="2"/>
          <w:rtl/>
          <w:lang w:val="en-US"/>
        </w:rPr>
        <w:t> </w:t>
      </w:r>
      <w:r w:rsidRPr="00575C09">
        <w:rPr>
          <w:spacing w:val="2"/>
          <w:rtl/>
          <w:lang w:val="en-US"/>
        </w:rPr>
        <w:t xml:space="preserve">عامة، وأنّه يجب على السلطات الوطنية أن تضمن عدم تعارض طرد المستأجر مع أحكام </w:t>
      </w:r>
      <w:r w:rsidRPr="000D7670">
        <w:rPr>
          <w:rtl/>
          <w:lang w:val="en-US"/>
        </w:rPr>
        <w:t>المادة</w:t>
      </w:r>
      <w:r w:rsidR="00190E4B">
        <w:rPr>
          <w:rFonts w:hint="cs"/>
          <w:rtl/>
          <w:lang w:val="en-US"/>
        </w:rPr>
        <w:t> </w:t>
      </w:r>
      <w:r w:rsidRPr="00575C09">
        <w:rPr>
          <w:rtl/>
          <w:lang w:val="en-US"/>
        </w:rPr>
        <w:t>11</w:t>
      </w:r>
      <w:r w:rsidRPr="000D7670">
        <w:rPr>
          <w:rtl/>
          <w:lang w:val="en-US"/>
        </w:rPr>
        <w:t>(</w:t>
      </w:r>
      <w:r w:rsidRPr="00575C09">
        <w:rPr>
          <w:rtl/>
          <w:lang w:val="en-US"/>
        </w:rPr>
        <w:t>1</w:t>
      </w:r>
      <w:r w:rsidRPr="000D7670">
        <w:rPr>
          <w:rtl/>
          <w:lang w:val="en-US"/>
        </w:rPr>
        <w:t>) من العهد، وأنّ الطرد القسري من السكن أمر مخالف لأحكام العهد إلا في ظروف معينة، وهي أن ينصّ القانون على ذلك وأن يكون الطرد مبرر</w:t>
      </w:r>
      <w:r w:rsidR="00934890">
        <w:rPr>
          <w:rtl/>
          <w:lang w:val="en-US"/>
        </w:rPr>
        <w:t xml:space="preserve">اً </w:t>
      </w:r>
      <w:r w:rsidRPr="000D7670">
        <w:rPr>
          <w:rtl/>
          <w:lang w:val="en-US"/>
        </w:rPr>
        <w:t>وأن يكون الطرد تدبير</w:t>
      </w:r>
      <w:r w:rsidR="00934890">
        <w:rPr>
          <w:rtl/>
          <w:lang w:val="en-US"/>
        </w:rPr>
        <w:t xml:space="preserve">اً </w:t>
      </w:r>
      <w:r w:rsidRPr="000D7670">
        <w:rPr>
          <w:rtl/>
          <w:lang w:val="en-US"/>
        </w:rPr>
        <w:t xml:space="preserve">يُتّخذ كخيار </w:t>
      </w:r>
      <w:proofErr w:type="gramStart"/>
      <w:r w:rsidRPr="000D7670">
        <w:rPr>
          <w:rtl/>
          <w:lang w:val="en-US"/>
        </w:rPr>
        <w:t>أخير</w:t>
      </w:r>
      <w:r w:rsidRPr="000D7670">
        <w:rPr>
          <w:vertAlign w:val="superscript"/>
          <w:rtl/>
          <w:lang w:val="en-US"/>
        </w:rPr>
        <w:t>(</w:t>
      </w:r>
      <w:proofErr w:type="gramEnd"/>
      <w:r w:rsidRPr="00575C09">
        <w:rPr>
          <w:rStyle w:val="FootnoteReference"/>
          <w:szCs w:val="22"/>
          <w:lang w:val="en-US"/>
        </w:rPr>
        <w:footnoteReference w:id="4"/>
      </w:r>
      <w:r w:rsidRPr="000D7670">
        <w:rPr>
          <w:vertAlign w:val="superscript"/>
          <w:rtl/>
          <w:lang w:val="en-US"/>
        </w:rPr>
        <w:t>)</w:t>
      </w:r>
      <w:r>
        <w:rPr>
          <w:rtl/>
          <w:lang w:val="en-US"/>
        </w:rPr>
        <w:t>.</w:t>
      </w:r>
    </w:p>
    <w:p w14:paraId="4ECBCA66" w14:textId="46FA67CE" w:rsidR="000D7670" w:rsidRPr="000D7670" w:rsidRDefault="000D7670" w:rsidP="000D7670">
      <w:pPr>
        <w:pStyle w:val="SingleTxtGA"/>
        <w:rPr>
          <w:lang w:val="en-US"/>
        </w:rPr>
      </w:pPr>
      <w:r w:rsidRPr="00575C09">
        <w:rPr>
          <w:rtl/>
          <w:lang w:val="en-US"/>
        </w:rPr>
        <w:t>3</w:t>
      </w:r>
      <w:r w:rsidRPr="000D7670">
        <w:rPr>
          <w:rtl/>
          <w:lang w:val="en-US"/>
        </w:rPr>
        <w:t>-</w:t>
      </w:r>
      <w:r w:rsidRPr="00575C09">
        <w:rPr>
          <w:rtl/>
          <w:lang w:val="en-US"/>
        </w:rPr>
        <w:t>3</w:t>
      </w:r>
      <w:r w:rsidRPr="000D7670">
        <w:rPr>
          <w:rtl/>
          <w:lang w:val="en-US"/>
        </w:rPr>
        <w:tab/>
        <w:t>ويدفع صاحب البلاغ بأن المسنين أكثر تأثر</w:t>
      </w:r>
      <w:r w:rsidR="00934890">
        <w:rPr>
          <w:rtl/>
          <w:lang w:val="en-US"/>
        </w:rPr>
        <w:t xml:space="preserve">اً </w:t>
      </w:r>
      <w:r w:rsidRPr="000D7670">
        <w:rPr>
          <w:rtl/>
          <w:lang w:val="en-US"/>
        </w:rPr>
        <w:t xml:space="preserve">بعمليات الإخلاء القسري، ولذلك ينبغي مساعدتهم على مواصلة العيش في مساكنهم لأطول مدة </w:t>
      </w:r>
      <w:proofErr w:type="gramStart"/>
      <w:r w:rsidRPr="000D7670">
        <w:rPr>
          <w:rtl/>
          <w:lang w:val="en-US"/>
        </w:rPr>
        <w:t>ممكنة</w:t>
      </w:r>
      <w:r w:rsidRPr="000D7670">
        <w:rPr>
          <w:vertAlign w:val="superscript"/>
          <w:rtl/>
          <w:lang w:val="en-US"/>
        </w:rPr>
        <w:t>(</w:t>
      </w:r>
      <w:proofErr w:type="gramEnd"/>
      <w:r w:rsidRPr="00575C09">
        <w:rPr>
          <w:rStyle w:val="FootnoteReference"/>
          <w:szCs w:val="22"/>
          <w:lang w:val="en-US"/>
        </w:rPr>
        <w:footnoteReference w:id="5"/>
      </w:r>
      <w:r w:rsidRPr="000D7670">
        <w:rPr>
          <w:vertAlign w:val="superscript"/>
          <w:rtl/>
          <w:lang w:val="en-US"/>
        </w:rPr>
        <w:t>)</w:t>
      </w:r>
      <w:r>
        <w:rPr>
          <w:rtl/>
          <w:lang w:val="en-US"/>
        </w:rPr>
        <w:t>.</w:t>
      </w:r>
      <w:r w:rsidRPr="000D7670">
        <w:rPr>
          <w:rtl/>
          <w:lang w:val="en-US"/>
        </w:rPr>
        <w:t xml:space="preserve"> ويدعي</w:t>
      </w:r>
      <w:r w:rsidR="00B6606A">
        <w:rPr>
          <w:rtl/>
          <w:lang w:val="en-US"/>
        </w:rPr>
        <w:t xml:space="preserve"> أيضاً </w:t>
      </w:r>
      <w:r w:rsidRPr="000D7670">
        <w:rPr>
          <w:rtl/>
          <w:lang w:val="en-US"/>
        </w:rPr>
        <w:t xml:space="preserve">أن طرد المسنين من منازلهم يتسبب </w:t>
      </w:r>
      <w:r w:rsidRPr="000D7670">
        <w:rPr>
          <w:rtl/>
          <w:lang w:val="en-US"/>
        </w:rPr>
        <w:lastRenderedPageBreak/>
        <w:t xml:space="preserve">في تحوّل جذري يفصلهم عن بيئتهم المعيشية ويزيد من هشاشة </w:t>
      </w:r>
      <w:proofErr w:type="gramStart"/>
      <w:r w:rsidRPr="000D7670">
        <w:rPr>
          <w:rtl/>
          <w:lang w:val="en-US"/>
        </w:rPr>
        <w:t>أوضاعهم</w:t>
      </w:r>
      <w:r w:rsidRPr="000D7670">
        <w:rPr>
          <w:vertAlign w:val="superscript"/>
          <w:rtl/>
          <w:lang w:val="en-US"/>
        </w:rPr>
        <w:t>(</w:t>
      </w:r>
      <w:proofErr w:type="gramEnd"/>
      <w:r w:rsidRPr="00575C09">
        <w:rPr>
          <w:rStyle w:val="FootnoteReference"/>
          <w:szCs w:val="22"/>
          <w:lang w:val="en-US"/>
        </w:rPr>
        <w:footnoteReference w:id="6"/>
      </w:r>
      <w:r w:rsidRPr="000D7670">
        <w:rPr>
          <w:vertAlign w:val="superscript"/>
          <w:rtl/>
          <w:lang w:val="en-US"/>
        </w:rPr>
        <w:t>)</w:t>
      </w:r>
      <w:r>
        <w:rPr>
          <w:rtl/>
          <w:lang w:val="en-US"/>
        </w:rPr>
        <w:t>.</w:t>
      </w:r>
      <w:r w:rsidRPr="000D7670">
        <w:rPr>
          <w:rtl/>
          <w:lang w:val="en-US"/>
        </w:rPr>
        <w:t xml:space="preserve"> كما يشدّد على هشاشة حالته الصحية ومخاطر تدهورها في حالة الإخلاء القسري، وهذا ما تؤكده شهادة طبية من طبيبه النفسي مؤرخة </w:t>
      </w:r>
      <w:r w:rsidRPr="00575C09">
        <w:rPr>
          <w:rtl/>
          <w:lang w:val="en-US"/>
        </w:rPr>
        <w:t>17</w:t>
      </w:r>
      <w:r w:rsidRPr="000D7670">
        <w:rPr>
          <w:rtl/>
          <w:lang w:val="en-US"/>
        </w:rPr>
        <w:t xml:space="preserve"> أيلول/سبتمبر </w:t>
      </w:r>
      <w:r w:rsidRPr="00575C09">
        <w:rPr>
          <w:rtl/>
          <w:lang w:val="en-US"/>
        </w:rPr>
        <w:t>2018</w:t>
      </w:r>
      <w:r w:rsidRPr="000D7670">
        <w:rPr>
          <w:rtl/>
          <w:lang w:val="en-US"/>
        </w:rPr>
        <w:t>.</w:t>
      </w:r>
    </w:p>
    <w:p w14:paraId="7B208B7C" w14:textId="16B43C48" w:rsidR="000D7670" w:rsidRPr="000D7670" w:rsidRDefault="000D7670" w:rsidP="000D7670">
      <w:pPr>
        <w:pStyle w:val="SingleTxtGA"/>
        <w:rPr>
          <w:lang w:val="en-US"/>
        </w:rPr>
      </w:pPr>
      <w:r w:rsidRPr="00575C09">
        <w:rPr>
          <w:rtl/>
          <w:lang w:val="en-US"/>
        </w:rPr>
        <w:t>3</w:t>
      </w:r>
      <w:r w:rsidRPr="000D7670">
        <w:rPr>
          <w:rtl/>
          <w:lang w:val="en-US"/>
        </w:rPr>
        <w:t>-</w:t>
      </w:r>
      <w:r w:rsidRPr="00575C09">
        <w:rPr>
          <w:rtl/>
          <w:lang w:val="en-US"/>
        </w:rPr>
        <w:t>4</w:t>
      </w:r>
      <w:r w:rsidRPr="000D7670">
        <w:rPr>
          <w:rtl/>
          <w:lang w:val="en-US"/>
        </w:rPr>
        <w:tab/>
      </w:r>
      <w:r w:rsidRPr="001D7A1E">
        <w:rPr>
          <w:spacing w:val="-4"/>
          <w:rtl/>
          <w:lang w:val="en-US"/>
        </w:rPr>
        <w:t xml:space="preserve">ويدعي صاحب البلاغ أن الدولة الطرف تخلّ بأحكام المادة </w:t>
      </w:r>
      <w:r w:rsidRPr="00575C09">
        <w:rPr>
          <w:spacing w:val="-4"/>
          <w:rtl/>
          <w:lang w:val="en-US"/>
        </w:rPr>
        <w:t>11</w:t>
      </w:r>
      <w:r w:rsidRPr="001D7A1E">
        <w:rPr>
          <w:spacing w:val="-4"/>
          <w:rtl/>
          <w:lang w:val="en-US"/>
        </w:rPr>
        <w:t>(</w:t>
      </w:r>
      <w:r w:rsidRPr="00575C09">
        <w:rPr>
          <w:spacing w:val="-4"/>
          <w:rtl/>
          <w:lang w:val="en-US"/>
        </w:rPr>
        <w:t>1</w:t>
      </w:r>
      <w:r w:rsidRPr="001D7A1E">
        <w:rPr>
          <w:spacing w:val="-4"/>
          <w:rtl/>
          <w:lang w:val="en-US"/>
        </w:rPr>
        <w:t>) من العهد عندما تسمح للمؤجر</w:t>
      </w:r>
      <w:r w:rsidRPr="000D7670">
        <w:rPr>
          <w:rtl/>
          <w:lang w:val="en-US"/>
        </w:rPr>
        <w:t xml:space="preserve"> بإنهاء عقد إيجار دون تقديم مبرر لذلك وعندما تجيز طرد مستأجر من سكنه قبل أن يجد سكن</w:t>
      </w:r>
      <w:r w:rsidR="00934890">
        <w:rPr>
          <w:rtl/>
          <w:lang w:val="en-US"/>
        </w:rPr>
        <w:t xml:space="preserve">اً </w:t>
      </w:r>
      <w:r w:rsidRPr="000D7670">
        <w:rPr>
          <w:rtl/>
          <w:lang w:val="en-US"/>
        </w:rPr>
        <w:t>بديل</w:t>
      </w:r>
      <w:r w:rsidR="00DD7E44">
        <w:rPr>
          <w:rtl/>
          <w:lang w:val="en-US"/>
        </w:rPr>
        <w:t>اً.</w:t>
      </w:r>
    </w:p>
    <w:p w14:paraId="2A940B7C" w14:textId="77777777" w:rsidR="000D7670" w:rsidRPr="00575C09" w:rsidRDefault="000D7670" w:rsidP="00B6606A">
      <w:pPr>
        <w:pStyle w:val="H23GA"/>
      </w:pPr>
      <w:r w:rsidRPr="00575C09">
        <w:rPr>
          <w:rtl/>
        </w:rPr>
        <w:tab/>
      </w:r>
      <w:r w:rsidRPr="00575C09">
        <w:rPr>
          <w:rtl/>
        </w:rPr>
        <w:tab/>
        <w:t>ملاحظات الدولة الطرف بشأن المقبولية والأسس الموضوعية</w:t>
      </w:r>
    </w:p>
    <w:p w14:paraId="0C895C35" w14:textId="77777777" w:rsidR="000D7670" w:rsidRPr="000D7670" w:rsidRDefault="000D7670" w:rsidP="000D7670">
      <w:pPr>
        <w:pStyle w:val="SingleTxtGA"/>
        <w:rPr>
          <w:lang w:val="en-US"/>
        </w:rPr>
      </w:pPr>
      <w:r w:rsidRPr="00575C09">
        <w:rPr>
          <w:rtl/>
          <w:lang w:val="en-US"/>
        </w:rPr>
        <w:t>4</w:t>
      </w:r>
      <w:r w:rsidRPr="000D7670">
        <w:rPr>
          <w:rtl/>
          <w:lang w:val="en-US"/>
        </w:rPr>
        <w:t>-</w:t>
      </w:r>
      <w:r w:rsidRPr="00575C09">
        <w:rPr>
          <w:rtl/>
          <w:lang w:val="en-US"/>
        </w:rPr>
        <w:t>1</w:t>
      </w:r>
      <w:r w:rsidRPr="000D7670">
        <w:rPr>
          <w:rtl/>
          <w:lang w:val="en-US"/>
        </w:rPr>
        <w:tab/>
        <w:t xml:space="preserve">تؤكد الدولة الطرف في ملاحظاتها المؤرخة </w:t>
      </w:r>
      <w:r w:rsidRPr="00575C09">
        <w:rPr>
          <w:rtl/>
          <w:lang w:val="en-US"/>
        </w:rPr>
        <w:t>5</w:t>
      </w:r>
      <w:r w:rsidRPr="000D7670">
        <w:rPr>
          <w:rtl/>
          <w:lang w:val="en-US"/>
        </w:rPr>
        <w:t xml:space="preserve"> حزيران/</w:t>
      </w:r>
      <w:proofErr w:type="gramStart"/>
      <w:r w:rsidRPr="000D7670">
        <w:rPr>
          <w:rtl/>
          <w:lang w:val="en-US"/>
        </w:rPr>
        <w:t>يونيه</w:t>
      </w:r>
      <w:proofErr w:type="gramEnd"/>
      <w:r w:rsidRPr="000D7670">
        <w:rPr>
          <w:rtl/>
          <w:lang w:val="en-US"/>
        </w:rPr>
        <w:t xml:space="preserve"> </w:t>
      </w:r>
      <w:r w:rsidRPr="00575C09">
        <w:rPr>
          <w:rtl/>
          <w:lang w:val="en-US"/>
        </w:rPr>
        <w:t>2019</w:t>
      </w:r>
      <w:r w:rsidRPr="000D7670">
        <w:rPr>
          <w:rtl/>
          <w:lang w:val="en-US"/>
        </w:rPr>
        <w:t xml:space="preserve"> أن البلاغ لا يستوفي شروط المقبولية المنصوص عليها في البروتوكول الاختياري، وأنه لا يكشف بأي حال من الأحوال عن أي انتهاك للحقوق المنصوص عليها في العهد.</w:t>
      </w:r>
    </w:p>
    <w:p w14:paraId="0CA30DA9" w14:textId="335A174C" w:rsidR="000D7670" w:rsidRPr="000D7670" w:rsidRDefault="000D7670" w:rsidP="000D7670">
      <w:pPr>
        <w:pStyle w:val="SingleTxtGA"/>
        <w:rPr>
          <w:lang w:val="en-US"/>
        </w:rPr>
      </w:pPr>
      <w:r w:rsidRPr="00575C09">
        <w:rPr>
          <w:rtl/>
          <w:lang w:val="en-US"/>
        </w:rPr>
        <w:t>4</w:t>
      </w:r>
      <w:r w:rsidRPr="000D7670">
        <w:rPr>
          <w:rtl/>
          <w:lang w:val="en-US"/>
        </w:rPr>
        <w:t>-</w:t>
      </w:r>
      <w:r w:rsidRPr="00575C09">
        <w:rPr>
          <w:rtl/>
          <w:lang w:val="en-US"/>
        </w:rPr>
        <w:t>2</w:t>
      </w:r>
      <w:r w:rsidRPr="000D7670">
        <w:rPr>
          <w:rtl/>
          <w:lang w:val="en-US"/>
        </w:rPr>
        <w:tab/>
        <w:t>و</w:t>
      </w:r>
      <w:r w:rsidR="00B6606A">
        <w:rPr>
          <w:rtl/>
          <w:lang w:val="en-US"/>
        </w:rPr>
        <w:t xml:space="preserve">وفقاً </w:t>
      </w:r>
      <w:r w:rsidRPr="000D7670">
        <w:rPr>
          <w:rtl/>
          <w:lang w:val="en-US"/>
        </w:rPr>
        <w:t xml:space="preserve">للدولة الطرف، لا يستوفي البلاغ شرط المقبولية المنصوص عليه في الفقرة </w:t>
      </w:r>
      <w:r w:rsidRPr="00575C09">
        <w:rPr>
          <w:rtl/>
          <w:lang w:val="en-US"/>
        </w:rPr>
        <w:t>1</w:t>
      </w:r>
      <w:r w:rsidRPr="000D7670">
        <w:rPr>
          <w:rtl/>
          <w:lang w:val="en-US"/>
        </w:rPr>
        <w:t xml:space="preserve"> من المادة</w:t>
      </w:r>
      <w:r w:rsidR="001D7A1E">
        <w:rPr>
          <w:rFonts w:hint="cs"/>
          <w:rtl/>
          <w:lang w:val="en-US"/>
        </w:rPr>
        <w:t> </w:t>
      </w:r>
      <w:r w:rsidRPr="00575C09">
        <w:rPr>
          <w:rtl/>
          <w:lang w:val="en-US"/>
        </w:rPr>
        <w:t>3</w:t>
      </w:r>
      <w:r w:rsidRPr="000D7670">
        <w:rPr>
          <w:rtl/>
          <w:lang w:val="en-US"/>
        </w:rPr>
        <w:t xml:space="preserve"> من البروتوكول الاختياري، لأن صاحب البلاغ لم يكن قد قدّم طلبه إلى محكمة النقض قبل تقديم طلبه إلى اللجنة، ومن هنا لم يكن قد استنفد سبل الانتصاف المحلية. </w:t>
      </w:r>
    </w:p>
    <w:p w14:paraId="664FCCE8" w14:textId="3DD076DB" w:rsidR="000D7670" w:rsidRPr="000D7670" w:rsidRDefault="000D7670" w:rsidP="000D7670">
      <w:pPr>
        <w:pStyle w:val="SingleTxtGA"/>
        <w:rPr>
          <w:lang w:val="en-US"/>
        </w:rPr>
      </w:pPr>
      <w:r w:rsidRPr="00575C09">
        <w:rPr>
          <w:rtl/>
          <w:lang w:val="en-US"/>
        </w:rPr>
        <w:t>4</w:t>
      </w:r>
      <w:r w:rsidRPr="000D7670">
        <w:rPr>
          <w:rtl/>
          <w:lang w:val="en-US"/>
        </w:rPr>
        <w:t>-</w:t>
      </w:r>
      <w:r w:rsidRPr="00575C09">
        <w:rPr>
          <w:rtl/>
          <w:lang w:val="en-US"/>
        </w:rPr>
        <w:t>3</w:t>
      </w:r>
      <w:r w:rsidRPr="000D7670">
        <w:rPr>
          <w:rtl/>
          <w:lang w:val="en-US"/>
        </w:rPr>
        <w:tab/>
        <w:t xml:space="preserve">وعلاوة على ذلك، لا يستوفي البلاغ شرط المقبولية المنصوص عليه في المادة </w:t>
      </w:r>
      <w:r w:rsidRPr="00575C09">
        <w:rPr>
          <w:rtl/>
          <w:lang w:val="en-US"/>
        </w:rPr>
        <w:t>2</w:t>
      </w:r>
      <w:r w:rsidRPr="000D7670">
        <w:rPr>
          <w:rtl/>
          <w:lang w:val="en-US"/>
        </w:rPr>
        <w:t>(</w:t>
      </w:r>
      <w:r w:rsidRPr="00575C09">
        <w:rPr>
          <w:rtl/>
          <w:lang w:val="en-US"/>
        </w:rPr>
        <w:t>3</w:t>
      </w:r>
      <w:r w:rsidRPr="000D7670">
        <w:rPr>
          <w:rtl/>
          <w:lang w:val="en-US"/>
        </w:rPr>
        <w:t>(و)) من البروتوكول الاختياري، لأن صاحب البلاغ أساء استعمال حقه في تقديم البلاغات لأنه، كونه مستأجر</w:t>
      </w:r>
      <w:r w:rsidR="00DD7E44">
        <w:rPr>
          <w:rtl/>
          <w:lang w:val="en-US"/>
        </w:rPr>
        <w:t>اً،</w:t>
      </w:r>
      <w:r w:rsidRPr="000D7670">
        <w:rPr>
          <w:rtl/>
          <w:lang w:val="en-US"/>
        </w:rPr>
        <w:t xml:space="preserve"> ما</w:t>
      </w:r>
      <w:r w:rsidR="001D7A1E">
        <w:rPr>
          <w:rFonts w:hint="cs"/>
          <w:rtl/>
          <w:lang w:val="en-US"/>
        </w:rPr>
        <w:t> </w:t>
      </w:r>
      <w:r w:rsidRPr="000D7670">
        <w:rPr>
          <w:rtl/>
          <w:lang w:val="en-US"/>
        </w:rPr>
        <w:t>كان يجب أن يتوقع البقاء في مسكنه مدى الحياة. وتدفع الدولة الطرف بأن صاحب البلاغ أخلّ بشروط عقد الإيجار عندما احتلّ مسكنه دون سند ملكية، وبأنه وضع نفسه في حالة عسر عندما رفض التفكير في أي حلّ بديل عن استمرار إقامته في شقته، رغم الأشهر الثمانية التي أتيحت له للانتقال إلى سكن آخر والتي تساوي فترة السماح الممنوحة له. وتشير الدولة الطرف</w:t>
      </w:r>
      <w:r w:rsidR="00B6606A">
        <w:rPr>
          <w:rtl/>
          <w:lang w:val="en-US"/>
        </w:rPr>
        <w:t xml:space="preserve"> أيضاً </w:t>
      </w:r>
      <w:r w:rsidRPr="000D7670">
        <w:rPr>
          <w:rtl/>
          <w:lang w:val="en-US"/>
        </w:rPr>
        <w:t>إلى أن صاحب البلاغ رفض باستمرار الأماكن التي عُرضت عليه لإيوائه مؤقتاً والمساعدة التي أتيحت له للعثور على سكن بديل، سواء قبل عملية الإخلاء أو بعدها.</w:t>
      </w:r>
    </w:p>
    <w:p w14:paraId="1E74C92F" w14:textId="5F68BEB7" w:rsidR="000D7670" w:rsidRPr="000D7670" w:rsidRDefault="000D7670" w:rsidP="000D7670">
      <w:pPr>
        <w:pStyle w:val="SingleTxtGA"/>
        <w:rPr>
          <w:lang w:val="en-US"/>
        </w:rPr>
      </w:pPr>
      <w:r w:rsidRPr="00575C09">
        <w:rPr>
          <w:rtl/>
          <w:lang w:val="en-US"/>
        </w:rPr>
        <w:t>4</w:t>
      </w:r>
      <w:r w:rsidRPr="000D7670">
        <w:rPr>
          <w:rtl/>
          <w:lang w:val="en-US"/>
        </w:rPr>
        <w:t>-</w:t>
      </w:r>
      <w:r w:rsidRPr="00575C09">
        <w:rPr>
          <w:rtl/>
          <w:lang w:val="en-US"/>
        </w:rPr>
        <w:t>4</w:t>
      </w:r>
      <w:r w:rsidRPr="000D7670">
        <w:rPr>
          <w:rtl/>
          <w:lang w:val="en-US"/>
        </w:rPr>
        <w:tab/>
        <w:t>وفي حال إعلان اللجنة مقبولية البلاغ، فإن الدولة الطرف تؤكد أن ذلك لا يكشف عن أي انتهاك لحقوق صاحب البلاغ لأنه وضع نفسه في الظروف التي يشتكي منها، في حين أنهي عقد إيجار</w:t>
      </w:r>
      <w:r w:rsidR="003D33AE">
        <w:rPr>
          <w:rFonts w:hint="cs"/>
          <w:rtl/>
          <w:lang w:val="en-US"/>
        </w:rPr>
        <w:t> </w:t>
      </w:r>
      <w:r w:rsidRPr="000D7670">
        <w:rPr>
          <w:rtl/>
          <w:lang w:val="en-US"/>
        </w:rPr>
        <w:t>مسكنه وفق تشريعات يمكن التنبؤ بها ومتناسبة مع الظروف وتشمل ضمانات نص القضاة المحليون على تطبيقها.</w:t>
      </w:r>
    </w:p>
    <w:p w14:paraId="0156CEF1" w14:textId="3DABCB09" w:rsidR="000D7670" w:rsidRPr="000D7670" w:rsidRDefault="000D7670" w:rsidP="000D7670">
      <w:pPr>
        <w:pStyle w:val="SingleTxtGA"/>
        <w:rPr>
          <w:lang w:val="en-US"/>
        </w:rPr>
      </w:pPr>
      <w:r w:rsidRPr="00575C09">
        <w:rPr>
          <w:rtl/>
          <w:lang w:val="en-US"/>
        </w:rPr>
        <w:t>4</w:t>
      </w:r>
      <w:r w:rsidRPr="000D7670">
        <w:rPr>
          <w:rtl/>
          <w:lang w:val="en-US"/>
        </w:rPr>
        <w:t>-</w:t>
      </w:r>
      <w:r w:rsidRPr="00575C09">
        <w:rPr>
          <w:rtl/>
          <w:lang w:val="en-US"/>
        </w:rPr>
        <w:t>5</w:t>
      </w:r>
      <w:r w:rsidRPr="000D7670">
        <w:rPr>
          <w:rtl/>
          <w:lang w:val="en-US"/>
        </w:rPr>
        <w:tab/>
        <w:t xml:space="preserve">وتفيد الدولة الطرف، بادئ ذي بدء، بأن الحق في سكن لائق يشمل الحق في المسكن والحق في أمن شغل المسكن، ولذلك، تتعارض عمليات الطرد بداهةً مع مقتضيات العهد إلا إذا كانت </w:t>
      </w:r>
      <w:proofErr w:type="gramStart"/>
      <w:r w:rsidRPr="000D7670">
        <w:rPr>
          <w:rtl/>
          <w:lang w:val="en-US"/>
        </w:rPr>
        <w:t>مبرّرة</w:t>
      </w:r>
      <w:r w:rsidRPr="000D7670">
        <w:rPr>
          <w:vertAlign w:val="superscript"/>
          <w:rtl/>
          <w:lang w:val="en-US"/>
        </w:rPr>
        <w:t>(</w:t>
      </w:r>
      <w:proofErr w:type="gramEnd"/>
      <w:r w:rsidRPr="00575C09">
        <w:rPr>
          <w:rStyle w:val="FootnoteReference"/>
          <w:szCs w:val="22"/>
          <w:lang w:val="en-US"/>
        </w:rPr>
        <w:footnoteReference w:id="7"/>
      </w:r>
      <w:r w:rsidRPr="000D7670">
        <w:rPr>
          <w:vertAlign w:val="superscript"/>
          <w:rtl/>
          <w:lang w:val="en-US"/>
        </w:rPr>
        <w:t>)</w:t>
      </w:r>
      <w:r>
        <w:rPr>
          <w:rtl/>
          <w:lang w:val="en-US"/>
        </w:rPr>
        <w:t>.</w:t>
      </w:r>
      <w:r w:rsidRPr="000D7670">
        <w:rPr>
          <w:rtl/>
          <w:lang w:val="en-US"/>
        </w:rPr>
        <w:t xml:space="preserve"> وتشير الدولة الطرف إلى أنه في هذه القضية، جرى التحدث مع صاحب البلاغ وأُبلغ بالطرد المقرر عندما استدعي أمام قاضي الصلح والمحكمة الابتدائية الناطقة بالفرنسية في بروكسل. وبالإضافة إلى ذلك، أُرسل إلى صاحب البلاغ إشعار بإنهاء عقد الإيجار قبل ستة أشهر من تاريخ الإنهاء، وبسبب فترة السماح الممنوحة له، طُرد صاحب البلاغ بعد مرور أكثر من عام على الإشعار الذي أرسلته المالكة. وتشدد الدولة الطرف</w:t>
      </w:r>
      <w:r w:rsidR="00B6606A">
        <w:rPr>
          <w:rtl/>
          <w:lang w:val="en-US"/>
        </w:rPr>
        <w:t xml:space="preserve"> أيضاً </w:t>
      </w:r>
      <w:r w:rsidRPr="000D7670">
        <w:rPr>
          <w:rtl/>
          <w:lang w:val="en-US"/>
        </w:rPr>
        <w:t xml:space="preserve">على أن عملية الإخلاء تولّاها ساعي المحكمة </w:t>
      </w:r>
      <w:r w:rsidR="00B6606A">
        <w:rPr>
          <w:rtl/>
          <w:lang w:val="en-US"/>
        </w:rPr>
        <w:t xml:space="preserve">وفقاً </w:t>
      </w:r>
      <w:r w:rsidRPr="000D7670">
        <w:rPr>
          <w:rtl/>
          <w:lang w:val="en-US"/>
        </w:rPr>
        <w:t xml:space="preserve">لأحكام القانون، وعلى أن أحد الأخصائيين الاجتماعيين من المركز العام للرعاية الاجتماعية في </w:t>
      </w:r>
      <w:proofErr w:type="spellStart"/>
      <w:r w:rsidRPr="000D7670">
        <w:rPr>
          <w:rtl/>
          <w:lang w:val="en-US"/>
        </w:rPr>
        <w:t>إتربيك</w:t>
      </w:r>
      <w:proofErr w:type="spellEnd"/>
      <w:r w:rsidRPr="000D7670">
        <w:rPr>
          <w:rtl/>
          <w:lang w:val="en-US"/>
        </w:rPr>
        <w:t xml:space="preserve"> كان حاضر</w:t>
      </w:r>
      <w:r w:rsidR="00934890">
        <w:rPr>
          <w:rtl/>
          <w:lang w:val="en-US"/>
        </w:rPr>
        <w:t xml:space="preserve">اً </w:t>
      </w:r>
      <w:r w:rsidRPr="000D7670">
        <w:rPr>
          <w:rtl/>
          <w:lang w:val="en-US"/>
        </w:rPr>
        <w:t>يوم الإخلاء بغية اقتراح حل للعثور على سكن بديل بصورة عاجلة، وهو حل رفضه صاحب البلاغ. وتحظر القوانين التشريعية</w:t>
      </w:r>
      <w:r w:rsidR="00B6606A">
        <w:rPr>
          <w:rtl/>
          <w:lang w:val="en-US"/>
        </w:rPr>
        <w:t xml:space="preserve"> أيضاً </w:t>
      </w:r>
      <w:r w:rsidRPr="000D7670">
        <w:rPr>
          <w:rtl/>
          <w:lang w:val="en-US"/>
        </w:rPr>
        <w:t>طرد المستأجرين إذا كانت الأحوال الجوية سيئة. وتشير الدولة الطرف</w:t>
      </w:r>
      <w:r w:rsidR="00B6606A">
        <w:rPr>
          <w:rtl/>
          <w:lang w:val="en-US"/>
        </w:rPr>
        <w:t xml:space="preserve"> أيضاً </w:t>
      </w:r>
      <w:r w:rsidRPr="000D7670">
        <w:rPr>
          <w:rtl/>
          <w:lang w:val="en-US"/>
        </w:rPr>
        <w:t xml:space="preserve">إلى أن </w:t>
      </w:r>
      <w:r w:rsidRPr="000D7670">
        <w:rPr>
          <w:rtl/>
          <w:lang w:val="en-US"/>
        </w:rPr>
        <w:lastRenderedPageBreak/>
        <w:t>صاحب البلاغ لم يمارس حقه في الاعتراض على عملية الطرد عندما أُبلغ المركز العام للرعاية الاجتماعية بالحكم الصادر في حقه. وأخير</w:t>
      </w:r>
      <w:r w:rsidR="00DD7E44">
        <w:rPr>
          <w:rtl/>
          <w:lang w:val="en-US"/>
        </w:rPr>
        <w:t>اً،</w:t>
      </w:r>
      <w:r w:rsidRPr="000D7670">
        <w:rPr>
          <w:rtl/>
          <w:lang w:val="en-US"/>
        </w:rPr>
        <w:t xml:space="preserve"> تشير الدولة الطرف إلى أن صاحب البلاغ تلقى معونة ومساعدة قانونيتين مجانيتين. وبناء عليه، ترى الدولة الطرف أنها اتخذت جميع التدابير الحمائية التي أوصت بها اللجنة في حالات الإخلاء.</w:t>
      </w:r>
    </w:p>
    <w:p w14:paraId="7A4DB63C" w14:textId="792F202E" w:rsidR="000D7670" w:rsidRPr="000D7670" w:rsidRDefault="000D7670" w:rsidP="000D7670">
      <w:pPr>
        <w:pStyle w:val="SingleTxtGA"/>
        <w:rPr>
          <w:lang w:val="en-US"/>
        </w:rPr>
      </w:pPr>
      <w:r w:rsidRPr="00575C09">
        <w:rPr>
          <w:rtl/>
          <w:lang w:val="en-US"/>
        </w:rPr>
        <w:t>4</w:t>
      </w:r>
      <w:r w:rsidRPr="000D7670">
        <w:rPr>
          <w:rtl/>
          <w:lang w:val="en-US"/>
        </w:rPr>
        <w:t>-</w:t>
      </w:r>
      <w:r w:rsidRPr="00575C09">
        <w:rPr>
          <w:rtl/>
          <w:lang w:val="en-US"/>
        </w:rPr>
        <w:t>6</w:t>
      </w:r>
      <w:r w:rsidRPr="000D7670">
        <w:rPr>
          <w:rtl/>
          <w:lang w:val="en-US"/>
        </w:rPr>
        <w:tab/>
        <w:t xml:space="preserve">وتصف الدولة الطرف القواعد القانونية التي كانت تنظم عقود الإيجار السكني وقت وقوع الأحداث، والطابع التقدمي </w:t>
      </w:r>
      <w:proofErr w:type="spellStart"/>
      <w:r w:rsidRPr="000D7670">
        <w:rPr>
          <w:rtl/>
          <w:lang w:val="en-US"/>
        </w:rPr>
        <w:t>والحمائي</w:t>
      </w:r>
      <w:proofErr w:type="spellEnd"/>
      <w:r w:rsidRPr="000D7670">
        <w:rPr>
          <w:rtl/>
          <w:lang w:val="en-US"/>
        </w:rPr>
        <w:t xml:space="preserve"> للمرسوم المؤرخ </w:t>
      </w:r>
      <w:r w:rsidRPr="00575C09">
        <w:rPr>
          <w:rtl/>
          <w:lang w:val="en-US"/>
        </w:rPr>
        <w:t>27</w:t>
      </w:r>
      <w:r w:rsidRPr="000D7670">
        <w:rPr>
          <w:rtl/>
          <w:lang w:val="en-US"/>
        </w:rPr>
        <w:t xml:space="preserve"> تموز/يوليه </w:t>
      </w:r>
      <w:r w:rsidRPr="00575C09">
        <w:rPr>
          <w:rtl/>
          <w:lang w:val="en-US"/>
        </w:rPr>
        <w:t>2017</w:t>
      </w:r>
      <w:r w:rsidRPr="000D7670">
        <w:rPr>
          <w:rtl/>
          <w:lang w:val="en-US"/>
        </w:rPr>
        <w:t xml:space="preserve"> الذي يرمي إلى إضفاء طابع إقليمي على عقود الإيجار السكني وتضمين التشريعات الوطنية المتعلقة بعقود الإيجار السكني أحكام</w:t>
      </w:r>
      <w:r w:rsidR="00934890">
        <w:rPr>
          <w:rtl/>
          <w:lang w:val="en-US"/>
        </w:rPr>
        <w:t xml:space="preserve">اً </w:t>
      </w:r>
      <w:r w:rsidRPr="000D7670">
        <w:rPr>
          <w:rtl/>
          <w:lang w:val="en-US"/>
        </w:rPr>
        <w:t>تراعي هشاشة أوضاع المسنين تحديد</w:t>
      </w:r>
      <w:r w:rsidR="00934890">
        <w:rPr>
          <w:rtl/>
          <w:lang w:val="en-US"/>
        </w:rPr>
        <w:t xml:space="preserve">اً </w:t>
      </w:r>
      <w:r w:rsidRPr="000D7670">
        <w:rPr>
          <w:rtl/>
          <w:lang w:val="en-US"/>
        </w:rPr>
        <w:t>عندما يتعلق الأمر بالحق في سكن لائق.</w:t>
      </w:r>
    </w:p>
    <w:p w14:paraId="12550EF7" w14:textId="3F67C680" w:rsidR="000D7670" w:rsidRPr="000D7670" w:rsidRDefault="000D7670" w:rsidP="000D7670">
      <w:pPr>
        <w:pStyle w:val="SingleTxtGA"/>
        <w:rPr>
          <w:lang w:val="en-US"/>
        </w:rPr>
      </w:pPr>
      <w:r w:rsidRPr="00575C09">
        <w:rPr>
          <w:rtl/>
          <w:lang w:val="en-US"/>
        </w:rPr>
        <w:t>4</w:t>
      </w:r>
      <w:r w:rsidRPr="000D7670">
        <w:rPr>
          <w:rtl/>
          <w:lang w:val="en-US"/>
        </w:rPr>
        <w:t>-</w:t>
      </w:r>
      <w:r w:rsidRPr="00575C09">
        <w:rPr>
          <w:rtl/>
          <w:lang w:val="en-US"/>
        </w:rPr>
        <w:t>7</w:t>
      </w:r>
      <w:r w:rsidRPr="000D7670">
        <w:rPr>
          <w:rtl/>
          <w:lang w:val="en-US"/>
        </w:rPr>
        <w:tab/>
        <w:t>وثاني</w:t>
      </w:r>
      <w:r w:rsidR="00DD7E44">
        <w:rPr>
          <w:rtl/>
          <w:lang w:val="en-US"/>
        </w:rPr>
        <w:t>اً،</w:t>
      </w:r>
      <w:r w:rsidRPr="000D7670">
        <w:rPr>
          <w:rtl/>
          <w:lang w:val="en-US"/>
        </w:rPr>
        <w:t xml:space="preserve"> تلاحظ الدولة الطرف أن الحق في سكن لائق يشمل واجب حماية المستأجرين، بما في ذلك حمايتهم من مالكي المساكن </w:t>
      </w:r>
      <w:proofErr w:type="gramStart"/>
      <w:r w:rsidRPr="000D7670">
        <w:rPr>
          <w:rtl/>
          <w:lang w:val="en-US"/>
        </w:rPr>
        <w:t>الخاصة</w:t>
      </w:r>
      <w:r w:rsidRPr="000D7670">
        <w:rPr>
          <w:vertAlign w:val="superscript"/>
          <w:rtl/>
          <w:lang w:val="en-US"/>
        </w:rPr>
        <w:t>(</w:t>
      </w:r>
      <w:proofErr w:type="gramEnd"/>
      <w:r w:rsidRPr="00575C09">
        <w:rPr>
          <w:rStyle w:val="FootnoteReference"/>
          <w:szCs w:val="22"/>
          <w:lang w:val="en-US"/>
        </w:rPr>
        <w:footnoteReference w:id="8"/>
      </w:r>
      <w:r w:rsidRPr="000D7670">
        <w:rPr>
          <w:vertAlign w:val="superscript"/>
          <w:rtl/>
          <w:lang w:val="en-US"/>
        </w:rPr>
        <w:t>)</w:t>
      </w:r>
      <w:r>
        <w:rPr>
          <w:rtl/>
          <w:lang w:val="en-US"/>
        </w:rPr>
        <w:t>.</w:t>
      </w:r>
      <w:r w:rsidRPr="000D7670">
        <w:rPr>
          <w:rtl/>
          <w:lang w:val="en-US"/>
        </w:rPr>
        <w:t xml:space="preserve"> وتشير إلى أن التشريعات الوطنية المتعلقة بالإسكان تحمي رضا المستأجرين، لا سيما من خلال اشتراط إجراء عقد إيجار مكتوب وإعداد مستند يصف حالة العقار. ولا يجوز إنهاء عقد الإيجار قبل انقضاء مدته، دون مبرر، إلا بعد تاريخ إبرامه بثلاث سنوات أو ست </w:t>
      </w:r>
      <w:r w:rsidRPr="001D7A1E">
        <w:rPr>
          <w:spacing w:val="-4"/>
          <w:rtl/>
          <w:lang w:val="en-US"/>
        </w:rPr>
        <w:t>سنوات على الأقل، ويجب في هذه الحالة دفع تعويض كبير للمستأجر بالإضافة إلى إشعار المستأجر بإنهاء عقد الإيجار قبل تاريخ الإنهاء بمدة معينة، ويجوز للمستأجر أن يطلب تمديد</w:t>
      </w:r>
      <w:r w:rsidR="00934890">
        <w:rPr>
          <w:spacing w:val="-4"/>
          <w:rtl/>
          <w:lang w:val="en-US"/>
        </w:rPr>
        <w:t xml:space="preserve">اً </w:t>
      </w:r>
      <w:r w:rsidRPr="001D7A1E">
        <w:rPr>
          <w:spacing w:val="-4"/>
          <w:rtl/>
          <w:lang w:val="en-US"/>
        </w:rPr>
        <w:t>لهذه المدة في ظروف</w:t>
      </w:r>
      <w:r w:rsidRPr="001D7A1E">
        <w:rPr>
          <w:spacing w:val="-2"/>
          <w:rtl/>
          <w:lang w:val="en-US"/>
        </w:rPr>
        <w:t xml:space="preserve"> </w:t>
      </w:r>
      <w:r w:rsidRPr="001D7A1E">
        <w:rPr>
          <w:spacing w:val="-4"/>
          <w:rtl/>
          <w:lang w:val="en-US"/>
        </w:rPr>
        <w:t xml:space="preserve">استثنائية، </w:t>
      </w:r>
      <w:r w:rsidRPr="001D7A1E">
        <w:rPr>
          <w:spacing w:val="2"/>
          <w:rtl/>
          <w:lang w:val="en-US"/>
        </w:rPr>
        <w:t xml:space="preserve">بما فيها سنّه. وعلى وجه الخصوص، تنص المادة </w:t>
      </w:r>
      <w:r w:rsidRPr="00575C09">
        <w:rPr>
          <w:spacing w:val="2"/>
          <w:rtl/>
          <w:lang w:val="en-US"/>
        </w:rPr>
        <w:t>251</w:t>
      </w:r>
      <w:r w:rsidRPr="001D7A1E">
        <w:rPr>
          <w:spacing w:val="2"/>
          <w:rtl/>
          <w:lang w:val="en-US"/>
        </w:rPr>
        <w:t xml:space="preserve"> من قانون الإسكان في بروكسل على ما يلي: "في</w:t>
      </w:r>
      <w:r w:rsidRPr="000D7670">
        <w:rPr>
          <w:rtl/>
          <w:lang w:val="en-US"/>
        </w:rPr>
        <w:t xml:space="preserve"> حال عدم توصل الطرفين إلى اتفاق، يجوز للقاضي أن يقبل التمديد مع مراعاة مصلحة الطرفين، لا</w:t>
      </w:r>
      <w:r w:rsidR="001D7A1E">
        <w:rPr>
          <w:rFonts w:hint="cs"/>
          <w:rtl/>
          <w:lang w:val="en-US"/>
        </w:rPr>
        <w:t> </w:t>
      </w:r>
      <w:r w:rsidRPr="000D7670">
        <w:rPr>
          <w:rtl/>
          <w:lang w:val="en-US"/>
        </w:rPr>
        <w:t xml:space="preserve">سيما تَقدُّم أحد الطرفين في السن. وعلاوة على ذلك، يجيز هذا القانون إبرام عقد إيجار مدى </w:t>
      </w:r>
      <w:r w:rsidRPr="001D7A1E">
        <w:rPr>
          <w:spacing w:val="-2"/>
          <w:rtl/>
          <w:lang w:val="en-US"/>
        </w:rPr>
        <w:t>الحياة مع</w:t>
      </w:r>
      <w:r w:rsidR="00934890">
        <w:rPr>
          <w:rFonts w:hint="cs"/>
          <w:spacing w:val="-2"/>
          <w:rtl/>
          <w:lang w:val="en-US"/>
        </w:rPr>
        <w:t> </w:t>
      </w:r>
      <w:r w:rsidRPr="001D7A1E">
        <w:rPr>
          <w:spacing w:val="-2"/>
          <w:rtl/>
          <w:lang w:val="en-US"/>
        </w:rPr>
        <w:t xml:space="preserve">المستأجر. وفي هذه الحالة، لا تنطبق على عقد الإيجار هذا خيارات الإنهاء المتاحة عادة </w:t>
      </w:r>
      <w:proofErr w:type="gramStart"/>
      <w:r w:rsidRPr="001D7A1E">
        <w:rPr>
          <w:spacing w:val="-2"/>
          <w:rtl/>
          <w:lang w:val="en-US"/>
        </w:rPr>
        <w:t>للمؤجر</w:t>
      </w:r>
      <w:r w:rsidRPr="000D7670">
        <w:rPr>
          <w:rtl/>
          <w:lang w:val="en-US"/>
        </w:rPr>
        <w:t xml:space="preserve">، </w:t>
      </w:r>
      <w:r w:rsidR="00934890">
        <w:rPr>
          <w:rFonts w:hint="cs"/>
          <w:spacing w:val="-2"/>
          <w:rtl/>
          <w:lang w:val="en-US"/>
        </w:rPr>
        <w:t xml:space="preserve">  </w:t>
      </w:r>
      <w:proofErr w:type="gramEnd"/>
      <w:r w:rsidR="00934890">
        <w:rPr>
          <w:rFonts w:hint="cs"/>
          <w:spacing w:val="-2"/>
          <w:rtl/>
          <w:lang w:val="en-US"/>
        </w:rPr>
        <w:t xml:space="preserve">      </w:t>
      </w:r>
      <w:r w:rsidRPr="001D7A1E">
        <w:rPr>
          <w:spacing w:val="-2"/>
          <w:rtl/>
          <w:lang w:val="en-US"/>
        </w:rPr>
        <w:t>ما لم ينص العقد على خلاف ذلك. والجدير بالذكر، بناء على ما تقدم، أن القانون الساري يجيز فعلاً إنهاء</w:t>
      </w:r>
      <w:r w:rsidRPr="000D7670">
        <w:rPr>
          <w:rtl/>
          <w:lang w:val="en-US"/>
        </w:rPr>
        <w:t xml:space="preserve"> عقود الإيجار دون مبرر، ولكن ذلك مرهون بشروط صارمة وبضمانات تحمي المستأجرين. ونظرت الدولة الطرف في الاقتراح الداعي إلى إلغاء حقّ المؤجر في إنهاء عقد الإيجار دون مبرر، ولكنها ارتأت أن منح </w:t>
      </w:r>
      <w:r w:rsidRPr="001D7A1E">
        <w:rPr>
          <w:spacing w:val="-4"/>
          <w:rtl/>
          <w:lang w:val="en-US"/>
        </w:rPr>
        <w:t>المؤجر الحقّ في إنهاء العقد دون مبرر أمر ضروري لتجنّب وجود اختلاف في المعاملة بين المؤجر والمستأجر</w:t>
      </w:r>
      <w:r w:rsidRPr="001D7A1E">
        <w:rPr>
          <w:spacing w:val="-2"/>
          <w:rtl/>
          <w:lang w:val="en-US"/>
        </w:rPr>
        <w:t xml:space="preserve"> على نحو غير مبرر بما فيه الكفاية، وأن الضمانات الحالية كافية لحماية المستأجرين. وتشير الدولة الطرف </w:t>
      </w:r>
      <w:r w:rsidRPr="001D7A1E">
        <w:rPr>
          <w:spacing w:val="-4"/>
          <w:rtl/>
          <w:lang w:val="en-US"/>
        </w:rPr>
        <w:t xml:space="preserve">إلى أن حق الملكية محمي بموجب المادة </w:t>
      </w:r>
      <w:r w:rsidRPr="00575C09">
        <w:rPr>
          <w:spacing w:val="-4"/>
          <w:rtl/>
          <w:lang w:val="en-US"/>
        </w:rPr>
        <w:t>1</w:t>
      </w:r>
      <w:r w:rsidRPr="001D7A1E">
        <w:rPr>
          <w:spacing w:val="-4"/>
          <w:rtl/>
          <w:lang w:val="en-US"/>
        </w:rPr>
        <w:t xml:space="preserve"> من البروتوكول الإضافي لاتفاقية حماية حقوق الإنسان والحريات</w:t>
      </w:r>
      <w:r w:rsidRPr="000D7670">
        <w:rPr>
          <w:rtl/>
          <w:lang w:val="en-US"/>
        </w:rPr>
        <w:t xml:space="preserve"> الأساسية (الاتفاقية الأوروبية لحقوق الإنسان). وتشير الدولة الطرف إلى اجتهاد المحكمة الأوروبية لحقوق الإنسان بشأن ضرورة التفريق بين المؤجرين من القطاعين العام والخاص؛ وإذا كان المؤجر من القطاع الخاص، يحق للدول أن توازن بين حقوق الأطراف </w:t>
      </w:r>
      <w:proofErr w:type="gramStart"/>
      <w:r w:rsidRPr="000D7670">
        <w:rPr>
          <w:rtl/>
          <w:lang w:val="en-US"/>
        </w:rPr>
        <w:t>المعنية</w:t>
      </w:r>
      <w:r w:rsidRPr="000D7670">
        <w:rPr>
          <w:vertAlign w:val="superscript"/>
          <w:rtl/>
          <w:lang w:val="en-US"/>
        </w:rPr>
        <w:t>(</w:t>
      </w:r>
      <w:proofErr w:type="gramEnd"/>
      <w:r w:rsidRPr="00575C09">
        <w:rPr>
          <w:rStyle w:val="FootnoteReference"/>
          <w:szCs w:val="22"/>
          <w:lang w:val="en-US"/>
        </w:rPr>
        <w:footnoteReference w:id="9"/>
      </w:r>
      <w:r w:rsidRPr="000D7670">
        <w:rPr>
          <w:vertAlign w:val="superscript"/>
          <w:rtl/>
          <w:lang w:val="en-US"/>
        </w:rPr>
        <w:t>)</w:t>
      </w:r>
      <w:r>
        <w:rPr>
          <w:rtl/>
          <w:lang w:val="en-US"/>
        </w:rPr>
        <w:t>.</w:t>
      </w:r>
    </w:p>
    <w:p w14:paraId="642BDFC9" w14:textId="194F4367" w:rsidR="000D7670" w:rsidRPr="000D7670" w:rsidRDefault="000D7670" w:rsidP="000D7670">
      <w:pPr>
        <w:pStyle w:val="SingleTxtGA"/>
        <w:rPr>
          <w:lang w:val="en-US"/>
        </w:rPr>
      </w:pPr>
      <w:r w:rsidRPr="00575C09">
        <w:rPr>
          <w:rtl/>
          <w:lang w:val="en-US"/>
        </w:rPr>
        <w:t>4</w:t>
      </w:r>
      <w:r w:rsidRPr="000D7670">
        <w:rPr>
          <w:rtl/>
          <w:lang w:val="en-US"/>
        </w:rPr>
        <w:t>-</w:t>
      </w:r>
      <w:r w:rsidRPr="00575C09">
        <w:rPr>
          <w:rtl/>
          <w:lang w:val="en-US"/>
        </w:rPr>
        <w:t>8</w:t>
      </w:r>
      <w:r w:rsidRPr="000D7670">
        <w:rPr>
          <w:rtl/>
          <w:lang w:val="en-US"/>
        </w:rPr>
        <w:tab/>
        <w:t xml:space="preserve">وفيما يتعلق بمكافحة التمييز، فقد باتت المادة </w:t>
      </w:r>
      <w:r w:rsidRPr="00575C09">
        <w:rPr>
          <w:rtl/>
          <w:lang w:val="en-US"/>
        </w:rPr>
        <w:t>200</w:t>
      </w:r>
      <w:r w:rsidRPr="000D7670">
        <w:rPr>
          <w:rtl/>
          <w:lang w:val="en-US"/>
        </w:rPr>
        <w:t xml:space="preserve"> </w:t>
      </w:r>
      <w:r w:rsidRPr="00801D24">
        <w:rPr>
          <w:i/>
          <w:iCs/>
          <w:rtl/>
          <w:lang w:val="en-US"/>
        </w:rPr>
        <w:t>مكرر</w:t>
      </w:r>
      <w:r w:rsidR="00801D24" w:rsidRPr="00801D24">
        <w:rPr>
          <w:i/>
          <w:iCs/>
          <w:rtl/>
          <w:lang w:val="en-US"/>
        </w:rPr>
        <w:t xml:space="preserve">اً </w:t>
      </w:r>
      <w:r w:rsidRPr="00801D24">
        <w:rPr>
          <w:i/>
          <w:iCs/>
          <w:rtl/>
          <w:lang w:val="en-US"/>
        </w:rPr>
        <w:t>ثالث</w:t>
      </w:r>
      <w:r w:rsidR="00801D24" w:rsidRPr="00801D24">
        <w:rPr>
          <w:i/>
          <w:iCs/>
          <w:rtl/>
          <w:lang w:val="en-US"/>
        </w:rPr>
        <w:t>اً</w:t>
      </w:r>
      <w:r w:rsidR="00801D24">
        <w:rPr>
          <w:rtl/>
          <w:lang w:val="en-US"/>
        </w:rPr>
        <w:t xml:space="preserve"> </w:t>
      </w:r>
      <w:r w:rsidRPr="000D7670">
        <w:rPr>
          <w:rtl/>
          <w:lang w:val="en-US"/>
        </w:rPr>
        <w:t>من قانون الإسكان في بروكسل تحدّد قائمة بالمعطيات الجائز طلبها وهي المعطيات الوحيدة التي يحق للمؤجر أن يطلبها من المستأجر المحتمل الذي اختاره أخير</w:t>
      </w:r>
      <w:r w:rsidR="00DD7E44">
        <w:rPr>
          <w:rtl/>
          <w:lang w:val="en-US"/>
        </w:rPr>
        <w:t>اً.</w:t>
      </w:r>
      <w:r w:rsidRPr="000D7670">
        <w:rPr>
          <w:rtl/>
          <w:lang w:val="en-US"/>
        </w:rPr>
        <w:t xml:space="preserve"> وبناء على ذلك، لا يحقّ للمؤجر أن يحتجّ بمصدر المداخيل أو طبيعتها لرفض تأجير السكن، وذلك لتجنب أي تمييز يرتبط بمركز المستأجر (الاجتماعي أو المهني أو غيره)، وهو ما يحظره القانون. </w:t>
      </w:r>
    </w:p>
    <w:p w14:paraId="02351BDB" w14:textId="551141BD" w:rsidR="000D7670" w:rsidRPr="001D7A1E" w:rsidRDefault="000D7670" w:rsidP="003D33AE">
      <w:pPr>
        <w:pStyle w:val="SingleTxtGA"/>
        <w:spacing w:line="340" w:lineRule="exact"/>
        <w:rPr>
          <w:spacing w:val="-2"/>
          <w:lang w:val="en-US"/>
        </w:rPr>
      </w:pPr>
      <w:r w:rsidRPr="00575C09">
        <w:rPr>
          <w:rtl/>
          <w:lang w:val="en-US"/>
        </w:rPr>
        <w:t>4</w:t>
      </w:r>
      <w:r w:rsidRPr="000D7670">
        <w:rPr>
          <w:rtl/>
          <w:lang w:val="en-US"/>
        </w:rPr>
        <w:t>-</w:t>
      </w:r>
      <w:r w:rsidRPr="00575C09">
        <w:rPr>
          <w:rtl/>
          <w:lang w:val="en-US"/>
        </w:rPr>
        <w:t>9</w:t>
      </w:r>
      <w:r w:rsidRPr="000D7670">
        <w:rPr>
          <w:rtl/>
          <w:lang w:val="en-US"/>
        </w:rPr>
        <w:tab/>
        <w:t xml:space="preserve">وفي الختام، تدفع الدولة الطرف بأن الحق في سكن لائق يشمل حق الفرد في سكن حتى بعد </w:t>
      </w:r>
      <w:r w:rsidRPr="001D7A1E">
        <w:rPr>
          <w:spacing w:val="-2"/>
          <w:rtl/>
          <w:lang w:val="en-US"/>
        </w:rPr>
        <w:t>طرده، وعلى الدولة الطرف أن تتخذ بموجب هذا الحقّ جميع التدابير اللازمة، بما تسمح به مواردها المتاحة،</w:t>
      </w:r>
      <w:r w:rsidRPr="000D7670">
        <w:rPr>
          <w:rtl/>
          <w:lang w:val="en-US"/>
        </w:rPr>
        <w:t xml:space="preserve"> </w:t>
      </w:r>
      <w:r w:rsidRPr="000D7670">
        <w:rPr>
          <w:rtl/>
          <w:lang w:val="en-US"/>
        </w:rPr>
        <w:lastRenderedPageBreak/>
        <w:t xml:space="preserve">لتوفير سكن بديل للمعني. وتشير الدولة الطرف إلى أن صاحب البلاغ عُرضت عليه المساعدة في هذه </w:t>
      </w:r>
      <w:r w:rsidRPr="001D7A1E">
        <w:rPr>
          <w:spacing w:val="-2"/>
          <w:rtl/>
          <w:lang w:val="en-US"/>
        </w:rPr>
        <w:t xml:space="preserve">القضية عدة مرات. وفي الواقع، سُجل صاحب البلاغ في </w:t>
      </w:r>
      <w:r w:rsidRPr="00575C09">
        <w:rPr>
          <w:spacing w:val="-2"/>
          <w:rtl/>
          <w:lang w:val="en-US"/>
        </w:rPr>
        <w:t>4</w:t>
      </w:r>
      <w:r w:rsidRPr="001D7A1E">
        <w:rPr>
          <w:spacing w:val="-2"/>
          <w:rtl/>
          <w:lang w:val="en-US"/>
        </w:rPr>
        <w:t xml:space="preserve"> تموز/يوليه </w:t>
      </w:r>
      <w:r w:rsidRPr="00575C09">
        <w:rPr>
          <w:spacing w:val="-2"/>
          <w:rtl/>
          <w:lang w:val="en-US"/>
        </w:rPr>
        <w:t>2018</w:t>
      </w:r>
      <w:r w:rsidRPr="001D7A1E">
        <w:rPr>
          <w:spacing w:val="-2"/>
          <w:rtl/>
          <w:lang w:val="en-US"/>
        </w:rPr>
        <w:t>، قبل عملية الإخلاء، بوصفه</w:t>
      </w:r>
      <w:r w:rsidRPr="000D7670">
        <w:rPr>
          <w:rtl/>
          <w:lang w:val="en-US"/>
        </w:rPr>
        <w:t xml:space="preserve"> طالب سكن لدى وكالة </w:t>
      </w:r>
      <w:proofErr w:type="spellStart"/>
      <w:r w:rsidRPr="000D7670">
        <w:rPr>
          <w:rtl/>
          <w:lang w:val="en-US"/>
        </w:rPr>
        <w:t>إتربيك</w:t>
      </w:r>
      <w:proofErr w:type="spellEnd"/>
      <w:r w:rsidRPr="000D7670">
        <w:rPr>
          <w:rtl/>
          <w:lang w:val="en-US"/>
        </w:rPr>
        <w:t xml:space="preserve"> العقارية الاجتماعية وهيئة إدارة المساكن. وفي تشرين الأول/أكتوبر </w:t>
      </w:r>
      <w:r w:rsidRPr="00575C09">
        <w:rPr>
          <w:rtl/>
          <w:lang w:val="en-US"/>
        </w:rPr>
        <w:t>2018</w:t>
      </w:r>
      <w:r w:rsidRPr="000D7670">
        <w:rPr>
          <w:rtl/>
          <w:lang w:val="en-US"/>
        </w:rPr>
        <w:t xml:space="preserve">، </w:t>
      </w:r>
      <w:r w:rsidRPr="001D7A1E">
        <w:rPr>
          <w:spacing w:val="-2"/>
          <w:rtl/>
          <w:lang w:val="en-US"/>
        </w:rPr>
        <w:t>قدمت مرافق الرعاية الاجتماعية المساعدة إلى صاحب البلاغ الذي رفض أي حلّ آخر غير حلّ البقاء في</w:t>
      </w:r>
      <w:r w:rsidRPr="000D7670">
        <w:rPr>
          <w:rtl/>
          <w:lang w:val="en-US"/>
        </w:rPr>
        <w:t xml:space="preserve"> شقته. وفي </w:t>
      </w:r>
      <w:r w:rsidRPr="00575C09">
        <w:rPr>
          <w:rtl/>
          <w:lang w:val="en-US"/>
        </w:rPr>
        <w:t>16</w:t>
      </w:r>
      <w:r w:rsidRPr="000D7670">
        <w:rPr>
          <w:rtl/>
          <w:lang w:val="en-US"/>
        </w:rPr>
        <w:t xml:space="preserve"> تشرين الأول/أكتوبر </w:t>
      </w:r>
      <w:r w:rsidRPr="00575C09">
        <w:rPr>
          <w:rtl/>
          <w:lang w:val="en-US"/>
        </w:rPr>
        <w:t>2018</w:t>
      </w:r>
      <w:r w:rsidRPr="000D7670">
        <w:rPr>
          <w:rtl/>
          <w:lang w:val="en-US"/>
        </w:rPr>
        <w:t xml:space="preserve">، ذكّر مجلس </w:t>
      </w:r>
      <w:proofErr w:type="spellStart"/>
      <w:r w:rsidRPr="000D7670">
        <w:rPr>
          <w:rtl/>
          <w:lang w:val="en-US"/>
        </w:rPr>
        <w:t>بورغمستر</w:t>
      </w:r>
      <w:proofErr w:type="spellEnd"/>
      <w:r w:rsidRPr="000D7670">
        <w:rPr>
          <w:rtl/>
          <w:lang w:val="en-US"/>
        </w:rPr>
        <w:t xml:space="preserve"> </w:t>
      </w:r>
      <w:proofErr w:type="spellStart"/>
      <w:r w:rsidRPr="000D7670">
        <w:rPr>
          <w:rtl/>
          <w:lang w:val="en-US"/>
        </w:rPr>
        <w:t>إتربيك</w:t>
      </w:r>
      <w:proofErr w:type="spellEnd"/>
      <w:r w:rsidRPr="000D7670">
        <w:rPr>
          <w:rtl/>
          <w:lang w:val="en-US"/>
        </w:rPr>
        <w:t xml:space="preserve"> ونوابه </w:t>
      </w:r>
      <w:r w:rsidRPr="001D7A1E">
        <w:rPr>
          <w:spacing w:val="-4"/>
          <w:rtl/>
          <w:lang w:val="en-US"/>
        </w:rPr>
        <w:t>صاحبَ البلاغ بأنه يمكنه أن يستفيد من المساعدة التي تقدمها مرافق الرعاية الاجتماعية التابعة للبلدية من أجل العثور بصورة عاجلة على سكن مؤقت. ورفض صاحب البلاغ</w:t>
      </w:r>
      <w:r w:rsidR="00B6606A" w:rsidRPr="001D7A1E">
        <w:rPr>
          <w:spacing w:val="-4"/>
          <w:rtl/>
          <w:lang w:val="en-US"/>
        </w:rPr>
        <w:t xml:space="preserve"> أيضاً </w:t>
      </w:r>
      <w:r w:rsidRPr="001D7A1E">
        <w:rPr>
          <w:spacing w:val="-4"/>
          <w:rtl/>
          <w:lang w:val="en-US"/>
        </w:rPr>
        <w:t>تلقي أي مساعدة يوم عملية الإخلاء، مشير</w:t>
      </w:r>
      <w:r w:rsidR="00801D24">
        <w:rPr>
          <w:spacing w:val="-4"/>
          <w:rtl/>
          <w:lang w:val="en-US"/>
        </w:rPr>
        <w:t xml:space="preserve">اً </w:t>
      </w:r>
      <w:r w:rsidRPr="001D7A1E">
        <w:rPr>
          <w:spacing w:val="-4"/>
          <w:rtl/>
          <w:lang w:val="en-US"/>
        </w:rPr>
        <w:t>إلى أنه سيبقى عند أحد معارفه. وأخير</w:t>
      </w:r>
      <w:r w:rsidR="00DD7E44">
        <w:rPr>
          <w:spacing w:val="-4"/>
          <w:rtl/>
          <w:lang w:val="en-US"/>
        </w:rPr>
        <w:t>اً،</w:t>
      </w:r>
      <w:r w:rsidRPr="001D7A1E">
        <w:rPr>
          <w:spacing w:val="-4"/>
          <w:rtl/>
          <w:lang w:val="en-US"/>
        </w:rPr>
        <w:t xml:space="preserve"> في </w:t>
      </w:r>
      <w:r w:rsidRPr="00575C09">
        <w:rPr>
          <w:spacing w:val="-4"/>
          <w:rtl/>
          <w:lang w:val="en-US"/>
        </w:rPr>
        <w:t>6</w:t>
      </w:r>
      <w:r w:rsidRPr="001D7A1E">
        <w:rPr>
          <w:spacing w:val="-4"/>
          <w:rtl/>
          <w:lang w:val="en-US"/>
        </w:rPr>
        <w:t xml:space="preserve"> تشرين الثاني/نوفمبر </w:t>
      </w:r>
      <w:r w:rsidRPr="00575C09">
        <w:rPr>
          <w:spacing w:val="-4"/>
          <w:rtl/>
          <w:lang w:val="en-US"/>
        </w:rPr>
        <w:t>2018</w:t>
      </w:r>
      <w:r w:rsidRPr="001D7A1E">
        <w:rPr>
          <w:spacing w:val="-4"/>
          <w:rtl/>
          <w:lang w:val="en-US"/>
        </w:rPr>
        <w:t xml:space="preserve">، اتصلت وحدة التحقيق الاجتماعي التابعة لخدمات التفتيش في مجال السكن التي ترتبط بمرفق الخدمات العامة لمنطقة بروكسل بصاحب البلاغ لتقديم مساعدتها التي رفضها صاحب البلاغ. وتؤكد الدولة الطرف أنها ليست في وضع يمكنها </w:t>
      </w:r>
      <w:r w:rsidRPr="001D7A1E">
        <w:rPr>
          <w:spacing w:val="-2"/>
          <w:rtl/>
          <w:lang w:val="en-US"/>
        </w:rPr>
        <w:t xml:space="preserve">من إعطاء الأولوية لصاحب البلاغ على حساب أشخاص مسجلون على قائمة الانتظار للحصول على </w:t>
      </w:r>
      <w:r w:rsidRPr="001D7A1E">
        <w:rPr>
          <w:spacing w:val="-4"/>
          <w:rtl/>
          <w:lang w:val="en-US"/>
        </w:rPr>
        <w:t>مساكن اجتماعية، تحت طائلة إحداث سابقة هامة تتعارض مع مبدأ المعاملة المتساوية لمقدمي طلبات الإيجار.</w:t>
      </w:r>
    </w:p>
    <w:p w14:paraId="4A7A615F" w14:textId="721C3DA9" w:rsidR="000D7670" w:rsidRPr="000D7670" w:rsidRDefault="000D7670" w:rsidP="003D33AE">
      <w:pPr>
        <w:pStyle w:val="SingleTxtGA"/>
        <w:spacing w:line="340" w:lineRule="exact"/>
        <w:rPr>
          <w:lang w:val="en-US"/>
        </w:rPr>
      </w:pPr>
      <w:r w:rsidRPr="00575C09">
        <w:rPr>
          <w:rtl/>
          <w:lang w:val="en-US"/>
        </w:rPr>
        <w:t>4</w:t>
      </w:r>
      <w:r w:rsidRPr="000D7670">
        <w:rPr>
          <w:rtl/>
          <w:lang w:val="en-US"/>
        </w:rPr>
        <w:t>-</w:t>
      </w:r>
      <w:r w:rsidRPr="00575C09">
        <w:rPr>
          <w:rtl/>
          <w:lang w:val="en-US"/>
        </w:rPr>
        <w:t>10</w:t>
      </w:r>
      <w:r w:rsidRPr="000D7670">
        <w:rPr>
          <w:rtl/>
          <w:lang w:val="en-US"/>
        </w:rPr>
        <w:tab/>
        <w:t>وعلاوة على ذلك، تشير الدولة الطرف إلى أنها لا تستطيع الاعتراض على طرد صاحب البلاغ لأن القرار القضائي الذي تستند إليه عملية الطرد قد أصبح نهائي</w:t>
      </w:r>
      <w:r w:rsidR="00801D24">
        <w:rPr>
          <w:rtl/>
          <w:lang w:val="en-US"/>
        </w:rPr>
        <w:t xml:space="preserve">اً </w:t>
      </w:r>
      <w:r w:rsidRPr="000D7670">
        <w:rPr>
          <w:rtl/>
          <w:lang w:val="en-US"/>
        </w:rPr>
        <w:t>وواجب التنفيذ. ولذلك، اتخذت الدولة الطرف جميع التدابير الممكنة لتوفير سكن مؤقت لصاحب البلاغ أو مساعدته في البحث عن سكن.</w:t>
      </w:r>
    </w:p>
    <w:p w14:paraId="53F657EC" w14:textId="77777777" w:rsidR="000D7670" w:rsidRPr="000D7670" w:rsidRDefault="000D7670" w:rsidP="003D33AE">
      <w:pPr>
        <w:pStyle w:val="SingleTxtGA"/>
        <w:spacing w:line="340" w:lineRule="exact"/>
        <w:rPr>
          <w:lang w:val="en-US"/>
        </w:rPr>
      </w:pPr>
      <w:r w:rsidRPr="00575C09">
        <w:rPr>
          <w:rtl/>
          <w:lang w:val="en-US"/>
        </w:rPr>
        <w:t>4</w:t>
      </w:r>
      <w:r w:rsidRPr="000D7670">
        <w:rPr>
          <w:rtl/>
          <w:lang w:val="en-US"/>
        </w:rPr>
        <w:t>-</w:t>
      </w:r>
      <w:r w:rsidRPr="00575C09">
        <w:rPr>
          <w:rtl/>
          <w:lang w:val="en-US"/>
        </w:rPr>
        <w:t>11</w:t>
      </w:r>
      <w:r w:rsidRPr="000D7670">
        <w:rPr>
          <w:rtl/>
          <w:lang w:val="en-US"/>
        </w:rPr>
        <w:tab/>
      </w:r>
      <w:r w:rsidRPr="001D7A1E">
        <w:rPr>
          <w:spacing w:val="-2"/>
          <w:rtl/>
          <w:lang w:val="en-US"/>
        </w:rPr>
        <w:t>ولذلك تؤكد الدولة الطرف، من جهة، أن صاحب البلاغ وضع نفسه في مأزق صعب لأن مسألة</w:t>
      </w:r>
      <w:r w:rsidRPr="000D7670">
        <w:rPr>
          <w:rtl/>
          <w:lang w:val="en-US"/>
        </w:rPr>
        <w:t xml:space="preserve"> إنهاء عقده لم تكن مخالفة للتشريعات السارية، ومن جهة أخرى، أن الضمانات التي نصّ القضاة المحليون على تطبيقها تتفق مع الالتزامات المنصوص عليها في المادة </w:t>
      </w:r>
      <w:r w:rsidRPr="00575C09">
        <w:rPr>
          <w:rtl/>
          <w:lang w:val="en-US"/>
        </w:rPr>
        <w:t>11</w:t>
      </w:r>
      <w:r w:rsidRPr="000D7670">
        <w:rPr>
          <w:rtl/>
          <w:lang w:val="en-US"/>
        </w:rPr>
        <w:t xml:space="preserve"> من العهد.</w:t>
      </w:r>
    </w:p>
    <w:p w14:paraId="2C97E47C" w14:textId="2E799BC2" w:rsidR="000D7670" w:rsidRPr="00575C09" w:rsidRDefault="003D33AE" w:rsidP="002A7D75">
      <w:pPr>
        <w:pStyle w:val="H23GA"/>
        <w:spacing w:line="346" w:lineRule="exact"/>
      </w:pPr>
      <w:r w:rsidRPr="00575C09">
        <w:rPr>
          <w:rtl/>
        </w:rPr>
        <w:tab/>
      </w:r>
      <w:r w:rsidR="000D7670" w:rsidRPr="00575C09">
        <w:rPr>
          <w:rtl/>
        </w:rPr>
        <w:tab/>
        <w:t xml:space="preserve">تعليقات صاحب البلاغ على ملاحظات الدولة الطرف </w:t>
      </w:r>
    </w:p>
    <w:p w14:paraId="5A25242A" w14:textId="77777777" w:rsidR="000D7670" w:rsidRPr="000D7670" w:rsidRDefault="000D7670" w:rsidP="003D33AE">
      <w:pPr>
        <w:pStyle w:val="SingleTxtGA"/>
        <w:spacing w:line="340" w:lineRule="exact"/>
        <w:rPr>
          <w:lang w:val="en-US"/>
        </w:rPr>
      </w:pPr>
      <w:r w:rsidRPr="00575C09">
        <w:rPr>
          <w:rtl/>
          <w:lang w:val="en-US"/>
        </w:rPr>
        <w:t>5</w:t>
      </w:r>
      <w:r w:rsidRPr="000D7670">
        <w:rPr>
          <w:rtl/>
          <w:lang w:val="en-US"/>
        </w:rPr>
        <w:t>-</w:t>
      </w:r>
      <w:r w:rsidRPr="00575C09">
        <w:rPr>
          <w:rtl/>
          <w:lang w:val="en-US"/>
        </w:rPr>
        <w:t>1</w:t>
      </w:r>
      <w:r w:rsidRPr="000D7670">
        <w:rPr>
          <w:rtl/>
          <w:lang w:val="en-US"/>
        </w:rPr>
        <w:tab/>
        <w:t xml:space="preserve">يشير صاحب البلاغ في تعليقاته المؤرخة </w:t>
      </w:r>
      <w:r w:rsidRPr="00575C09">
        <w:rPr>
          <w:rtl/>
          <w:lang w:val="en-US"/>
        </w:rPr>
        <w:t>1</w:t>
      </w:r>
      <w:r w:rsidRPr="000D7670">
        <w:rPr>
          <w:rtl/>
          <w:lang w:val="en-US"/>
        </w:rPr>
        <w:t xml:space="preserve"> تشرين الأول/أكتوبر </w:t>
      </w:r>
      <w:r w:rsidRPr="00575C09">
        <w:rPr>
          <w:rtl/>
          <w:lang w:val="en-US"/>
        </w:rPr>
        <w:t>2019</w:t>
      </w:r>
      <w:r w:rsidRPr="000D7670">
        <w:rPr>
          <w:rtl/>
          <w:lang w:val="en-US"/>
        </w:rPr>
        <w:t xml:space="preserve"> إلى أن الطعن بالنقض </w:t>
      </w:r>
      <w:r w:rsidRPr="00E262B9">
        <w:rPr>
          <w:spacing w:val="-2"/>
          <w:rtl/>
          <w:lang w:val="en-US"/>
        </w:rPr>
        <w:t>ليس له أثر إيقافي، ولذلك لم يكن يستطيع انتظار انتهاء إجراءات النقض قبل التقدم بطلب أمام اللجنة لاتخاذ</w:t>
      </w:r>
      <w:r w:rsidRPr="000D7670">
        <w:rPr>
          <w:rtl/>
          <w:lang w:val="en-US"/>
        </w:rPr>
        <w:t xml:space="preserve"> تدابير مؤقتة.</w:t>
      </w:r>
    </w:p>
    <w:p w14:paraId="5DE94529" w14:textId="18FC14EC" w:rsidR="000D7670" w:rsidRPr="000D7670" w:rsidRDefault="000D7670" w:rsidP="003D33AE">
      <w:pPr>
        <w:pStyle w:val="SingleTxtGA"/>
        <w:spacing w:line="340" w:lineRule="exact"/>
        <w:rPr>
          <w:lang w:val="en-US"/>
        </w:rPr>
      </w:pPr>
      <w:r w:rsidRPr="00575C09">
        <w:rPr>
          <w:rtl/>
          <w:lang w:val="en-US"/>
        </w:rPr>
        <w:t>5</w:t>
      </w:r>
      <w:r w:rsidRPr="000D7670">
        <w:rPr>
          <w:rtl/>
          <w:lang w:val="en-US"/>
        </w:rPr>
        <w:t>-</w:t>
      </w:r>
      <w:r w:rsidRPr="00575C09">
        <w:rPr>
          <w:rtl/>
          <w:lang w:val="en-US"/>
        </w:rPr>
        <w:t>2</w:t>
      </w:r>
      <w:r w:rsidRPr="000D7670">
        <w:rPr>
          <w:rtl/>
          <w:lang w:val="en-US"/>
        </w:rPr>
        <w:tab/>
        <w:t>وعلاوة على ذلك، يؤكد صاحب البلاغ أنه، خلاف</w:t>
      </w:r>
      <w:r w:rsidR="00801D24">
        <w:rPr>
          <w:rtl/>
          <w:lang w:val="en-US"/>
        </w:rPr>
        <w:t xml:space="preserve">اً </w:t>
      </w:r>
      <w:r w:rsidRPr="000D7670">
        <w:rPr>
          <w:rtl/>
          <w:lang w:val="en-US"/>
        </w:rPr>
        <w:t>لما تدعيه الدولة الطرف، لم يس</w:t>
      </w:r>
      <w:r w:rsidR="001D7A1E">
        <w:rPr>
          <w:rFonts w:hint="cs"/>
          <w:rtl/>
          <w:lang w:val="en-US"/>
        </w:rPr>
        <w:t>يء</w:t>
      </w:r>
      <w:r w:rsidRPr="000D7670">
        <w:rPr>
          <w:rtl/>
          <w:lang w:val="en-US"/>
        </w:rPr>
        <w:t xml:space="preserve"> استعمال حقه في تقديم البلاغات لأنه لم يضع نفسه في مأزق صعب. </w:t>
      </w:r>
    </w:p>
    <w:p w14:paraId="590F10EE" w14:textId="03CF84BA" w:rsidR="000D7670" w:rsidRPr="000D7670" w:rsidRDefault="000D7670" w:rsidP="003D33AE">
      <w:pPr>
        <w:pStyle w:val="SingleTxtGA"/>
        <w:spacing w:line="340" w:lineRule="exact"/>
        <w:rPr>
          <w:lang w:val="en-US"/>
        </w:rPr>
      </w:pPr>
      <w:r w:rsidRPr="00575C09">
        <w:rPr>
          <w:rtl/>
          <w:lang w:val="en-US"/>
        </w:rPr>
        <w:t>5</w:t>
      </w:r>
      <w:r w:rsidRPr="000D7670">
        <w:rPr>
          <w:rtl/>
          <w:lang w:val="en-US"/>
        </w:rPr>
        <w:t>-</w:t>
      </w:r>
      <w:r w:rsidRPr="00575C09">
        <w:rPr>
          <w:rtl/>
          <w:lang w:val="en-US"/>
        </w:rPr>
        <w:t>3</w:t>
      </w:r>
      <w:r w:rsidRPr="000D7670">
        <w:rPr>
          <w:rtl/>
          <w:lang w:val="en-US"/>
        </w:rPr>
        <w:tab/>
        <w:t>ويرى صاحب البلاغ أن التشريعات المحلية المتعلقة بعقود الإيجار السكنية تتعارض مع الحق في سكن لائق لأنّ المؤجر يحق له إنهاء العقد دون مبرر، شرط إشعار المستأجر بذلك وإعطائه تعويض</w:t>
      </w:r>
      <w:r w:rsidR="00DD7E44">
        <w:rPr>
          <w:rtl/>
          <w:lang w:val="en-US"/>
        </w:rPr>
        <w:t>اً.</w:t>
      </w:r>
      <w:r w:rsidRPr="000D7670">
        <w:rPr>
          <w:rtl/>
          <w:lang w:val="en-US"/>
        </w:rPr>
        <w:t xml:space="preserve"> ويشير صاحب البلاغ إلى أن المالكين يستغلون هذه التشريعات لإعادة تأجير ممتلكاتهم بإيجارات أعلى بكثير، مما أدى إلى ارتفاع غير مسبوق في أسعار الإيجارات وأزمة سكن في </w:t>
      </w:r>
      <w:proofErr w:type="gramStart"/>
      <w:r w:rsidRPr="000D7670">
        <w:rPr>
          <w:rtl/>
          <w:lang w:val="en-US"/>
        </w:rPr>
        <w:t>بروكسل</w:t>
      </w:r>
      <w:r w:rsidRPr="000D7670">
        <w:rPr>
          <w:vertAlign w:val="superscript"/>
          <w:rtl/>
          <w:lang w:val="en-US"/>
        </w:rPr>
        <w:t>(</w:t>
      </w:r>
      <w:proofErr w:type="gramEnd"/>
      <w:r w:rsidRPr="00575C09">
        <w:rPr>
          <w:rStyle w:val="FootnoteReference"/>
          <w:szCs w:val="22"/>
          <w:lang w:val="en-US"/>
        </w:rPr>
        <w:footnoteReference w:id="10"/>
      </w:r>
      <w:r w:rsidRPr="000D7670">
        <w:rPr>
          <w:vertAlign w:val="superscript"/>
          <w:rtl/>
          <w:lang w:val="en-US"/>
        </w:rPr>
        <w:t>)</w:t>
      </w:r>
      <w:r w:rsidRPr="000D7670">
        <w:rPr>
          <w:rtl/>
          <w:lang w:val="en-US"/>
        </w:rPr>
        <w:t xml:space="preserve">. ويشير صاحب البلاغ إلى أن أكثر من </w:t>
      </w:r>
      <w:r w:rsidRPr="00575C09">
        <w:rPr>
          <w:rtl/>
          <w:lang w:val="en-US"/>
        </w:rPr>
        <w:t>000</w:t>
      </w:r>
      <w:r w:rsidRPr="000D7670">
        <w:rPr>
          <w:rtl/>
          <w:lang w:val="en-US"/>
        </w:rPr>
        <w:t xml:space="preserve"> </w:t>
      </w:r>
      <w:r w:rsidRPr="00575C09">
        <w:rPr>
          <w:rtl/>
          <w:lang w:val="en-US"/>
        </w:rPr>
        <w:t>50</w:t>
      </w:r>
      <w:r w:rsidRPr="000D7670">
        <w:rPr>
          <w:rtl/>
          <w:lang w:val="en-US"/>
        </w:rPr>
        <w:t xml:space="preserve"> أسرة مسجلة على قائمة الانتظار للحصول على سكن اجتماعي. ويضيف أن الشقة التي كان يعيش فيها معروضة اليوم للإيجار مقابل مبلغ </w:t>
      </w:r>
      <w:r w:rsidRPr="00575C09">
        <w:rPr>
          <w:rtl/>
          <w:lang w:val="en-US"/>
        </w:rPr>
        <w:t>900</w:t>
      </w:r>
      <w:r w:rsidRPr="000D7670">
        <w:rPr>
          <w:rtl/>
          <w:lang w:val="en-US"/>
        </w:rPr>
        <w:t xml:space="preserve"> يورو شهري</w:t>
      </w:r>
      <w:r w:rsidR="00801D24">
        <w:rPr>
          <w:rtl/>
          <w:lang w:val="en-US"/>
        </w:rPr>
        <w:t xml:space="preserve">اً </w:t>
      </w:r>
      <w:r w:rsidRPr="000D7670">
        <w:rPr>
          <w:rtl/>
          <w:lang w:val="en-US"/>
        </w:rPr>
        <w:t xml:space="preserve">بينما كان إيجاره </w:t>
      </w:r>
      <w:r w:rsidRPr="00575C09">
        <w:rPr>
          <w:rtl/>
          <w:lang w:val="en-US"/>
        </w:rPr>
        <w:t>520</w:t>
      </w:r>
      <w:r w:rsidRPr="000D7670">
        <w:rPr>
          <w:rtl/>
          <w:lang w:val="en-US"/>
        </w:rPr>
        <w:t xml:space="preserve"> يورو</w:t>
      </w:r>
      <w:r w:rsidR="00801D24">
        <w:rPr>
          <w:rtl/>
          <w:lang w:val="en-US"/>
        </w:rPr>
        <w:t xml:space="preserve">اً </w:t>
      </w:r>
      <w:proofErr w:type="gramStart"/>
      <w:r w:rsidRPr="000D7670">
        <w:rPr>
          <w:rtl/>
          <w:lang w:val="en-US"/>
        </w:rPr>
        <w:t>شهريا</w:t>
      </w:r>
      <w:r w:rsidR="00801D24">
        <w:rPr>
          <w:rFonts w:hint="cs"/>
          <w:rtl/>
          <w:lang w:val="en-US"/>
        </w:rPr>
        <w:t>ً</w:t>
      </w:r>
      <w:r w:rsidRPr="000D7670">
        <w:rPr>
          <w:vertAlign w:val="superscript"/>
          <w:rtl/>
          <w:lang w:val="en-US"/>
        </w:rPr>
        <w:t>(</w:t>
      </w:r>
      <w:proofErr w:type="gramEnd"/>
      <w:r w:rsidRPr="00575C09">
        <w:rPr>
          <w:rStyle w:val="FootnoteReference"/>
          <w:szCs w:val="22"/>
          <w:lang w:val="en-US"/>
        </w:rPr>
        <w:footnoteReference w:id="11"/>
      </w:r>
      <w:r w:rsidRPr="000D7670">
        <w:rPr>
          <w:vertAlign w:val="superscript"/>
          <w:rtl/>
          <w:lang w:val="en-US"/>
        </w:rPr>
        <w:t>)</w:t>
      </w:r>
      <w:r w:rsidRPr="000D7670">
        <w:rPr>
          <w:rtl/>
          <w:lang w:val="en-US"/>
        </w:rPr>
        <w:t>. وعلاوة على ذلك، يشير صاحب البلاغ إلى أن التشريعات الوطنية لا تحمي المسنين على وجه التحديد، خلاف</w:t>
      </w:r>
      <w:r w:rsidR="00801D24">
        <w:rPr>
          <w:rtl/>
          <w:lang w:val="en-US"/>
        </w:rPr>
        <w:t xml:space="preserve">اً </w:t>
      </w:r>
      <w:r w:rsidRPr="000D7670">
        <w:rPr>
          <w:rtl/>
          <w:lang w:val="en-US"/>
        </w:rPr>
        <w:t xml:space="preserve">لما يجري في فرنسا </w:t>
      </w:r>
      <w:proofErr w:type="spellStart"/>
      <w:r w:rsidRPr="000D7670">
        <w:rPr>
          <w:rtl/>
          <w:lang w:val="en-US"/>
        </w:rPr>
        <w:t>وكيبيك</w:t>
      </w:r>
      <w:proofErr w:type="spellEnd"/>
      <w:r w:rsidRPr="000D7670">
        <w:rPr>
          <w:rtl/>
          <w:lang w:val="en-US"/>
        </w:rPr>
        <w:t>. ويوضح أن المسنين يتأثرون بوجه خاص بعمليات الإخلاء القسري بسبب ما تولده من مخاطر على صحتهم وحالتهم. وعلاوة على ذلك، لا ينص التشريع الوطني على وقف عملية الإخلاء إذا لم يعثر المعني على سكن بديل.</w:t>
      </w:r>
    </w:p>
    <w:p w14:paraId="32096EE7" w14:textId="6A5EF276" w:rsidR="000D7670" w:rsidRPr="000D7670" w:rsidRDefault="000D7670" w:rsidP="000D7670">
      <w:pPr>
        <w:pStyle w:val="SingleTxtGA"/>
        <w:rPr>
          <w:lang w:val="en-US"/>
        </w:rPr>
      </w:pPr>
      <w:r w:rsidRPr="00575C09">
        <w:rPr>
          <w:rtl/>
          <w:lang w:val="en-US"/>
        </w:rPr>
        <w:lastRenderedPageBreak/>
        <w:t>5</w:t>
      </w:r>
      <w:r w:rsidRPr="000D7670">
        <w:rPr>
          <w:rtl/>
          <w:lang w:val="en-US"/>
        </w:rPr>
        <w:t>-</w:t>
      </w:r>
      <w:r w:rsidRPr="00575C09">
        <w:rPr>
          <w:rtl/>
          <w:lang w:val="en-US"/>
        </w:rPr>
        <w:t>4</w:t>
      </w:r>
      <w:r w:rsidRPr="000D7670">
        <w:rPr>
          <w:rtl/>
          <w:lang w:val="en-US"/>
        </w:rPr>
        <w:tab/>
        <w:t>ويذكر صاحب البلاغ أنه بعد طرده، خُزنت أمتعته مؤقت</w:t>
      </w:r>
      <w:r w:rsidR="00801D24">
        <w:rPr>
          <w:rtl/>
          <w:lang w:val="en-US"/>
        </w:rPr>
        <w:t xml:space="preserve">اً </w:t>
      </w:r>
      <w:r w:rsidRPr="000D7670">
        <w:rPr>
          <w:rtl/>
          <w:lang w:val="en-US"/>
        </w:rPr>
        <w:t>بشكل غير سليم، في مستودع تابع للبلدية لا يمكن أن تُخرج منه إلا مرة واحدة، مما يجعل من المستحيل مؤقت</w:t>
      </w:r>
      <w:r w:rsidR="00801D24">
        <w:rPr>
          <w:rtl/>
          <w:lang w:val="en-US"/>
        </w:rPr>
        <w:t xml:space="preserve">اً </w:t>
      </w:r>
      <w:r w:rsidRPr="000D7670">
        <w:rPr>
          <w:rtl/>
          <w:lang w:val="en-US"/>
        </w:rPr>
        <w:t>على صاحب البلاغ استخدام أمتعته. ويذكر</w:t>
      </w:r>
      <w:r w:rsidR="00B6606A">
        <w:rPr>
          <w:rtl/>
          <w:lang w:val="en-US"/>
        </w:rPr>
        <w:t xml:space="preserve"> أيضاً </w:t>
      </w:r>
      <w:r w:rsidRPr="000D7670">
        <w:rPr>
          <w:rtl/>
          <w:lang w:val="en-US"/>
        </w:rPr>
        <w:t>أن بعض أمتعته تضررت بحيث يتعذر إصلاحها نتيجة لظروف التخزين السيئة هذه، ولا سيما مستنداته وصوره وتذكاراته وكتبه وأقراصه. ويؤكد أن إتلاف أمتعته يشكل اعتداء على كرامته وسلامته البدنية والنفسية.</w:t>
      </w:r>
    </w:p>
    <w:p w14:paraId="2EF051BC" w14:textId="673CE575" w:rsidR="000D7670" w:rsidRPr="000D7670" w:rsidRDefault="000D7670" w:rsidP="000D7670">
      <w:pPr>
        <w:pStyle w:val="SingleTxtGA"/>
        <w:rPr>
          <w:lang w:val="en-US"/>
        </w:rPr>
      </w:pPr>
      <w:r w:rsidRPr="00575C09">
        <w:rPr>
          <w:rtl/>
          <w:lang w:val="en-US"/>
        </w:rPr>
        <w:t>5</w:t>
      </w:r>
      <w:r w:rsidRPr="000D7670">
        <w:rPr>
          <w:rtl/>
          <w:lang w:val="en-US"/>
        </w:rPr>
        <w:t>-</w:t>
      </w:r>
      <w:r w:rsidRPr="00575C09">
        <w:rPr>
          <w:rtl/>
          <w:lang w:val="en-US"/>
        </w:rPr>
        <w:t>5</w:t>
      </w:r>
      <w:r w:rsidRPr="000D7670">
        <w:rPr>
          <w:rtl/>
          <w:lang w:val="en-US"/>
        </w:rPr>
        <w:tab/>
        <w:t xml:space="preserve">وعلى عكس ما ادعته الدولة الطرف، يرى صاحب البلاغ أنها لم تتخذ أي تدابير فعالة تتيح له العثور على سكن بديل. وقدّم المركز العام للرعاية الاجتماعية في </w:t>
      </w:r>
      <w:proofErr w:type="spellStart"/>
      <w:r w:rsidRPr="000D7670">
        <w:rPr>
          <w:rtl/>
          <w:lang w:val="en-US"/>
        </w:rPr>
        <w:t>إتربيك</w:t>
      </w:r>
      <w:proofErr w:type="spellEnd"/>
      <w:r w:rsidRPr="000D7670">
        <w:rPr>
          <w:rtl/>
          <w:lang w:val="en-US"/>
        </w:rPr>
        <w:t xml:space="preserve">، الذي لا يمكنه سوى مساعدة صاحب البلاغ في بحثه عن سكن، طلب إعفاء حتى يتسنى لصاحب البلاغ الحصول على سكن بديل، ورُفض الطلب. وعلاوة على ذلك، لا يجوز أن يحلّ قرار القاضي الذي يقضي بتأجيل الموعد المحدد لطرده محل واجب الدولة الطرف في العثور على سكن بديل لصاحب البلاغ. كما يدفع صاحب البلاغ بأنه لم يرفض قط جميع الحلول غير حلّ البقاء في شقته السابقة، إذ سجل اسمه لدى هيئة إدارة المساكن ووكالة </w:t>
      </w:r>
      <w:proofErr w:type="spellStart"/>
      <w:r w:rsidRPr="000D7670">
        <w:rPr>
          <w:rtl/>
          <w:lang w:val="en-US"/>
        </w:rPr>
        <w:t>إتربيك</w:t>
      </w:r>
      <w:proofErr w:type="spellEnd"/>
      <w:r w:rsidRPr="000D7670">
        <w:rPr>
          <w:rtl/>
          <w:lang w:val="en-US"/>
        </w:rPr>
        <w:t xml:space="preserve"> العقارية الاجتماعية. كما قبل مساعدة المركز العام للمساعدة الاجتماعية، واتصل بمكتب وزيرة الإسكان في منطقة بروكسل العاصمة. ويقول صاحب البلاغ إنه لم يُعرَض عليه أي سكن رغم هذه الإجراءات، والحلول الوحيدة التي اقتُرحت عليه هي الإقامة في مساكن عابرة أو </w:t>
      </w:r>
      <w:proofErr w:type="spellStart"/>
      <w:r w:rsidRPr="000D7670">
        <w:rPr>
          <w:rtl/>
          <w:lang w:val="en-US"/>
        </w:rPr>
        <w:t>مآوٍ</w:t>
      </w:r>
      <w:proofErr w:type="spellEnd"/>
      <w:r w:rsidRPr="000D7670">
        <w:rPr>
          <w:rtl/>
          <w:lang w:val="en-US"/>
        </w:rPr>
        <w:t xml:space="preserve"> للمسنين لا يمكن اعتبارها سكن</w:t>
      </w:r>
      <w:r w:rsidR="00801D24">
        <w:rPr>
          <w:rtl/>
          <w:lang w:val="en-US"/>
        </w:rPr>
        <w:t xml:space="preserve">اً </w:t>
      </w:r>
      <w:r w:rsidRPr="000D7670">
        <w:rPr>
          <w:rtl/>
          <w:lang w:val="en-US"/>
        </w:rPr>
        <w:t>لائق</w:t>
      </w:r>
      <w:r w:rsidR="00DD7E44">
        <w:rPr>
          <w:rtl/>
          <w:lang w:val="en-US"/>
        </w:rPr>
        <w:t>اً،</w:t>
      </w:r>
      <w:r w:rsidRPr="000D7670">
        <w:rPr>
          <w:rtl/>
          <w:lang w:val="en-US"/>
        </w:rPr>
        <w:t xml:space="preserve"> لأن المصطلحات التي تستخدمها اللجنة تشير إلى سكن يكون له حدّ أدنى من المواصفات التي تجعله شغله آمن</w:t>
      </w:r>
      <w:r w:rsidR="00DD7E44">
        <w:rPr>
          <w:rtl/>
          <w:lang w:val="en-US"/>
        </w:rPr>
        <w:t>اً،</w:t>
      </w:r>
      <w:r w:rsidRPr="000D7670">
        <w:rPr>
          <w:rtl/>
          <w:lang w:val="en-US"/>
        </w:rPr>
        <w:t xml:space="preserve"> لا إلى سكن مؤقت.</w:t>
      </w:r>
    </w:p>
    <w:p w14:paraId="547C6D84" w14:textId="5A9B3A15" w:rsidR="000D7670" w:rsidRPr="000D7670" w:rsidRDefault="000D7670" w:rsidP="000D7670">
      <w:pPr>
        <w:pStyle w:val="SingleTxtGA"/>
        <w:rPr>
          <w:lang w:val="en-US"/>
        </w:rPr>
      </w:pPr>
      <w:r w:rsidRPr="00575C09">
        <w:rPr>
          <w:rtl/>
          <w:lang w:val="en-US"/>
        </w:rPr>
        <w:t>5</w:t>
      </w:r>
      <w:r w:rsidRPr="000D7670">
        <w:rPr>
          <w:rtl/>
          <w:lang w:val="en-US"/>
        </w:rPr>
        <w:t>-</w:t>
      </w:r>
      <w:r w:rsidRPr="00575C09">
        <w:rPr>
          <w:rtl/>
          <w:lang w:val="en-US"/>
        </w:rPr>
        <w:t>6</w:t>
      </w:r>
      <w:r w:rsidRPr="000D7670">
        <w:rPr>
          <w:rtl/>
          <w:lang w:val="en-US"/>
        </w:rPr>
        <w:tab/>
        <w:t>وأخير</w:t>
      </w:r>
      <w:r w:rsidR="00DD7E44">
        <w:rPr>
          <w:rtl/>
          <w:lang w:val="en-US"/>
        </w:rPr>
        <w:t>اً،</w:t>
      </w:r>
      <w:r w:rsidRPr="000D7670">
        <w:rPr>
          <w:rtl/>
          <w:lang w:val="en-US"/>
        </w:rPr>
        <w:t xml:space="preserve"> يشير صاحب البلاغ إلى أن الدولة الطرف لم تحترم طلب اللجنة اتخاذ تدابير مؤقتة في</w:t>
      </w:r>
      <w:r w:rsidR="00E262B9">
        <w:rPr>
          <w:rFonts w:hint="cs"/>
          <w:rtl/>
          <w:lang w:val="en-US"/>
        </w:rPr>
        <w:t> </w:t>
      </w:r>
      <w:r w:rsidRPr="00575C09">
        <w:rPr>
          <w:rtl/>
          <w:lang w:val="en-US"/>
        </w:rPr>
        <w:t>5</w:t>
      </w:r>
      <w:r w:rsidRPr="000D7670">
        <w:rPr>
          <w:rtl/>
          <w:lang w:val="en-US"/>
        </w:rPr>
        <w:t xml:space="preserve"> تشرين الأول/أكتوبر </w:t>
      </w:r>
      <w:r w:rsidRPr="00575C09">
        <w:rPr>
          <w:rtl/>
          <w:lang w:val="en-US"/>
        </w:rPr>
        <w:t>2018</w:t>
      </w:r>
      <w:r w:rsidRPr="000D7670">
        <w:rPr>
          <w:rtl/>
          <w:lang w:val="en-US"/>
        </w:rPr>
        <w:t xml:space="preserve">، مع أنها كانت قادرة على تعليق تنفيذ أمر الإخلاء، لأن تنفيذ قرارات المحاكم متوقّف على الحكومة. ويدعي صاحب البلاغ أن الدولة الطرف كان بإمكانها أن تنظم مشاورات بين منطقة بروكسل العاصمة والحكومة الاتحادية للخروج بحلّ. </w:t>
      </w:r>
    </w:p>
    <w:p w14:paraId="44824116" w14:textId="77777777" w:rsidR="000D7670" w:rsidRPr="00575C09" w:rsidRDefault="000D7670" w:rsidP="00B6606A">
      <w:pPr>
        <w:pStyle w:val="H23GA"/>
      </w:pPr>
      <w:r w:rsidRPr="00575C09">
        <w:rPr>
          <w:rtl/>
        </w:rPr>
        <w:tab/>
      </w:r>
      <w:r w:rsidRPr="00575C09">
        <w:rPr>
          <w:rtl/>
        </w:rPr>
        <w:tab/>
        <w:t>تدخل طرف ثالث</w:t>
      </w:r>
    </w:p>
    <w:p w14:paraId="5407C48E" w14:textId="27046568" w:rsidR="000D7670" w:rsidRPr="000D7670" w:rsidRDefault="000D7670" w:rsidP="000D7670">
      <w:pPr>
        <w:pStyle w:val="SingleTxtGA"/>
        <w:rPr>
          <w:lang w:val="en-US"/>
        </w:rPr>
      </w:pPr>
      <w:r w:rsidRPr="00575C09">
        <w:rPr>
          <w:rtl/>
          <w:lang w:val="en-US"/>
        </w:rPr>
        <w:t>6</w:t>
      </w:r>
      <w:r w:rsidRPr="000D7670">
        <w:rPr>
          <w:rtl/>
          <w:lang w:val="en-US"/>
        </w:rPr>
        <w:t>-</w:t>
      </w:r>
      <w:r w:rsidRPr="00575C09">
        <w:rPr>
          <w:rtl/>
          <w:lang w:val="en-US"/>
        </w:rPr>
        <w:t>1</w:t>
      </w:r>
      <w:r w:rsidRPr="000D7670">
        <w:rPr>
          <w:rtl/>
          <w:lang w:val="en-US"/>
        </w:rPr>
        <w:tab/>
        <w:t xml:space="preserve">في </w:t>
      </w:r>
      <w:r w:rsidRPr="00575C09">
        <w:rPr>
          <w:rtl/>
          <w:lang w:val="en-US"/>
        </w:rPr>
        <w:t>28</w:t>
      </w:r>
      <w:r w:rsidRPr="000D7670">
        <w:rPr>
          <w:rtl/>
          <w:lang w:val="en-US"/>
        </w:rPr>
        <w:t xml:space="preserve"> تشرين الثاني/نوفمبر </w:t>
      </w:r>
      <w:r w:rsidRPr="00575C09">
        <w:rPr>
          <w:rtl/>
          <w:lang w:val="en-US"/>
        </w:rPr>
        <w:t>2019</w:t>
      </w:r>
      <w:r w:rsidRPr="000D7670">
        <w:rPr>
          <w:rtl/>
          <w:lang w:val="en-US"/>
        </w:rPr>
        <w:t xml:space="preserve">، سمح الفريق العامل المعني بالبلاغات، متصرفاً باسم اللجنة، بتدخل المركز القانوني للمساواة التابع لجامعة بروكسل </w:t>
      </w:r>
      <w:proofErr w:type="gramStart"/>
      <w:r w:rsidRPr="000D7670">
        <w:rPr>
          <w:rtl/>
          <w:lang w:val="en-US"/>
        </w:rPr>
        <w:t>الحرة</w:t>
      </w:r>
      <w:r w:rsidRPr="000D7670">
        <w:rPr>
          <w:vertAlign w:val="superscript"/>
          <w:rtl/>
          <w:lang w:val="en-US"/>
        </w:rPr>
        <w:t>(</w:t>
      </w:r>
      <w:proofErr w:type="gramEnd"/>
      <w:r w:rsidRPr="00575C09">
        <w:rPr>
          <w:rStyle w:val="FootnoteReference"/>
          <w:szCs w:val="22"/>
          <w:lang w:val="en-US"/>
        </w:rPr>
        <w:footnoteReference w:id="12"/>
      </w:r>
      <w:r w:rsidRPr="000D7670">
        <w:rPr>
          <w:vertAlign w:val="superscript"/>
          <w:rtl/>
          <w:lang w:val="en-US"/>
        </w:rPr>
        <w:t>)</w:t>
      </w:r>
      <w:r w:rsidRPr="000D7670">
        <w:rPr>
          <w:rtl/>
          <w:lang w:val="en-US"/>
        </w:rPr>
        <w:t xml:space="preserve">، </w:t>
      </w:r>
      <w:r w:rsidR="00B6606A">
        <w:rPr>
          <w:rtl/>
          <w:lang w:val="en-US"/>
        </w:rPr>
        <w:t xml:space="preserve">وفقاً </w:t>
      </w:r>
      <w:r w:rsidRPr="000D7670">
        <w:rPr>
          <w:rtl/>
          <w:lang w:val="en-US"/>
        </w:rPr>
        <w:t xml:space="preserve">للمادة </w:t>
      </w:r>
      <w:r w:rsidRPr="00575C09">
        <w:rPr>
          <w:rtl/>
          <w:lang w:val="en-US"/>
        </w:rPr>
        <w:t>8</w:t>
      </w:r>
      <w:r w:rsidRPr="000D7670">
        <w:rPr>
          <w:rtl/>
          <w:lang w:val="en-US"/>
        </w:rPr>
        <w:t xml:space="preserve"> من البروتوكول الاختياري، وللمادة </w:t>
      </w:r>
      <w:r w:rsidRPr="00575C09">
        <w:rPr>
          <w:rtl/>
          <w:lang w:val="en-US"/>
        </w:rPr>
        <w:t>14</w:t>
      </w:r>
      <w:r w:rsidRPr="000D7670">
        <w:rPr>
          <w:rtl/>
          <w:lang w:val="en-US"/>
        </w:rPr>
        <w:t xml:space="preserve"> من النظام الداخلي المؤقت المرتبط بالبروتوكول الاختياري، ولتوجيهات اللجنة بشأن تدخل الأطراف الثالثة</w:t>
      </w:r>
      <w:r w:rsidRPr="000D7670">
        <w:rPr>
          <w:vertAlign w:val="superscript"/>
          <w:rtl/>
          <w:lang w:val="en-US"/>
        </w:rPr>
        <w:t>(</w:t>
      </w:r>
      <w:r w:rsidRPr="00575C09">
        <w:rPr>
          <w:rStyle w:val="FootnoteReference"/>
          <w:szCs w:val="22"/>
          <w:lang w:val="en-US"/>
        </w:rPr>
        <w:footnoteReference w:id="13"/>
      </w:r>
      <w:r w:rsidRPr="000D7670">
        <w:rPr>
          <w:vertAlign w:val="superscript"/>
          <w:rtl/>
          <w:lang w:val="en-US"/>
        </w:rPr>
        <w:t>)</w:t>
      </w:r>
      <w:r w:rsidRPr="000D7670">
        <w:rPr>
          <w:rtl/>
          <w:lang w:val="en-US"/>
        </w:rPr>
        <w:t>.</w:t>
      </w:r>
    </w:p>
    <w:p w14:paraId="490C5413" w14:textId="0ECD0640" w:rsidR="000D7670" w:rsidRPr="000D7670" w:rsidRDefault="000D7670" w:rsidP="000D7670">
      <w:pPr>
        <w:pStyle w:val="SingleTxtGA"/>
        <w:rPr>
          <w:lang w:val="en-US"/>
        </w:rPr>
      </w:pPr>
      <w:r w:rsidRPr="00575C09">
        <w:rPr>
          <w:rtl/>
          <w:lang w:val="en-US"/>
        </w:rPr>
        <w:t>6</w:t>
      </w:r>
      <w:r w:rsidRPr="000D7670">
        <w:rPr>
          <w:rtl/>
          <w:lang w:val="en-US"/>
        </w:rPr>
        <w:t>-</w:t>
      </w:r>
      <w:r w:rsidRPr="00575C09">
        <w:rPr>
          <w:rtl/>
          <w:lang w:val="en-US"/>
        </w:rPr>
        <w:t>2</w:t>
      </w:r>
      <w:r w:rsidRPr="000D7670">
        <w:rPr>
          <w:rtl/>
          <w:lang w:val="en-US"/>
        </w:rPr>
        <w:tab/>
        <w:t xml:space="preserve">ويشير المركز القانوني للمساواة إلى أن الحصول على سكن لائق في بلجيكا يشكل، </w:t>
      </w:r>
      <w:r w:rsidR="00B6606A">
        <w:rPr>
          <w:rtl/>
          <w:lang w:val="en-US"/>
        </w:rPr>
        <w:t xml:space="preserve">وفقاً </w:t>
      </w:r>
      <w:r w:rsidRPr="000D7670">
        <w:rPr>
          <w:rtl/>
          <w:lang w:val="en-US"/>
        </w:rPr>
        <w:t>لما يرد في السوابق القضائية للمحكمة الدستورية، "هدف</w:t>
      </w:r>
      <w:r w:rsidR="00801D24">
        <w:rPr>
          <w:rtl/>
          <w:lang w:val="en-US"/>
        </w:rPr>
        <w:t xml:space="preserve">اً </w:t>
      </w:r>
      <w:r w:rsidRPr="000D7670">
        <w:rPr>
          <w:rtl/>
          <w:lang w:val="en-US"/>
        </w:rPr>
        <w:t>دستوري</w:t>
      </w:r>
      <w:r w:rsidR="00801D24">
        <w:rPr>
          <w:rtl/>
          <w:lang w:val="en-US"/>
        </w:rPr>
        <w:t xml:space="preserve">اً </w:t>
      </w:r>
      <w:r w:rsidRPr="000D7670">
        <w:rPr>
          <w:rtl/>
          <w:lang w:val="en-US"/>
        </w:rPr>
        <w:t xml:space="preserve">ينبغي تحقيقه تدريجيا"، وليس </w:t>
      </w:r>
      <w:proofErr w:type="gramStart"/>
      <w:r w:rsidRPr="000D7670">
        <w:rPr>
          <w:rtl/>
          <w:lang w:val="en-US"/>
        </w:rPr>
        <w:t>حقاً</w:t>
      </w:r>
      <w:r w:rsidRPr="000D7670">
        <w:rPr>
          <w:vertAlign w:val="superscript"/>
          <w:rtl/>
          <w:lang w:val="en-US"/>
        </w:rPr>
        <w:t>(</w:t>
      </w:r>
      <w:proofErr w:type="gramEnd"/>
      <w:r w:rsidRPr="00575C09">
        <w:rPr>
          <w:rStyle w:val="FootnoteReference"/>
          <w:szCs w:val="22"/>
          <w:lang w:val="en-US"/>
        </w:rPr>
        <w:footnoteReference w:id="14"/>
      </w:r>
      <w:r w:rsidRPr="000D7670">
        <w:rPr>
          <w:vertAlign w:val="superscript"/>
          <w:rtl/>
          <w:lang w:val="en-US"/>
        </w:rPr>
        <w:t>)</w:t>
      </w:r>
      <w:r w:rsidRPr="000D7670">
        <w:rPr>
          <w:rtl/>
          <w:lang w:val="en-US"/>
        </w:rPr>
        <w:t>. و</w:t>
      </w:r>
      <w:r w:rsidR="00B6606A">
        <w:rPr>
          <w:rtl/>
          <w:lang w:val="en-US"/>
        </w:rPr>
        <w:t xml:space="preserve">وفقاً </w:t>
      </w:r>
      <w:r w:rsidRPr="000D7670">
        <w:rPr>
          <w:rtl/>
          <w:lang w:val="en-US"/>
        </w:rPr>
        <w:t xml:space="preserve">للمركز القانوني للمساواة، وقعت الأحداث في سياق اجتماعي واقتصادي معيّن، في منطقة بروكسل، حيث زادت قيمة الإيجارات بشكل كبير </w:t>
      </w:r>
      <w:proofErr w:type="gramStart"/>
      <w:r w:rsidRPr="000D7670">
        <w:rPr>
          <w:rtl/>
          <w:lang w:val="en-US"/>
        </w:rPr>
        <w:t>جدا</w:t>
      </w:r>
      <w:r w:rsidR="00E262B9">
        <w:rPr>
          <w:rFonts w:hint="cs"/>
          <w:rtl/>
          <w:lang w:val="en-US"/>
        </w:rPr>
        <w:t>ً</w:t>
      </w:r>
      <w:r w:rsidRPr="000D7670">
        <w:rPr>
          <w:vertAlign w:val="superscript"/>
          <w:rtl/>
          <w:lang w:val="en-US"/>
        </w:rPr>
        <w:t>(</w:t>
      </w:r>
      <w:proofErr w:type="gramEnd"/>
      <w:r w:rsidRPr="00575C09">
        <w:rPr>
          <w:rStyle w:val="FootnoteReference"/>
          <w:szCs w:val="22"/>
          <w:lang w:val="en-US"/>
        </w:rPr>
        <w:footnoteReference w:id="15"/>
      </w:r>
      <w:r w:rsidRPr="000D7670">
        <w:rPr>
          <w:vertAlign w:val="superscript"/>
          <w:rtl/>
          <w:lang w:val="en-US"/>
        </w:rPr>
        <w:t>)</w:t>
      </w:r>
      <w:r w:rsidRPr="000D7670">
        <w:rPr>
          <w:rtl/>
          <w:lang w:val="en-US"/>
        </w:rPr>
        <w:t xml:space="preserve"> مما أدى إلى انخفاض عدد المساكن التي يستطيع السكان المنتمون إلى الفئات العشرية الست الأولى من الدخل استئجارها بحيث بات يمكنهم الوصول إلى أقل من </w:t>
      </w:r>
      <w:r w:rsidRPr="000D7670">
        <w:rPr>
          <w:rtl/>
          <w:lang w:val="en-US"/>
        </w:rPr>
        <w:lastRenderedPageBreak/>
        <w:t>ثلث سوق المساكن الموجهة للإيجار</w:t>
      </w:r>
      <w:r w:rsidRPr="000D7670">
        <w:rPr>
          <w:vertAlign w:val="superscript"/>
          <w:rtl/>
          <w:lang w:val="en-US"/>
        </w:rPr>
        <w:t>(</w:t>
      </w:r>
      <w:r w:rsidRPr="00575C09">
        <w:rPr>
          <w:rStyle w:val="FootnoteReference"/>
          <w:szCs w:val="22"/>
          <w:lang w:val="en-US"/>
        </w:rPr>
        <w:footnoteReference w:id="16"/>
      </w:r>
      <w:r w:rsidRPr="000D7670">
        <w:rPr>
          <w:vertAlign w:val="superscript"/>
          <w:rtl/>
          <w:lang w:val="en-US"/>
        </w:rPr>
        <w:t>)</w:t>
      </w:r>
      <w:r>
        <w:rPr>
          <w:rtl/>
          <w:lang w:val="en-US"/>
        </w:rPr>
        <w:t>.</w:t>
      </w:r>
      <w:r w:rsidRPr="000D7670">
        <w:rPr>
          <w:rtl/>
          <w:lang w:val="en-US"/>
        </w:rPr>
        <w:t xml:space="preserve"> وعلاوة على ذلك، ازداد عدد الأسر المعيشية التي تنتظر الحصول على سكن اجتماعي، كما زاد خطر الوقوع في براثن الفقر والتعرض للاستبعاد </w:t>
      </w:r>
      <w:proofErr w:type="gramStart"/>
      <w:r w:rsidRPr="000D7670">
        <w:rPr>
          <w:rtl/>
          <w:lang w:val="en-US"/>
        </w:rPr>
        <w:t>الاجتماعي</w:t>
      </w:r>
      <w:r w:rsidRPr="000D7670">
        <w:rPr>
          <w:vertAlign w:val="superscript"/>
          <w:rtl/>
          <w:lang w:val="en-US"/>
        </w:rPr>
        <w:t>(</w:t>
      </w:r>
      <w:proofErr w:type="gramEnd"/>
      <w:r w:rsidRPr="00575C09">
        <w:rPr>
          <w:rStyle w:val="FootnoteReference"/>
          <w:szCs w:val="22"/>
          <w:lang w:val="en-US"/>
        </w:rPr>
        <w:footnoteReference w:id="17"/>
      </w:r>
      <w:r w:rsidRPr="000D7670">
        <w:rPr>
          <w:vertAlign w:val="superscript"/>
          <w:rtl/>
          <w:lang w:val="en-US"/>
        </w:rPr>
        <w:t>)</w:t>
      </w:r>
      <w:r w:rsidRPr="000D7670">
        <w:rPr>
          <w:rtl/>
          <w:lang w:val="en-US"/>
        </w:rPr>
        <w:t xml:space="preserve">. </w:t>
      </w:r>
    </w:p>
    <w:p w14:paraId="79024A98" w14:textId="36F31143" w:rsidR="000D7670" w:rsidRPr="000D7670" w:rsidRDefault="000D7670" w:rsidP="000D7670">
      <w:pPr>
        <w:pStyle w:val="SingleTxtGA"/>
        <w:rPr>
          <w:lang w:val="en-US"/>
        </w:rPr>
      </w:pPr>
      <w:r w:rsidRPr="00575C09">
        <w:rPr>
          <w:rtl/>
          <w:lang w:val="en-US"/>
        </w:rPr>
        <w:t>6</w:t>
      </w:r>
      <w:r w:rsidRPr="000D7670">
        <w:rPr>
          <w:rtl/>
          <w:lang w:val="en-US"/>
        </w:rPr>
        <w:t>-</w:t>
      </w:r>
      <w:r w:rsidRPr="00575C09">
        <w:rPr>
          <w:rtl/>
          <w:lang w:val="en-US"/>
        </w:rPr>
        <w:t>3</w:t>
      </w:r>
      <w:r w:rsidRPr="000D7670">
        <w:rPr>
          <w:rtl/>
          <w:lang w:val="en-US"/>
        </w:rPr>
        <w:tab/>
        <w:t>ويذكّر المركز القانوني للمساواة بأن القانون الذي يسري في هذه القضية يجيز إنهاء عقود الإيجار دون أي مبرّر. ويمثّل ذلك اختلال</w:t>
      </w:r>
      <w:r w:rsidR="00801D24">
        <w:rPr>
          <w:rtl/>
          <w:lang w:val="en-US"/>
        </w:rPr>
        <w:t xml:space="preserve">اً </w:t>
      </w:r>
      <w:r w:rsidRPr="000D7670">
        <w:rPr>
          <w:rtl/>
          <w:lang w:val="en-US"/>
        </w:rPr>
        <w:t>في التوازن بين حماية حق المؤجر في التصرف بممتلكاته بحرية وحماية حق المستأجر في المسكن، على حساب المستأجر. وفي سياق ارتفاع أسعار الإيجارات، تؤدي هذه القاعدة إلى قيام المؤجّرين بفسخ عقودهم الإيجارية بغية إعادة تأجير المساكن التي يملكونها مقابل إيجارات أعلى. والجدير بالذكر أن حرية إنهاء العقود الإيجارية هذه هي استثناء خاص ببلجيكا مقارنة بنظم القانون المدني للبلدان المجاورة.</w:t>
      </w:r>
    </w:p>
    <w:p w14:paraId="67F4A66C" w14:textId="554CA550" w:rsidR="000D7670" w:rsidRPr="000D7670" w:rsidRDefault="000D7670" w:rsidP="000D7670">
      <w:pPr>
        <w:pStyle w:val="SingleTxtGA"/>
        <w:rPr>
          <w:lang w:val="en-US"/>
        </w:rPr>
      </w:pPr>
      <w:r w:rsidRPr="00575C09">
        <w:rPr>
          <w:rtl/>
          <w:lang w:val="en-US"/>
        </w:rPr>
        <w:t>6</w:t>
      </w:r>
      <w:r w:rsidRPr="000D7670">
        <w:rPr>
          <w:rtl/>
          <w:lang w:val="en-US"/>
        </w:rPr>
        <w:t>-</w:t>
      </w:r>
      <w:r w:rsidRPr="00575C09">
        <w:rPr>
          <w:rtl/>
          <w:lang w:val="en-US"/>
        </w:rPr>
        <w:t>4</w:t>
      </w:r>
      <w:r w:rsidRPr="000D7670">
        <w:rPr>
          <w:rtl/>
          <w:lang w:val="en-US"/>
        </w:rPr>
        <w:tab/>
        <w:t>ويرى المركز القانوني للمساواة أن القضية المطروحة تكشف عن تمييز غير مباشر ذا طابع متعدد الجوانب يقوم على عمر صاحب البلاغ وحالته الاجتماعية. أول</w:t>
      </w:r>
      <w:r w:rsidR="00DD7E44">
        <w:rPr>
          <w:rtl/>
          <w:lang w:val="en-US"/>
        </w:rPr>
        <w:t>اً،</w:t>
      </w:r>
      <w:r w:rsidRPr="000D7670">
        <w:rPr>
          <w:rtl/>
          <w:lang w:val="en-US"/>
        </w:rPr>
        <w:t xml:space="preserve"> يلاحَظ أن معدل الأشخاص الذين اضطروا إلى مغادرة منازلهم في إطار عملية إخلاء قسري أعلى في صفوف المسنين. وفي عام </w:t>
      </w:r>
      <w:r w:rsidRPr="00575C09">
        <w:rPr>
          <w:rtl/>
          <w:lang w:val="en-US"/>
        </w:rPr>
        <w:t>2018</w:t>
      </w:r>
      <w:r w:rsidRPr="000D7670">
        <w:rPr>
          <w:rtl/>
          <w:lang w:val="en-US"/>
        </w:rPr>
        <w:t xml:space="preserve">، شكّل الأشخاص البالغون من العمر </w:t>
      </w:r>
      <w:r w:rsidRPr="00575C09">
        <w:rPr>
          <w:rtl/>
          <w:lang w:val="en-US"/>
        </w:rPr>
        <w:t>64</w:t>
      </w:r>
      <w:r w:rsidR="002A7D75">
        <w:rPr>
          <w:rtl/>
          <w:lang w:val="en-US"/>
        </w:rPr>
        <w:t xml:space="preserve"> عاماً </w:t>
      </w:r>
      <w:r w:rsidRPr="000D7670">
        <w:rPr>
          <w:rtl/>
          <w:lang w:val="en-US"/>
        </w:rPr>
        <w:t xml:space="preserve">وما فوق الذين اضطروا إلى مغادرة مساكنهم قسراً (انتهاء </w:t>
      </w:r>
      <w:r w:rsidRPr="002A7D75">
        <w:rPr>
          <w:spacing w:val="-2"/>
          <w:rtl/>
          <w:lang w:val="en-US"/>
        </w:rPr>
        <w:t xml:space="preserve">عقد الإيجار) </w:t>
      </w:r>
      <w:r w:rsidRPr="00575C09">
        <w:rPr>
          <w:spacing w:val="-2"/>
          <w:rtl/>
          <w:lang w:val="en-US"/>
        </w:rPr>
        <w:t>24</w:t>
      </w:r>
      <w:r w:rsidRPr="002A7D75">
        <w:rPr>
          <w:spacing w:val="-2"/>
          <w:rtl/>
          <w:lang w:val="en-US"/>
        </w:rPr>
        <w:t xml:space="preserve"> في المائة من حالات مغادرة السكن، في حين مثّل الأشخاص المتراوحة أعمارهم بين </w:t>
      </w:r>
      <w:r w:rsidRPr="00575C09">
        <w:rPr>
          <w:spacing w:val="-2"/>
          <w:rtl/>
          <w:lang w:val="en-US"/>
        </w:rPr>
        <w:t>45</w:t>
      </w:r>
      <w:r w:rsidRPr="000D7670">
        <w:rPr>
          <w:rtl/>
          <w:lang w:val="en-US"/>
        </w:rPr>
        <w:t xml:space="preserve"> </w:t>
      </w:r>
      <w:r w:rsidRPr="002A7D75">
        <w:rPr>
          <w:spacing w:val="-2"/>
          <w:rtl/>
          <w:lang w:val="en-US"/>
        </w:rPr>
        <w:t>و</w:t>
      </w:r>
      <w:r w:rsidRPr="00575C09">
        <w:rPr>
          <w:spacing w:val="-2"/>
          <w:rtl/>
          <w:lang w:val="en-US"/>
        </w:rPr>
        <w:t>64</w:t>
      </w:r>
      <w:r w:rsidR="002A7D75">
        <w:rPr>
          <w:spacing w:val="-2"/>
          <w:rtl/>
          <w:lang w:val="en-US"/>
        </w:rPr>
        <w:t xml:space="preserve"> عاماً </w:t>
      </w:r>
      <w:r w:rsidRPr="002A7D75">
        <w:rPr>
          <w:spacing w:val="-2"/>
          <w:rtl/>
          <w:lang w:val="en-US"/>
        </w:rPr>
        <w:t xml:space="preserve">الذين خضعوا لمغادرة قسرية </w:t>
      </w:r>
      <w:r w:rsidRPr="00575C09">
        <w:rPr>
          <w:spacing w:val="-2"/>
          <w:rtl/>
          <w:lang w:val="en-US"/>
        </w:rPr>
        <w:t>13</w:t>
      </w:r>
      <w:r w:rsidRPr="002A7D75">
        <w:rPr>
          <w:spacing w:val="-2"/>
          <w:rtl/>
          <w:lang w:val="en-US"/>
        </w:rPr>
        <w:t xml:space="preserve"> في المائة من الحالات، والأشخاص المتراوحة أعمارهم بين </w:t>
      </w:r>
      <w:r w:rsidRPr="00575C09">
        <w:rPr>
          <w:spacing w:val="-2"/>
          <w:rtl/>
          <w:lang w:val="en-US"/>
        </w:rPr>
        <w:t>25</w:t>
      </w:r>
      <w:r w:rsidRPr="000D7670">
        <w:rPr>
          <w:rtl/>
          <w:lang w:val="en-US"/>
        </w:rPr>
        <w:t xml:space="preserve"> و</w:t>
      </w:r>
      <w:r w:rsidRPr="00575C09">
        <w:rPr>
          <w:rtl/>
          <w:lang w:val="en-US"/>
        </w:rPr>
        <w:t>44</w:t>
      </w:r>
      <w:r w:rsidR="002A7D75">
        <w:rPr>
          <w:rtl/>
          <w:lang w:val="en-US"/>
        </w:rPr>
        <w:t xml:space="preserve"> عاماً </w:t>
      </w:r>
      <w:r w:rsidRPr="00575C09">
        <w:rPr>
          <w:rtl/>
          <w:lang w:val="en-US"/>
        </w:rPr>
        <w:t>7</w:t>
      </w:r>
      <w:r w:rsidR="00801D24">
        <w:rPr>
          <w:rFonts w:hint="cs"/>
          <w:rtl/>
          <w:lang w:val="en-US"/>
        </w:rPr>
        <w:t xml:space="preserve"> في المائة</w:t>
      </w:r>
      <w:r w:rsidRPr="000D7670">
        <w:rPr>
          <w:rtl/>
          <w:lang w:val="en-US"/>
        </w:rPr>
        <w:t xml:space="preserve">، والشباب دون سن </w:t>
      </w:r>
      <w:r w:rsidRPr="00575C09">
        <w:rPr>
          <w:rtl/>
          <w:lang w:val="en-US"/>
        </w:rPr>
        <w:t>25</w:t>
      </w:r>
      <w:r w:rsidR="002A7D75">
        <w:rPr>
          <w:rtl/>
          <w:lang w:val="en-US"/>
        </w:rPr>
        <w:t xml:space="preserve"> عاماً </w:t>
      </w:r>
      <w:r w:rsidRPr="00575C09">
        <w:rPr>
          <w:rtl/>
          <w:lang w:val="en-US"/>
        </w:rPr>
        <w:t>5</w:t>
      </w:r>
      <w:r w:rsidRPr="000D7670">
        <w:rPr>
          <w:rtl/>
          <w:lang w:val="en-US"/>
        </w:rPr>
        <w:t xml:space="preserve"> في </w:t>
      </w:r>
      <w:proofErr w:type="gramStart"/>
      <w:r w:rsidRPr="000D7670">
        <w:rPr>
          <w:rtl/>
          <w:lang w:val="en-US"/>
        </w:rPr>
        <w:t>المائة</w:t>
      </w:r>
      <w:r w:rsidRPr="000D7670">
        <w:rPr>
          <w:vertAlign w:val="superscript"/>
          <w:rtl/>
          <w:lang w:val="en-US"/>
        </w:rPr>
        <w:t>(</w:t>
      </w:r>
      <w:proofErr w:type="gramEnd"/>
      <w:r w:rsidRPr="00575C09">
        <w:rPr>
          <w:rStyle w:val="FootnoteReference"/>
          <w:szCs w:val="22"/>
          <w:lang w:val="en-US"/>
        </w:rPr>
        <w:footnoteReference w:id="18"/>
      </w:r>
      <w:r w:rsidRPr="000D7670">
        <w:rPr>
          <w:vertAlign w:val="superscript"/>
          <w:rtl/>
          <w:lang w:val="en-US"/>
        </w:rPr>
        <w:t>)</w:t>
      </w:r>
      <w:r w:rsidRPr="000D7670">
        <w:rPr>
          <w:rtl/>
          <w:lang w:val="en-US"/>
        </w:rPr>
        <w:t xml:space="preserve">. ويرجع ارتفاع نسبة تمثيل المسنين إلى مزيج من مظاهر الضعف والصعوبات التي </w:t>
      </w:r>
      <w:proofErr w:type="spellStart"/>
      <w:r w:rsidRPr="000D7670">
        <w:rPr>
          <w:rtl/>
          <w:lang w:val="en-US"/>
        </w:rPr>
        <w:t>يواجهها</w:t>
      </w:r>
      <w:proofErr w:type="spellEnd"/>
      <w:r w:rsidRPr="000D7670">
        <w:rPr>
          <w:rtl/>
          <w:lang w:val="en-US"/>
        </w:rPr>
        <w:t xml:space="preserve"> المسنون المعزولون الذين يكونون في كثير من الأحيان عاجزين عن الانتقال إلى سكن آخر لتجنّب طردهم. وبالإضافة إلى ذلك، يدفع المسنون غالب</w:t>
      </w:r>
      <w:r w:rsidR="00801D24">
        <w:rPr>
          <w:rtl/>
          <w:lang w:val="en-US"/>
        </w:rPr>
        <w:t xml:space="preserve">اً </w:t>
      </w:r>
      <w:r w:rsidRPr="000D7670">
        <w:rPr>
          <w:rtl/>
          <w:lang w:val="en-US"/>
        </w:rPr>
        <w:t>إيجارات متواضعة منذ عقود، وبما أن العلاوة التعويضية المستحقة تُحسب على أساس إيجارهم السابق، فإن المبلغ المحسوب لا يكفي لضمان مواكبة سوق الإسكان المتغيرة.</w:t>
      </w:r>
    </w:p>
    <w:p w14:paraId="2FA16B28" w14:textId="315C57AF" w:rsidR="000D7670" w:rsidRPr="002A7D75" w:rsidRDefault="000D7670" w:rsidP="000D7670">
      <w:pPr>
        <w:pStyle w:val="SingleTxtGA"/>
        <w:rPr>
          <w:spacing w:val="-2"/>
          <w:lang w:val="en-US"/>
        </w:rPr>
      </w:pPr>
      <w:r w:rsidRPr="00575C09">
        <w:rPr>
          <w:rtl/>
          <w:lang w:val="en-US"/>
        </w:rPr>
        <w:t>6</w:t>
      </w:r>
      <w:r w:rsidRPr="000D7670">
        <w:rPr>
          <w:rtl/>
          <w:lang w:val="en-US"/>
        </w:rPr>
        <w:t>-</w:t>
      </w:r>
      <w:r w:rsidRPr="00575C09">
        <w:rPr>
          <w:rtl/>
          <w:lang w:val="en-US"/>
        </w:rPr>
        <w:t>5</w:t>
      </w:r>
      <w:r w:rsidRPr="000D7670">
        <w:rPr>
          <w:rtl/>
          <w:lang w:val="en-US"/>
        </w:rPr>
        <w:tab/>
        <w:t>وبالإضافة إلى ذلك، تؤثر عمليات الإخلاء على المسنين ذوي الدخل المنخفض أكثر من غيرهم، إذ إنهم أكثر عرضة للإصابة بمشاكل صحية مرتبطة بالعمر، ولفقدان الاستقلالية، وللعزلة الاجتماعية. ولذلك، يتأثر هؤلاء الأشخاص بشكل خاص بعمليات الطرد، التي تولد لديهم شعور</w:t>
      </w:r>
      <w:r w:rsidR="00801D24">
        <w:rPr>
          <w:rtl/>
          <w:lang w:val="en-US"/>
        </w:rPr>
        <w:t xml:space="preserve">اً </w:t>
      </w:r>
      <w:r w:rsidRPr="000D7670">
        <w:rPr>
          <w:rtl/>
          <w:lang w:val="en-US"/>
        </w:rPr>
        <w:t>بالارتباك، وانهيار</w:t>
      </w:r>
      <w:r w:rsidR="00801D24">
        <w:rPr>
          <w:rtl/>
          <w:lang w:val="en-US"/>
        </w:rPr>
        <w:t xml:space="preserve">اً </w:t>
      </w:r>
      <w:r w:rsidRPr="000D7670">
        <w:rPr>
          <w:rtl/>
          <w:lang w:val="en-US"/>
        </w:rPr>
        <w:t>نفسي</w:t>
      </w:r>
      <w:r w:rsidR="00DD7E44">
        <w:rPr>
          <w:rtl/>
          <w:lang w:val="en-US"/>
        </w:rPr>
        <w:t>اً،</w:t>
      </w:r>
      <w:r w:rsidRPr="000D7670">
        <w:rPr>
          <w:rtl/>
          <w:lang w:val="en-US"/>
        </w:rPr>
        <w:t xml:space="preserve"> وإجهاد</w:t>
      </w:r>
      <w:r w:rsidR="00DD7E44">
        <w:rPr>
          <w:rtl/>
          <w:lang w:val="en-US"/>
        </w:rPr>
        <w:t>اً،</w:t>
      </w:r>
      <w:r w:rsidRPr="000D7670">
        <w:rPr>
          <w:rtl/>
          <w:lang w:val="en-US"/>
        </w:rPr>
        <w:t xml:space="preserve"> وإحساس</w:t>
      </w:r>
      <w:r w:rsidR="00801D24">
        <w:rPr>
          <w:rtl/>
          <w:lang w:val="en-US"/>
        </w:rPr>
        <w:t xml:space="preserve">اً </w:t>
      </w:r>
      <w:r w:rsidRPr="000D7670">
        <w:rPr>
          <w:rtl/>
          <w:lang w:val="en-US"/>
        </w:rPr>
        <w:t xml:space="preserve">بتقطع الأوصال والروابط الاجتماعية، وهذا يضاف إلى العواقب </w:t>
      </w:r>
      <w:r w:rsidRPr="003D33AE">
        <w:rPr>
          <w:spacing w:val="-2"/>
          <w:rtl/>
          <w:lang w:val="en-US"/>
        </w:rPr>
        <w:t>الاجتماعية والاقتصادية للطرد. ويجري التذكير بأن صاحب البلاغ كان متعلق</w:t>
      </w:r>
      <w:r w:rsidR="00801D24" w:rsidRPr="003D33AE">
        <w:rPr>
          <w:spacing w:val="-2"/>
          <w:rtl/>
          <w:lang w:val="en-US"/>
        </w:rPr>
        <w:t xml:space="preserve">اً </w:t>
      </w:r>
      <w:r w:rsidRPr="003D33AE">
        <w:rPr>
          <w:spacing w:val="-2"/>
          <w:rtl/>
          <w:lang w:val="en-US"/>
        </w:rPr>
        <w:t>جد</w:t>
      </w:r>
      <w:r w:rsidR="00801D24" w:rsidRPr="003D33AE">
        <w:rPr>
          <w:spacing w:val="-2"/>
          <w:rtl/>
          <w:lang w:val="en-US"/>
        </w:rPr>
        <w:t xml:space="preserve">اً </w:t>
      </w:r>
      <w:r w:rsidRPr="003D33AE">
        <w:rPr>
          <w:spacing w:val="-2"/>
          <w:rtl/>
          <w:lang w:val="en-US"/>
        </w:rPr>
        <w:t xml:space="preserve">بمسكنه، وبأن التوصيات من </w:t>
      </w:r>
      <w:r w:rsidRPr="00575C09">
        <w:rPr>
          <w:spacing w:val="-2"/>
          <w:rtl/>
          <w:lang w:val="en-US"/>
        </w:rPr>
        <w:t>19</w:t>
      </w:r>
      <w:r w:rsidRPr="003D33AE">
        <w:rPr>
          <w:spacing w:val="-2"/>
          <w:rtl/>
          <w:lang w:val="en-US"/>
        </w:rPr>
        <w:t xml:space="preserve"> إلى </w:t>
      </w:r>
      <w:r w:rsidRPr="00575C09">
        <w:rPr>
          <w:spacing w:val="-2"/>
          <w:rtl/>
          <w:lang w:val="en-US"/>
        </w:rPr>
        <w:t>24</w:t>
      </w:r>
      <w:r w:rsidRPr="003D33AE">
        <w:rPr>
          <w:spacing w:val="-2"/>
          <w:rtl/>
          <w:lang w:val="en-US"/>
        </w:rPr>
        <w:t xml:space="preserve"> الواردة في خطة عمل فيينا الدولية للشيخوخة طلبت إلى الدول ضمان بقاء المسنين في مساكنهم. ويُحدث عموم</w:t>
      </w:r>
      <w:r w:rsidR="00801D24" w:rsidRPr="003D33AE">
        <w:rPr>
          <w:spacing w:val="-2"/>
          <w:rtl/>
          <w:lang w:val="en-US"/>
        </w:rPr>
        <w:t xml:space="preserve">اً </w:t>
      </w:r>
      <w:r w:rsidRPr="003D33AE">
        <w:rPr>
          <w:spacing w:val="-2"/>
          <w:rtl/>
          <w:lang w:val="en-US"/>
        </w:rPr>
        <w:t>الابتعاد الجسدي الناجم عن الانتقال إلى سكن آخر قطيعة مع الشبكة الاجتماعية</w:t>
      </w:r>
      <w:r w:rsidRPr="000D7670">
        <w:rPr>
          <w:rtl/>
          <w:lang w:val="en-US"/>
        </w:rPr>
        <w:t xml:space="preserve"> القائمة لا تنتج عن التنقل الجغرافي فحسب، وإنما</w:t>
      </w:r>
      <w:r w:rsidR="00B6606A">
        <w:rPr>
          <w:rtl/>
          <w:lang w:val="en-US"/>
        </w:rPr>
        <w:t xml:space="preserve"> أيضاً </w:t>
      </w:r>
      <w:r w:rsidRPr="000D7670">
        <w:rPr>
          <w:rtl/>
          <w:lang w:val="en-US"/>
        </w:rPr>
        <w:t xml:space="preserve">عن "تقطع الأوصال بشكل متتالٍ (التسبب في هشاشة أوضاع المعني على المدى المتوسط أو الطويل، والطرد، وفقدان الأمتعة، وتفكك الأواصر، إلخ) </w:t>
      </w:r>
      <w:r w:rsidRPr="000D7670">
        <w:rPr>
          <w:rtl/>
          <w:lang w:val="en-US"/>
        </w:rPr>
        <w:lastRenderedPageBreak/>
        <w:t>والوصمة التي تخلفها العواقب والمشاعر المتعددة الناشئة عن تجربة الطرد"</w:t>
      </w:r>
      <w:r w:rsidRPr="000D7670">
        <w:rPr>
          <w:vertAlign w:val="superscript"/>
          <w:rtl/>
          <w:lang w:val="en-US"/>
        </w:rPr>
        <w:t>(</w:t>
      </w:r>
      <w:r w:rsidRPr="00575C09">
        <w:rPr>
          <w:rStyle w:val="FootnoteReference"/>
          <w:szCs w:val="22"/>
          <w:lang w:val="en-US"/>
        </w:rPr>
        <w:footnoteReference w:id="19"/>
      </w:r>
      <w:r w:rsidRPr="000D7670">
        <w:rPr>
          <w:vertAlign w:val="superscript"/>
          <w:rtl/>
          <w:lang w:val="en-US"/>
        </w:rPr>
        <w:t>)</w:t>
      </w:r>
      <w:r w:rsidRPr="000D7670">
        <w:rPr>
          <w:rtl/>
          <w:lang w:val="en-US"/>
        </w:rPr>
        <w:t xml:space="preserve">. </w:t>
      </w:r>
      <w:r w:rsidRPr="002A7D75">
        <w:rPr>
          <w:spacing w:val="-2"/>
          <w:rtl/>
          <w:lang w:val="en-US"/>
        </w:rPr>
        <w:t xml:space="preserve">وفي هذا الشأن، يؤكّد المركز القانوني للمساواة أن المسنين يتأثرون بوجه خاص لأنهم أقل قدرة على التحرك من الشباب ويغيّرون مساكنهم بوتيرة أقلّ منهم. ولذلك، وفي حين أن إنهاء عقد الإيجار دون مبرّر والإخلاء الناجم عن ذلك يؤثران في جميع فئات الأشخاص، تكون لهذه التدابير تأثير مدمّر على فئة السكان المستضعفة التي ينتمي إليها صاحب البلاغ. ويُستنتج من ذلك أن تقاعس الدولة الطرف عن اتخاذ أي إجراء لحماية صاحب البلاغ من الطرد التعسفي دليل على وجود تمييز مخالف للمادتين </w:t>
      </w:r>
      <w:r w:rsidRPr="00575C09">
        <w:rPr>
          <w:spacing w:val="-2"/>
          <w:rtl/>
          <w:lang w:val="en-US"/>
        </w:rPr>
        <w:t>2</w:t>
      </w:r>
      <w:r w:rsidRPr="002A7D75">
        <w:rPr>
          <w:spacing w:val="-2"/>
          <w:rtl/>
          <w:lang w:val="en-US"/>
        </w:rPr>
        <w:t>(</w:t>
      </w:r>
      <w:r w:rsidRPr="00575C09">
        <w:rPr>
          <w:spacing w:val="-2"/>
          <w:rtl/>
          <w:lang w:val="en-US"/>
        </w:rPr>
        <w:t>2</w:t>
      </w:r>
      <w:r w:rsidRPr="002A7D75">
        <w:rPr>
          <w:spacing w:val="-2"/>
          <w:rtl/>
          <w:lang w:val="en-US"/>
        </w:rPr>
        <w:t>) و</w:t>
      </w:r>
      <w:r w:rsidRPr="00575C09">
        <w:rPr>
          <w:spacing w:val="-2"/>
          <w:rtl/>
          <w:lang w:val="en-US"/>
        </w:rPr>
        <w:t>11</w:t>
      </w:r>
      <w:r w:rsidRPr="002A7D75">
        <w:rPr>
          <w:spacing w:val="-2"/>
          <w:rtl/>
          <w:lang w:val="en-US"/>
        </w:rPr>
        <w:t>(</w:t>
      </w:r>
      <w:r w:rsidRPr="00575C09">
        <w:rPr>
          <w:spacing w:val="-2"/>
          <w:rtl/>
          <w:lang w:val="en-US"/>
        </w:rPr>
        <w:t>1</w:t>
      </w:r>
      <w:r w:rsidRPr="002A7D75">
        <w:rPr>
          <w:spacing w:val="-2"/>
          <w:rtl/>
          <w:lang w:val="en-US"/>
        </w:rPr>
        <w:t>) من العهد.</w:t>
      </w:r>
    </w:p>
    <w:p w14:paraId="5E98A2EA" w14:textId="1B29B233" w:rsidR="000D7670" w:rsidRPr="000D7670" w:rsidRDefault="000D7670" w:rsidP="000D7670">
      <w:pPr>
        <w:pStyle w:val="SingleTxtGA"/>
        <w:rPr>
          <w:lang w:val="en-US"/>
        </w:rPr>
      </w:pPr>
      <w:r w:rsidRPr="00575C09">
        <w:rPr>
          <w:rtl/>
          <w:lang w:val="en-US"/>
        </w:rPr>
        <w:t>6</w:t>
      </w:r>
      <w:r w:rsidRPr="000D7670">
        <w:rPr>
          <w:rtl/>
          <w:lang w:val="en-US"/>
        </w:rPr>
        <w:t>-</w:t>
      </w:r>
      <w:r w:rsidRPr="00575C09">
        <w:rPr>
          <w:rtl/>
          <w:lang w:val="en-US"/>
        </w:rPr>
        <w:t>6</w:t>
      </w:r>
      <w:r w:rsidRPr="000D7670">
        <w:rPr>
          <w:rtl/>
          <w:lang w:val="en-US"/>
        </w:rPr>
        <w:tab/>
        <w:t>وأخير</w:t>
      </w:r>
      <w:r w:rsidR="00DD7E44">
        <w:rPr>
          <w:rtl/>
          <w:lang w:val="en-US"/>
        </w:rPr>
        <w:t>اً،</w:t>
      </w:r>
      <w:r w:rsidRPr="000D7670">
        <w:rPr>
          <w:rtl/>
          <w:lang w:val="en-US"/>
        </w:rPr>
        <w:t xml:space="preserve"> يرى المركز القانوني للمساواة، من ناحية، أن عمليات الطرد، أي</w:t>
      </w:r>
      <w:r w:rsidR="00801D24">
        <w:rPr>
          <w:rtl/>
          <w:lang w:val="en-US"/>
        </w:rPr>
        <w:t xml:space="preserve">اً </w:t>
      </w:r>
      <w:r w:rsidRPr="000D7670">
        <w:rPr>
          <w:rtl/>
          <w:lang w:val="en-US"/>
        </w:rPr>
        <w:t>كانت، يجب أن تستند إلى مبرر معقول، ويجب أن يكون المستأجر قادر</w:t>
      </w:r>
      <w:r w:rsidR="00801D24">
        <w:rPr>
          <w:rtl/>
          <w:lang w:val="en-US"/>
        </w:rPr>
        <w:t xml:space="preserve">اً </w:t>
      </w:r>
      <w:r w:rsidRPr="000D7670">
        <w:rPr>
          <w:rtl/>
          <w:lang w:val="en-US"/>
        </w:rPr>
        <w:t>على الطعن في هذا المبرّر أمام قاض، ومن ناحية أخرى، أنه يجب استحداث آليات محلية لحماية الأشخاص الضعفاء مثل المسنين الذين يعانون من عدم الاستقرار والعزلة من عمليات الإخلاء غير الضرورية، لا سيما في الحالات التي لا يمكن لومهم على الإخلال ببنود العقد.</w:t>
      </w:r>
    </w:p>
    <w:p w14:paraId="20AECC7E" w14:textId="2D2901DF" w:rsidR="000D7670" w:rsidRPr="00575C09" w:rsidRDefault="00B6606A" w:rsidP="00B6606A">
      <w:pPr>
        <w:pStyle w:val="H1GA"/>
      </w:pPr>
      <w:r w:rsidRPr="00575C09">
        <w:rPr>
          <w:rtl/>
        </w:rPr>
        <w:tab/>
      </w:r>
      <w:r w:rsidR="000D7670" w:rsidRPr="00575C09">
        <w:rPr>
          <w:rtl/>
        </w:rPr>
        <w:t>باء-</w:t>
      </w:r>
      <w:r w:rsidR="000D7670" w:rsidRPr="00575C09">
        <w:rPr>
          <w:rtl/>
        </w:rPr>
        <w:tab/>
        <w:t>النظر في المقبولية</w:t>
      </w:r>
    </w:p>
    <w:p w14:paraId="6CE7BD4F" w14:textId="1FF9BF9B" w:rsidR="000D7670" w:rsidRPr="000D7670" w:rsidRDefault="000D7670" w:rsidP="000D7670">
      <w:pPr>
        <w:pStyle w:val="SingleTxtGA"/>
        <w:rPr>
          <w:lang w:val="en-US"/>
        </w:rPr>
      </w:pPr>
      <w:r w:rsidRPr="00575C09">
        <w:rPr>
          <w:rtl/>
          <w:lang w:val="en-US"/>
        </w:rPr>
        <w:t>7</w:t>
      </w:r>
      <w:r w:rsidRPr="000D7670">
        <w:rPr>
          <w:rtl/>
          <w:lang w:val="en-US"/>
        </w:rPr>
        <w:t>-</w:t>
      </w:r>
      <w:r w:rsidRPr="00575C09">
        <w:rPr>
          <w:rtl/>
          <w:lang w:val="en-US"/>
        </w:rPr>
        <w:t>1</w:t>
      </w:r>
      <w:r w:rsidRPr="000D7670">
        <w:rPr>
          <w:rtl/>
          <w:lang w:val="en-US"/>
        </w:rPr>
        <w:tab/>
        <w:t xml:space="preserve">قبل النظر في أي ادعاء يرد في بلاغ ما، يجب على اللجنة أن تقرر، </w:t>
      </w:r>
      <w:r w:rsidR="00B6606A">
        <w:rPr>
          <w:rtl/>
          <w:lang w:val="en-US"/>
        </w:rPr>
        <w:t xml:space="preserve">وفقاً </w:t>
      </w:r>
      <w:r w:rsidRPr="000D7670">
        <w:rPr>
          <w:rtl/>
          <w:lang w:val="en-US"/>
        </w:rPr>
        <w:t xml:space="preserve">للمادة </w:t>
      </w:r>
      <w:r w:rsidRPr="00575C09">
        <w:rPr>
          <w:rtl/>
          <w:lang w:val="en-US"/>
        </w:rPr>
        <w:t>9</w:t>
      </w:r>
      <w:r w:rsidRPr="000D7670">
        <w:rPr>
          <w:rtl/>
          <w:lang w:val="en-US"/>
        </w:rPr>
        <w:t xml:space="preserve"> من نظامها الداخلي المؤقت المرتبط بالبروتوكول الاختياري، ما إذا كان البلاغ مقبولاً أم لا بموجب البروتوكول الاختياري الملحق بالعهد.</w:t>
      </w:r>
    </w:p>
    <w:p w14:paraId="1156811B" w14:textId="05247515" w:rsidR="000D7670" w:rsidRPr="000D7670" w:rsidRDefault="000D7670" w:rsidP="000D7670">
      <w:pPr>
        <w:pStyle w:val="SingleTxtGA"/>
        <w:rPr>
          <w:lang w:val="en-US"/>
        </w:rPr>
      </w:pPr>
      <w:r w:rsidRPr="00575C09">
        <w:rPr>
          <w:rtl/>
          <w:lang w:val="en-US"/>
        </w:rPr>
        <w:t>7</w:t>
      </w:r>
      <w:r w:rsidRPr="000D7670">
        <w:rPr>
          <w:rtl/>
          <w:lang w:val="en-US"/>
        </w:rPr>
        <w:t>-</w:t>
      </w:r>
      <w:r w:rsidRPr="00575C09">
        <w:rPr>
          <w:rtl/>
          <w:lang w:val="en-US"/>
        </w:rPr>
        <w:t>2</w:t>
      </w:r>
      <w:r w:rsidRPr="000D7670">
        <w:rPr>
          <w:rtl/>
          <w:lang w:val="en-US"/>
        </w:rPr>
        <w:tab/>
        <w:t>وتحيط اللجنة</w:t>
      </w:r>
      <w:r w:rsidR="00B6606A">
        <w:rPr>
          <w:rtl/>
          <w:lang w:val="en-US"/>
        </w:rPr>
        <w:t xml:space="preserve"> علماً </w:t>
      </w:r>
      <w:r w:rsidRPr="000D7670">
        <w:rPr>
          <w:rtl/>
          <w:lang w:val="en-US"/>
        </w:rPr>
        <w:t xml:space="preserve">بحجة الدولة الطرف أن البلاغ غير مقبول بموجب أحكام المادة </w:t>
      </w:r>
      <w:r w:rsidRPr="00575C09">
        <w:rPr>
          <w:rtl/>
          <w:lang w:val="en-US"/>
        </w:rPr>
        <w:t>3</w:t>
      </w:r>
      <w:r w:rsidRPr="000D7670">
        <w:rPr>
          <w:rtl/>
          <w:lang w:val="en-US"/>
        </w:rPr>
        <w:t>(</w:t>
      </w:r>
      <w:r w:rsidRPr="00575C09">
        <w:rPr>
          <w:rtl/>
          <w:lang w:val="en-US"/>
        </w:rPr>
        <w:t>1</w:t>
      </w:r>
      <w:r w:rsidRPr="000D7670">
        <w:rPr>
          <w:rtl/>
          <w:lang w:val="en-US"/>
        </w:rPr>
        <w:t>) من البروتوكول الاختياري، نظراً إلى أن صاحب البلاغ لم يستنفد جميع سبل الانتصاف المحلية، إذ لم يرفع قضيته إلى محكمة النقض قبل تقديم طلبه إلى اللجنة. ومع ذلك، تحيط اللجنة</w:t>
      </w:r>
      <w:r w:rsidR="00B6606A">
        <w:rPr>
          <w:rtl/>
          <w:lang w:val="en-US"/>
        </w:rPr>
        <w:t xml:space="preserve"> علماً </w:t>
      </w:r>
      <w:r w:rsidRPr="000D7670">
        <w:rPr>
          <w:rtl/>
          <w:lang w:val="en-US"/>
        </w:rPr>
        <w:t>بأن صاحب البلاغ عرض قضيته على اللجنة قبل أن يستأنف القرار أمام محكمة النقض على سبيل الاستعجال، لأنه اعتبر أنه لا بدّ من اتخاذ تدابير مؤقتة لتجنب طرده. وعلى أي حال، طعن أخير</w:t>
      </w:r>
      <w:r w:rsidR="00801D24">
        <w:rPr>
          <w:rtl/>
          <w:lang w:val="en-US"/>
        </w:rPr>
        <w:t xml:space="preserve">اً </w:t>
      </w:r>
      <w:r w:rsidRPr="000D7670">
        <w:rPr>
          <w:rtl/>
          <w:lang w:val="en-US"/>
        </w:rPr>
        <w:t xml:space="preserve">صاحب البلاغ في القرار، ونظرت محكمة النقض في استئنافه ورفضته في </w:t>
      </w:r>
      <w:r w:rsidRPr="00575C09">
        <w:rPr>
          <w:rtl/>
          <w:lang w:val="en-US"/>
        </w:rPr>
        <w:t>4</w:t>
      </w:r>
      <w:r w:rsidRPr="000D7670">
        <w:rPr>
          <w:rtl/>
          <w:lang w:val="en-US"/>
        </w:rPr>
        <w:t xml:space="preserve"> تشرين الثاني/نوفمبر </w:t>
      </w:r>
      <w:r w:rsidRPr="00575C09">
        <w:rPr>
          <w:rtl/>
          <w:lang w:val="en-US"/>
        </w:rPr>
        <w:t>2020</w:t>
      </w:r>
      <w:r w:rsidRPr="000D7670">
        <w:rPr>
          <w:rtl/>
          <w:lang w:val="en-US"/>
        </w:rPr>
        <w:t xml:space="preserve">. وبناء عليه، ترى اللجنة أن صاحب البلاغ قد استنفد سبل الانتصاف المحلية وأنه ليس هناك ما يمنعها من النظر في هذا البلاغ بموجب المادة </w:t>
      </w:r>
      <w:r w:rsidRPr="00575C09">
        <w:rPr>
          <w:rtl/>
          <w:lang w:val="en-US"/>
        </w:rPr>
        <w:t>3</w:t>
      </w:r>
      <w:r w:rsidRPr="000D7670">
        <w:rPr>
          <w:rtl/>
          <w:lang w:val="en-US"/>
        </w:rPr>
        <w:t>(</w:t>
      </w:r>
      <w:r w:rsidRPr="00575C09">
        <w:rPr>
          <w:rtl/>
          <w:lang w:val="en-US"/>
        </w:rPr>
        <w:t>1</w:t>
      </w:r>
      <w:r w:rsidRPr="000D7670">
        <w:rPr>
          <w:rtl/>
          <w:lang w:val="en-US"/>
        </w:rPr>
        <w:t>) من البروتوكول الاختياري.</w:t>
      </w:r>
    </w:p>
    <w:p w14:paraId="3EA39099" w14:textId="64620719" w:rsidR="000D7670" w:rsidRPr="000D7670" w:rsidRDefault="000D7670" w:rsidP="000D7670">
      <w:pPr>
        <w:pStyle w:val="SingleTxtGA"/>
        <w:rPr>
          <w:lang w:val="en-US"/>
        </w:rPr>
      </w:pPr>
      <w:r w:rsidRPr="00575C09">
        <w:rPr>
          <w:rtl/>
          <w:lang w:val="en-US"/>
        </w:rPr>
        <w:t>7</w:t>
      </w:r>
      <w:r w:rsidRPr="000D7670">
        <w:rPr>
          <w:rtl/>
          <w:lang w:val="en-US"/>
        </w:rPr>
        <w:t>-</w:t>
      </w:r>
      <w:r w:rsidRPr="00575C09">
        <w:rPr>
          <w:rtl/>
          <w:lang w:val="en-US"/>
        </w:rPr>
        <w:t>3</w:t>
      </w:r>
      <w:r w:rsidRPr="000D7670">
        <w:rPr>
          <w:rtl/>
          <w:lang w:val="en-US"/>
        </w:rPr>
        <w:tab/>
        <w:t>كما تحيط اللجنة</w:t>
      </w:r>
      <w:r w:rsidR="00B6606A">
        <w:rPr>
          <w:rtl/>
          <w:lang w:val="en-US"/>
        </w:rPr>
        <w:t xml:space="preserve"> علماً </w:t>
      </w:r>
      <w:r w:rsidRPr="000D7670">
        <w:rPr>
          <w:rtl/>
          <w:lang w:val="en-US"/>
        </w:rPr>
        <w:t>بحجة الدولة الطرف أن البلاغ يشكل إساءة استخدام لحقّ من الحقوق لأن صاحب البلاغ، بصفته مستأجر</w:t>
      </w:r>
      <w:r w:rsidR="00DD7E44">
        <w:rPr>
          <w:rtl/>
          <w:lang w:val="en-US"/>
        </w:rPr>
        <w:t>اً،</w:t>
      </w:r>
      <w:r w:rsidRPr="000D7670">
        <w:rPr>
          <w:rtl/>
          <w:lang w:val="en-US"/>
        </w:rPr>
        <w:t xml:space="preserve"> ما كان يجب أن يتوقع البقاء في مسكنه مدى الحياة. غير أن اللجنة تلاحظ أن شكوى صاحب البلاغ تتعلق بشروط الطرد ومدى توافقها مع أحكام العهد. وبناء عليه، ترى اللجنة أن الفقرة </w:t>
      </w:r>
      <w:r w:rsidRPr="00575C09">
        <w:rPr>
          <w:rtl/>
          <w:lang w:val="en-US"/>
        </w:rPr>
        <w:t>2</w:t>
      </w:r>
      <w:r w:rsidRPr="000D7670">
        <w:rPr>
          <w:rtl/>
          <w:lang w:val="en-US"/>
        </w:rPr>
        <w:t xml:space="preserve">(و) من المادة </w:t>
      </w:r>
      <w:r w:rsidRPr="00575C09">
        <w:rPr>
          <w:rtl/>
          <w:lang w:val="en-US"/>
        </w:rPr>
        <w:t>3</w:t>
      </w:r>
      <w:r w:rsidRPr="000D7670">
        <w:rPr>
          <w:rtl/>
          <w:lang w:val="en-US"/>
        </w:rPr>
        <w:t xml:space="preserve"> من البروتوكول الاختياري لا تحول دون النظر في هذا البلاغ.</w:t>
      </w:r>
    </w:p>
    <w:p w14:paraId="23EF025E" w14:textId="4EF24D7A" w:rsidR="000D7670" w:rsidRPr="000D7670" w:rsidRDefault="000D7670" w:rsidP="000D7670">
      <w:pPr>
        <w:pStyle w:val="SingleTxtGA"/>
        <w:rPr>
          <w:lang w:val="en-US"/>
        </w:rPr>
      </w:pPr>
      <w:r w:rsidRPr="00575C09">
        <w:rPr>
          <w:rtl/>
          <w:lang w:val="en-US"/>
        </w:rPr>
        <w:t>7</w:t>
      </w:r>
      <w:r w:rsidRPr="000D7670">
        <w:rPr>
          <w:rtl/>
          <w:lang w:val="en-US"/>
        </w:rPr>
        <w:t>-</w:t>
      </w:r>
      <w:r w:rsidRPr="00575C09">
        <w:rPr>
          <w:rtl/>
          <w:lang w:val="en-US"/>
        </w:rPr>
        <w:t>4</w:t>
      </w:r>
      <w:r w:rsidRPr="000D7670">
        <w:rPr>
          <w:rtl/>
          <w:lang w:val="en-US"/>
        </w:rPr>
        <w:tab/>
        <w:t xml:space="preserve">وتلاحظ اللجنة أن البلاغ يستوفي شروط المقبولية الأخرى المنصوص عليها في المادتين </w:t>
      </w:r>
      <w:r w:rsidRPr="00575C09">
        <w:rPr>
          <w:rtl/>
          <w:lang w:val="en-US"/>
        </w:rPr>
        <w:t>2</w:t>
      </w:r>
      <w:r w:rsidRPr="000D7670">
        <w:rPr>
          <w:rtl/>
          <w:lang w:val="en-US"/>
        </w:rPr>
        <w:t xml:space="preserve"> و</w:t>
      </w:r>
      <w:r w:rsidRPr="00575C09">
        <w:rPr>
          <w:rtl/>
          <w:lang w:val="en-US"/>
        </w:rPr>
        <w:t>3</w:t>
      </w:r>
      <w:r w:rsidRPr="000D7670">
        <w:rPr>
          <w:rtl/>
          <w:lang w:val="en-US"/>
        </w:rPr>
        <w:t xml:space="preserve"> من البروتوكول الاختياري، وتعلن </w:t>
      </w:r>
      <w:r w:rsidR="00B6606A">
        <w:rPr>
          <w:rtl/>
          <w:lang w:val="en-US"/>
        </w:rPr>
        <w:t xml:space="preserve">وفقاً </w:t>
      </w:r>
      <w:r w:rsidRPr="000D7670">
        <w:rPr>
          <w:rtl/>
          <w:lang w:val="en-US"/>
        </w:rPr>
        <w:t>لذلك قبول البلاغ وتباشر النظر فيه بناء على أسسه الموضوعية.</w:t>
      </w:r>
    </w:p>
    <w:p w14:paraId="233AA040" w14:textId="3EF737EB" w:rsidR="000D7670" w:rsidRPr="00575C09" w:rsidRDefault="00B6606A" w:rsidP="00B6606A">
      <w:pPr>
        <w:pStyle w:val="H1GA"/>
      </w:pPr>
      <w:r w:rsidRPr="00575C09">
        <w:rPr>
          <w:rtl/>
        </w:rPr>
        <w:lastRenderedPageBreak/>
        <w:tab/>
      </w:r>
      <w:r w:rsidR="000D7670" w:rsidRPr="00575C09">
        <w:rPr>
          <w:rtl/>
        </w:rPr>
        <w:t>جيم-</w:t>
      </w:r>
      <w:r w:rsidR="000D7670" w:rsidRPr="00575C09">
        <w:rPr>
          <w:rtl/>
        </w:rPr>
        <w:tab/>
        <w:t>الأسس الموضوعية</w:t>
      </w:r>
    </w:p>
    <w:p w14:paraId="1B227166" w14:textId="77777777" w:rsidR="000D7670" w:rsidRPr="00575C09" w:rsidRDefault="000D7670" w:rsidP="00B6606A">
      <w:pPr>
        <w:pStyle w:val="H23GA"/>
      </w:pPr>
      <w:r w:rsidRPr="00575C09">
        <w:rPr>
          <w:rtl/>
        </w:rPr>
        <w:tab/>
      </w:r>
      <w:r w:rsidRPr="00575C09">
        <w:rPr>
          <w:rtl/>
        </w:rPr>
        <w:tab/>
        <w:t>حقائق ومسائل قانونية</w:t>
      </w:r>
    </w:p>
    <w:p w14:paraId="136507BC" w14:textId="691AE7D2" w:rsidR="000D7670" w:rsidRPr="000D7670" w:rsidRDefault="000D7670" w:rsidP="000D7670">
      <w:pPr>
        <w:pStyle w:val="SingleTxtGA"/>
        <w:rPr>
          <w:lang w:val="en-US"/>
        </w:rPr>
      </w:pPr>
      <w:r w:rsidRPr="00575C09">
        <w:rPr>
          <w:rtl/>
          <w:lang w:val="en-US"/>
        </w:rPr>
        <w:t>8</w:t>
      </w:r>
      <w:r w:rsidRPr="000D7670">
        <w:rPr>
          <w:rtl/>
          <w:lang w:val="en-US"/>
        </w:rPr>
        <w:t>-</w:t>
      </w:r>
      <w:r w:rsidRPr="00575C09">
        <w:rPr>
          <w:rtl/>
          <w:lang w:val="en-US"/>
        </w:rPr>
        <w:t>1</w:t>
      </w:r>
      <w:r w:rsidRPr="000D7670">
        <w:rPr>
          <w:rtl/>
          <w:lang w:val="en-US"/>
        </w:rPr>
        <w:tab/>
        <w:t xml:space="preserve">نظرت اللجنة في هذا البلاغ وراعت أثناء نظرها فيه جميع المعلومات المقدمة إليها </w:t>
      </w:r>
      <w:r w:rsidR="00B6606A">
        <w:rPr>
          <w:rtl/>
          <w:lang w:val="en-US"/>
        </w:rPr>
        <w:t xml:space="preserve">وفقاً </w:t>
      </w:r>
      <w:r w:rsidRPr="000D7670">
        <w:rPr>
          <w:rtl/>
          <w:lang w:val="en-US"/>
        </w:rPr>
        <w:t xml:space="preserve">لأحكام المادة </w:t>
      </w:r>
      <w:r w:rsidRPr="00575C09">
        <w:rPr>
          <w:rtl/>
          <w:lang w:val="en-US"/>
        </w:rPr>
        <w:t>8</w:t>
      </w:r>
      <w:r w:rsidRPr="000D7670">
        <w:rPr>
          <w:rtl/>
          <w:lang w:val="en-US"/>
        </w:rPr>
        <w:t xml:space="preserve"> من البروتوكول الاختياري.</w:t>
      </w:r>
    </w:p>
    <w:p w14:paraId="25E67B2F" w14:textId="6F815354" w:rsidR="000D7670" w:rsidRPr="000D7670" w:rsidRDefault="000D7670" w:rsidP="000D7670">
      <w:pPr>
        <w:pStyle w:val="SingleTxtGA"/>
        <w:rPr>
          <w:lang w:val="en-US"/>
        </w:rPr>
      </w:pPr>
      <w:r w:rsidRPr="00575C09">
        <w:rPr>
          <w:rtl/>
          <w:lang w:val="en-US"/>
        </w:rPr>
        <w:t>8</w:t>
      </w:r>
      <w:r w:rsidRPr="000D7670">
        <w:rPr>
          <w:rtl/>
          <w:lang w:val="en-US"/>
        </w:rPr>
        <w:t>-</w:t>
      </w:r>
      <w:r w:rsidRPr="00575C09">
        <w:rPr>
          <w:rtl/>
          <w:lang w:val="en-US"/>
        </w:rPr>
        <w:t>2</w:t>
      </w:r>
      <w:r w:rsidRPr="000D7670">
        <w:rPr>
          <w:rtl/>
          <w:lang w:val="en-US"/>
        </w:rPr>
        <w:tab/>
        <w:t xml:space="preserve">ثمّ تباشر اللجنة في تحديد الوقائع التي يمكن اعتبارها مثبتة. وفي </w:t>
      </w:r>
      <w:r w:rsidRPr="00575C09">
        <w:rPr>
          <w:rtl/>
          <w:lang w:val="en-US"/>
        </w:rPr>
        <w:t>21</w:t>
      </w:r>
      <w:r w:rsidRPr="000D7670">
        <w:rPr>
          <w:rtl/>
          <w:lang w:val="en-US"/>
        </w:rPr>
        <w:t xml:space="preserve"> آب/أغسطس </w:t>
      </w:r>
      <w:r w:rsidRPr="00575C09">
        <w:rPr>
          <w:rtl/>
          <w:lang w:val="en-US"/>
        </w:rPr>
        <w:t>2017</w:t>
      </w:r>
      <w:r w:rsidRPr="000D7670">
        <w:rPr>
          <w:rtl/>
          <w:lang w:val="en-US"/>
        </w:rPr>
        <w:t>، تلقى صاحب البلاغ إشعار</w:t>
      </w:r>
      <w:r w:rsidR="00801D24">
        <w:rPr>
          <w:rtl/>
          <w:lang w:val="en-US"/>
        </w:rPr>
        <w:t xml:space="preserve">اً </w:t>
      </w:r>
      <w:r w:rsidRPr="000D7670">
        <w:rPr>
          <w:rtl/>
          <w:lang w:val="en-US"/>
        </w:rPr>
        <w:t>من مالكة الشقة التي كان يستأجرها يفيد بإنهاء عقد الإيجار، مقابل منحه تعويض</w:t>
      </w:r>
      <w:r w:rsidR="00801D24">
        <w:rPr>
          <w:rtl/>
          <w:lang w:val="en-US"/>
        </w:rPr>
        <w:t xml:space="preserve">اً </w:t>
      </w:r>
      <w:r w:rsidRPr="000D7670">
        <w:rPr>
          <w:rtl/>
          <w:lang w:val="en-US"/>
        </w:rPr>
        <w:t xml:space="preserve">يعادل قيمة الإيجار لمدة ستة أشهر ومهلة ستة أشهر قبل إنهاء العقد. وأقرّت إنهاءَ العقد الغرفةُ الأولى للمحكمة الابتدائية الناطقة بالفرنسية في بروكسل، على مستوى الدرجتين الأولى والثانية. ولكن المحكمة أمهلت صاحب البلاغ فترة سماح لمغادرة السكن تنقضي في </w:t>
      </w:r>
      <w:r w:rsidRPr="00575C09">
        <w:rPr>
          <w:rtl/>
          <w:lang w:val="en-US"/>
        </w:rPr>
        <w:t>30</w:t>
      </w:r>
      <w:r w:rsidRPr="000D7670">
        <w:rPr>
          <w:rtl/>
          <w:lang w:val="en-US"/>
        </w:rPr>
        <w:t xml:space="preserve"> أيلول/سبتمبر </w:t>
      </w:r>
      <w:r w:rsidRPr="00575C09">
        <w:rPr>
          <w:rtl/>
          <w:lang w:val="en-US"/>
        </w:rPr>
        <w:t>2018</w:t>
      </w:r>
      <w:r w:rsidRPr="000D7670">
        <w:rPr>
          <w:rtl/>
          <w:lang w:val="en-US"/>
        </w:rPr>
        <w:t xml:space="preserve">. وفي </w:t>
      </w:r>
      <w:r w:rsidRPr="00575C09">
        <w:rPr>
          <w:rtl/>
          <w:lang w:val="en-US"/>
        </w:rPr>
        <w:t>17</w:t>
      </w:r>
      <w:r w:rsidRPr="000D7670">
        <w:rPr>
          <w:rtl/>
          <w:lang w:val="en-US"/>
        </w:rPr>
        <w:t xml:space="preserve"> أيلول/سبتمبر </w:t>
      </w:r>
      <w:r w:rsidRPr="00575C09">
        <w:rPr>
          <w:rtl/>
          <w:lang w:val="en-US"/>
        </w:rPr>
        <w:t>2018</w:t>
      </w:r>
      <w:r w:rsidRPr="000D7670">
        <w:rPr>
          <w:rtl/>
          <w:lang w:val="en-US"/>
        </w:rPr>
        <w:t>، أبلغ ساعي المحكمة صاحب البلاغ بأن طرده من الشقة كان مقرر</w:t>
      </w:r>
      <w:r w:rsidR="00801D24">
        <w:rPr>
          <w:rtl/>
          <w:lang w:val="en-US"/>
        </w:rPr>
        <w:t xml:space="preserve">اً </w:t>
      </w:r>
      <w:r w:rsidRPr="000D7670">
        <w:rPr>
          <w:rtl/>
          <w:lang w:val="en-US"/>
        </w:rPr>
        <w:t xml:space="preserve">في </w:t>
      </w:r>
      <w:r w:rsidRPr="00575C09">
        <w:rPr>
          <w:rtl/>
          <w:lang w:val="en-US"/>
        </w:rPr>
        <w:t>8</w:t>
      </w:r>
      <w:r w:rsidRPr="000D7670">
        <w:rPr>
          <w:rtl/>
          <w:lang w:val="en-US"/>
        </w:rPr>
        <w:t xml:space="preserve"> تشرين الأول/أكتوبر </w:t>
      </w:r>
      <w:r w:rsidRPr="00575C09">
        <w:rPr>
          <w:rtl/>
          <w:lang w:val="en-US"/>
        </w:rPr>
        <w:t>2018</w:t>
      </w:r>
      <w:r w:rsidRPr="000D7670">
        <w:rPr>
          <w:rtl/>
          <w:lang w:val="en-US"/>
        </w:rPr>
        <w:t xml:space="preserve">. وأُرجئت عملية الطرد إلى تاريخ </w:t>
      </w:r>
      <w:r w:rsidRPr="00575C09">
        <w:rPr>
          <w:rtl/>
          <w:lang w:val="en-US"/>
        </w:rPr>
        <w:t>17</w:t>
      </w:r>
      <w:r w:rsidRPr="000D7670">
        <w:rPr>
          <w:rtl/>
          <w:lang w:val="en-US"/>
        </w:rPr>
        <w:t xml:space="preserve"> تشرين الأول/أكتوبر </w:t>
      </w:r>
      <w:r w:rsidRPr="00575C09">
        <w:rPr>
          <w:rtl/>
          <w:lang w:val="en-US"/>
        </w:rPr>
        <w:t>2018</w:t>
      </w:r>
      <w:r w:rsidRPr="000D7670">
        <w:rPr>
          <w:rtl/>
          <w:lang w:val="en-US"/>
        </w:rPr>
        <w:t>، بعد دخول صاحب البلاغ المستشفى.</w:t>
      </w:r>
    </w:p>
    <w:p w14:paraId="16108348" w14:textId="51C710F0" w:rsidR="000D7670" w:rsidRPr="000D7670" w:rsidRDefault="000D7670" w:rsidP="000D7670">
      <w:pPr>
        <w:pStyle w:val="SingleTxtGA"/>
        <w:rPr>
          <w:lang w:val="en-US"/>
        </w:rPr>
      </w:pPr>
      <w:r w:rsidRPr="00575C09">
        <w:rPr>
          <w:rtl/>
          <w:lang w:val="en-US"/>
        </w:rPr>
        <w:t>8</w:t>
      </w:r>
      <w:r w:rsidRPr="000D7670">
        <w:rPr>
          <w:rtl/>
          <w:lang w:val="en-US"/>
        </w:rPr>
        <w:t>-</w:t>
      </w:r>
      <w:r w:rsidRPr="00575C09">
        <w:rPr>
          <w:rtl/>
          <w:lang w:val="en-US"/>
        </w:rPr>
        <w:t>3</w:t>
      </w:r>
      <w:r w:rsidRPr="000D7670">
        <w:rPr>
          <w:rtl/>
          <w:lang w:val="en-US"/>
        </w:rPr>
        <w:tab/>
        <w:t xml:space="preserve">وتلاحظ اللجنة أن صاحب البلاغ طُرد من شقته في </w:t>
      </w:r>
      <w:r w:rsidRPr="00575C09">
        <w:rPr>
          <w:rtl/>
          <w:lang w:val="en-US"/>
        </w:rPr>
        <w:t>17</w:t>
      </w:r>
      <w:r w:rsidRPr="000D7670">
        <w:rPr>
          <w:rtl/>
          <w:lang w:val="en-US"/>
        </w:rPr>
        <w:t xml:space="preserve"> تشرين الأول/أكتوبر </w:t>
      </w:r>
      <w:r w:rsidRPr="00575C09">
        <w:rPr>
          <w:rtl/>
          <w:lang w:val="en-US"/>
        </w:rPr>
        <w:t>2018</w:t>
      </w:r>
      <w:r w:rsidRPr="000D7670">
        <w:rPr>
          <w:rtl/>
          <w:lang w:val="en-US"/>
        </w:rPr>
        <w:t xml:space="preserve">. وعُرضت هذه الشقة في وقت لاحق للإيجار بسعر أعلى. ومنذ ذلك الحين، يقيم صاحب البلاغ عند معارف له، وسجّل اسمه لدى هيئة واحدة على الأقل من الهيئات المسؤولة عن المساكن الاجتماعية، وأعلم السلطات باحتياجاته وهي حسب تقديره شقة مساحتها </w:t>
      </w:r>
      <w:proofErr w:type="gramStart"/>
      <w:r w:rsidRPr="000D7670">
        <w:rPr>
          <w:rtl/>
          <w:lang w:val="en-US"/>
        </w:rPr>
        <w:t>حوالى</w:t>
      </w:r>
      <w:proofErr w:type="gramEnd"/>
      <w:r w:rsidRPr="000D7670">
        <w:rPr>
          <w:rtl/>
          <w:lang w:val="en-US"/>
        </w:rPr>
        <w:t xml:space="preserve"> </w:t>
      </w:r>
      <w:r w:rsidRPr="00575C09">
        <w:rPr>
          <w:rtl/>
          <w:lang w:val="en-US"/>
        </w:rPr>
        <w:t>80</w:t>
      </w:r>
      <w:r w:rsidRPr="000D7670">
        <w:rPr>
          <w:rtl/>
          <w:lang w:val="en-US"/>
        </w:rPr>
        <w:t xml:space="preserve"> متر</w:t>
      </w:r>
      <w:r w:rsidR="00801D24">
        <w:rPr>
          <w:rtl/>
          <w:lang w:val="en-US"/>
        </w:rPr>
        <w:t xml:space="preserve">اً </w:t>
      </w:r>
      <w:r w:rsidRPr="000D7670">
        <w:rPr>
          <w:rtl/>
          <w:lang w:val="en-US"/>
        </w:rPr>
        <w:t>مربع</w:t>
      </w:r>
      <w:r w:rsidR="00DD7E44">
        <w:rPr>
          <w:rtl/>
          <w:lang w:val="en-US"/>
        </w:rPr>
        <w:t>اً،</w:t>
      </w:r>
      <w:r w:rsidRPr="000D7670">
        <w:rPr>
          <w:rtl/>
          <w:lang w:val="en-US"/>
        </w:rPr>
        <w:t xml:space="preserve"> حيث يمكنه الاحتفاظ بأمتعته وإيواء حفيدتيه اللتين تأتيان لزيارته من كندا، وإذا أمكن، شرفة صغيرة. ولم يتلق صاحب البلاغ سوى عروض للإقامة في مساكن عابرة أو </w:t>
      </w:r>
      <w:proofErr w:type="spellStart"/>
      <w:r w:rsidRPr="000D7670">
        <w:rPr>
          <w:rtl/>
          <w:lang w:val="en-US"/>
        </w:rPr>
        <w:t>مآوٍ</w:t>
      </w:r>
      <w:proofErr w:type="spellEnd"/>
      <w:r w:rsidRPr="000D7670">
        <w:rPr>
          <w:rtl/>
          <w:lang w:val="en-US"/>
        </w:rPr>
        <w:t xml:space="preserve"> للمسنين، وهو ما لا يعتبره مناسب</w:t>
      </w:r>
      <w:r w:rsidR="007D7F4E">
        <w:rPr>
          <w:rtl/>
          <w:lang w:val="en-US"/>
        </w:rPr>
        <w:t xml:space="preserve">اً </w:t>
      </w:r>
      <w:r w:rsidRPr="000D7670">
        <w:rPr>
          <w:rtl/>
          <w:lang w:val="en-US"/>
        </w:rPr>
        <w:t xml:space="preserve">لتلبية احتياجاته. </w:t>
      </w:r>
    </w:p>
    <w:p w14:paraId="12892665" w14:textId="146020FD" w:rsidR="000D7670" w:rsidRPr="000D7670" w:rsidRDefault="000D7670" w:rsidP="000D7670">
      <w:pPr>
        <w:pStyle w:val="SingleTxtGA"/>
        <w:rPr>
          <w:lang w:val="en-US"/>
        </w:rPr>
      </w:pPr>
      <w:r w:rsidRPr="00575C09">
        <w:rPr>
          <w:rtl/>
          <w:lang w:val="en-US"/>
        </w:rPr>
        <w:t>8</w:t>
      </w:r>
      <w:r w:rsidRPr="000D7670">
        <w:rPr>
          <w:rtl/>
          <w:lang w:val="en-US"/>
        </w:rPr>
        <w:t>-</w:t>
      </w:r>
      <w:r w:rsidRPr="00575C09">
        <w:rPr>
          <w:rtl/>
          <w:lang w:val="en-US"/>
        </w:rPr>
        <w:t>4</w:t>
      </w:r>
      <w:r w:rsidRPr="000D7670">
        <w:rPr>
          <w:rtl/>
          <w:lang w:val="en-US"/>
        </w:rPr>
        <w:tab/>
        <w:t>وتلاحظ اللجنة</w:t>
      </w:r>
      <w:r w:rsidR="00B6606A">
        <w:rPr>
          <w:rtl/>
          <w:lang w:val="en-US"/>
        </w:rPr>
        <w:t xml:space="preserve"> أيضاً </w:t>
      </w:r>
      <w:r w:rsidRPr="000D7670">
        <w:rPr>
          <w:rtl/>
          <w:lang w:val="en-US"/>
        </w:rPr>
        <w:t>أن صاحب البلاغ يدعي أن طرده يشكل انتهاك</w:t>
      </w:r>
      <w:r w:rsidR="007D7F4E">
        <w:rPr>
          <w:rtl/>
          <w:lang w:val="en-US"/>
        </w:rPr>
        <w:t xml:space="preserve">اً </w:t>
      </w:r>
      <w:r w:rsidRPr="000D7670">
        <w:rPr>
          <w:rtl/>
          <w:lang w:val="en-US"/>
        </w:rPr>
        <w:t>لحقه في سكن لائق، لأنه لم يؤخذ في الاعتبار عدم توافر أي سكن بديل له وعواقب عملية الإخلاء، ويرى أنه ينبغي منع إنهاء عقود الإيجار دون أي مبرر يُذكر. وتدعي الدولة الطرف أن عملية الإخلاء كانت مشروعة وناتجة عن إجراءات قضائية مشفوعة بكل الضمانات اللازمة، وأن صاحب البلاغ لم يتعاون إذ رفض أماكن الإيواء العاجل التي عُرضت عليه. وترى الدولة الطرف أنها اتخذت جميع التدابير اللازمة، بما تسمح به مواردها المتاحة، لتوفير سكن بديل للمعني.</w:t>
      </w:r>
    </w:p>
    <w:p w14:paraId="32929DE0" w14:textId="431C2BF7" w:rsidR="000D7670" w:rsidRPr="000D7670" w:rsidRDefault="000D7670" w:rsidP="000D7670">
      <w:pPr>
        <w:pStyle w:val="SingleTxtGA"/>
        <w:rPr>
          <w:lang w:val="en-US"/>
        </w:rPr>
      </w:pPr>
      <w:r w:rsidRPr="00575C09">
        <w:rPr>
          <w:rtl/>
          <w:lang w:val="en-US"/>
        </w:rPr>
        <w:t>8</w:t>
      </w:r>
      <w:r w:rsidRPr="000D7670">
        <w:rPr>
          <w:rtl/>
          <w:lang w:val="en-US"/>
        </w:rPr>
        <w:t>-</w:t>
      </w:r>
      <w:r w:rsidRPr="00575C09">
        <w:rPr>
          <w:rtl/>
          <w:lang w:val="en-US"/>
        </w:rPr>
        <w:t>5</w:t>
      </w:r>
      <w:r w:rsidRPr="000D7670">
        <w:rPr>
          <w:rtl/>
          <w:lang w:val="en-US"/>
        </w:rPr>
        <w:tab/>
        <w:t xml:space="preserve">وفي ضوء الوقائع التي رأت اللجنة أنها ذات صلة، والحجج التي قدمها الطرفان، فإن الأسئلة التي أثارها البلاغ هي التالية: (أ) ما إذا كان طرد صاحب البلاغ يشكل انتهاكاً للحق في سكن لائق بموجب المادة </w:t>
      </w:r>
      <w:r w:rsidRPr="00575C09">
        <w:rPr>
          <w:rtl/>
          <w:lang w:val="en-US"/>
        </w:rPr>
        <w:t>11</w:t>
      </w:r>
      <w:r w:rsidRPr="000D7670">
        <w:rPr>
          <w:rtl/>
          <w:lang w:val="en-US"/>
        </w:rPr>
        <w:t>(</w:t>
      </w:r>
      <w:r w:rsidRPr="00575C09">
        <w:rPr>
          <w:rtl/>
          <w:lang w:val="en-US"/>
        </w:rPr>
        <w:t>1</w:t>
      </w:r>
      <w:r w:rsidRPr="000D7670">
        <w:rPr>
          <w:rtl/>
          <w:lang w:val="en-US"/>
        </w:rPr>
        <w:t>) من العهد، على أن تؤخذ في الاعتبار المعايير السارية التي تجيز إنهاء عقود الإيجار دون مبرّر؛ و(ب) ما إذا كان رد الدولة الطرف على الطلبات التي قدمها صاحب البلاغ للحصول على سكن يشكل انتهاك</w:t>
      </w:r>
      <w:r w:rsidR="00DF20AC">
        <w:rPr>
          <w:rtl/>
          <w:lang w:val="en-US"/>
        </w:rPr>
        <w:t xml:space="preserve">اً </w:t>
      </w:r>
      <w:r w:rsidRPr="000D7670">
        <w:rPr>
          <w:rtl/>
          <w:lang w:val="en-US"/>
        </w:rPr>
        <w:t>للحق في سكن بديل لائق. وللإجابة على هذه الأسئلة، تبدأ اللجنة بالتذكير بسوابقها القضائية المتعلقة بالحماية من الإخلاء القسري. ثم تقوم بتحليل الحالة الملموسة لطرد صاحب البلاغ وتجيب عن الأسئلة التي أثارها هذا البلاغ.</w:t>
      </w:r>
    </w:p>
    <w:p w14:paraId="3DBF6228" w14:textId="77777777" w:rsidR="000D7670" w:rsidRPr="00575C09" w:rsidRDefault="000D7670" w:rsidP="00B6606A">
      <w:pPr>
        <w:pStyle w:val="H23GA"/>
      </w:pPr>
      <w:r w:rsidRPr="00575C09">
        <w:rPr>
          <w:rtl/>
        </w:rPr>
        <w:tab/>
      </w:r>
      <w:r w:rsidRPr="00575C09">
        <w:rPr>
          <w:rtl/>
        </w:rPr>
        <w:tab/>
        <w:t>الحماية من الإخلاء القسري</w:t>
      </w:r>
    </w:p>
    <w:p w14:paraId="722572D1" w14:textId="01289D68" w:rsidR="000D7670" w:rsidRPr="000D7670" w:rsidRDefault="000D7670" w:rsidP="000D7670">
      <w:pPr>
        <w:pStyle w:val="SingleTxtGA"/>
        <w:rPr>
          <w:lang w:val="en-US"/>
        </w:rPr>
      </w:pPr>
      <w:r w:rsidRPr="00575C09">
        <w:rPr>
          <w:rtl/>
          <w:lang w:val="en-US"/>
        </w:rPr>
        <w:t>9</w:t>
      </w:r>
      <w:r w:rsidRPr="000D7670">
        <w:rPr>
          <w:rtl/>
          <w:lang w:val="en-US"/>
        </w:rPr>
        <w:t>-</w:t>
      </w:r>
      <w:r w:rsidRPr="00575C09">
        <w:rPr>
          <w:rtl/>
          <w:lang w:val="en-US"/>
        </w:rPr>
        <w:t>1</w:t>
      </w:r>
      <w:r w:rsidRPr="000D7670">
        <w:rPr>
          <w:rtl/>
          <w:lang w:val="en-US"/>
        </w:rPr>
        <w:tab/>
        <w:t xml:space="preserve">إن حق الإنسان في سكن لائق حق أساسي يتوقف عليه التمتع بجميع الحقوق الاقتصادية والاجتماعية </w:t>
      </w:r>
      <w:proofErr w:type="gramStart"/>
      <w:r w:rsidRPr="000D7670">
        <w:rPr>
          <w:rtl/>
          <w:lang w:val="en-US"/>
        </w:rPr>
        <w:t>والثقافية</w:t>
      </w:r>
      <w:r w:rsidRPr="000D7670">
        <w:rPr>
          <w:vertAlign w:val="superscript"/>
          <w:rtl/>
          <w:lang w:val="en-US"/>
        </w:rPr>
        <w:t>(</w:t>
      </w:r>
      <w:proofErr w:type="gramEnd"/>
      <w:r w:rsidRPr="00575C09">
        <w:rPr>
          <w:rStyle w:val="FootnoteReference"/>
          <w:szCs w:val="22"/>
          <w:lang w:val="en-US"/>
        </w:rPr>
        <w:footnoteReference w:id="20"/>
      </w:r>
      <w:r w:rsidRPr="000D7670">
        <w:rPr>
          <w:vertAlign w:val="superscript"/>
          <w:rtl/>
          <w:lang w:val="en-US"/>
        </w:rPr>
        <w:t>)</w:t>
      </w:r>
      <w:r w:rsidRPr="000D7670">
        <w:rPr>
          <w:rtl/>
          <w:lang w:val="en-US"/>
        </w:rPr>
        <w:t>؛ ويرتبط ارتباط</w:t>
      </w:r>
      <w:r w:rsidR="00DF20AC">
        <w:rPr>
          <w:rtl/>
          <w:lang w:val="en-US"/>
        </w:rPr>
        <w:t xml:space="preserve">اً </w:t>
      </w:r>
      <w:r w:rsidRPr="000D7670">
        <w:rPr>
          <w:rtl/>
          <w:lang w:val="en-US"/>
        </w:rPr>
        <w:t>وثيق</w:t>
      </w:r>
      <w:r w:rsidR="00DF20AC">
        <w:rPr>
          <w:rtl/>
          <w:lang w:val="en-US"/>
        </w:rPr>
        <w:t xml:space="preserve">اً </w:t>
      </w:r>
      <w:r w:rsidRPr="000D7670">
        <w:rPr>
          <w:rtl/>
          <w:lang w:val="en-US"/>
        </w:rPr>
        <w:t xml:space="preserve">بحقوق الإنسان الأخرى، بما فيها الحقوق المكرسة في </w:t>
      </w:r>
      <w:r w:rsidRPr="000D7670">
        <w:rPr>
          <w:rtl/>
          <w:lang w:val="en-US"/>
        </w:rPr>
        <w:lastRenderedPageBreak/>
        <w:t>العهد الدولي الخاص بالحقوق المدنية والسياسية</w:t>
      </w:r>
      <w:r w:rsidRPr="000D7670">
        <w:rPr>
          <w:vertAlign w:val="superscript"/>
          <w:rtl/>
          <w:lang w:val="en-US"/>
        </w:rPr>
        <w:t>(</w:t>
      </w:r>
      <w:r w:rsidRPr="00575C09">
        <w:rPr>
          <w:rStyle w:val="FootnoteReference"/>
          <w:szCs w:val="22"/>
          <w:lang w:val="en-US"/>
        </w:rPr>
        <w:footnoteReference w:id="21"/>
      </w:r>
      <w:r w:rsidRPr="000D7670">
        <w:rPr>
          <w:vertAlign w:val="superscript"/>
          <w:rtl/>
          <w:lang w:val="en-US"/>
        </w:rPr>
        <w:t>)</w:t>
      </w:r>
      <w:r w:rsidRPr="000D7670">
        <w:rPr>
          <w:rtl/>
          <w:lang w:val="en-US"/>
        </w:rPr>
        <w:t xml:space="preserve">. وينبغي ضمان الحق في المسكن لجميع الأشخاص </w:t>
      </w:r>
      <w:r w:rsidRPr="002A7D75">
        <w:rPr>
          <w:spacing w:val="-2"/>
          <w:rtl/>
          <w:lang w:val="en-US"/>
        </w:rPr>
        <w:t xml:space="preserve">بغض النظر عن دخلهم أو حيازتهم لموارد اقتصادية </w:t>
      </w:r>
      <w:proofErr w:type="gramStart"/>
      <w:r w:rsidRPr="002A7D75">
        <w:rPr>
          <w:spacing w:val="-2"/>
          <w:rtl/>
          <w:lang w:val="en-US"/>
        </w:rPr>
        <w:t>أخرى</w:t>
      </w:r>
      <w:r w:rsidRPr="002A7D75">
        <w:rPr>
          <w:spacing w:val="-2"/>
          <w:vertAlign w:val="superscript"/>
          <w:rtl/>
          <w:lang w:val="en-US"/>
        </w:rPr>
        <w:t>(</w:t>
      </w:r>
      <w:proofErr w:type="gramEnd"/>
      <w:r w:rsidRPr="00575C09">
        <w:rPr>
          <w:rStyle w:val="FootnoteReference"/>
          <w:spacing w:val="-2"/>
          <w:szCs w:val="22"/>
          <w:lang w:val="en-US"/>
        </w:rPr>
        <w:footnoteReference w:id="22"/>
      </w:r>
      <w:r w:rsidRPr="002A7D75">
        <w:rPr>
          <w:spacing w:val="-2"/>
          <w:vertAlign w:val="superscript"/>
          <w:rtl/>
          <w:lang w:val="en-US"/>
        </w:rPr>
        <w:t>)</w:t>
      </w:r>
      <w:r w:rsidRPr="002A7D75">
        <w:rPr>
          <w:spacing w:val="-2"/>
          <w:rtl/>
          <w:lang w:val="en-US"/>
        </w:rPr>
        <w:t xml:space="preserve"> وينبغي للدول الأطراف أن تتخذ ما يلزم من</w:t>
      </w:r>
      <w:r w:rsidRPr="000D7670">
        <w:rPr>
          <w:rtl/>
          <w:lang w:val="en-US"/>
        </w:rPr>
        <w:t xml:space="preserve"> تدابير لتحقيق الإعمال الكامل لهذا الحق بأقصى ما تسمح به مواردها المتاحة</w:t>
      </w:r>
      <w:r w:rsidRPr="000D7670">
        <w:rPr>
          <w:vertAlign w:val="superscript"/>
          <w:rtl/>
          <w:lang w:val="en-US"/>
        </w:rPr>
        <w:t>(</w:t>
      </w:r>
      <w:r w:rsidRPr="00575C09">
        <w:rPr>
          <w:rStyle w:val="FootnoteReference"/>
          <w:szCs w:val="22"/>
          <w:lang w:val="en-US"/>
        </w:rPr>
        <w:footnoteReference w:id="23"/>
      </w:r>
      <w:r w:rsidRPr="000D7670">
        <w:rPr>
          <w:vertAlign w:val="superscript"/>
          <w:rtl/>
          <w:lang w:val="en-US"/>
        </w:rPr>
        <w:t>)</w:t>
      </w:r>
      <w:r w:rsidRPr="000D7670">
        <w:rPr>
          <w:rtl/>
          <w:lang w:val="en-US"/>
        </w:rPr>
        <w:t>.</w:t>
      </w:r>
    </w:p>
    <w:p w14:paraId="21B2B769" w14:textId="183C5272" w:rsidR="000D7670" w:rsidRPr="000D7670" w:rsidRDefault="000D7670" w:rsidP="000D7670">
      <w:pPr>
        <w:pStyle w:val="SingleTxtGA"/>
        <w:rPr>
          <w:lang w:val="en-US"/>
        </w:rPr>
      </w:pPr>
      <w:r w:rsidRPr="00575C09">
        <w:rPr>
          <w:rtl/>
          <w:lang w:val="en-US"/>
        </w:rPr>
        <w:t>9</w:t>
      </w:r>
      <w:r w:rsidRPr="000D7670">
        <w:rPr>
          <w:rtl/>
          <w:lang w:val="en-US"/>
        </w:rPr>
        <w:t>-</w:t>
      </w:r>
      <w:r w:rsidRPr="00575C09">
        <w:rPr>
          <w:rtl/>
          <w:lang w:val="en-US"/>
        </w:rPr>
        <w:t>2</w:t>
      </w:r>
      <w:r w:rsidRPr="000D7670">
        <w:rPr>
          <w:rtl/>
          <w:lang w:val="en-US"/>
        </w:rPr>
        <w:tab/>
        <w:t xml:space="preserve">وتتنافى حالات الإخلاء القسري ظاهرياً مع أحكام العهد ولا يمكن تبريرها إلا في أكثر الظروف </w:t>
      </w:r>
      <w:proofErr w:type="gramStart"/>
      <w:r w:rsidRPr="000D7670">
        <w:rPr>
          <w:rtl/>
          <w:lang w:val="en-US"/>
        </w:rPr>
        <w:t>استثنائية</w:t>
      </w:r>
      <w:r w:rsidRPr="000D7670">
        <w:rPr>
          <w:vertAlign w:val="superscript"/>
          <w:rtl/>
          <w:lang w:val="en-US"/>
        </w:rPr>
        <w:t>(</w:t>
      </w:r>
      <w:proofErr w:type="gramEnd"/>
      <w:r w:rsidRPr="00575C09">
        <w:rPr>
          <w:rStyle w:val="FootnoteReference"/>
          <w:szCs w:val="22"/>
          <w:lang w:val="en-US"/>
        </w:rPr>
        <w:footnoteReference w:id="24"/>
      </w:r>
      <w:r w:rsidRPr="000D7670">
        <w:rPr>
          <w:vertAlign w:val="superscript"/>
          <w:rtl/>
          <w:lang w:val="en-US"/>
        </w:rPr>
        <w:t>)</w:t>
      </w:r>
      <w:r>
        <w:rPr>
          <w:rtl/>
          <w:lang w:val="en-US"/>
        </w:rPr>
        <w:t>.</w:t>
      </w:r>
      <w:r w:rsidRPr="000D7670">
        <w:rPr>
          <w:rtl/>
          <w:lang w:val="en-US"/>
        </w:rPr>
        <w:t xml:space="preserve"> ويجب على السلطات المختصة أن تكفل تنفيذها </w:t>
      </w:r>
      <w:r w:rsidR="00B6606A">
        <w:rPr>
          <w:rtl/>
          <w:lang w:val="en-US"/>
        </w:rPr>
        <w:t xml:space="preserve">وفقاً </w:t>
      </w:r>
      <w:r w:rsidRPr="000D7670">
        <w:rPr>
          <w:rtl/>
          <w:lang w:val="en-US"/>
        </w:rPr>
        <w:t>للتشريعات المتوافقة مع العهد و</w:t>
      </w:r>
      <w:r w:rsidR="00B6606A">
        <w:rPr>
          <w:rtl/>
          <w:lang w:val="en-US"/>
        </w:rPr>
        <w:t xml:space="preserve">وفقاً </w:t>
      </w:r>
      <w:r w:rsidRPr="000D7670">
        <w:rPr>
          <w:rtl/>
          <w:lang w:val="en-US"/>
        </w:rPr>
        <w:t xml:space="preserve">للمبادئ العامة للمعقولية والتناسب بين الهدف المشروع للإخلاء وعواقبه التي تصيب الأشخاص الذين جرى </w:t>
      </w:r>
      <w:proofErr w:type="gramStart"/>
      <w:r w:rsidRPr="000D7670">
        <w:rPr>
          <w:rtl/>
          <w:lang w:val="en-US"/>
        </w:rPr>
        <w:t>طردهم</w:t>
      </w:r>
      <w:r w:rsidRPr="000D7670">
        <w:rPr>
          <w:vertAlign w:val="superscript"/>
          <w:rtl/>
          <w:lang w:val="en-US"/>
        </w:rPr>
        <w:t>(</w:t>
      </w:r>
      <w:proofErr w:type="gramEnd"/>
      <w:r w:rsidRPr="00575C09">
        <w:rPr>
          <w:rStyle w:val="FootnoteReference"/>
          <w:szCs w:val="22"/>
          <w:lang w:val="en-US"/>
        </w:rPr>
        <w:footnoteReference w:id="25"/>
      </w:r>
      <w:r w:rsidRPr="000D7670">
        <w:rPr>
          <w:vertAlign w:val="superscript"/>
          <w:rtl/>
          <w:lang w:val="en-US"/>
        </w:rPr>
        <w:t>)</w:t>
      </w:r>
      <w:r>
        <w:rPr>
          <w:rtl/>
          <w:lang w:val="en-US"/>
        </w:rPr>
        <w:t>.</w:t>
      </w:r>
      <w:r w:rsidRPr="000D7670">
        <w:rPr>
          <w:rtl/>
          <w:lang w:val="en-US"/>
        </w:rPr>
        <w:t xml:space="preserve"> وهذا الالتزام ناشئ عن تفسير التزامات الدولة الطرف بمقتضى المادة </w:t>
      </w:r>
      <w:r w:rsidRPr="00575C09">
        <w:rPr>
          <w:rtl/>
          <w:lang w:val="en-US"/>
        </w:rPr>
        <w:t>2</w:t>
      </w:r>
      <w:r w:rsidRPr="000D7670">
        <w:rPr>
          <w:rtl/>
          <w:lang w:val="en-US"/>
        </w:rPr>
        <w:t>(</w:t>
      </w:r>
      <w:r w:rsidRPr="00575C09">
        <w:rPr>
          <w:rtl/>
          <w:lang w:val="en-US"/>
        </w:rPr>
        <w:t>1</w:t>
      </w:r>
      <w:r w:rsidRPr="000D7670">
        <w:rPr>
          <w:rtl/>
          <w:lang w:val="en-US"/>
        </w:rPr>
        <w:t xml:space="preserve">) من العهد، مقروءة بالاقتران مع المادة </w:t>
      </w:r>
      <w:r w:rsidRPr="00575C09">
        <w:rPr>
          <w:rtl/>
          <w:lang w:val="en-US"/>
        </w:rPr>
        <w:t>11</w:t>
      </w:r>
      <w:r w:rsidRPr="000D7670">
        <w:rPr>
          <w:rtl/>
          <w:lang w:val="en-US"/>
        </w:rPr>
        <w:t xml:space="preserve"> وفي ضوء مقتضيات المادة </w:t>
      </w:r>
      <w:r w:rsidRPr="00575C09">
        <w:rPr>
          <w:rtl/>
          <w:lang w:val="en-US"/>
        </w:rPr>
        <w:t>4</w:t>
      </w:r>
      <w:r w:rsidRPr="000D7670">
        <w:rPr>
          <w:rtl/>
          <w:lang w:val="en-US"/>
        </w:rPr>
        <w:t xml:space="preserve"> التي تحدد الشروط التي يجوز بموجبها فرض قيود على ممارسة الحقوق التي يكرسها </w:t>
      </w:r>
      <w:proofErr w:type="gramStart"/>
      <w:r w:rsidRPr="000D7670">
        <w:rPr>
          <w:rtl/>
          <w:lang w:val="en-US"/>
        </w:rPr>
        <w:t>العهد</w:t>
      </w:r>
      <w:r w:rsidRPr="000D7670">
        <w:rPr>
          <w:vertAlign w:val="superscript"/>
          <w:rtl/>
          <w:lang w:val="en-US"/>
        </w:rPr>
        <w:t>(</w:t>
      </w:r>
      <w:proofErr w:type="gramEnd"/>
      <w:r w:rsidRPr="00575C09">
        <w:rPr>
          <w:rStyle w:val="FootnoteReference"/>
          <w:szCs w:val="22"/>
          <w:lang w:val="en-US"/>
        </w:rPr>
        <w:footnoteReference w:id="26"/>
      </w:r>
      <w:r w:rsidRPr="000D7670">
        <w:rPr>
          <w:vertAlign w:val="superscript"/>
          <w:rtl/>
          <w:lang w:val="en-US"/>
        </w:rPr>
        <w:t>)</w:t>
      </w:r>
      <w:r w:rsidRPr="000D7670">
        <w:rPr>
          <w:rtl/>
          <w:lang w:val="en-US"/>
        </w:rPr>
        <w:t>.</w:t>
      </w:r>
    </w:p>
    <w:p w14:paraId="6032F7CE" w14:textId="2F24DDF8" w:rsidR="000D7670" w:rsidRPr="000D7670" w:rsidRDefault="000D7670" w:rsidP="000D7670">
      <w:pPr>
        <w:pStyle w:val="SingleTxtGA"/>
        <w:rPr>
          <w:lang w:val="en-US"/>
        </w:rPr>
      </w:pPr>
      <w:r w:rsidRPr="00575C09">
        <w:rPr>
          <w:rtl/>
          <w:lang w:val="en-US"/>
        </w:rPr>
        <w:t>9</w:t>
      </w:r>
      <w:r w:rsidRPr="000D7670">
        <w:rPr>
          <w:rtl/>
          <w:lang w:val="en-US"/>
        </w:rPr>
        <w:t>-</w:t>
      </w:r>
      <w:r w:rsidRPr="00575C09">
        <w:rPr>
          <w:rtl/>
          <w:lang w:val="en-US"/>
        </w:rPr>
        <w:t>3</w:t>
      </w:r>
      <w:r w:rsidRPr="000D7670">
        <w:rPr>
          <w:rtl/>
          <w:lang w:val="en-US"/>
        </w:rPr>
        <w:tab/>
        <w:t xml:space="preserve">وبناء على ذلك، يجب استيفاء المعايير التالية للبت في الإخلاء. أولاً، يجب أن تكون إمكانية الإخلاء محددة بنص قانوني. ثانياً، يجب أن تعزز الرفاه العام في مجتمع ديمقراطي؛ ثالثاً، يجب أن تكون متناسبة مع الغرض المشروع المحتجّ به. رابعاً، يجب أن تكون ضرورية، بمعنى أنه إن وُجدت تدابير عدة من شأنها تحقيق نفس الهدف على نحو معقول، وَجب اختيار أقل التدابير تقييداً للحق المعني. وأخيراً، </w:t>
      </w:r>
      <w:r w:rsidRPr="002A7D75">
        <w:rPr>
          <w:spacing w:val="-2"/>
          <w:rtl/>
          <w:lang w:val="en-US"/>
        </w:rPr>
        <w:t>يجب أن يكون للقيد على الرفاه العام منافع أكثر من العواقب على ممارسة الحق المعني. وكلما كانت الآثار</w:t>
      </w:r>
      <w:r w:rsidRPr="000D7670">
        <w:rPr>
          <w:rtl/>
          <w:lang w:val="en-US"/>
        </w:rPr>
        <w:t xml:space="preserve"> </w:t>
      </w:r>
      <w:r w:rsidRPr="002A7D75">
        <w:rPr>
          <w:spacing w:val="-2"/>
          <w:rtl/>
          <w:lang w:val="en-US"/>
        </w:rPr>
        <w:t>المترتبة على تقييد الحقوق التي يحميها العهد كبيرة، لزم فحص تبرير هذا التدبير فحصاً دقيقاً. ومن العوامل</w:t>
      </w:r>
      <w:r w:rsidRPr="000D7670">
        <w:rPr>
          <w:rtl/>
          <w:lang w:val="en-US"/>
        </w:rPr>
        <w:t xml:space="preserve"> </w:t>
      </w:r>
      <w:r w:rsidRPr="002A7D75">
        <w:rPr>
          <w:spacing w:val="-2"/>
          <w:rtl/>
          <w:lang w:val="en-US"/>
        </w:rPr>
        <w:t>الحاسمة</w:t>
      </w:r>
      <w:r w:rsidR="00B6606A" w:rsidRPr="002A7D75">
        <w:rPr>
          <w:spacing w:val="-2"/>
          <w:rtl/>
          <w:lang w:val="en-US"/>
        </w:rPr>
        <w:t xml:space="preserve"> أيضاً </w:t>
      </w:r>
      <w:r w:rsidRPr="002A7D75">
        <w:rPr>
          <w:spacing w:val="-2"/>
          <w:rtl/>
          <w:lang w:val="en-US"/>
        </w:rPr>
        <w:t>في هذا التحليل إمكانية الحصول على سكن بديل لائق، والظروف الشخصية لشاغلي المسكن</w:t>
      </w:r>
      <w:r w:rsidRPr="000D7670">
        <w:rPr>
          <w:rtl/>
          <w:lang w:val="en-US"/>
        </w:rPr>
        <w:t xml:space="preserve"> ومُعاليهم، ومدى تعاونهم مع السلطات على البحث عن حل مُوائم. ومما لا غنى عنه</w:t>
      </w:r>
      <w:r w:rsidR="00B6606A">
        <w:rPr>
          <w:rtl/>
          <w:lang w:val="en-US"/>
        </w:rPr>
        <w:t xml:space="preserve"> أيضاً </w:t>
      </w:r>
      <w:r w:rsidRPr="000D7670">
        <w:rPr>
          <w:rtl/>
          <w:lang w:val="en-US"/>
        </w:rPr>
        <w:t xml:space="preserve">التمييز بين العقارات المملوكة لأفراد يحتاجون إلى السكن فيها أو لدرّ دخل حيوي والعقارات المملوكة لمؤسسات مالية أو كيانات </w:t>
      </w:r>
      <w:proofErr w:type="gramStart"/>
      <w:r w:rsidRPr="000D7670">
        <w:rPr>
          <w:rtl/>
          <w:lang w:val="en-US"/>
        </w:rPr>
        <w:t>أخرى</w:t>
      </w:r>
      <w:r w:rsidRPr="000D7670">
        <w:rPr>
          <w:vertAlign w:val="superscript"/>
          <w:rtl/>
          <w:lang w:val="en-US"/>
        </w:rPr>
        <w:t>(</w:t>
      </w:r>
      <w:proofErr w:type="gramEnd"/>
      <w:r w:rsidRPr="00575C09">
        <w:rPr>
          <w:rStyle w:val="FootnoteReference"/>
          <w:szCs w:val="22"/>
          <w:lang w:val="en-US"/>
        </w:rPr>
        <w:footnoteReference w:id="27"/>
      </w:r>
      <w:r w:rsidRPr="000D7670">
        <w:rPr>
          <w:vertAlign w:val="superscript"/>
          <w:rtl/>
          <w:lang w:val="en-US"/>
        </w:rPr>
        <w:t>)</w:t>
      </w:r>
      <w:r>
        <w:rPr>
          <w:rtl/>
          <w:lang w:val="en-US"/>
        </w:rPr>
        <w:t>.</w:t>
      </w:r>
      <w:r w:rsidRPr="000D7670">
        <w:rPr>
          <w:rtl/>
          <w:lang w:val="en-US"/>
        </w:rPr>
        <w:t xml:space="preserve"> وهكذا، سترتكب الدولة الطرف انتهاكاً للحق في سكن لائق إن نصت قوانينها على وجوب إخلاء الشخص الذي ينتهي عقد إيجاره فوراً، دون مراعاة ظروف تنفيذ أمر </w:t>
      </w:r>
      <w:proofErr w:type="gramStart"/>
      <w:r w:rsidRPr="000D7670">
        <w:rPr>
          <w:rtl/>
          <w:lang w:val="en-US"/>
        </w:rPr>
        <w:t>الإخلاء</w:t>
      </w:r>
      <w:r w:rsidRPr="000D7670">
        <w:rPr>
          <w:vertAlign w:val="superscript"/>
          <w:rtl/>
          <w:lang w:val="en-US"/>
        </w:rPr>
        <w:t>(</w:t>
      </w:r>
      <w:proofErr w:type="gramEnd"/>
      <w:r w:rsidRPr="00575C09">
        <w:rPr>
          <w:rStyle w:val="FootnoteReference"/>
          <w:szCs w:val="22"/>
          <w:lang w:val="en-US"/>
        </w:rPr>
        <w:footnoteReference w:id="28"/>
      </w:r>
      <w:r w:rsidRPr="000D7670">
        <w:rPr>
          <w:vertAlign w:val="superscript"/>
          <w:rtl/>
          <w:lang w:val="en-US"/>
        </w:rPr>
        <w:t>)</w:t>
      </w:r>
      <w:r>
        <w:rPr>
          <w:rtl/>
          <w:lang w:val="en-US"/>
        </w:rPr>
        <w:t>.</w:t>
      </w:r>
      <w:r w:rsidRPr="000D7670">
        <w:rPr>
          <w:rtl/>
          <w:lang w:val="en-US"/>
        </w:rPr>
        <w:t xml:space="preserve"> ويجب أن تحلِّل تناسبَ التدبير سلطةٌ قضائية أو سلطةٌ نزيهة ومستقلة أخرى تتمتع بصلاحية الأمر بوقف الانتهاك وتوفير سبيل انتصاف فعال. ويجب على هذه السلطة أن تحلل ما إذا كان الإخلاء متوافقاً مع العهد، </w:t>
      </w:r>
      <w:r w:rsidRPr="00DF20AC">
        <w:rPr>
          <w:spacing w:val="-2"/>
          <w:rtl/>
          <w:lang w:val="en-US"/>
        </w:rPr>
        <w:t>بما</w:t>
      </w:r>
      <w:r w:rsidR="00DF20AC" w:rsidRPr="00DF20AC">
        <w:rPr>
          <w:rFonts w:hint="cs"/>
          <w:spacing w:val="-2"/>
          <w:rtl/>
          <w:lang w:val="en-US"/>
        </w:rPr>
        <w:t> </w:t>
      </w:r>
      <w:r w:rsidRPr="00DF20AC">
        <w:rPr>
          <w:spacing w:val="-2"/>
          <w:rtl/>
          <w:lang w:val="en-US"/>
        </w:rPr>
        <w:t xml:space="preserve">في ذلك ما يتعلق بعناصر معيار التناسب الذي تقتضيه المادة </w:t>
      </w:r>
      <w:r w:rsidRPr="00575C09">
        <w:rPr>
          <w:spacing w:val="-2"/>
          <w:rtl/>
          <w:lang w:val="en-US"/>
        </w:rPr>
        <w:t>4</w:t>
      </w:r>
      <w:r w:rsidRPr="00DF20AC">
        <w:rPr>
          <w:spacing w:val="-2"/>
          <w:rtl/>
          <w:lang w:val="en-US"/>
        </w:rPr>
        <w:t xml:space="preserve"> من العهد على النحو المبين </w:t>
      </w:r>
      <w:proofErr w:type="gramStart"/>
      <w:r w:rsidRPr="00DF20AC">
        <w:rPr>
          <w:spacing w:val="-2"/>
          <w:rtl/>
          <w:lang w:val="en-US"/>
        </w:rPr>
        <w:t>أعلاه</w:t>
      </w:r>
      <w:r w:rsidRPr="000D7670">
        <w:rPr>
          <w:vertAlign w:val="superscript"/>
          <w:rtl/>
          <w:lang w:val="en-US"/>
        </w:rPr>
        <w:t>(</w:t>
      </w:r>
      <w:proofErr w:type="gramEnd"/>
      <w:r w:rsidRPr="00575C09">
        <w:rPr>
          <w:rStyle w:val="FootnoteReference"/>
          <w:szCs w:val="22"/>
          <w:lang w:val="en-US"/>
        </w:rPr>
        <w:footnoteReference w:id="29"/>
      </w:r>
      <w:r w:rsidRPr="000D7670">
        <w:rPr>
          <w:vertAlign w:val="superscript"/>
          <w:rtl/>
          <w:lang w:val="en-US"/>
        </w:rPr>
        <w:t>)</w:t>
      </w:r>
      <w:r>
        <w:rPr>
          <w:rtl/>
          <w:lang w:val="en-US"/>
        </w:rPr>
        <w:t>.</w:t>
      </w:r>
    </w:p>
    <w:p w14:paraId="1E5990AD" w14:textId="12AA6B15" w:rsidR="000D7670" w:rsidRPr="000D7670" w:rsidRDefault="000D7670" w:rsidP="000D7670">
      <w:pPr>
        <w:pStyle w:val="SingleTxtGA"/>
        <w:rPr>
          <w:lang w:val="en-US"/>
        </w:rPr>
      </w:pPr>
      <w:r w:rsidRPr="00575C09">
        <w:rPr>
          <w:rtl/>
          <w:lang w:val="en-US"/>
        </w:rPr>
        <w:t>9</w:t>
      </w:r>
      <w:r w:rsidRPr="000D7670">
        <w:rPr>
          <w:rtl/>
          <w:lang w:val="en-US"/>
        </w:rPr>
        <w:t>-</w:t>
      </w:r>
      <w:r w:rsidRPr="00575C09">
        <w:rPr>
          <w:rtl/>
          <w:lang w:val="en-US"/>
        </w:rPr>
        <w:t>4</w:t>
      </w:r>
      <w:r w:rsidRPr="000D7670">
        <w:rPr>
          <w:rtl/>
          <w:lang w:val="en-US"/>
        </w:rPr>
        <w:tab/>
        <w:t xml:space="preserve">وإضافة إلى ذلك، يجب ألا تكون هناك حلول أخرى ولا تدابير أقل مساساً بالحق في السكن، وأن تكون هناك مشاورات مسبقة حقيقية بين السلطات والأشخاص المعنيين، وألا يُترك هؤلاء الأشخاص في وضع ينتهك حقوقاً أخرى يكفلها العهد أو حقوق إنسان أخرى أو يعرّض لانتهاك </w:t>
      </w:r>
      <w:proofErr w:type="gramStart"/>
      <w:r w:rsidRPr="000D7670">
        <w:rPr>
          <w:rtl/>
          <w:lang w:val="en-US"/>
        </w:rPr>
        <w:t>مماثل</w:t>
      </w:r>
      <w:r w:rsidRPr="000D7670">
        <w:rPr>
          <w:vertAlign w:val="superscript"/>
          <w:rtl/>
          <w:lang w:val="en-US"/>
        </w:rPr>
        <w:t>(</w:t>
      </w:r>
      <w:proofErr w:type="gramEnd"/>
      <w:r w:rsidRPr="00575C09">
        <w:rPr>
          <w:rStyle w:val="FootnoteReference"/>
          <w:szCs w:val="22"/>
          <w:lang w:val="en-US"/>
        </w:rPr>
        <w:footnoteReference w:id="30"/>
      </w:r>
      <w:r w:rsidRPr="000D7670">
        <w:rPr>
          <w:vertAlign w:val="superscript"/>
          <w:rtl/>
          <w:lang w:val="en-US"/>
        </w:rPr>
        <w:t>)</w:t>
      </w:r>
      <w:r w:rsidRPr="000D7670">
        <w:rPr>
          <w:rtl/>
          <w:lang w:val="en-US"/>
        </w:rPr>
        <w:t>.</w:t>
      </w:r>
    </w:p>
    <w:p w14:paraId="6D0FF378" w14:textId="77777777" w:rsidR="000D7670" w:rsidRPr="00575C09" w:rsidRDefault="000D7670" w:rsidP="00B6606A">
      <w:pPr>
        <w:pStyle w:val="H23GA"/>
      </w:pPr>
      <w:r w:rsidRPr="00575C09">
        <w:rPr>
          <w:rtl/>
        </w:rPr>
        <w:lastRenderedPageBreak/>
        <w:tab/>
      </w:r>
      <w:r w:rsidRPr="00575C09">
        <w:rPr>
          <w:rtl/>
        </w:rPr>
        <w:tab/>
        <w:t>واجب الدول في توفير سكن بديل للأشخاص المحتاجين</w:t>
      </w:r>
    </w:p>
    <w:p w14:paraId="17FC2C65" w14:textId="20F86B16" w:rsidR="000D7670" w:rsidRPr="000D7670" w:rsidRDefault="000D7670" w:rsidP="000D7670">
      <w:pPr>
        <w:pStyle w:val="SingleTxtGA"/>
        <w:rPr>
          <w:lang w:val="en-US"/>
        </w:rPr>
      </w:pPr>
      <w:r w:rsidRPr="00575C09">
        <w:rPr>
          <w:rtl/>
          <w:lang w:val="en-US"/>
        </w:rPr>
        <w:t>10</w:t>
      </w:r>
      <w:r w:rsidRPr="000D7670">
        <w:rPr>
          <w:rtl/>
          <w:lang w:val="en-US"/>
        </w:rPr>
        <w:t>-</w:t>
      </w:r>
      <w:r w:rsidRPr="00575C09">
        <w:rPr>
          <w:rtl/>
          <w:lang w:val="en-US"/>
        </w:rPr>
        <w:t>1</w:t>
      </w:r>
      <w:r w:rsidRPr="000D7670">
        <w:rPr>
          <w:rtl/>
          <w:lang w:val="en-US"/>
        </w:rPr>
        <w:tab/>
        <w:t xml:space="preserve">ينبغي على وجه الخصوص ألا تسفر عمليات الإخلاء عن تشريد الأفراد أو تعرضهم لانتهاك حقوق أخرى من حقوق الإنسان. وفي حال عجْز المتضررين عن تلبية احتياجاتهم بأنفسهم، على الدولة الطرف أن تتخذ كل التدابير المناسبة، بأقصى ما تسمح به مواردها المتاحة، لضمان توفير مسكن بديل </w:t>
      </w:r>
      <w:r w:rsidRPr="002A7D75">
        <w:rPr>
          <w:spacing w:val="-2"/>
          <w:rtl/>
          <w:lang w:val="en-US"/>
        </w:rPr>
        <w:t xml:space="preserve">ملائم لهم، أو إعادة توطينهم أو إتاحة أراض منتجة لهم، حسب </w:t>
      </w:r>
      <w:proofErr w:type="gramStart"/>
      <w:r w:rsidRPr="002A7D75">
        <w:rPr>
          <w:spacing w:val="-2"/>
          <w:rtl/>
          <w:lang w:val="en-US"/>
        </w:rPr>
        <w:t>الحالة</w:t>
      </w:r>
      <w:r w:rsidRPr="000D7670">
        <w:rPr>
          <w:vertAlign w:val="superscript"/>
          <w:rtl/>
          <w:lang w:val="en-US"/>
        </w:rPr>
        <w:t>(</w:t>
      </w:r>
      <w:proofErr w:type="gramEnd"/>
      <w:r w:rsidRPr="00575C09">
        <w:rPr>
          <w:rStyle w:val="FootnoteReference"/>
          <w:szCs w:val="22"/>
          <w:lang w:val="en-US"/>
        </w:rPr>
        <w:footnoteReference w:id="31"/>
      </w:r>
      <w:r w:rsidRPr="000D7670">
        <w:rPr>
          <w:vertAlign w:val="superscript"/>
          <w:rtl/>
          <w:lang w:val="en-US"/>
        </w:rPr>
        <w:t>)</w:t>
      </w:r>
      <w:r>
        <w:rPr>
          <w:rtl/>
          <w:lang w:val="en-US"/>
        </w:rPr>
        <w:t>.</w:t>
      </w:r>
      <w:r w:rsidRPr="000D7670">
        <w:rPr>
          <w:rtl/>
          <w:lang w:val="en-US"/>
        </w:rPr>
        <w:t xml:space="preserve"> وعلى الدولة الطرف واجب اتخاذ تدابير معقولة لإتاحة سكن بديل للأشخاص الذين شردوا بسبب الإخلاء، بصرف النظر عما إذا كانت سلطاتها هي التي نفذت عملية الإخلاء أو نفذتها جهة خاصة مثل </w:t>
      </w:r>
      <w:proofErr w:type="gramStart"/>
      <w:r w:rsidRPr="000D7670">
        <w:rPr>
          <w:rtl/>
          <w:lang w:val="en-US"/>
        </w:rPr>
        <w:t>المؤجر</w:t>
      </w:r>
      <w:r w:rsidRPr="000D7670">
        <w:rPr>
          <w:vertAlign w:val="superscript"/>
          <w:rtl/>
          <w:lang w:val="en-US"/>
        </w:rPr>
        <w:t>(</w:t>
      </w:r>
      <w:proofErr w:type="gramEnd"/>
      <w:r w:rsidRPr="00575C09">
        <w:rPr>
          <w:rStyle w:val="FootnoteReference"/>
          <w:szCs w:val="22"/>
          <w:lang w:val="en-US"/>
        </w:rPr>
        <w:footnoteReference w:id="32"/>
      </w:r>
      <w:r w:rsidRPr="000D7670">
        <w:rPr>
          <w:vertAlign w:val="superscript"/>
          <w:rtl/>
          <w:lang w:val="en-US"/>
        </w:rPr>
        <w:t>)</w:t>
      </w:r>
      <w:r>
        <w:rPr>
          <w:rtl/>
          <w:lang w:val="en-US"/>
        </w:rPr>
        <w:t>.</w:t>
      </w:r>
      <w:r w:rsidRPr="000D7670">
        <w:rPr>
          <w:rtl/>
          <w:lang w:val="en-US"/>
        </w:rPr>
        <w:t xml:space="preserve"> وفي حالة إخلاء شخص من منزله دون أن تمنحه الدولة الطرف أو تضمن له إقامة بديلة، يجب على الدولة الطرف أن تثبت أنها نظرت في الظروف المحددة للقضية وأنها على الرغم من اتخاذها كل التدابير المعقولة، بأقصى ما تسمح </w:t>
      </w:r>
      <w:r w:rsidRPr="00B24BD4">
        <w:rPr>
          <w:spacing w:val="2"/>
          <w:rtl/>
          <w:lang w:val="en-US"/>
        </w:rPr>
        <w:t xml:space="preserve">به مواردها المتاحة، فإنها لم تتمكن من صون حق الشخص المعني في المسكن. ويجب أن تمكن المعلومات التي تقدمها الدولة الطرف اللجنةَ من النظر في معقولية التدابير المتخذة </w:t>
      </w:r>
      <w:r w:rsidR="00B6606A" w:rsidRPr="00B24BD4">
        <w:rPr>
          <w:spacing w:val="2"/>
          <w:rtl/>
          <w:lang w:val="en-US"/>
        </w:rPr>
        <w:t xml:space="preserve">وفقاً </w:t>
      </w:r>
      <w:r w:rsidRPr="00B24BD4">
        <w:rPr>
          <w:spacing w:val="2"/>
          <w:rtl/>
          <w:lang w:val="en-US"/>
        </w:rPr>
        <w:t xml:space="preserve">للمادة </w:t>
      </w:r>
      <w:r w:rsidRPr="00575C09">
        <w:rPr>
          <w:spacing w:val="2"/>
          <w:rtl/>
          <w:lang w:val="en-US"/>
        </w:rPr>
        <w:t>8</w:t>
      </w:r>
      <w:r w:rsidRPr="00B24BD4">
        <w:rPr>
          <w:spacing w:val="2"/>
          <w:rtl/>
          <w:lang w:val="en-US"/>
        </w:rPr>
        <w:t>(</w:t>
      </w:r>
      <w:r w:rsidRPr="00575C09">
        <w:rPr>
          <w:spacing w:val="2"/>
          <w:rtl/>
          <w:lang w:val="en-US"/>
        </w:rPr>
        <w:t>4</w:t>
      </w:r>
      <w:r w:rsidRPr="00B24BD4">
        <w:rPr>
          <w:spacing w:val="2"/>
          <w:rtl/>
          <w:lang w:val="en-US"/>
        </w:rPr>
        <w:t>) من</w:t>
      </w:r>
      <w:r w:rsidRPr="000D7670">
        <w:rPr>
          <w:rtl/>
          <w:lang w:val="en-US"/>
        </w:rPr>
        <w:t xml:space="preserve"> البروتوكول </w:t>
      </w:r>
      <w:proofErr w:type="gramStart"/>
      <w:r w:rsidRPr="000D7670">
        <w:rPr>
          <w:rtl/>
          <w:lang w:val="en-US"/>
        </w:rPr>
        <w:t>الاختياري</w:t>
      </w:r>
      <w:r w:rsidRPr="000D7670">
        <w:rPr>
          <w:vertAlign w:val="superscript"/>
          <w:rtl/>
          <w:lang w:val="en-US"/>
        </w:rPr>
        <w:t>(</w:t>
      </w:r>
      <w:proofErr w:type="gramEnd"/>
      <w:r w:rsidRPr="00575C09">
        <w:rPr>
          <w:rStyle w:val="FootnoteReference"/>
          <w:szCs w:val="22"/>
          <w:lang w:val="en-US"/>
        </w:rPr>
        <w:footnoteReference w:id="33"/>
      </w:r>
      <w:r w:rsidRPr="000D7670">
        <w:rPr>
          <w:vertAlign w:val="superscript"/>
          <w:rtl/>
          <w:lang w:val="en-US"/>
        </w:rPr>
        <w:t>)</w:t>
      </w:r>
      <w:r>
        <w:rPr>
          <w:rtl/>
          <w:lang w:val="en-US"/>
        </w:rPr>
        <w:t>.</w:t>
      </w:r>
    </w:p>
    <w:p w14:paraId="403FE473" w14:textId="2ADA6287" w:rsidR="000D7670" w:rsidRPr="000D7670" w:rsidRDefault="000D7670" w:rsidP="000D7670">
      <w:pPr>
        <w:pStyle w:val="SingleTxtGA"/>
        <w:rPr>
          <w:lang w:val="en-US"/>
        </w:rPr>
      </w:pPr>
      <w:r w:rsidRPr="00575C09">
        <w:rPr>
          <w:rtl/>
          <w:lang w:val="en-US"/>
        </w:rPr>
        <w:t>10</w:t>
      </w:r>
      <w:r w:rsidRPr="000D7670">
        <w:rPr>
          <w:rtl/>
          <w:lang w:val="en-US"/>
        </w:rPr>
        <w:t>-</w:t>
      </w:r>
      <w:r w:rsidRPr="00575C09">
        <w:rPr>
          <w:rtl/>
          <w:lang w:val="en-US"/>
        </w:rPr>
        <w:t>2</w:t>
      </w:r>
      <w:r w:rsidRPr="000D7670">
        <w:rPr>
          <w:rtl/>
          <w:lang w:val="en-US"/>
        </w:rPr>
        <w:tab/>
        <w:t xml:space="preserve">ويعني واجب توفير سكن بديل للأشخاص الذين يجري إخلاؤهم والذين يحتاجون إليه أنه يجب </w:t>
      </w:r>
      <w:r w:rsidRPr="00B24BD4">
        <w:rPr>
          <w:spacing w:val="-4"/>
          <w:rtl/>
          <w:lang w:val="en-US"/>
        </w:rPr>
        <w:t xml:space="preserve">على الدول الأطراف، بموجب المادة </w:t>
      </w:r>
      <w:r w:rsidRPr="00575C09">
        <w:rPr>
          <w:spacing w:val="-4"/>
          <w:rtl/>
          <w:lang w:val="en-US"/>
        </w:rPr>
        <w:t>2</w:t>
      </w:r>
      <w:r w:rsidRPr="00B24BD4">
        <w:rPr>
          <w:spacing w:val="-4"/>
          <w:rtl/>
          <w:lang w:val="en-US"/>
        </w:rPr>
        <w:t>(</w:t>
      </w:r>
      <w:r w:rsidRPr="00575C09">
        <w:rPr>
          <w:spacing w:val="-4"/>
          <w:rtl/>
          <w:lang w:val="en-US"/>
        </w:rPr>
        <w:t>1</w:t>
      </w:r>
      <w:r w:rsidRPr="00B24BD4">
        <w:rPr>
          <w:spacing w:val="-4"/>
          <w:rtl/>
          <w:lang w:val="en-US"/>
        </w:rPr>
        <w:t>) من العهد، أن تتخذ جميع التدابير اللازمة لصون الحق في المسكن</w:t>
      </w:r>
      <w:r w:rsidRPr="000D7670">
        <w:rPr>
          <w:rtl/>
          <w:lang w:val="en-US"/>
        </w:rPr>
        <w:t xml:space="preserve"> </w:t>
      </w:r>
      <w:r w:rsidRPr="00B24BD4">
        <w:rPr>
          <w:spacing w:val="-4"/>
          <w:rtl/>
          <w:lang w:val="en-US"/>
        </w:rPr>
        <w:t xml:space="preserve">بأقصى ما تسمح به مواردها المتاحة. وتحقيقاً لهذه الغاية، يمكنها اختيار مجموعة واسعة من </w:t>
      </w:r>
      <w:proofErr w:type="gramStart"/>
      <w:r w:rsidRPr="00B24BD4">
        <w:rPr>
          <w:spacing w:val="-4"/>
          <w:rtl/>
          <w:lang w:val="en-US"/>
        </w:rPr>
        <w:t>السياسات</w:t>
      </w:r>
      <w:r w:rsidRPr="000D7670">
        <w:rPr>
          <w:vertAlign w:val="superscript"/>
          <w:rtl/>
          <w:lang w:val="en-US"/>
        </w:rPr>
        <w:t>(</w:t>
      </w:r>
      <w:proofErr w:type="gramEnd"/>
      <w:r w:rsidRPr="00575C09">
        <w:rPr>
          <w:rStyle w:val="FootnoteReference"/>
          <w:szCs w:val="22"/>
          <w:lang w:val="en-US"/>
        </w:rPr>
        <w:footnoteReference w:id="34"/>
      </w:r>
      <w:r w:rsidRPr="000D7670">
        <w:rPr>
          <w:vertAlign w:val="superscript"/>
          <w:rtl/>
          <w:lang w:val="en-US"/>
        </w:rPr>
        <w:t>)</w:t>
      </w:r>
      <w:r>
        <w:rPr>
          <w:rtl/>
          <w:lang w:val="en-US"/>
        </w:rPr>
        <w:t>.</w:t>
      </w:r>
      <w:r w:rsidRPr="000D7670">
        <w:rPr>
          <w:rtl/>
          <w:lang w:val="en-US"/>
        </w:rPr>
        <w:t xml:space="preserve"> </w:t>
      </w:r>
      <w:r w:rsidRPr="00B24BD4">
        <w:rPr>
          <w:spacing w:val="-4"/>
          <w:rtl/>
          <w:lang w:val="en-US"/>
        </w:rPr>
        <w:t>غير أن أي إجراء يتخذ يجب أن يكون مدروساً وملموساً وأن يهدف بأكبر قدر ممكن من الوضوح إلى إعمال</w:t>
      </w:r>
      <w:r w:rsidRPr="000D7670">
        <w:rPr>
          <w:rtl/>
          <w:lang w:val="en-US"/>
        </w:rPr>
        <w:t xml:space="preserve"> الحق في </w:t>
      </w:r>
      <w:proofErr w:type="gramStart"/>
      <w:r w:rsidRPr="000D7670">
        <w:rPr>
          <w:rtl/>
          <w:lang w:val="en-US"/>
        </w:rPr>
        <w:t>المسكن</w:t>
      </w:r>
      <w:r w:rsidRPr="000D7670">
        <w:rPr>
          <w:vertAlign w:val="superscript"/>
          <w:rtl/>
          <w:lang w:val="en-US"/>
        </w:rPr>
        <w:t>(</w:t>
      </w:r>
      <w:proofErr w:type="gramEnd"/>
      <w:r w:rsidRPr="00575C09">
        <w:rPr>
          <w:rStyle w:val="FootnoteReference"/>
          <w:szCs w:val="22"/>
          <w:lang w:val="en-US"/>
        </w:rPr>
        <w:footnoteReference w:id="35"/>
      </w:r>
      <w:r w:rsidRPr="000D7670">
        <w:rPr>
          <w:vertAlign w:val="superscript"/>
          <w:rtl/>
          <w:lang w:val="en-US"/>
        </w:rPr>
        <w:t>)</w:t>
      </w:r>
      <w:r w:rsidRPr="000D7670">
        <w:rPr>
          <w:rtl/>
          <w:lang w:val="en-US"/>
        </w:rPr>
        <w:t xml:space="preserve"> بأسرع الطرق الممكنة وأكثرها فعالية. وينبغي أن تكون إجراءات الإسكان البديل المتخذة في حالات الإخلاء متناسبة مع حاجة الأشخاص المتضررين ومع الطابع الملحّ </w:t>
      </w:r>
      <w:r w:rsidRPr="002A7D75">
        <w:rPr>
          <w:spacing w:val="-2"/>
          <w:rtl/>
          <w:lang w:val="en-US"/>
        </w:rPr>
        <w:t>للحالة، كما يجب أن تحترم كرامة الشخص. وعلاوة على ذلك، ينبغي للدول الأطراف أن تتخذ تدابير متسقة</w:t>
      </w:r>
      <w:r w:rsidRPr="000D7670">
        <w:rPr>
          <w:rtl/>
          <w:lang w:val="en-US"/>
        </w:rPr>
        <w:t xml:space="preserve"> ومنسقة لحل أوجه القصور المؤسسي والأسباب الهيكلية لنقص </w:t>
      </w:r>
      <w:proofErr w:type="gramStart"/>
      <w:r w:rsidRPr="000D7670">
        <w:rPr>
          <w:rtl/>
          <w:lang w:val="en-US"/>
        </w:rPr>
        <w:t>المساكن</w:t>
      </w:r>
      <w:r w:rsidRPr="000D7670">
        <w:rPr>
          <w:vertAlign w:val="superscript"/>
          <w:rtl/>
          <w:lang w:val="en-US"/>
        </w:rPr>
        <w:t>(</w:t>
      </w:r>
      <w:proofErr w:type="gramEnd"/>
      <w:r w:rsidRPr="00575C09">
        <w:rPr>
          <w:rStyle w:val="FootnoteReference"/>
          <w:szCs w:val="22"/>
          <w:lang w:val="en-US"/>
        </w:rPr>
        <w:footnoteReference w:id="36"/>
      </w:r>
      <w:r w:rsidRPr="000D7670">
        <w:rPr>
          <w:vertAlign w:val="superscript"/>
          <w:rtl/>
          <w:lang w:val="en-US"/>
        </w:rPr>
        <w:t>)</w:t>
      </w:r>
      <w:r>
        <w:rPr>
          <w:rtl/>
          <w:lang w:val="en-US"/>
        </w:rPr>
        <w:t>.</w:t>
      </w:r>
    </w:p>
    <w:p w14:paraId="6E2BEDBC" w14:textId="696BB292" w:rsidR="000D7670" w:rsidRPr="000D7670" w:rsidRDefault="000D7670" w:rsidP="000D7670">
      <w:pPr>
        <w:pStyle w:val="SingleTxtGA"/>
        <w:rPr>
          <w:lang w:val="en-US"/>
        </w:rPr>
      </w:pPr>
      <w:r w:rsidRPr="00575C09">
        <w:rPr>
          <w:rtl/>
          <w:lang w:val="en-US"/>
        </w:rPr>
        <w:t>10</w:t>
      </w:r>
      <w:r w:rsidRPr="000D7670">
        <w:rPr>
          <w:rtl/>
          <w:lang w:val="en-US"/>
        </w:rPr>
        <w:t>-</w:t>
      </w:r>
      <w:r w:rsidRPr="00575C09">
        <w:rPr>
          <w:rtl/>
          <w:lang w:val="en-US"/>
        </w:rPr>
        <w:t>3</w:t>
      </w:r>
      <w:r w:rsidRPr="000D7670">
        <w:rPr>
          <w:rtl/>
          <w:lang w:val="en-US"/>
        </w:rPr>
        <w:tab/>
        <w:t xml:space="preserve">ويجب أن يكون مكان الإقامة البديل لائقاً. وفي حين أن الطابع اللائق تحدده جزئياً عواملُ اجتماعية واقتصادية وثقافية ومناخية وإيكولوجية وغيرها من العوامل، فإن اللجنة تعتقد أنه من الممكن مع ذلك تحديد جوانب معينة من الحق الذي يجب أن يؤخذ في الاعتبار لهذا الغرض في أي سياق معين. وتشمل هذه الجوانب الأمن القانوني لشغل المسكن؛ وتوافر الخدمات والمواد والمرافق والبنية التحتية؛ والقدرة على تحمل تكاليفه؛ وصلاحيته للسكن؛ وإمكانية الوصول إليه؛ وموقعه الذي يسمح بالوصول إلى المرافق الاجتماعية (التعليم وخيارات العمالة وخدمات الرعاية الصحية)؛ واحترام البيئة الثقافية، بما يسمح بالتعبير عن الهوية الثقافية والتنوع </w:t>
      </w:r>
      <w:proofErr w:type="gramStart"/>
      <w:r w:rsidRPr="000D7670">
        <w:rPr>
          <w:rtl/>
          <w:lang w:val="en-US"/>
        </w:rPr>
        <w:t>الثقافي</w:t>
      </w:r>
      <w:r w:rsidRPr="000D7670">
        <w:rPr>
          <w:vertAlign w:val="superscript"/>
          <w:rtl/>
          <w:lang w:val="en-US"/>
        </w:rPr>
        <w:t>(</w:t>
      </w:r>
      <w:proofErr w:type="gramEnd"/>
      <w:r w:rsidRPr="00575C09">
        <w:rPr>
          <w:rStyle w:val="FootnoteReference"/>
          <w:szCs w:val="22"/>
          <w:lang w:val="en-US"/>
        </w:rPr>
        <w:footnoteReference w:id="37"/>
      </w:r>
      <w:r w:rsidRPr="000D7670">
        <w:rPr>
          <w:vertAlign w:val="superscript"/>
          <w:rtl/>
          <w:lang w:val="en-US"/>
        </w:rPr>
        <w:t>)</w:t>
      </w:r>
      <w:r>
        <w:rPr>
          <w:rtl/>
          <w:lang w:val="en-US"/>
        </w:rPr>
        <w:t>.</w:t>
      </w:r>
      <w:r w:rsidRPr="000D7670">
        <w:rPr>
          <w:rtl/>
          <w:lang w:val="en-US"/>
        </w:rPr>
        <w:t xml:space="preserve"> </w:t>
      </w:r>
    </w:p>
    <w:p w14:paraId="264C3CF6" w14:textId="629F8E87" w:rsidR="000D7670" w:rsidRPr="000D7670" w:rsidRDefault="000D7670" w:rsidP="000D7670">
      <w:pPr>
        <w:pStyle w:val="SingleTxtGA"/>
        <w:rPr>
          <w:lang w:val="en-US"/>
        </w:rPr>
      </w:pPr>
      <w:r w:rsidRPr="00575C09">
        <w:rPr>
          <w:rtl/>
          <w:lang w:val="en-US"/>
        </w:rPr>
        <w:t>10</w:t>
      </w:r>
      <w:r w:rsidRPr="000D7670">
        <w:rPr>
          <w:rtl/>
          <w:lang w:val="en-US"/>
        </w:rPr>
        <w:t>-</w:t>
      </w:r>
      <w:r w:rsidRPr="00575C09">
        <w:rPr>
          <w:rtl/>
          <w:lang w:val="en-US"/>
        </w:rPr>
        <w:t>4</w:t>
      </w:r>
      <w:r w:rsidRPr="000D7670">
        <w:rPr>
          <w:rtl/>
          <w:lang w:val="en-US"/>
        </w:rPr>
        <w:tab/>
      </w:r>
      <w:r w:rsidRPr="003D33AE">
        <w:rPr>
          <w:spacing w:val="-2"/>
          <w:rtl/>
          <w:lang w:val="en-US"/>
        </w:rPr>
        <w:t>وفي ظروف معينة، قد تتمكن الدول الأطراف من إثبات أنها على الرغم من بذل قصارى جهدها،</w:t>
      </w:r>
      <w:r w:rsidRPr="000D7670">
        <w:rPr>
          <w:rtl/>
          <w:lang w:val="en-US"/>
        </w:rPr>
        <w:t xml:space="preserve"> بأقصى ما تسمح به مواردها المتاحة، فقد تعذر عليها توفير إقامة بديلة دائمة للشخص الذي جرى إخلاؤه. </w:t>
      </w:r>
      <w:r w:rsidRPr="000D7670">
        <w:rPr>
          <w:rtl/>
          <w:lang w:val="en-US"/>
        </w:rPr>
        <w:lastRenderedPageBreak/>
        <w:t>وفي مثل هذه الظروف، يمكن استخدام أماكن إقامة مؤقتة لا تفي بجميع متطلبات السكن اللائق. غير أنه يجب على الدول أن تحرص على أن يحترم السكن المؤقت الكرامة الإنسانية لمن أُخلوا من مساكنهم وأن يستوفي جميع متطلبات الأمن، وألا يصبح حلاً دائماً، بل أن يكون خطوة نحو الحصول على سكن لائق. ويجب</w:t>
      </w:r>
      <w:r w:rsidR="00B6606A">
        <w:rPr>
          <w:rtl/>
          <w:lang w:val="en-US"/>
        </w:rPr>
        <w:t xml:space="preserve"> أيضاً </w:t>
      </w:r>
      <w:r w:rsidRPr="000D7670">
        <w:rPr>
          <w:rtl/>
          <w:lang w:val="en-US"/>
        </w:rPr>
        <w:t xml:space="preserve">مراعاة حق أفراد الأسرة في ألا ينفصل بعضهم عن </w:t>
      </w:r>
      <w:proofErr w:type="gramStart"/>
      <w:r w:rsidRPr="000D7670">
        <w:rPr>
          <w:rtl/>
          <w:lang w:val="en-US"/>
        </w:rPr>
        <w:t>بعض</w:t>
      </w:r>
      <w:r w:rsidRPr="000D7670">
        <w:rPr>
          <w:vertAlign w:val="superscript"/>
          <w:rtl/>
          <w:lang w:val="en-US"/>
        </w:rPr>
        <w:t>(</w:t>
      </w:r>
      <w:proofErr w:type="gramEnd"/>
      <w:r w:rsidRPr="00575C09">
        <w:rPr>
          <w:rStyle w:val="FootnoteReference"/>
          <w:szCs w:val="22"/>
          <w:lang w:val="en-US"/>
        </w:rPr>
        <w:footnoteReference w:id="38"/>
      </w:r>
      <w:r w:rsidRPr="000D7670">
        <w:rPr>
          <w:vertAlign w:val="superscript"/>
          <w:rtl/>
          <w:lang w:val="en-US"/>
        </w:rPr>
        <w:t>)</w:t>
      </w:r>
      <w:r w:rsidRPr="000D7670">
        <w:rPr>
          <w:rtl/>
          <w:lang w:val="en-US"/>
        </w:rPr>
        <w:t xml:space="preserve"> وأن يتمتعوا بمستوى معقول من حماية الخصوصية.</w:t>
      </w:r>
    </w:p>
    <w:p w14:paraId="55CB5FFD" w14:textId="77777777" w:rsidR="000D7670" w:rsidRPr="00575C09" w:rsidRDefault="000D7670" w:rsidP="00B6606A">
      <w:pPr>
        <w:pStyle w:val="H23GA"/>
      </w:pPr>
      <w:r w:rsidRPr="00575C09">
        <w:rPr>
          <w:rtl/>
        </w:rPr>
        <w:tab/>
      </w:r>
      <w:r w:rsidRPr="00575C09">
        <w:rPr>
          <w:rtl/>
        </w:rPr>
        <w:tab/>
        <w:t>تحليل التناسب في إخلاء صاحب البلاغ والقانون الساري في هذا الصدد</w:t>
      </w:r>
    </w:p>
    <w:p w14:paraId="762E56B5" w14:textId="77777777" w:rsidR="000D7670" w:rsidRPr="000D7670" w:rsidRDefault="000D7670" w:rsidP="000D7670">
      <w:pPr>
        <w:pStyle w:val="SingleTxtGA"/>
        <w:rPr>
          <w:lang w:val="en-US"/>
        </w:rPr>
      </w:pPr>
      <w:r w:rsidRPr="00575C09">
        <w:rPr>
          <w:rtl/>
          <w:lang w:val="en-US"/>
        </w:rPr>
        <w:t>11</w:t>
      </w:r>
      <w:r w:rsidRPr="000D7670">
        <w:rPr>
          <w:rtl/>
          <w:lang w:val="en-US"/>
        </w:rPr>
        <w:t>-</w:t>
      </w:r>
      <w:r w:rsidRPr="00575C09">
        <w:rPr>
          <w:rtl/>
          <w:lang w:val="en-US"/>
        </w:rPr>
        <w:t>1</w:t>
      </w:r>
      <w:r w:rsidRPr="000D7670">
        <w:rPr>
          <w:rtl/>
          <w:lang w:val="en-US"/>
        </w:rPr>
        <w:tab/>
        <w:t xml:space="preserve">ستحلل اللجنة الآن ما إذا كان إخلاء صاحب البلاغ ينتهك حقه في سكن لائق أو ما إذا كان يمكن تبرير الإجراء بكونه قيداً على الحق في سكن لائق بموجب المادة </w:t>
      </w:r>
      <w:r w:rsidRPr="00575C09">
        <w:rPr>
          <w:rtl/>
          <w:lang w:val="en-US"/>
        </w:rPr>
        <w:t>4</w:t>
      </w:r>
      <w:r w:rsidRPr="000D7670">
        <w:rPr>
          <w:rtl/>
          <w:lang w:val="en-US"/>
        </w:rPr>
        <w:t xml:space="preserve"> من العهد. </w:t>
      </w:r>
    </w:p>
    <w:p w14:paraId="6AC149E0" w14:textId="0648B5AD" w:rsidR="000D7670" w:rsidRPr="000D7670" w:rsidRDefault="000D7670" w:rsidP="000D7670">
      <w:pPr>
        <w:pStyle w:val="SingleTxtGA"/>
        <w:rPr>
          <w:lang w:val="en-US"/>
        </w:rPr>
      </w:pPr>
      <w:r w:rsidRPr="00575C09">
        <w:rPr>
          <w:rtl/>
          <w:lang w:val="en-US"/>
        </w:rPr>
        <w:t>11</w:t>
      </w:r>
      <w:r w:rsidRPr="000D7670">
        <w:rPr>
          <w:rtl/>
          <w:lang w:val="en-US"/>
        </w:rPr>
        <w:t>-</w:t>
      </w:r>
      <w:r w:rsidRPr="00575C09">
        <w:rPr>
          <w:rtl/>
          <w:lang w:val="en-US"/>
        </w:rPr>
        <w:t>2</w:t>
      </w:r>
      <w:r w:rsidRPr="000D7670">
        <w:rPr>
          <w:rtl/>
          <w:lang w:val="en-US"/>
        </w:rPr>
        <w:tab/>
        <w:t xml:space="preserve">تلاحظ اللجنة أن صاحب البلاغ أخطر بإنهاء عقد الإيجار </w:t>
      </w:r>
      <w:r w:rsidR="00B6606A">
        <w:rPr>
          <w:rtl/>
          <w:lang w:val="en-US"/>
        </w:rPr>
        <w:t xml:space="preserve">وفقاً </w:t>
      </w:r>
      <w:r w:rsidRPr="000D7670">
        <w:rPr>
          <w:rtl/>
          <w:lang w:val="en-US"/>
        </w:rPr>
        <w:t>للقانون الساري، الذي منحه مهلة ستة أشهر وتعويض</w:t>
      </w:r>
      <w:r w:rsidR="00DF20AC">
        <w:rPr>
          <w:rtl/>
          <w:lang w:val="en-US"/>
        </w:rPr>
        <w:t xml:space="preserve">اً </w:t>
      </w:r>
      <w:r w:rsidRPr="000D7670">
        <w:rPr>
          <w:rtl/>
          <w:lang w:val="en-US"/>
        </w:rPr>
        <w:t xml:space="preserve">يعادل قيمة الإيجار لمدة ستة أشهر. ونظرت ثلاث هيئات قضائية في مسألة إنهاء العقد، وتمكّن صاحب البلاغ من أن يعرض عليها بمساعدة محام جميع ادعاءاته التي دُرست بجميع الضمانات اللازمة. </w:t>
      </w:r>
    </w:p>
    <w:p w14:paraId="143BF46A" w14:textId="5E2F1103" w:rsidR="000D7670" w:rsidRPr="000D7670" w:rsidRDefault="000D7670" w:rsidP="000D7670">
      <w:pPr>
        <w:pStyle w:val="SingleTxtGA"/>
        <w:rPr>
          <w:lang w:val="en-US"/>
        </w:rPr>
      </w:pPr>
      <w:r w:rsidRPr="00575C09">
        <w:rPr>
          <w:rtl/>
          <w:lang w:val="en-US"/>
        </w:rPr>
        <w:t>11</w:t>
      </w:r>
      <w:r w:rsidRPr="000D7670">
        <w:rPr>
          <w:rtl/>
          <w:lang w:val="en-US"/>
        </w:rPr>
        <w:t>-</w:t>
      </w:r>
      <w:r w:rsidRPr="00575C09">
        <w:rPr>
          <w:rtl/>
          <w:lang w:val="en-US"/>
        </w:rPr>
        <w:t>3</w:t>
      </w:r>
      <w:r w:rsidRPr="000D7670">
        <w:rPr>
          <w:rtl/>
          <w:lang w:val="en-US"/>
        </w:rPr>
        <w:tab/>
        <w:t>وتحيط اللجنة</w:t>
      </w:r>
      <w:r w:rsidR="00B6606A">
        <w:rPr>
          <w:rtl/>
          <w:lang w:val="en-US"/>
        </w:rPr>
        <w:t xml:space="preserve"> علماً </w:t>
      </w:r>
      <w:r w:rsidRPr="000D7670">
        <w:rPr>
          <w:rtl/>
          <w:lang w:val="en-US"/>
        </w:rPr>
        <w:t>بحجة الدولة الطرف التي تدعي أنها لا تستطيع الاعتراض على طرد صاحب البلاغ، لأن إنهاء عقد الإيجار تمّ وفق تشريعات يمكن التنبؤ بها ومتناسبة مع الظروف، ولأن القرار القضائي الذي يأمر بالإخلاء أصبح نهائي</w:t>
      </w:r>
      <w:r w:rsidR="00DF20AC">
        <w:rPr>
          <w:rtl/>
          <w:lang w:val="en-US"/>
        </w:rPr>
        <w:t xml:space="preserve">اً </w:t>
      </w:r>
      <w:r w:rsidRPr="000D7670">
        <w:rPr>
          <w:rtl/>
          <w:lang w:val="en-US"/>
        </w:rPr>
        <w:t xml:space="preserve">وواجب النفاذ. وتقرّ اللجنة بأن للدولة الطرف مصلحة مشروعة في سن التشريعات المتعلقة بعقود الإيجار وفي ضمان احترام القانون الساري وحماية جميع الحقوق المنصوص عليها في نظامها القانوني، ما دام ذلك لا يتعارض مع الحقوق المكرسة في العهد. وبما أن عقد الإيجار الذي أبرمه صاحب البلاغ قد أنهي </w:t>
      </w:r>
      <w:r w:rsidR="00B6606A">
        <w:rPr>
          <w:rtl/>
          <w:lang w:val="en-US"/>
        </w:rPr>
        <w:t xml:space="preserve">وفقاً </w:t>
      </w:r>
      <w:r w:rsidRPr="000D7670">
        <w:rPr>
          <w:rtl/>
          <w:lang w:val="en-US"/>
        </w:rPr>
        <w:t xml:space="preserve">للقوانين السارية، على نحو ما أكدته الهيئات القضائية الثلاث التي نظرت في القضية، ترى اللجنة أن هناك أسباباً مشروعة تبرّر عملية الإخلاء. </w:t>
      </w:r>
    </w:p>
    <w:p w14:paraId="5B1C3869" w14:textId="577B5DC8" w:rsidR="000D7670" w:rsidRPr="000D7670" w:rsidRDefault="000D7670" w:rsidP="000D7670">
      <w:pPr>
        <w:pStyle w:val="SingleTxtGA"/>
        <w:rPr>
          <w:lang w:val="en-US"/>
        </w:rPr>
      </w:pPr>
      <w:r w:rsidRPr="00575C09">
        <w:rPr>
          <w:rtl/>
          <w:lang w:val="en-US"/>
        </w:rPr>
        <w:t>11</w:t>
      </w:r>
      <w:r w:rsidRPr="000D7670">
        <w:rPr>
          <w:rtl/>
          <w:lang w:val="en-US"/>
        </w:rPr>
        <w:t>-</w:t>
      </w:r>
      <w:r w:rsidRPr="00575C09">
        <w:rPr>
          <w:rtl/>
          <w:lang w:val="en-US"/>
        </w:rPr>
        <w:t>4</w:t>
      </w:r>
      <w:r w:rsidRPr="000D7670">
        <w:rPr>
          <w:rtl/>
          <w:lang w:val="en-US"/>
        </w:rPr>
        <w:tab/>
        <w:t>وتلاحظ اللجنة أن صاحب البلاغ يعتبر</w:t>
      </w:r>
      <w:r w:rsidR="00B6606A">
        <w:rPr>
          <w:rtl/>
          <w:lang w:val="en-US"/>
        </w:rPr>
        <w:t xml:space="preserve"> أيضاً </w:t>
      </w:r>
      <w:r w:rsidRPr="000D7670">
        <w:rPr>
          <w:rtl/>
          <w:lang w:val="en-US"/>
        </w:rPr>
        <w:t>أن التشريعات السارية اليوم على عقود الإيجار في الدولة الطرف لا تتيح الحفاظ على أسعار ميسورة للوحدات السكنية، وأن هذه التشريعات التي تجيز إنهاء عقود الإيجار دون مبرّر يُذْكر تخلّف</w:t>
      </w:r>
      <w:r w:rsidR="00B6606A">
        <w:rPr>
          <w:rtl/>
          <w:lang w:val="en-US"/>
        </w:rPr>
        <w:t xml:space="preserve"> أيضاً </w:t>
      </w:r>
      <w:r w:rsidRPr="000D7670">
        <w:rPr>
          <w:rtl/>
          <w:lang w:val="en-US"/>
        </w:rPr>
        <w:t>أثر</w:t>
      </w:r>
      <w:r w:rsidR="00DF20AC">
        <w:rPr>
          <w:rtl/>
          <w:lang w:val="en-US"/>
        </w:rPr>
        <w:t xml:space="preserve">اً </w:t>
      </w:r>
      <w:r w:rsidRPr="000D7670">
        <w:rPr>
          <w:rtl/>
          <w:lang w:val="en-US"/>
        </w:rPr>
        <w:t>سلبي</w:t>
      </w:r>
      <w:r w:rsidR="00DF20AC">
        <w:rPr>
          <w:rtl/>
          <w:lang w:val="en-US"/>
        </w:rPr>
        <w:t xml:space="preserve">اً </w:t>
      </w:r>
      <w:r w:rsidRPr="000D7670">
        <w:rPr>
          <w:rtl/>
          <w:lang w:val="en-US"/>
        </w:rPr>
        <w:t>غير متناسب على المسنين. وتحيط اللجنة</w:t>
      </w:r>
      <w:r w:rsidR="00B6606A">
        <w:rPr>
          <w:rtl/>
          <w:lang w:val="en-US"/>
        </w:rPr>
        <w:t xml:space="preserve"> علماً </w:t>
      </w:r>
      <w:r w:rsidRPr="000D7670">
        <w:rPr>
          <w:rtl/>
          <w:lang w:val="en-US"/>
        </w:rPr>
        <w:t xml:space="preserve">بالمعلومات التي قدمها الطرف الثالث المتدخل، والتي تفيد بأن الأشخاص الذين تبلغ أعمارهم </w:t>
      </w:r>
      <w:r w:rsidRPr="00575C09">
        <w:rPr>
          <w:rtl/>
          <w:lang w:val="en-US"/>
        </w:rPr>
        <w:t>64</w:t>
      </w:r>
      <w:r w:rsidRPr="000D7670">
        <w:rPr>
          <w:rtl/>
          <w:lang w:val="en-US"/>
        </w:rPr>
        <w:t xml:space="preserve"> سنة فما فوق هم أكثر تأثر</w:t>
      </w:r>
      <w:r w:rsidR="00DF20AC">
        <w:rPr>
          <w:rtl/>
          <w:lang w:val="en-US"/>
        </w:rPr>
        <w:t xml:space="preserve">اً </w:t>
      </w:r>
      <w:r w:rsidRPr="000D7670">
        <w:rPr>
          <w:rtl/>
          <w:lang w:val="en-US"/>
        </w:rPr>
        <w:t xml:space="preserve">بإنهاء عقود الإيجار ضد إرادتهم من الأشخاص المنتمين إلى فئات عمرية أخرى، وبأن هذا الأمر له أثر سلبي على هؤلاء الأشخاص (انظر الفقرة </w:t>
      </w:r>
      <w:r w:rsidRPr="00575C09">
        <w:rPr>
          <w:rtl/>
          <w:lang w:val="en-US"/>
        </w:rPr>
        <w:t>6</w:t>
      </w:r>
      <w:r w:rsidRPr="000D7670">
        <w:rPr>
          <w:rtl/>
          <w:lang w:val="en-US"/>
        </w:rPr>
        <w:t>-</w:t>
      </w:r>
      <w:r w:rsidRPr="00575C09">
        <w:rPr>
          <w:rtl/>
          <w:lang w:val="en-US"/>
        </w:rPr>
        <w:t>5</w:t>
      </w:r>
      <w:r w:rsidRPr="000D7670">
        <w:rPr>
          <w:rtl/>
          <w:lang w:val="en-US"/>
        </w:rPr>
        <w:t xml:space="preserve"> </w:t>
      </w:r>
      <w:r w:rsidRPr="003D1720">
        <w:rPr>
          <w:i/>
          <w:iCs/>
          <w:rtl/>
          <w:lang w:val="en-US"/>
        </w:rPr>
        <w:t>أعلاه</w:t>
      </w:r>
      <w:r w:rsidRPr="000D7670">
        <w:rPr>
          <w:rtl/>
          <w:lang w:val="en-US"/>
        </w:rPr>
        <w:t>). كما أن الطرف الثالث المتدخل يعتبر أن هذه الحالة تشكل تمييز</w:t>
      </w:r>
      <w:r w:rsidR="00DF20AC">
        <w:rPr>
          <w:rtl/>
          <w:lang w:val="en-US"/>
        </w:rPr>
        <w:t xml:space="preserve">اً </w:t>
      </w:r>
      <w:r w:rsidRPr="000D7670">
        <w:rPr>
          <w:rtl/>
          <w:lang w:val="en-US"/>
        </w:rPr>
        <w:t>غير مباشر ذا طابع متعدد الجوانب يقوم على السن والحالة الاجتماعية. وتذكّر اللجنة بأنه ينبغي للدول الأطراف أن تتخذ خطوات لضمان أن تكون النسبة المئوية للتكاليف المتصلة بالسكن متناسبة، بصورة عامة، مع مستويات الدخل. و</w:t>
      </w:r>
      <w:r w:rsidR="00B6606A">
        <w:rPr>
          <w:rtl/>
          <w:lang w:val="en-US"/>
        </w:rPr>
        <w:t xml:space="preserve">وفقاً </w:t>
      </w:r>
      <w:r w:rsidRPr="000D7670">
        <w:rPr>
          <w:rtl/>
          <w:lang w:val="en-US"/>
        </w:rPr>
        <w:t xml:space="preserve">لمبدأ مراعاة القدرة على تحمل التكاليف، ينبغي بفضل اتخاذ التدابير المناسبة حماية مستأجري المساكن من الإيجارات الباهظة الثمن أو من زيادات الإيجار غير </w:t>
      </w:r>
      <w:proofErr w:type="gramStart"/>
      <w:r w:rsidRPr="000D7670">
        <w:rPr>
          <w:rtl/>
          <w:lang w:val="en-US"/>
        </w:rPr>
        <w:t>المعقولة</w:t>
      </w:r>
      <w:r w:rsidRPr="000D7670">
        <w:rPr>
          <w:vertAlign w:val="superscript"/>
          <w:rtl/>
          <w:lang w:val="en-US"/>
        </w:rPr>
        <w:t>(</w:t>
      </w:r>
      <w:proofErr w:type="gramEnd"/>
      <w:r w:rsidRPr="00575C09">
        <w:rPr>
          <w:rStyle w:val="FootnoteReference"/>
          <w:szCs w:val="22"/>
          <w:lang w:val="en-US"/>
        </w:rPr>
        <w:footnoteReference w:id="39"/>
      </w:r>
      <w:r w:rsidRPr="000D7670">
        <w:rPr>
          <w:vertAlign w:val="superscript"/>
          <w:rtl/>
          <w:lang w:val="en-US"/>
        </w:rPr>
        <w:t>)</w:t>
      </w:r>
      <w:r w:rsidRPr="000D7670">
        <w:rPr>
          <w:rtl/>
          <w:lang w:val="en-US"/>
        </w:rPr>
        <w:t xml:space="preserve"> ومن أي آثار غير مرغوب فيها قد تترتب عن هذه التشريعات على الفئات الضعيفة مثل المسنين. وتذكّر اللجنة بأنه يجوز للدول الأطراف أن تتخذ طائفة من التدابير لإعمال الحقوق المنصوص عليها في العهد، بما فيها الحق في سكن لائق الذي يفترض جملة أمور منها تنظيم سوق المساكن المؤجرة. </w:t>
      </w:r>
    </w:p>
    <w:p w14:paraId="64ACECEF" w14:textId="7FEB9F7C" w:rsidR="000D7670" w:rsidRPr="000D7670" w:rsidRDefault="000D7670" w:rsidP="000D7670">
      <w:pPr>
        <w:pStyle w:val="SingleTxtGA"/>
        <w:rPr>
          <w:lang w:val="en-US"/>
        </w:rPr>
      </w:pPr>
      <w:r w:rsidRPr="00575C09">
        <w:rPr>
          <w:rtl/>
          <w:lang w:val="en-US"/>
        </w:rPr>
        <w:lastRenderedPageBreak/>
        <w:t>11</w:t>
      </w:r>
      <w:r w:rsidRPr="000D7670">
        <w:rPr>
          <w:rtl/>
          <w:lang w:val="en-US"/>
        </w:rPr>
        <w:t>-</w:t>
      </w:r>
      <w:r w:rsidRPr="00575C09">
        <w:rPr>
          <w:rtl/>
          <w:lang w:val="en-US"/>
        </w:rPr>
        <w:t>5</w:t>
      </w:r>
      <w:r w:rsidRPr="000D7670">
        <w:rPr>
          <w:rtl/>
          <w:lang w:val="en-US"/>
        </w:rPr>
        <w:tab/>
        <w:t>وتذكّر اللجنة</w:t>
      </w:r>
      <w:r w:rsidR="00B6606A">
        <w:rPr>
          <w:rtl/>
          <w:lang w:val="en-US"/>
        </w:rPr>
        <w:t xml:space="preserve"> أيضاً </w:t>
      </w:r>
      <w:r w:rsidRPr="000D7670">
        <w:rPr>
          <w:rtl/>
          <w:lang w:val="en-US"/>
        </w:rPr>
        <w:t xml:space="preserve">بأن المادة </w:t>
      </w:r>
      <w:r w:rsidRPr="00575C09">
        <w:rPr>
          <w:rtl/>
          <w:lang w:val="en-US"/>
        </w:rPr>
        <w:t>5</w:t>
      </w:r>
      <w:r w:rsidRPr="000D7670">
        <w:rPr>
          <w:rtl/>
          <w:lang w:val="en-US"/>
        </w:rPr>
        <w:t>(</w:t>
      </w:r>
      <w:r w:rsidRPr="00575C09">
        <w:rPr>
          <w:rtl/>
          <w:lang w:val="en-US"/>
        </w:rPr>
        <w:t>2</w:t>
      </w:r>
      <w:r w:rsidRPr="000D7670">
        <w:rPr>
          <w:rtl/>
          <w:lang w:val="en-US"/>
        </w:rPr>
        <w:t xml:space="preserve">) من العهد تنص على عدم جواز قبول فرض أي قيد أو أي تضييق على أي من حقوق الإنسان الأساسية المعترف بها أو النافذة في أي بلد تطبيقاً لقوانين أو اتفاقيات أو أنظمة أو أعراف، بذريعة كون هذا العهد لا يعترف بها أو كون اعترافه بها أضيق مدى. ويشمل ذلك الحق في الملكية الخاصة المعترف به في تشريعات الدولة الطرف وفي المادة </w:t>
      </w:r>
      <w:r w:rsidRPr="00575C09">
        <w:rPr>
          <w:rtl/>
          <w:lang w:val="en-US"/>
        </w:rPr>
        <w:t>1</w:t>
      </w:r>
      <w:r w:rsidRPr="000D7670">
        <w:rPr>
          <w:rtl/>
          <w:lang w:val="en-US"/>
        </w:rPr>
        <w:t xml:space="preserve"> من البروتوكول الإضافي للاتفاقية الأوروبية لحقوق الإنسان، الذي صدقت عليه الدولة الطرف. ولكن الدول الأطراف تخلّ بالتزامها بحماية الحقوق المنصوص عليها في العهد في حالة عدم منع أو مواجهة سلوك الشركات التجارية الذي يؤدي إلى انتهاك هذه الحقوق، أو الذي يُتوقع أن يؤدي إلى </w:t>
      </w:r>
      <w:proofErr w:type="gramStart"/>
      <w:r w:rsidRPr="000D7670">
        <w:rPr>
          <w:rtl/>
          <w:lang w:val="en-US"/>
        </w:rPr>
        <w:t>انتهاكها</w:t>
      </w:r>
      <w:r w:rsidRPr="000D7670">
        <w:rPr>
          <w:vertAlign w:val="superscript"/>
          <w:rtl/>
          <w:lang w:val="en-US"/>
        </w:rPr>
        <w:t>(</w:t>
      </w:r>
      <w:proofErr w:type="gramEnd"/>
      <w:r w:rsidRPr="00575C09">
        <w:rPr>
          <w:rStyle w:val="FootnoteReference"/>
          <w:szCs w:val="22"/>
          <w:lang w:val="en-US"/>
        </w:rPr>
        <w:footnoteReference w:id="40"/>
      </w:r>
      <w:r w:rsidRPr="000D7670">
        <w:rPr>
          <w:vertAlign w:val="superscript"/>
          <w:rtl/>
          <w:lang w:val="en-US"/>
        </w:rPr>
        <w:t>)</w:t>
      </w:r>
      <w:r w:rsidRPr="000D7670">
        <w:rPr>
          <w:rtl/>
          <w:lang w:val="en-US"/>
        </w:rPr>
        <w:t xml:space="preserve">. ولذلك، يجب أن يكون الهدف من سياسات الإسكان هو ضمان الحصول على سكن لائق. ويجب أن توفّر هذه السياسات حماية كافية للمستأجرين لضمان توافر العناصر الأساسية للحق في سكن لائق، من قبيل الأمن القانوني لشغل المسكن أو القدرة على الدفع أو الصلاحية </w:t>
      </w:r>
      <w:proofErr w:type="gramStart"/>
      <w:r w:rsidRPr="000D7670">
        <w:rPr>
          <w:rtl/>
          <w:lang w:val="en-US"/>
        </w:rPr>
        <w:t>للسكن</w:t>
      </w:r>
      <w:r w:rsidRPr="000D7670">
        <w:rPr>
          <w:vertAlign w:val="superscript"/>
          <w:rtl/>
          <w:lang w:val="en-US"/>
        </w:rPr>
        <w:t>(</w:t>
      </w:r>
      <w:proofErr w:type="gramEnd"/>
      <w:r w:rsidRPr="00575C09">
        <w:rPr>
          <w:rStyle w:val="FootnoteReference"/>
          <w:szCs w:val="22"/>
          <w:lang w:val="en-US"/>
        </w:rPr>
        <w:footnoteReference w:id="41"/>
      </w:r>
      <w:r w:rsidRPr="000D7670">
        <w:rPr>
          <w:vertAlign w:val="superscript"/>
          <w:rtl/>
          <w:lang w:val="en-US"/>
        </w:rPr>
        <w:t>)</w:t>
      </w:r>
      <w:r w:rsidRPr="000D7670">
        <w:rPr>
          <w:rtl/>
          <w:lang w:val="en-US"/>
        </w:rPr>
        <w:t xml:space="preserve">. </w:t>
      </w:r>
    </w:p>
    <w:p w14:paraId="590A7007" w14:textId="1EFF5456" w:rsidR="000D7670" w:rsidRPr="000D7670" w:rsidRDefault="000D7670" w:rsidP="000D7670">
      <w:pPr>
        <w:pStyle w:val="SingleTxtGA"/>
        <w:rPr>
          <w:lang w:val="en-US"/>
        </w:rPr>
      </w:pPr>
      <w:r w:rsidRPr="00575C09">
        <w:rPr>
          <w:rtl/>
          <w:lang w:val="en-US"/>
        </w:rPr>
        <w:t>11</w:t>
      </w:r>
      <w:r w:rsidRPr="000D7670">
        <w:rPr>
          <w:rtl/>
          <w:lang w:val="en-US"/>
        </w:rPr>
        <w:t>-</w:t>
      </w:r>
      <w:r w:rsidRPr="00575C09">
        <w:rPr>
          <w:rtl/>
          <w:lang w:val="en-US"/>
        </w:rPr>
        <w:t>6</w:t>
      </w:r>
      <w:r w:rsidRPr="000D7670">
        <w:rPr>
          <w:rtl/>
          <w:lang w:val="en-US"/>
        </w:rPr>
        <w:tab/>
        <w:t>وتذكّر اللجنة بالتزام الدول الأطراف باتخاذ تدابير خاصة، بأقصى ما تسمح به مواردها المتاحة، لضمان تمتع المسنين تمتع</w:t>
      </w:r>
      <w:r w:rsidR="00DF20AC">
        <w:rPr>
          <w:rtl/>
          <w:lang w:val="en-US"/>
        </w:rPr>
        <w:t xml:space="preserve">اً </w:t>
      </w:r>
      <w:r w:rsidRPr="000D7670">
        <w:rPr>
          <w:rtl/>
          <w:lang w:val="en-US"/>
        </w:rPr>
        <w:t>كامل</w:t>
      </w:r>
      <w:r w:rsidR="00DF20AC">
        <w:rPr>
          <w:rtl/>
          <w:lang w:val="en-US"/>
        </w:rPr>
        <w:t xml:space="preserve">اً </w:t>
      </w:r>
      <w:r w:rsidRPr="000D7670">
        <w:rPr>
          <w:rtl/>
          <w:lang w:val="en-US"/>
        </w:rPr>
        <w:t xml:space="preserve">بجميع الحقوق المنصوص عليها في </w:t>
      </w:r>
      <w:proofErr w:type="gramStart"/>
      <w:r w:rsidRPr="000D7670">
        <w:rPr>
          <w:rtl/>
          <w:lang w:val="en-US"/>
        </w:rPr>
        <w:t>العهد</w:t>
      </w:r>
      <w:r w:rsidRPr="000D7670">
        <w:rPr>
          <w:vertAlign w:val="superscript"/>
          <w:rtl/>
          <w:lang w:val="en-US"/>
        </w:rPr>
        <w:t>(</w:t>
      </w:r>
      <w:proofErr w:type="gramEnd"/>
      <w:r w:rsidRPr="00575C09">
        <w:rPr>
          <w:rStyle w:val="FootnoteReference"/>
          <w:szCs w:val="22"/>
          <w:lang w:val="en-US"/>
        </w:rPr>
        <w:footnoteReference w:id="42"/>
      </w:r>
      <w:r w:rsidRPr="000D7670">
        <w:rPr>
          <w:vertAlign w:val="superscript"/>
          <w:rtl/>
          <w:lang w:val="en-US"/>
        </w:rPr>
        <w:t>)</w:t>
      </w:r>
      <w:r w:rsidRPr="000D7670">
        <w:rPr>
          <w:rtl/>
          <w:lang w:val="en-US"/>
        </w:rPr>
        <w:t>. وتذكّر اللجنة</w:t>
      </w:r>
      <w:r w:rsidR="00B6606A">
        <w:rPr>
          <w:rtl/>
          <w:lang w:val="en-US"/>
        </w:rPr>
        <w:t xml:space="preserve"> أيضاً </w:t>
      </w:r>
      <w:r w:rsidRPr="000D7670">
        <w:rPr>
          <w:rtl/>
          <w:lang w:val="en-US"/>
        </w:rPr>
        <w:t xml:space="preserve">بأن خطة عمل فيينا الدولية للشيخوخة تنص بوضوح، في توصيتها </w:t>
      </w:r>
      <w:r w:rsidRPr="00575C09">
        <w:rPr>
          <w:rtl/>
          <w:lang w:val="en-US"/>
        </w:rPr>
        <w:t>19</w:t>
      </w:r>
      <w:r w:rsidRPr="000D7670">
        <w:rPr>
          <w:rtl/>
          <w:lang w:val="en-US"/>
        </w:rPr>
        <w:t xml:space="preserve">، على أن المسكن للمسنين ينبغي </w:t>
      </w:r>
      <w:r w:rsidRPr="00DF20AC">
        <w:rPr>
          <w:spacing w:val="-2"/>
          <w:rtl/>
          <w:lang w:val="en-US"/>
        </w:rPr>
        <w:t>النظر إليه على أنه أكثر من مجرد مأوى. ذلك لأن لـه، بالإضافة إلى المدلول المادي، مدلولاً نفسياً واجتماعياً</w:t>
      </w:r>
      <w:r w:rsidRPr="000D7670">
        <w:rPr>
          <w:rtl/>
          <w:lang w:val="en-US"/>
        </w:rPr>
        <w:t xml:space="preserve"> ينبغي أخذه بالحسبان. ومن ثم، ينبغي للسياسات الوطنية أن تساعد المسنين على مواصلة الحياة في مساكنهم أطول مدة ممكنة، من خلال إصلاح المساكن وتطويرها وتحسينها وتكييفها مع قدرة هؤلاء الأشخاص على الحصول عليها </w:t>
      </w:r>
      <w:proofErr w:type="gramStart"/>
      <w:r w:rsidRPr="000D7670">
        <w:rPr>
          <w:rtl/>
          <w:lang w:val="en-US"/>
        </w:rPr>
        <w:t>واستخدامها</w:t>
      </w:r>
      <w:r w:rsidRPr="000D7670">
        <w:rPr>
          <w:vertAlign w:val="superscript"/>
          <w:rtl/>
          <w:lang w:val="en-US"/>
        </w:rPr>
        <w:t>(</w:t>
      </w:r>
      <w:proofErr w:type="gramEnd"/>
      <w:r w:rsidRPr="00575C09">
        <w:rPr>
          <w:rStyle w:val="FootnoteReference"/>
          <w:szCs w:val="22"/>
          <w:lang w:val="en-US"/>
        </w:rPr>
        <w:footnoteReference w:id="43"/>
      </w:r>
      <w:r w:rsidRPr="000D7670">
        <w:rPr>
          <w:vertAlign w:val="superscript"/>
          <w:rtl/>
          <w:lang w:val="en-US"/>
        </w:rPr>
        <w:t>)</w:t>
      </w:r>
      <w:r w:rsidRPr="000D7670">
        <w:rPr>
          <w:rtl/>
          <w:lang w:val="en-US"/>
        </w:rPr>
        <w:t>. وبدون هذه التدابير الخاصة، يمكن أن تولّد سياسات عامة قد تكون مناسبة لعامة السكان أثر</w:t>
      </w:r>
      <w:r w:rsidR="00DF20AC">
        <w:rPr>
          <w:rtl/>
          <w:lang w:val="en-US"/>
        </w:rPr>
        <w:t xml:space="preserve">اً </w:t>
      </w:r>
      <w:r w:rsidRPr="000D7670">
        <w:rPr>
          <w:rtl/>
          <w:lang w:val="en-US"/>
        </w:rPr>
        <w:t>سلبي</w:t>
      </w:r>
      <w:r w:rsidR="00DF20AC">
        <w:rPr>
          <w:rtl/>
          <w:lang w:val="en-US"/>
        </w:rPr>
        <w:t xml:space="preserve">اً </w:t>
      </w:r>
      <w:r w:rsidRPr="000D7670">
        <w:rPr>
          <w:rtl/>
          <w:lang w:val="en-US"/>
        </w:rPr>
        <w:t>غير متناسب على تمتع المسنين بالحقوق المنصوص عليها في العهد، ولا سيما أولئك الذين يعانون من ظروف اجتماعية واقتصادية صعبة. وبالإضافة إلى ذلك، يمكن أن يكون السكن المستأجر أهمّ بالنسبة إلى المسنين مقارنة ببقية السكان، خاصة إذا عاشوا فيه لفترة</w:t>
      </w:r>
      <w:r w:rsidR="00DF20AC">
        <w:rPr>
          <w:rFonts w:hint="cs"/>
          <w:rtl/>
          <w:lang w:val="en-US"/>
        </w:rPr>
        <w:t> </w:t>
      </w:r>
      <w:r w:rsidRPr="000D7670">
        <w:rPr>
          <w:rtl/>
          <w:lang w:val="en-US"/>
        </w:rPr>
        <w:t xml:space="preserve">طويلة، لأنهم تمكنوا من بناء شبكة اجتماعية داخل الحي، ويمكن أن يكون تغيير السكن مصدر قلق بالنسبة إليهم. </w:t>
      </w:r>
    </w:p>
    <w:p w14:paraId="0078A945" w14:textId="77777777" w:rsidR="000D7670" w:rsidRPr="00575C09" w:rsidRDefault="000D7670" w:rsidP="00B6606A">
      <w:pPr>
        <w:pStyle w:val="H23GA"/>
      </w:pPr>
      <w:r w:rsidRPr="00575C09">
        <w:rPr>
          <w:rtl/>
        </w:rPr>
        <w:tab/>
      </w:r>
      <w:r w:rsidRPr="00575C09">
        <w:rPr>
          <w:rtl/>
        </w:rPr>
        <w:tab/>
        <w:t>جمود القانون وأثره غير المتناسب على صاحب البلاغ</w:t>
      </w:r>
    </w:p>
    <w:p w14:paraId="30025EAF" w14:textId="596BFC0C" w:rsidR="000D7670" w:rsidRPr="002A7D75" w:rsidRDefault="000D7670" w:rsidP="000D7670">
      <w:pPr>
        <w:pStyle w:val="SingleTxtGA"/>
        <w:rPr>
          <w:spacing w:val="-3"/>
          <w:lang w:val="en-US"/>
        </w:rPr>
      </w:pPr>
      <w:r w:rsidRPr="00575C09">
        <w:rPr>
          <w:spacing w:val="-3"/>
          <w:rtl/>
          <w:lang w:val="en-US"/>
        </w:rPr>
        <w:t>12</w:t>
      </w:r>
      <w:r w:rsidRPr="002A7D75">
        <w:rPr>
          <w:spacing w:val="-3"/>
          <w:rtl/>
          <w:lang w:val="en-US"/>
        </w:rPr>
        <w:t>-</w:t>
      </w:r>
      <w:r w:rsidRPr="00575C09">
        <w:rPr>
          <w:spacing w:val="-3"/>
          <w:rtl/>
          <w:lang w:val="en-US"/>
        </w:rPr>
        <w:t>1</w:t>
      </w:r>
      <w:r w:rsidRPr="002A7D75">
        <w:rPr>
          <w:spacing w:val="-3"/>
          <w:rtl/>
          <w:lang w:val="en-US"/>
        </w:rPr>
        <w:tab/>
        <w:t>في ظل هذه الاعتبارات، ترى اللجنة أن القانون الذي يسمح لأصحاب المساكن بإنهاء عقود الإيجار بصفة دورية دون أن يضطروا إلى تقديم أي مبرر، ودون أي ضمان أو تعويض نقدي آخر، يمكن أن يكون له أثر سلبي على أمن شغل المسكن وأن يسهم في ارتفاع الأسعار كثير</w:t>
      </w:r>
      <w:r w:rsidR="00DF20AC">
        <w:rPr>
          <w:spacing w:val="-3"/>
          <w:rtl/>
          <w:lang w:val="en-US"/>
        </w:rPr>
        <w:t xml:space="preserve">اً </w:t>
      </w:r>
      <w:r w:rsidRPr="002A7D75">
        <w:rPr>
          <w:spacing w:val="-3"/>
          <w:rtl/>
          <w:lang w:val="en-US"/>
        </w:rPr>
        <w:t>في سوق الإيجارات بحكم الواقع، مما</w:t>
      </w:r>
      <w:r w:rsidR="00DF20AC">
        <w:rPr>
          <w:rFonts w:hint="cs"/>
          <w:spacing w:val="-3"/>
          <w:rtl/>
          <w:lang w:val="en-US"/>
        </w:rPr>
        <w:t> </w:t>
      </w:r>
      <w:r w:rsidRPr="002A7D75">
        <w:rPr>
          <w:spacing w:val="-3"/>
          <w:rtl/>
          <w:lang w:val="en-US"/>
        </w:rPr>
        <w:t>يمكن أن يكون له تأثير على التكلفة المعقولة للسكن. ولذلك، فإن هذا القانون مخالف لأحكام العهد. وتلاحظ اللجنة أن القانون الساري في الدولة الطرف، فيما يخص الحالة قيد النظر، يسمح للمؤجر بإنهاء عقد</w:t>
      </w:r>
      <w:r w:rsidR="002C40EA">
        <w:rPr>
          <w:rFonts w:hint="cs"/>
          <w:spacing w:val="-3"/>
          <w:rtl/>
          <w:lang w:val="en-US"/>
        </w:rPr>
        <w:t> </w:t>
      </w:r>
      <w:r w:rsidRPr="002A7D75">
        <w:rPr>
          <w:spacing w:val="-3"/>
          <w:rtl/>
          <w:lang w:val="en-US"/>
        </w:rPr>
        <w:t>الإيجار دون مبرّر، ولكنه يقدّم في الوقت نفسه ضمانات هامة للمستأجر: فلا يجوز إنهاء عقد الإيجار في أي وقت ويجب على المالك، كما حصل في حالة صاحب البلاغ، أن يرسل إلى المستأجر إشعار</w:t>
      </w:r>
      <w:r w:rsidR="00DF20AC">
        <w:rPr>
          <w:spacing w:val="-3"/>
          <w:rtl/>
          <w:lang w:val="en-US"/>
        </w:rPr>
        <w:t xml:space="preserve">اً </w:t>
      </w:r>
      <w:r w:rsidRPr="002A7D75">
        <w:rPr>
          <w:spacing w:val="-3"/>
          <w:rtl/>
          <w:lang w:val="en-US"/>
        </w:rPr>
        <w:t>بإنهاء العقد وأن يدفع له تعويض</w:t>
      </w:r>
      <w:r w:rsidR="00DF20AC">
        <w:rPr>
          <w:spacing w:val="-3"/>
          <w:rtl/>
          <w:lang w:val="en-US"/>
        </w:rPr>
        <w:t xml:space="preserve">اً </w:t>
      </w:r>
      <w:r w:rsidRPr="002A7D75">
        <w:rPr>
          <w:spacing w:val="-3"/>
          <w:rtl/>
          <w:lang w:val="en-US"/>
        </w:rPr>
        <w:t>مالي</w:t>
      </w:r>
      <w:r w:rsidR="00DD7E44">
        <w:rPr>
          <w:spacing w:val="-3"/>
          <w:rtl/>
          <w:lang w:val="en-US"/>
        </w:rPr>
        <w:t>اً.</w:t>
      </w:r>
      <w:r w:rsidRPr="002A7D75">
        <w:rPr>
          <w:spacing w:val="-3"/>
          <w:rtl/>
          <w:lang w:val="en-US"/>
        </w:rPr>
        <w:t xml:space="preserve"> وبالإضافة إلى ذلك، يجوز للقاضي في بعض الحالات أن يقبل تمديد المهلة الممنوحة بموجب الإشعار لحماية المستأجرين الذين يواجهون أوضاع</w:t>
      </w:r>
      <w:r w:rsidR="00DF20AC">
        <w:rPr>
          <w:spacing w:val="-3"/>
          <w:rtl/>
          <w:lang w:val="en-US"/>
        </w:rPr>
        <w:t xml:space="preserve">اً </w:t>
      </w:r>
      <w:r w:rsidRPr="002A7D75">
        <w:rPr>
          <w:spacing w:val="-3"/>
          <w:rtl/>
          <w:lang w:val="en-US"/>
        </w:rPr>
        <w:t>هشة. والضمانات الممنوحة للمستأجرين تجعل هذا التشريع، من الناحية النظرية وبوجه عام، متوافق</w:t>
      </w:r>
      <w:r w:rsidR="00DF20AC">
        <w:rPr>
          <w:spacing w:val="-3"/>
          <w:rtl/>
          <w:lang w:val="en-US"/>
        </w:rPr>
        <w:t xml:space="preserve">اً </w:t>
      </w:r>
      <w:r w:rsidRPr="002A7D75">
        <w:rPr>
          <w:spacing w:val="-3"/>
          <w:rtl/>
          <w:lang w:val="en-US"/>
        </w:rPr>
        <w:t>مع أحكام العهد والحق في سكن لائق.</w:t>
      </w:r>
    </w:p>
    <w:p w14:paraId="65F73644" w14:textId="1F65DB1E" w:rsidR="000D7670" w:rsidRPr="000D7670" w:rsidRDefault="000D7670" w:rsidP="000D7670">
      <w:pPr>
        <w:pStyle w:val="SingleTxtGA"/>
        <w:rPr>
          <w:lang w:val="en-US"/>
        </w:rPr>
      </w:pPr>
      <w:r w:rsidRPr="00575C09">
        <w:rPr>
          <w:rtl/>
          <w:lang w:val="en-US"/>
        </w:rPr>
        <w:lastRenderedPageBreak/>
        <w:t>12</w:t>
      </w:r>
      <w:r w:rsidRPr="000D7670">
        <w:rPr>
          <w:rtl/>
          <w:lang w:val="en-US"/>
        </w:rPr>
        <w:t>-</w:t>
      </w:r>
      <w:r w:rsidRPr="00575C09">
        <w:rPr>
          <w:rtl/>
          <w:lang w:val="en-US"/>
        </w:rPr>
        <w:t>2</w:t>
      </w:r>
      <w:r w:rsidRPr="000D7670">
        <w:rPr>
          <w:rtl/>
          <w:lang w:val="en-US"/>
        </w:rPr>
        <w:tab/>
        <w:t xml:space="preserve">بيد أن اللجنة تلاحظ أن المسنين الذين تزيد أعمارهم عن </w:t>
      </w:r>
      <w:r w:rsidRPr="00575C09">
        <w:rPr>
          <w:rtl/>
          <w:lang w:val="en-US"/>
        </w:rPr>
        <w:t>64</w:t>
      </w:r>
      <w:r w:rsidRPr="000D7670">
        <w:rPr>
          <w:rtl/>
          <w:lang w:val="en-US"/>
        </w:rPr>
        <w:t xml:space="preserve"> سنة يتأثرون بإنهاء عقود الإيجار أكثر من بقية السكان (الفقرة </w:t>
      </w:r>
      <w:r w:rsidRPr="00575C09">
        <w:rPr>
          <w:rtl/>
          <w:lang w:val="en-US"/>
        </w:rPr>
        <w:t>6</w:t>
      </w:r>
      <w:r w:rsidRPr="000D7670">
        <w:rPr>
          <w:rtl/>
          <w:lang w:val="en-US"/>
        </w:rPr>
        <w:t>-</w:t>
      </w:r>
      <w:r w:rsidRPr="00575C09">
        <w:rPr>
          <w:rtl/>
          <w:lang w:val="en-US"/>
        </w:rPr>
        <w:t>5</w:t>
      </w:r>
      <w:r w:rsidRPr="000D7670">
        <w:rPr>
          <w:rtl/>
          <w:lang w:val="en-US"/>
        </w:rPr>
        <w:t xml:space="preserve"> </w:t>
      </w:r>
      <w:r w:rsidRPr="003D1720">
        <w:rPr>
          <w:i/>
          <w:iCs/>
          <w:rtl/>
          <w:lang w:val="en-US"/>
        </w:rPr>
        <w:t>أعلاه</w:t>
      </w:r>
      <w:r w:rsidRPr="000D7670">
        <w:rPr>
          <w:rtl/>
          <w:lang w:val="en-US"/>
        </w:rPr>
        <w:t xml:space="preserve">). ولذلك، فإن التطبيق الجامد لهذا القانون، في السياق المحدد لارتفاع أسعار الإيجارات في منطقة بروكسل (الفقرة </w:t>
      </w:r>
      <w:r w:rsidRPr="00575C09">
        <w:rPr>
          <w:rtl/>
          <w:lang w:val="en-US"/>
        </w:rPr>
        <w:t>6</w:t>
      </w:r>
      <w:r w:rsidRPr="000D7670">
        <w:rPr>
          <w:rtl/>
          <w:lang w:val="en-US"/>
        </w:rPr>
        <w:t>-</w:t>
      </w:r>
      <w:r w:rsidRPr="00575C09">
        <w:rPr>
          <w:rtl/>
          <w:lang w:val="en-US"/>
        </w:rPr>
        <w:t>2</w:t>
      </w:r>
      <w:r w:rsidRPr="000D7670">
        <w:rPr>
          <w:rtl/>
          <w:lang w:val="en-US"/>
        </w:rPr>
        <w:t xml:space="preserve"> </w:t>
      </w:r>
      <w:r w:rsidRPr="003D1720">
        <w:rPr>
          <w:i/>
          <w:iCs/>
          <w:rtl/>
          <w:lang w:val="en-US"/>
        </w:rPr>
        <w:t>أعلاه</w:t>
      </w:r>
      <w:r w:rsidRPr="000D7670">
        <w:rPr>
          <w:rtl/>
          <w:lang w:val="en-US"/>
        </w:rPr>
        <w:t>) ونظر</w:t>
      </w:r>
      <w:r w:rsidR="00DF20AC">
        <w:rPr>
          <w:rtl/>
          <w:lang w:val="en-US"/>
        </w:rPr>
        <w:t xml:space="preserve">اً </w:t>
      </w:r>
      <w:r w:rsidRPr="000D7670">
        <w:rPr>
          <w:rtl/>
          <w:lang w:val="en-US"/>
        </w:rPr>
        <w:t xml:space="preserve">إلى احتياجات المسنين المعينة (الفقرة </w:t>
      </w:r>
      <w:r w:rsidRPr="00575C09">
        <w:rPr>
          <w:rtl/>
          <w:lang w:val="en-US"/>
        </w:rPr>
        <w:t>11</w:t>
      </w:r>
      <w:r w:rsidRPr="000D7670">
        <w:rPr>
          <w:rtl/>
          <w:lang w:val="en-US"/>
        </w:rPr>
        <w:t>-</w:t>
      </w:r>
      <w:r w:rsidRPr="00575C09">
        <w:rPr>
          <w:rtl/>
          <w:lang w:val="en-US"/>
        </w:rPr>
        <w:t>6</w:t>
      </w:r>
      <w:r w:rsidRPr="000D7670">
        <w:rPr>
          <w:rtl/>
          <w:lang w:val="en-US"/>
        </w:rPr>
        <w:t xml:space="preserve"> </w:t>
      </w:r>
      <w:r w:rsidRPr="003D1720">
        <w:rPr>
          <w:i/>
          <w:iCs/>
          <w:rtl/>
          <w:lang w:val="en-US"/>
        </w:rPr>
        <w:t>أعلاه</w:t>
      </w:r>
      <w:r w:rsidRPr="000D7670">
        <w:rPr>
          <w:rtl/>
          <w:lang w:val="en-US"/>
        </w:rPr>
        <w:t>)، يمكن أن يكون له أثر سلبي غير متناسب على المسنين ذوي الدخل المنخفض. وقد يكون هذا الأثر غير المتناسب ناجم</w:t>
      </w:r>
      <w:r w:rsidR="00DF20AC">
        <w:rPr>
          <w:rtl/>
          <w:lang w:val="en-US"/>
        </w:rPr>
        <w:t xml:space="preserve">اً </w:t>
      </w:r>
      <w:r w:rsidRPr="000D7670">
        <w:rPr>
          <w:rtl/>
          <w:lang w:val="en-US"/>
        </w:rPr>
        <w:t xml:space="preserve">عن وضع السوق المعين وعن التطبيق الجامد للإطار المعياري. </w:t>
      </w:r>
    </w:p>
    <w:p w14:paraId="57E9BA1D" w14:textId="66361500" w:rsidR="000D7670" w:rsidRPr="000D7670" w:rsidRDefault="000D7670" w:rsidP="000D7670">
      <w:pPr>
        <w:pStyle w:val="SingleTxtGA"/>
        <w:rPr>
          <w:lang w:val="en-US"/>
        </w:rPr>
      </w:pPr>
      <w:r w:rsidRPr="00575C09">
        <w:rPr>
          <w:rtl/>
          <w:lang w:val="en-US"/>
        </w:rPr>
        <w:t>12</w:t>
      </w:r>
      <w:r w:rsidRPr="000D7670">
        <w:rPr>
          <w:rtl/>
          <w:lang w:val="en-US"/>
        </w:rPr>
        <w:t>-</w:t>
      </w:r>
      <w:r w:rsidRPr="00575C09">
        <w:rPr>
          <w:rtl/>
          <w:lang w:val="en-US"/>
        </w:rPr>
        <w:t>3</w:t>
      </w:r>
      <w:r w:rsidRPr="000D7670">
        <w:rPr>
          <w:rtl/>
          <w:lang w:val="en-US"/>
        </w:rPr>
        <w:tab/>
        <w:t>ولذلك، فإن احتمال تأثير هذه السياسة بشكل غير متناسب على حق بعض الفئات السكانية المستضعفة في سكن لائق يقتضي التزام</w:t>
      </w:r>
      <w:r w:rsidR="00DF20AC">
        <w:rPr>
          <w:rtl/>
          <w:lang w:val="en-US"/>
        </w:rPr>
        <w:t xml:space="preserve">اً </w:t>
      </w:r>
      <w:r w:rsidRPr="000D7670">
        <w:rPr>
          <w:rtl/>
          <w:lang w:val="en-US"/>
        </w:rPr>
        <w:t>مزدوج</w:t>
      </w:r>
      <w:r w:rsidR="00DF20AC">
        <w:rPr>
          <w:rtl/>
          <w:lang w:val="en-US"/>
        </w:rPr>
        <w:t xml:space="preserve">اً </w:t>
      </w:r>
      <w:r w:rsidRPr="000D7670">
        <w:rPr>
          <w:rtl/>
          <w:lang w:val="en-US"/>
        </w:rPr>
        <w:t>على أي دولة طرف تختار هذا الإطار المعياري. أول</w:t>
      </w:r>
      <w:r w:rsidR="00DD7E44">
        <w:rPr>
          <w:rtl/>
          <w:lang w:val="en-US"/>
        </w:rPr>
        <w:t>اً،</w:t>
      </w:r>
      <w:r w:rsidR="00DF20AC">
        <w:rPr>
          <w:rFonts w:hint="cs"/>
          <w:rtl/>
          <w:lang w:val="en-US"/>
        </w:rPr>
        <w:t> </w:t>
      </w:r>
      <w:r w:rsidRPr="000D7670">
        <w:rPr>
          <w:rtl/>
          <w:lang w:val="en-US"/>
        </w:rPr>
        <w:t>ينبغي للدولة الطرف أن تنشئ آلية لرصد أثر تطبيق الإطار القانوني على أشد السكان ضعف</w:t>
      </w:r>
      <w:r w:rsidR="00DF20AC">
        <w:rPr>
          <w:rtl/>
          <w:lang w:val="en-US"/>
        </w:rPr>
        <w:t xml:space="preserve">اً </w:t>
      </w:r>
      <w:r w:rsidRPr="000D7670">
        <w:rPr>
          <w:rtl/>
          <w:lang w:val="en-US"/>
        </w:rPr>
        <w:t>وتهميش</w:t>
      </w:r>
      <w:r w:rsidR="00DD7E44">
        <w:rPr>
          <w:rtl/>
          <w:lang w:val="en-US"/>
        </w:rPr>
        <w:t>اً،</w:t>
      </w:r>
      <w:r w:rsidRPr="000D7670">
        <w:rPr>
          <w:rtl/>
          <w:lang w:val="en-US"/>
        </w:rPr>
        <w:t xml:space="preserve"> بغية إدخال التعديلات اللازمة لتفادي تأثّرهم بشكل غير متناسب مما قد ينطوي على انتهاك حق</w:t>
      </w:r>
      <w:r w:rsidR="00DF20AC">
        <w:rPr>
          <w:rFonts w:hint="cs"/>
          <w:rtl/>
          <w:lang w:val="en-US"/>
        </w:rPr>
        <w:t> </w:t>
      </w:r>
      <w:r w:rsidRPr="000D7670">
        <w:rPr>
          <w:rtl/>
          <w:lang w:val="en-US"/>
        </w:rPr>
        <w:t>فئة معينة في سكن لائق، مثل المسنين الذين يواجهون صعوبات اجتماعية واقتصادية. وثاني</w:t>
      </w:r>
      <w:r w:rsidR="00DD7E44">
        <w:rPr>
          <w:rtl/>
          <w:lang w:val="en-US"/>
        </w:rPr>
        <w:t>اً،</w:t>
      </w:r>
      <w:r w:rsidRPr="000D7670">
        <w:rPr>
          <w:rtl/>
          <w:lang w:val="en-US"/>
        </w:rPr>
        <w:t xml:space="preserve"> يجب أن تتضمن السياسة آليات وتدابير مرنة لضمان ألا يكون لتطبيق الإطار القانوني أثر غير متناسب في بعض الحالات.</w:t>
      </w:r>
    </w:p>
    <w:p w14:paraId="3C95BFCE" w14:textId="7ECD6ED7" w:rsidR="000D7670" w:rsidRPr="000D7670" w:rsidRDefault="000D7670" w:rsidP="000D7670">
      <w:pPr>
        <w:pStyle w:val="SingleTxtGA"/>
        <w:rPr>
          <w:lang w:val="en-US"/>
        </w:rPr>
      </w:pPr>
      <w:r w:rsidRPr="00575C09">
        <w:rPr>
          <w:rtl/>
          <w:lang w:val="en-US"/>
        </w:rPr>
        <w:t>12</w:t>
      </w:r>
      <w:r w:rsidRPr="000D7670">
        <w:rPr>
          <w:rtl/>
          <w:lang w:val="en-US"/>
        </w:rPr>
        <w:t>-</w:t>
      </w:r>
      <w:r w:rsidRPr="00575C09">
        <w:rPr>
          <w:rtl/>
          <w:lang w:val="en-US"/>
        </w:rPr>
        <w:t>4</w:t>
      </w:r>
      <w:r w:rsidRPr="000D7670">
        <w:rPr>
          <w:rtl/>
          <w:lang w:val="en-US"/>
        </w:rPr>
        <w:tab/>
        <w:t>وترى اللجنة في هذه القضية أن السلطات القضائية ومرافق الرعاية الاجتماعية لم تأخذ في الاعتبار بما فيه الكفاية الأثر غير المتناسب الذي يمكن أن يحدثه تغيير السكن القسري على الأشخاص الضعفاء بوجه خاص، مثل المسنين الذين يعانون من وضع اقتصادي هش. وذلك على الرغم من أن صاحب البلاغ يعيش في نفس الشقة منذ خمسة وعشرين عام</w:t>
      </w:r>
      <w:r w:rsidR="00DD7E44">
        <w:rPr>
          <w:rtl/>
          <w:lang w:val="en-US"/>
        </w:rPr>
        <w:t>اً،</w:t>
      </w:r>
      <w:r w:rsidRPr="000D7670">
        <w:rPr>
          <w:rtl/>
          <w:lang w:val="en-US"/>
        </w:rPr>
        <w:t xml:space="preserve"> وقد أوفى دائم</w:t>
      </w:r>
      <w:r w:rsidR="00DF20AC">
        <w:rPr>
          <w:rtl/>
          <w:lang w:val="en-US"/>
        </w:rPr>
        <w:t xml:space="preserve">اً </w:t>
      </w:r>
      <w:r w:rsidRPr="000D7670">
        <w:rPr>
          <w:rtl/>
          <w:lang w:val="en-US"/>
        </w:rPr>
        <w:t>بالتزاماته التعاقدية، وهو</w:t>
      </w:r>
      <w:r w:rsidR="00F33A94">
        <w:rPr>
          <w:rFonts w:hint="cs"/>
          <w:rtl/>
          <w:lang w:val="en-US"/>
        </w:rPr>
        <w:t> </w:t>
      </w:r>
      <w:r w:rsidRPr="000D7670">
        <w:rPr>
          <w:rtl/>
          <w:lang w:val="en-US"/>
        </w:rPr>
        <w:t xml:space="preserve">الآن شخص مسن، ذو دخل محدود، تربطه علاقات اجتماعية قوية بحيه. </w:t>
      </w:r>
    </w:p>
    <w:p w14:paraId="57EC106F" w14:textId="0C9C4E03" w:rsidR="000D7670" w:rsidRPr="000D7670" w:rsidRDefault="000D7670" w:rsidP="000D7670">
      <w:pPr>
        <w:pStyle w:val="SingleTxtGA"/>
        <w:rPr>
          <w:lang w:val="en-US"/>
        </w:rPr>
      </w:pPr>
      <w:r w:rsidRPr="00575C09">
        <w:rPr>
          <w:rtl/>
          <w:lang w:val="en-US"/>
        </w:rPr>
        <w:t>12</w:t>
      </w:r>
      <w:r w:rsidRPr="000D7670">
        <w:rPr>
          <w:rtl/>
          <w:lang w:val="en-US"/>
        </w:rPr>
        <w:t>-</w:t>
      </w:r>
      <w:r w:rsidRPr="00575C09">
        <w:rPr>
          <w:rtl/>
          <w:lang w:val="en-US"/>
        </w:rPr>
        <w:t>5</w:t>
      </w:r>
      <w:r w:rsidRPr="000D7670">
        <w:rPr>
          <w:rtl/>
          <w:lang w:val="en-US"/>
        </w:rPr>
        <w:tab/>
        <w:t xml:space="preserve">وتلاحظ اللجنة أنه كان من الممكن أن تتخذ الدولة الطرف تدابير مختلفة، بأقصى ما تسمح به مواردها المتاحة، للتخفيف من أثر تطبيق الإطار القانوني على صاحب البلاغ. فعلى سبيل المثال، كان من الممكن إجراء وساطة لتعديل سعر الإيجار بدعم مالي من الدولة الطرف، من أجل تمكين صاحب </w:t>
      </w:r>
      <w:r w:rsidRPr="00B24BD4">
        <w:rPr>
          <w:spacing w:val="-2"/>
          <w:rtl/>
          <w:lang w:val="en-US"/>
        </w:rPr>
        <w:t>البلاغ من تسديده. ولم تُبحث هذه الإمكانية، أو أي إمكانية أخرى تسمح لصاحب البلاغ بالبقاء في المسكن</w:t>
      </w:r>
      <w:r w:rsidRPr="000D7670">
        <w:rPr>
          <w:rtl/>
          <w:lang w:val="en-US"/>
        </w:rPr>
        <w:t>، بسبب عدم مرونة القانون في هذا الصدد. ويبدو أن هذا الخيار خيار معقول جد</w:t>
      </w:r>
      <w:r w:rsidR="00DF20AC">
        <w:rPr>
          <w:rtl/>
          <w:lang w:val="en-US"/>
        </w:rPr>
        <w:t xml:space="preserve">اً </w:t>
      </w:r>
      <w:r w:rsidRPr="000D7670">
        <w:rPr>
          <w:rtl/>
          <w:lang w:val="en-US"/>
        </w:rPr>
        <w:t>نظر</w:t>
      </w:r>
      <w:r w:rsidR="00DF20AC">
        <w:rPr>
          <w:rtl/>
          <w:lang w:val="en-US"/>
        </w:rPr>
        <w:t xml:space="preserve">اً </w:t>
      </w:r>
      <w:r w:rsidRPr="000D7670">
        <w:rPr>
          <w:rtl/>
          <w:lang w:val="en-US"/>
        </w:rPr>
        <w:t>إلى وجود حقيقة لا</w:t>
      </w:r>
      <w:r w:rsidR="00B24BD4">
        <w:rPr>
          <w:rFonts w:hint="cs"/>
          <w:rtl/>
          <w:lang w:val="en-US"/>
        </w:rPr>
        <w:t> </w:t>
      </w:r>
      <w:r w:rsidRPr="000D7670">
        <w:rPr>
          <w:rtl/>
          <w:lang w:val="en-US"/>
        </w:rPr>
        <w:t>خلاف عليها في هذا البلاغ، وهي أن المالكة أعادت تأجير الشقة بإيجار أعلى. وفي هذا السياق، كان من الممكن للدولة الطرف، لو لم يكن القانون جامد</w:t>
      </w:r>
      <w:r w:rsidR="00DF20AC">
        <w:rPr>
          <w:rtl/>
          <w:lang w:val="en-US"/>
        </w:rPr>
        <w:t xml:space="preserve">اً </w:t>
      </w:r>
      <w:r w:rsidRPr="000D7670">
        <w:rPr>
          <w:rtl/>
          <w:lang w:val="en-US"/>
        </w:rPr>
        <w:t xml:space="preserve">إلى هذا الحد، أن تقدم إعانة مالية إلى صاحب البلاغ، بأقصى ما تسمح به مواردها المتاحة، للسماح له بالبقاء في الشقة. </w:t>
      </w:r>
    </w:p>
    <w:p w14:paraId="163F60EC" w14:textId="520C732C" w:rsidR="000D7670" w:rsidRPr="000D7670" w:rsidRDefault="000D7670" w:rsidP="000D7670">
      <w:pPr>
        <w:pStyle w:val="SingleTxtGA"/>
        <w:rPr>
          <w:lang w:val="en-US"/>
        </w:rPr>
      </w:pPr>
      <w:r w:rsidRPr="00575C09">
        <w:rPr>
          <w:rtl/>
          <w:lang w:val="en-US"/>
        </w:rPr>
        <w:t>12</w:t>
      </w:r>
      <w:r w:rsidRPr="000D7670">
        <w:rPr>
          <w:rtl/>
          <w:lang w:val="en-US"/>
        </w:rPr>
        <w:t>-</w:t>
      </w:r>
      <w:r w:rsidRPr="00575C09">
        <w:rPr>
          <w:rtl/>
          <w:lang w:val="en-US"/>
        </w:rPr>
        <w:t>6</w:t>
      </w:r>
      <w:r w:rsidRPr="000D7670">
        <w:rPr>
          <w:rtl/>
          <w:lang w:val="en-US"/>
        </w:rPr>
        <w:tab/>
        <w:t xml:space="preserve">وتذكّر اللجنة بأن الدول الأطراف ملزمة بتوفير سكن بديل للشخص المطرود بما تسمح به مواردها المتاحة (الفقرات من </w:t>
      </w:r>
      <w:r w:rsidRPr="00575C09">
        <w:rPr>
          <w:rtl/>
          <w:lang w:val="en-US"/>
        </w:rPr>
        <w:t>10</w:t>
      </w:r>
      <w:r w:rsidRPr="000D7670">
        <w:rPr>
          <w:rtl/>
          <w:lang w:val="en-US"/>
        </w:rPr>
        <w:t>-</w:t>
      </w:r>
      <w:r w:rsidRPr="00575C09">
        <w:rPr>
          <w:rtl/>
          <w:lang w:val="en-US"/>
        </w:rPr>
        <w:t>2</w:t>
      </w:r>
      <w:r w:rsidRPr="000D7670">
        <w:rPr>
          <w:rtl/>
          <w:lang w:val="en-US"/>
        </w:rPr>
        <w:t xml:space="preserve"> إلى </w:t>
      </w:r>
      <w:r w:rsidRPr="00575C09">
        <w:rPr>
          <w:rtl/>
          <w:lang w:val="en-US"/>
        </w:rPr>
        <w:t>10</w:t>
      </w:r>
      <w:r w:rsidRPr="000D7670">
        <w:rPr>
          <w:rtl/>
          <w:lang w:val="en-US"/>
        </w:rPr>
        <w:t>-</w:t>
      </w:r>
      <w:r w:rsidRPr="00575C09">
        <w:rPr>
          <w:rtl/>
          <w:lang w:val="en-US"/>
        </w:rPr>
        <w:t>4</w:t>
      </w:r>
      <w:r w:rsidRPr="000D7670">
        <w:rPr>
          <w:rtl/>
          <w:lang w:val="en-US"/>
        </w:rPr>
        <w:t xml:space="preserve"> </w:t>
      </w:r>
      <w:r w:rsidRPr="003D1720">
        <w:rPr>
          <w:i/>
          <w:iCs/>
          <w:rtl/>
          <w:lang w:val="en-US"/>
        </w:rPr>
        <w:t>أعلاه</w:t>
      </w:r>
      <w:r w:rsidRPr="000D7670">
        <w:rPr>
          <w:rtl/>
          <w:lang w:val="en-US"/>
        </w:rPr>
        <w:t>). وعليه، فإن شروط السكن البديل المعروض على الشخص المطرود، التي تتوافق مع التزامات الدول الأطراف بموجب أحكام العهد، قد تختلف من دولة إلى أخرى، تبع</w:t>
      </w:r>
      <w:r w:rsidR="00DF20AC">
        <w:rPr>
          <w:rtl/>
          <w:lang w:val="en-US"/>
        </w:rPr>
        <w:t xml:space="preserve">اً </w:t>
      </w:r>
      <w:r w:rsidRPr="000D7670">
        <w:rPr>
          <w:rtl/>
          <w:lang w:val="en-US"/>
        </w:rPr>
        <w:t xml:space="preserve">لمستوى نموها والموارد المتاحة لها. وكان هناك خطر بأن يؤدي تغيير جذري في سكن </w:t>
      </w:r>
      <w:r w:rsidRPr="00DF20AC">
        <w:rPr>
          <w:spacing w:val="-4"/>
          <w:rtl/>
          <w:lang w:val="en-US"/>
        </w:rPr>
        <w:t>شخص يبلغ سن صاحب البلاغ إلى الإخلال بنمط حياته، وهذا ما حدث لصاحب البلاغ على نحو ما</w:t>
      </w:r>
      <w:r w:rsidR="00DF20AC" w:rsidRPr="00DF20AC">
        <w:rPr>
          <w:rFonts w:hint="cs"/>
          <w:spacing w:val="-4"/>
          <w:rtl/>
          <w:lang w:val="en-US"/>
        </w:rPr>
        <w:t> </w:t>
      </w:r>
      <w:r w:rsidRPr="00DF20AC">
        <w:rPr>
          <w:spacing w:val="-4"/>
          <w:rtl/>
          <w:lang w:val="en-US"/>
        </w:rPr>
        <w:t>أكده</w:t>
      </w:r>
      <w:r w:rsidRPr="000D7670">
        <w:rPr>
          <w:rtl/>
          <w:lang w:val="en-US"/>
        </w:rPr>
        <w:t xml:space="preserve"> طبيبه النفسي. وفي هذا السياق، فإن طلب صاحب البلاغ الحصول على سكن بديل يجنّبه الانفصال عن </w:t>
      </w:r>
      <w:r w:rsidRPr="00DF20AC">
        <w:rPr>
          <w:spacing w:val="-4"/>
          <w:rtl/>
          <w:lang w:val="en-US"/>
        </w:rPr>
        <w:t>شبكته الاجتماعية القائمة ليس طلب</w:t>
      </w:r>
      <w:r w:rsidR="00DF20AC">
        <w:rPr>
          <w:spacing w:val="-4"/>
          <w:rtl/>
          <w:lang w:val="en-US"/>
        </w:rPr>
        <w:t xml:space="preserve">اً </w:t>
      </w:r>
      <w:r w:rsidRPr="00DF20AC">
        <w:rPr>
          <w:spacing w:val="-4"/>
          <w:rtl/>
          <w:lang w:val="en-US"/>
        </w:rPr>
        <w:t>منافي</w:t>
      </w:r>
      <w:r w:rsidR="00DF20AC">
        <w:rPr>
          <w:spacing w:val="-4"/>
          <w:rtl/>
          <w:lang w:val="en-US"/>
        </w:rPr>
        <w:t xml:space="preserve">اً </w:t>
      </w:r>
      <w:r w:rsidRPr="00DF20AC">
        <w:rPr>
          <w:spacing w:val="-4"/>
          <w:rtl/>
          <w:lang w:val="en-US"/>
        </w:rPr>
        <w:t>للعقل، لا سيما وأن الدولة الطرف هي أحد البلدان التي يبلغ دخل</w:t>
      </w:r>
      <w:r w:rsidRPr="000D7670">
        <w:rPr>
          <w:rtl/>
          <w:lang w:val="en-US"/>
        </w:rPr>
        <w:t xml:space="preserve"> الفرد فيها أعلى دخل في العالم.</w:t>
      </w:r>
    </w:p>
    <w:p w14:paraId="1875F51C" w14:textId="65884F32" w:rsidR="000D7670" w:rsidRPr="000D7670" w:rsidRDefault="000D7670" w:rsidP="000D7670">
      <w:pPr>
        <w:pStyle w:val="SingleTxtGA"/>
        <w:rPr>
          <w:lang w:val="en-US"/>
        </w:rPr>
      </w:pPr>
      <w:r w:rsidRPr="00575C09">
        <w:rPr>
          <w:rtl/>
          <w:lang w:val="en-US"/>
        </w:rPr>
        <w:t>12</w:t>
      </w:r>
      <w:r w:rsidRPr="000D7670">
        <w:rPr>
          <w:rtl/>
          <w:lang w:val="en-US"/>
        </w:rPr>
        <w:t>-</w:t>
      </w:r>
      <w:r w:rsidRPr="00575C09">
        <w:rPr>
          <w:rtl/>
          <w:lang w:val="en-US"/>
        </w:rPr>
        <w:t>7</w:t>
      </w:r>
      <w:r w:rsidRPr="000D7670">
        <w:rPr>
          <w:rtl/>
          <w:lang w:val="en-US"/>
        </w:rPr>
        <w:tab/>
      </w:r>
      <w:r w:rsidRPr="002A7D75">
        <w:rPr>
          <w:spacing w:val="-2"/>
          <w:rtl/>
          <w:lang w:val="en-US"/>
        </w:rPr>
        <w:t>وتلاحظ اللجنة أن صاحب البلاغ تلقى اقتراحين بشأن السكن البديل وهما السكن المؤقت المدعوم أو دار المسنين. ورفض صاحب البلاغ هذين الاقتراحين لأنه لا يمكن أن يشكل أيّ منهما حلاً بديل</w:t>
      </w:r>
      <w:r w:rsidR="00DD7E44">
        <w:rPr>
          <w:spacing w:val="-2"/>
          <w:rtl/>
          <w:lang w:val="en-US"/>
        </w:rPr>
        <w:t xml:space="preserve">اً </w:t>
      </w:r>
      <w:r w:rsidRPr="002A7D75">
        <w:rPr>
          <w:spacing w:val="-2"/>
          <w:rtl/>
          <w:lang w:val="en-US"/>
        </w:rPr>
        <w:t>مناسب</w:t>
      </w:r>
      <w:r w:rsidR="00DD7E44">
        <w:rPr>
          <w:spacing w:val="-2"/>
          <w:rtl/>
          <w:lang w:val="en-US"/>
        </w:rPr>
        <w:t xml:space="preserve">اً </w:t>
      </w:r>
      <w:r w:rsidRPr="002A7D75">
        <w:rPr>
          <w:spacing w:val="-2"/>
          <w:rtl/>
          <w:lang w:val="en-US"/>
        </w:rPr>
        <w:t>يلبي احتياجاته. وفي الظروف التي جرى وصفها، ترى اللجنة أن الاقتراحين المعروضين على صاحب البلاغ</w:t>
      </w:r>
      <w:r w:rsidR="00DD7E44">
        <w:rPr>
          <w:rFonts w:hint="cs"/>
          <w:spacing w:val="-2"/>
          <w:rtl/>
          <w:lang w:val="en-US"/>
        </w:rPr>
        <w:t> </w:t>
      </w:r>
      <w:r w:rsidRPr="002A7D75">
        <w:rPr>
          <w:spacing w:val="-2"/>
          <w:rtl/>
          <w:lang w:val="en-US"/>
        </w:rPr>
        <w:t>- وهما السكن العابر أو مأوى المسنين - لا يلبيان شروط السكن المؤقت اللائق، نظر</w:t>
      </w:r>
      <w:r w:rsidR="00DD7E44">
        <w:rPr>
          <w:spacing w:val="-2"/>
          <w:rtl/>
          <w:lang w:val="en-US"/>
        </w:rPr>
        <w:t xml:space="preserve">اً </w:t>
      </w:r>
      <w:r w:rsidRPr="002A7D75">
        <w:rPr>
          <w:spacing w:val="-2"/>
          <w:rtl/>
          <w:lang w:val="en-US"/>
        </w:rPr>
        <w:t xml:space="preserve">إلى </w:t>
      </w:r>
      <w:r w:rsidRPr="00DD7E44">
        <w:rPr>
          <w:spacing w:val="-4"/>
          <w:rtl/>
          <w:lang w:val="en-US"/>
        </w:rPr>
        <w:t>الاحتياجات الخاصة لصاحب البلاغ بوصفه شخص</w:t>
      </w:r>
      <w:r w:rsidR="00DD7E44">
        <w:rPr>
          <w:spacing w:val="-4"/>
          <w:rtl/>
          <w:lang w:val="en-US"/>
        </w:rPr>
        <w:t xml:space="preserve">اً </w:t>
      </w:r>
      <w:r w:rsidRPr="00DD7E44">
        <w:rPr>
          <w:spacing w:val="-4"/>
          <w:rtl/>
          <w:lang w:val="en-US"/>
        </w:rPr>
        <w:t>مسن</w:t>
      </w:r>
      <w:r w:rsidR="00DD7E44">
        <w:rPr>
          <w:spacing w:val="-4"/>
          <w:rtl/>
          <w:lang w:val="en-US"/>
        </w:rPr>
        <w:t>اً،</w:t>
      </w:r>
      <w:r w:rsidRPr="00DD7E44">
        <w:rPr>
          <w:spacing w:val="-4"/>
          <w:rtl/>
          <w:lang w:val="en-US"/>
        </w:rPr>
        <w:t xml:space="preserve"> لا سيما وأن تطبيق الإطار القانوني للدولة الطرف</w:t>
      </w:r>
      <w:r w:rsidRPr="000D7670">
        <w:rPr>
          <w:rtl/>
          <w:lang w:val="en-US"/>
        </w:rPr>
        <w:t xml:space="preserve">، </w:t>
      </w:r>
      <w:r w:rsidRPr="000D7670">
        <w:rPr>
          <w:rtl/>
          <w:lang w:val="en-US"/>
        </w:rPr>
        <w:lastRenderedPageBreak/>
        <w:t>الذي</w:t>
      </w:r>
      <w:r w:rsidR="002A7D75">
        <w:rPr>
          <w:rFonts w:hint="cs"/>
          <w:rtl/>
          <w:lang w:val="en-US"/>
        </w:rPr>
        <w:t> </w:t>
      </w:r>
      <w:r w:rsidRPr="000D7670">
        <w:rPr>
          <w:rtl/>
          <w:lang w:val="en-US"/>
        </w:rPr>
        <w:t xml:space="preserve">يجيز إنهاء عقد الإيجار دون مبرر على نحو ما أُوضح </w:t>
      </w:r>
      <w:r w:rsidRPr="001A4A23">
        <w:rPr>
          <w:i/>
          <w:iCs/>
          <w:rtl/>
          <w:lang w:val="en-US"/>
        </w:rPr>
        <w:t>أعلاه</w:t>
      </w:r>
      <w:r w:rsidRPr="000D7670">
        <w:rPr>
          <w:rtl/>
          <w:lang w:val="en-US"/>
        </w:rPr>
        <w:t xml:space="preserve"> (الفقرة </w:t>
      </w:r>
      <w:r w:rsidRPr="00575C09">
        <w:rPr>
          <w:rtl/>
          <w:lang w:val="en-US"/>
        </w:rPr>
        <w:t>11</w:t>
      </w:r>
      <w:r w:rsidRPr="000D7670">
        <w:rPr>
          <w:rtl/>
          <w:lang w:val="en-US"/>
        </w:rPr>
        <w:t>-</w:t>
      </w:r>
      <w:r w:rsidRPr="00575C09">
        <w:rPr>
          <w:rtl/>
          <w:lang w:val="en-US"/>
        </w:rPr>
        <w:t>6</w:t>
      </w:r>
      <w:r w:rsidRPr="000D7670">
        <w:rPr>
          <w:rtl/>
          <w:lang w:val="en-US"/>
        </w:rPr>
        <w:t>)،</w:t>
      </w:r>
      <w:r w:rsidR="00B6606A">
        <w:rPr>
          <w:rtl/>
          <w:lang w:val="en-US"/>
        </w:rPr>
        <w:t xml:space="preserve"> </w:t>
      </w:r>
      <w:r w:rsidRPr="000D7670">
        <w:rPr>
          <w:rtl/>
          <w:lang w:val="en-US"/>
        </w:rPr>
        <w:t>يلقي على كاهل الأشخاص الذين ينتمون إلى الفئات الضعيفة عبئ</w:t>
      </w:r>
      <w:r w:rsidR="00DD7E44">
        <w:rPr>
          <w:rtl/>
          <w:lang w:val="en-US"/>
        </w:rPr>
        <w:t xml:space="preserve">اً </w:t>
      </w:r>
      <w:r w:rsidRPr="000D7670">
        <w:rPr>
          <w:rtl/>
          <w:lang w:val="en-US"/>
        </w:rPr>
        <w:t>خاص</w:t>
      </w:r>
      <w:r w:rsidR="00DD7E44">
        <w:rPr>
          <w:rtl/>
          <w:lang w:val="en-US"/>
        </w:rPr>
        <w:t xml:space="preserve">اً </w:t>
      </w:r>
      <w:r w:rsidRPr="000D7670">
        <w:rPr>
          <w:rtl/>
          <w:lang w:val="en-US"/>
        </w:rPr>
        <w:t xml:space="preserve">في سوق الإسكان، بحيث تجد هذه الفئات صعوبة متزايدة في العثور على سكن لائق آخر في البيئة الحضرية التي اعتادت عليها. وينطبق هذا بوجه خاص على الأسر ذات الدخل المنخفض التي لديها أطفال وعلى المسنين، إذ إن إمكانياتهم الاقتصادية محدودة للغاية. وصحيح أن الدولة الطرف تتمتع بسلطة توجيهية فيما يخص الضوابط التنظيمية لعقود الإيجار، إلا أنها في الوقت نفسه ملزمة بتطبيق الضمانات اللازمة لكفالة أمن شغل المسكن، مما يتطلب منها توفير مساكن بديلة لائقة. </w:t>
      </w:r>
    </w:p>
    <w:p w14:paraId="0048EF91" w14:textId="132AC4E3" w:rsidR="000D7670" w:rsidRPr="000D7670" w:rsidRDefault="000D7670" w:rsidP="000D7670">
      <w:pPr>
        <w:pStyle w:val="SingleTxtGA"/>
        <w:rPr>
          <w:lang w:val="en-US"/>
        </w:rPr>
      </w:pPr>
      <w:r w:rsidRPr="00575C09">
        <w:rPr>
          <w:rtl/>
          <w:lang w:val="en-US"/>
        </w:rPr>
        <w:t>12</w:t>
      </w:r>
      <w:r w:rsidRPr="000D7670">
        <w:rPr>
          <w:rtl/>
          <w:lang w:val="en-US"/>
        </w:rPr>
        <w:t>-</w:t>
      </w:r>
      <w:r w:rsidRPr="00575C09">
        <w:rPr>
          <w:rtl/>
          <w:lang w:val="en-US"/>
        </w:rPr>
        <w:t>8</w:t>
      </w:r>
      <w:r w:rsidRPr="000D7670">
        <w:rPr>
          <w:rtl/>
          <w:lang w:val="en-US"/>
        </w:rPr>
        <w:tab/>
        <w:t>واستناد</w:t>
      </w:r>
      <w:r w:rsidR="00DD7E44">
        <w:rPr>
          <w:rtl/>
          <w:lang w:val="en-US"/>
        </w:rPr>
        <w:t xml:space="preserve">اً </w:t>
      </w:r>
      <w:r w:rsidRPr="000D7670">
        <w:rPr>
          <w:rtl/>
          <w:lang w:val="en-US"/>
        </w:rPr>
        <w:t>إلى المعلومات المشار إليها في الفقرات السابقة، أي دفع علاوة تعويضية وتوجيه إشعار بإنهاء العقد من جهة، وعدم ملاءمة المساكن البديلة المعروضة على صاحب البلاغ والأثر غير المتناسب الذي خلّفه عليه إنهاء عقد الإيجار باعتباره شخص</w:t>
      </w:r>
      <w:r w:rsidR="00DD7E44">
        <w:rPr>
          <w:rtl/>
          <w:lang w:val="en-US"/>
        </w:rPr>
        <w:t xml:space="preserve">اً </w:t>
      </w:r>
      <w:r w:rsidRPr="000D7670">
        <w:rPr>
          <w:rtl/>
          <w:lang w:val="en-US"/>
        </w:rPr>
        <w:t>مسن</w:t>
      </w:r>
      <w:r w:rsidR="00DD7E44">
        <w:rPr>
          <w:rtl/>
          <w:lang w:val="en-US"/>
        </w:rPr>
        <w:t xml:space="preserve">اً </w:t>
      </w:r>
      <w:r w:rsidRPr="000D7670">
        <w:rPr>
          <w:rtl/>
          <w:lang w:val="en-US"/>
        </w:rPr>
        <w:t xml:space="preserve">ذا دخل محدود من جهة أخرى، ترى اللجنة في </w:t>
      </w:r>
      <w:r w:rsidRPr="00DD7E44">
        <w:rPr>
          <w:spacing w:val="-2"/>
          <w:rtl/>
          <w:lang w:val="en-US"/>
        </w:rPr>
        <w:t>هذه الحالة أن كلا التطبيق الجامد للإطار التشريعي المتعلق بعقود الإيجار وعملية الإخلاء يشكلان انتهاك</w:t>
      </w:r>
      <w:r w:rsidR="00DD7E44" w:rsidRPr="00DD7E44">
        <w:rPr>
          <w:spacing w:val="-2"/>
          <w:rtl/>
          <w:lang w:val="en-US"/>
        </w:rPr>
        <w:t>اً</w:t>
      </w:r>
      <w:r w:rsidR="00DD7E44">
        <w:rPr>
          <w:rtl/>
          <w:lang w:val="en-US"/>
        </w:rPr>
        <w:t xml:space="preserve"> </w:t>
      </w:r>
      <w:r w:rsidRPr="00DD7E44">
        <w:rPr>
          <w:spacing w:val="-2"/>
          <w:rtl/>
          <w:lang w:val="en-US"/>
        </w:rPr>
        <w:t xml:space="preserve">من جانب الدولة الطرف لحق صاحب البلاغ في سكن لائق، كما هو منصوص عليه في المادة </w:t>
      </w:r>
      <w:r w:rsidRPr="00575C09">
        <w:rPr>
          <w:spacing w:val="-2"/>
          <w:rtl/>
          <w:lang w:val="en-US"/>
        </w:rPr>
        <w:t>11</w:t>
      </w:r>
      <w:r w:rsidRPr="00DD7E44">
        <w:rPr>
          <w:spacing w:val="-2"/>
          <w:rtl/>
          <w:lang w:val="en-US"/>
        </w:rPr>
        <w:t xml:space="preserve"> مقروءة</w:t>
      </w:r>
      <w:r w:rsidRPr="000D7670">
        <w:rPr>
          <w:rtl/>
          <w:lang w:val="en-US"/>
        </w:rPr>
        <w:t xml:space="preserve"> وحدها وبالاقتران مع المادة </w:t>
      </w:r>
      <w:r w:rsidRPr="00575C09">
        <w:rPr>
          <w:rtl/>
          <w:lang w:val="en-US"/>
        </w:rPr>
        <w:t>2</w:t>
      </w:r>
      <w:r w:rsidRPr="000D7670">
        <w:rPr>
          <w:rtl/>
          <w:lang w:val="en-US"/>
        </w:rPr>
        <w:t>(</w:t>
      </w:r>
      <w:r w:rsidRPr="00575C09">
        <w:rPr>
          <w:rtl/>
          <w:lang w:val="en-US"/>
        </w:rPr>
        <w:t>2</w:t>
      </w:r>
      <w:r w:rsidRPr="000D7670">
        <w:rPr>
          <w:rtl/>
          <w:lang w:val="en-US"/>
        </w:rPr>
        <w:t>) من العهد.</w:t>
      </w:r>
    </w:p>
    <w:p w14:paraId="091B5097" w14:textId="05FAA82A" w:rsidR="000D7670" w:rsidRPr="000D7670" w:rsidRDefault="000D7670" w:rsidP="000D7670">
      <w:pPr>
        <w:pStyle w:val="SingleTxtGA"/>
        <w:rPr>
          <w:lang w:val="en-US"/>
        </w:rPr>
      </w:pPr>
      <w:r w:rsidRPr="00575C09">
        <w:rPr>
          <w:rtl/>
          <w:lang w:val="en-US"/>
        </w:rPr>
        <w:t>12</w:t>
      </w:r>
      <w:r w:rsidRPr="000D7670">
        <w:rPr>
          <w:rtl/>
          <w:lang w:val="en-US"/>
        </w:rPr>
        <w:t>-</w:t>
      </w:r>
      <w:r w:rsidRPr="00575C09">
        <w:rPr>
          <w:rtl/>
          <w:lang w:val="en-US"/>
        </w:rPr>
        <w:t>9</w:t>
      </w:r>
      <w:r w:rsidRPr="000D7670">
        <w:rPr>
          <w:rtl/>
          <w:lang w:val="en-US"/>
        </w:rPr>
        <w:tab/>
        <w:t>ورغم طرد صاحب البلاغ من مسكنه واستنتاج حدوث انتهاك لحقه في سكن لائق، ترى اللجنة أن الدولة الطرف اتخذت التدابير المؤقتة المطلوبة، لأنها اقترحت على صاحب البلاغ ما اعتبرته في ذلك الوقت وبنية حسنة سكن</w:t>
      </w:r>
      <w:r w:rsidR="00DD7E44">
        <w:rPr>
          <w:rtl/>
          <w:lang w:val="en-US"/>
        </w:rPr>
        <w:t xml:space="preserve">اً </w:t>
      </w:r>
      <w:r w:rsidRPr="000D7670">
        <w:rPr>
          <w:rtl/>
          <w:lang w:val="en-US"/>
        </w:rPr>
        <w:t>بديل</w:t>
      </w:r>
      <w:r w:rsidR="00DD7E44">
        <w:rPr>
          <w:rtl/>
          <w:lang w:val="en-US"/>
        </w:rPr>
        <w:t xml:space="preserve">اً </w:t>
      </w:r>
      <w:r w:rsidRPr="000D7670">
        <w:rPr>
          <w:rtl/>
          <w:lang w:val="en-US"/>
        </w:rPr>
        <w:t>لائق</w:t>
      </w:r>
      <w:r w:rsidR="00DD7E44">
        <w:rPr>
          <w:rtl/>
          <w:lang w:val="en-US"/>
        </w:rPr>
        <w:t>اً.</w:t>
      </w:r>
      <w:r w:rsidRPr="000D7670">
        <w:rPr>
          <w:rtl/>
          <w:lang w:val="en-US"/>
        </w:rPr>
        <w:t xml:space="preserve"> ومن هنا، تخلص اللجنة إلى أنه لم يجر الإخلال بأي حكم من أحكام البروتوكول الاختياري.</w:t>
      </w:r>
    </w:p>
    <w:p w14:paraId="77EF6C32" w14:textId="19399724" w:rsidR="000D7670" w:rsidRPr="00575C09" w:rsidRDefault="00B6606A" w:rsidP="00B6606A">
      <w:pPr>
        <w:pStyle w:val="H1GA"/>
      </w:pPr>
      <w:r w:rsidRPr="00575C09">
        <w:rPr>
          <w:rtl/>
        </w:rPr>
        <w:tab/>
      </w:r>
      <w:r w:rsidR="000D7670" w:rsidRPr="00575C09">
        <w:rPr>
          <w:rtl/>
        </w:rPr>
        <w:t>دال-</w:t>
      </w:r>
      <w:r w:rsidR="000D7670" w:rsidRPr="00575C09">
        <w:rPr>
          <w:rtl/>
        </w:rPr>
        <w:tab/>
        <w:t>استنتاجات وتوصيات</w:t>
      </w:r>
    </w:p>
    <w:p w14:paraId="3716C359" w14:textId="77777777" w:rsidR="000D7670" w:rsidRPr="000D7670" w:rsidRDefault="000D7670" w:rsidP="000D7670">
      <w:pPr>
        <w:pStyle w:val="SingleTxtGA"/>
        <w:rPr>
          <w:lang w:val="en-US"/>
        </w:rPr>
      </w:pPr>
      <w:r w:rsidRPr="00575C09">
        <w:rPr>
          <w:rtl/>
          <w:lang w:val="en-US"/>
        </w:rPr>
        <w:t>13</w:t>
      </w:r>
      <w:r w:rsidRPr="000D7670">
        <w:rPr>
          <w:rtl/>
          <w:lang w:val="en-US"/>
        </w:rPr>
        <w:t>-</w:t>
      </w:r>
      <w:r w:rsidRPr="000D7670">
        <w:rPr>
          <w:rtl/>
          <w:lang w:val="en-US"/>
        </w:rPr>
        <w:tab/>
        <w:t xml:space="preserve">استناداً إلى جميع المعلومات المقدمة وفي الظروف الخاصة لهذه القضية، ترى اللجنة أن الوقائع المعروضة عليها تشكل انتهاكاً لحق صاحب البلاغ في سكن لائق. </w:t>
      </w:r>
    </w:p>
    <w:p w14:paraId="7F510E5C" w14:textId="77777777" w:rsidR="000D7670" w:rsidRPr="000D7670" w:rsidRDefault="000D7670" w:rsidP="000D7670">
      <w:pPr>
        <w:pStyle w:val="SingleTxtGA"/>
        <w:rPr>
          <w:lang w:val="en-US"/>
        </w:rPr>
      </w:pPr>
      <w:r w:rsidRPr="00575C09">
        <w:rPr>
          <w:rtl/>
          <w:lang w:val="en-US"/>
        </w:rPr>
        <w:t>14</w:t>
      </w:r>
      <w:r w:rsidRPr="000D7670">
        <w:rPr>
          <w:rtl/>
          <w:lang w:val="en-US"/>
        </w:rPr>
        <w:t>-</w:t>
      </w:r>
      <w:r w:rsidRPr="000D7670">
        <w:rPr>
          <w:rtl/>
          <w:lang w:val="en-US"/>
        </w:rPr>
        <w:tab/>
      </w:r>
      <w:r w:rsidRPr="00DD7E44">
        <w:rPr>
          <w:spacing w:val="-2"/>
          <w:rtl/>
          <w:lang w:val="en-US"/>
        </w:rPr>
        <w:t xml:space="preserve">واللجنة، إذ تتصرف بموجب المادة </w:t>
      </w:r>
      <w:r w:rsidRPr="00575C09">
        <w:rPr>
          <w:spacing w:val="-2"/>
          <w:rtl/>
          <w:lang w:val="en-US"/>
        </w:rPr>
        <w:t>9</w:t>
      </w:r>
      <w:r w:rsidRPr="00DD7E44">
        <w:rPr>
          <w:spacing w:val="-2"/>
          <w:rtl/>
          <w:lang w:val="en-US"/>
        </w:rPr>
        <w:t>(</w:t>
      </w:r>
      <w:r w:rsidRPr="00575C09">
        <w:rPr>
          <w:spacing w:val="-2"/>
          <w:rtl/>
          <w:lang w:val="en-US"/>
        </w:rPr>
        <w:t>1</w:t>
      </w:r>
      <w:r w:rsidRPr="00DD7E44">
        <w:rPr>
          <w:spacing w:val="-2"/>
          <w:rtl/>
          <w:lang w:val="en-US"/>
        </w:rPr>
        <w:t>) من البروتوكول الاختياري، ترى أن الدولة الطرف انتهكت</w:t>
      </w:r>
      <w:r w:rsidRPr="000D7670">
        <w:rPr>
          <w:rtl/>
          <w:lang w:val="en-US"/>
        </w:rPr>
        <w:t xml:space="preserve"> حق صاحب البلاغ بموجب المادة </w:t>
      </w:r>
      <w:r w:rsidRPr="00575C09">
        <w:rPr>
          <w:rtl/>
          <w:lang w:val="en-US"/>
        </w:rPr>
        <w:t>11</w:t>
      </w:r>
      <w:r w:rsidRPr="000D7670">
        <w:rPr>
          <w:rtl/>
          <w:lang w:val="en-US"/>
        </w:rPr>
        <w:t>(</w:t>
      </w:r>
      <w:r w:rsidRPr="00575C09">
        <w:rPr>
          <w:rtl/>
          <w:lang w:val="en-US"/>
        </w:rPr>
        <w:t>1</w:t>
      </w:r>
      <w:r w:rsidRPr="000D7670">
        <w:rPr>
          <w:rtl/>
          <w:lang w:val="en-US"/>
        </w:rPr>
        <w:t xml:space="preserve">) من العهد. وفي ضوء الآراء الواردة في هذا البلاغ، تقدم اللجنة إلى الدولة الطرف التوصيات التالية. </w:t>
      </w:r>
    </w:p>
    <w:p w14:paraId="63A0E83D" w14:textId="77777777" w:rsidR="000D7670" w:rsidRPr="00575C09" w:rsidRDefault="000D7670" w:rsidP="00B6606A">
      <w:pPr>
        <w:pStyle w:val="H23GA"/>
      </w:pPr>
      <w:r w:rsidRPr="00575C09">
        <w:rPr>
          <w:rtl/>
        </w:rPr>
        <w:tab/>
      </w:r>
      <w:r w:rsidRPr="00575C09">
        <w:rPr>
          <w:rtl/>
        </w:rPr>
        <w:tab/>
        <w:t xml:space="preserve">توصيات بشأن صاحب البلاغ </w:t>
      </w:r>
    </w:p>
    <w:p w14:paraId="2EFA6013" w14:textId="64EBF3E5" w:rsidR="000D7670" w:rsidRPr="000D7670" w:rsidRDefault="000D7670" w:rsidP="000D7670">
      <w:pPr>
        <w:pStyle w:val="SingleTxtGA"/>
        <w:rPr>
          <w:lang w:val="en-US"/>
        </w:rPr>
      </w:pPr>
      <w:r w:rsidRPr="00575C09">
        <w:rPr>
          <w:rtl/>
          <w:lang w:val="en-US"/>
        </w:rPr>
        <w:t>15</w:t>
      </w:r>
      <w:r w:rsidRPr="000D7670">
        <w:rPr>
          <w:rtl/>
          <w:lang w:val="en-US"/>
        </w:rPr>
        <w:t>-</w:t>
      </w:r>
      <w:r w:rsidRPr="000D7670">
        <w:rPr>
          <w:rtl/>
          <w:lang w:val="en-US"/>
        </w:rPr>
        <w:tab/>
        <w:t>إن الدولة الطرف ملزمة بتوفير سبيل انتصاف فعال لصاحب البلاغ، وينبغي لها على وجه الخصوص (أ) إذا لم يكن ينزل حالي</w:t>
      </w:r>
      <w:r w:rsidR="00DD7E44">
        <w:rPr>
          <w:rtl/>
          <w:lang w:val="en-US"/>
        </w:rPr>
        <w:t xml:space="preserve">اً </w:t>
      </w:r>
      <w:r w:rsidRPr="000D7670">
        <w:rPr>
          <w:rtl/>
          <w:lang w:val="en-US"/>
        </w:rPr>
        <w:t xml:space="preserve">في سكن لائق، أن تعيد تقييم حالة الضرورة التي يعاني منها لتوفير سكن اجتماعي له أو اتخاذ أي تدبير آخر يمكّنه من العيش في سكن لائق يستوفي المعايير المحددة في هذه الآراء؛ و(ب) إعطاء صاحب البلاغ تعويضاً مالياً عن الانتهاكات التي تعرض لها؛ و(ج) تعويض صاحب البلاغ عن التكاليف القانونية التي تكبدها بشكل معقول نتيجة تقديم هذا البلاغ. </w:t>
      </w:r>
    </w:p>
    <w:p w14:paraId="564492AA" w14:textId="77777777" w:rsidR="000D7670" w:rsidRPr="00575C09" w:rsidRDefault="000D7670" w:rsidP="00B6606A">
      <w:pPr>
        <w:pStyle w:val="H23GA"/>
      </w:pPr>
      <w:r w:rsidRPr="00575C09">
        <w:rPr>
          <w:rtl/>
        </w:rPr>
        <w:tab/>
      </w:r>
      <w:r w:rsidRPr="00575C09">
        <w:rPr>
          <w:rtl/>
        </w:rPr>
        <w:tab/>
        <w:t xml:space="preserve">توصيات عامة </w:t>
      </w:r>
    </w:p>
    <w:p w14:paraId="1FBB74D4" w14:textId="77777777" w:rsidR="000D7670" w:rsidRPr="000D7670" w:rsidRDefault="000D7670" w:rsidP="000D7670">
      <w:pPr>
        <w:pStyle w:val="SingleTxtGA"/>
        <w:rPr>
          <w:lang w:val="en-US"/>
        </w:rPr>
      </w:pPr>
      <w:r w:rsidRPr="00575C09">
        <w:rPr>
          <w:rtl/>
          <w:lang w:val="en-US"/>
        </w:rPr>
        <w:t>16</w:t>
      </w:r>
      <w:r w:rsidRPr="000D7670">
        <w:rPr>
          <w:rtl/>
          <w:lang w:val="en-US"/>
        </w:rPr>
        <w:t>-</w:t>
      </w:r>
      <w:r w:rsidRPr="000D7670">
        <w:rPr>
          <w:rtl/>
          <w:lang w:val="en-US"/>
        </w:rPr>
        <w:tab/>
        <w:t xml:space="preserve">ترى اللجنة أن سبل الانتصاف </w:t>
      </w:r>
      <w:proofErr w:type="spellStart"/>
      <w:r w:rsidRPr="000D7670">
        <w:rPr>
          <w:rtl/>
          <w:lang w:val="en-US"/>
        </w:rPr>
        <w:t>الموصى</w:t>
      </w:r>
      <w:proofErr w:type="spellEnd"/>
      <w:r w:rsidRPr="000D7670">
        <w:rPr>
          <w:rtl/>
          <w:lang w:val="en-US"/>
        </w:rPr>
        <w:t xml:space="preserve"> بها في سياق البلاغات الفردية يمكن أن تكون بمثابة ضمانات بعدم التكرار، وتذكّر بأن الدولة الطرف ملزمة بمنع حدوث انتهاكات مماثلة في المستقبل. وترى اللجنة أنه ينبغي للدولة الطرف أن تكفل اتساق تشريعاتها وإنفاذها مع الالتزامات المنصوص عليها في العهد. وعلى وجه الخصوص، يقع على عاتق الدولة التزام بما يلي:</w:t>
      </w:r>
    </w:p>
    <w:p w14:paraId="757DA029" w14:textId="5167EC5C" w:rsidR="000D7670" w:rsidRPr="000D7670" w:rsidRDefault="00B6606A" w:rsidP="000D7670">
      <w:pPr>
        <w:pStyle w:val="SingleTxtGA"/>
        <w:rPr>
          <w:lang w:val="en-US"/>
        </w:rPr>
      </w:pPr>
      <w:r>
        <w:rPr>
          <w:rtl/>
          <w:lang w:val="en-US"/>
        </w:rPr>
        <w:lastRenderedPageBreak/>
        <w:tab/>
      </w:r>
      <w:r w:rsidR="000D7670" w:rsidRPr="000D7670">
        <w:rPr>
          <w:rtl/>
          <w:lang w:val="en-US"/>
        </w:rPr>
        <w:t>(أ)</w:t>
      </w:r>
      <w:r w:rsidR="000D7670" w:rsidRPr="000D7670">
        <w:rPr>
          <w:rtl/>
          <w:lang w:val="en-US"/>
        </w:rPr>
        <w:tab/>
        <w:t>إعادة النظر في تشريعاتها الحالية التي تجيز للمؤجر إنهاء عقد الإيجار دون مبرّر، بغية تضمينها أوجه مرونة وتدابير خاصة تتيح تفادي أي أثر غير متناسب على حق الفئات المحرومة في سكن لائق، مثل المسنين الذين يعانون من وضع اجتماعي واقتصادي غير مواتٍ؛</w:t>
      </w:r>
    </w:p>
    <w:p w14:paraId="6F76391B" w14:textId="1AE36CAD" w:rsidR="000D7670" w:rsidRPr="000D7670" w:rsidRDefault="00B6606A" w:rsidP="000D7670">
      <w:pPr>
        <w:pStyle w:val="SingleTxtGA"/>
        <w:rPr>
          <w:lang w:val="en-US"/>
        </w:rPr>
      </w:pPr>
      <w:r>
        <w:rPr>
          <w:rtl/>
          <w:lang w:val="en-US"/>
        </w:rPr>
        <w:tab/>
      </w:r>
      <w:r w:rsidR="000D7670" w:rsidRPr="000D7670">
        <w:rPr>
          <w:rtl/>
          <w:lang w:val="en-US"/>
        </w:rPr>
        <w:t>(ب)</w:t>
      </w:r>
      <w:r w:rsidR="000D7670" w:rsidRPr="000D7670">
        <w:rPr>
          <w:rtl/>
          <w:lang w:val="en-US"/>
        </w:rPr>
        <w:tab/>
        <w:t>إجراء تقييم منتظم للتشريعات التي تجيز للمؤجر إنهاء عقد الإيجار دون مبرّر، من أجل تقييم الآثار العامة لهذه القوانين على ممارسة الحق في سكن لائق، ولا سيما بالنسبة إلى الفئات المحرومة، وإدخال التعديلات اللازمة لحماية هذا الحق، عند الاقتضاء؛</w:t>
      </w:r>
    </w:p>
    <w:p w14:paraId="2579B686" w14:textId="21CCE7DD" w:rsidR="000D7670" w:rsidRPr="000D7670" w:rsidRDefault="00B6606A" w:rsidP="000D7670">
      <w:pPr>
        <w:pStyle w:val="SingleTxtGA"/>
        <w:rPr>
          <w:lang w:val="en-US"/>
        </w:rPr>
      </w:pPr>
      <w:r>
        <w:rPr>
          <w:rtl/>
          <w:lang w:val="en-US"/>
        </w:rPr>
        <w:tab/>
      </w:r>
      <w:r w:rsidR="000D7670" w:rsidRPr="000D7670">
        <w:rPr>
          <w:rtl/>
          <w:lang w:val="en-US"/>
        </w:rPr>
        <w:t>(ج)</w:t>
      </w:r>
      <w:r w:rsidR="000D7670" w:rsidRPr="000D7670">
        <w:rPr>
          <w:rtl/>
          <w:lang w:val="en-US"/>
        </w:rPr>
        <w:tab/>
        <w:t xml:space="preserve">اتخاذ التدابير اللازمة، بأقصى ما تسمح به مواردها المتاحة، لضمان حصول الفئات المحرومة، مثل المسنين ذوي الوضع الاجتماعي والاقتصادي غير </w:t>
      </w:r>
      <w:proofErr w:type="spellStart"/>
      <w:r w:rsidR="000D7670" w:rsidRPr="000D7670">
        <w:rPr>
          <w:rtl/>
          <w:lang w:val="en-US"/>
        </w:rPr>
        <w:t>المواتي</w:t>
      </w:r>
      <w:proofErr w:type="spellEnd"/>
      <w:r w:rsidR="000D7670" w:rsidRPr="000D7670">
        <w:rPr>
          <w:rtl/>
          <w:lang w:val="en-US"/>
        </w:rPr>
        <w:t xml:space="preserve"> الذين يطردون من منازلهم، على مساكن بديلة تلبي احتياجاتهم الخاصة وتوفر لهم الاستقرار والأمن المناسبين لسنهم ووضعهم.</w:t>
      </w:r>
    </w:p>
    <w:p w14:paraId="495BF3F1" w14:textId="6FC3B196" w:rsidR="000D7670" w:rsidRPr="000D7670" w:rsidRDefault="000D7670" w:rsidP="000D7670">
      <w:pPr>
        <w:pStyle w:val="SingleTxtGA"/>
        <w:rPr>
          <w:lang w:val="en-US"/>
        </w:rPr>
      </w:pPr>
      <w:r w:rsidRPr="00575C09">
        <w:rPr>
          <w:rtl/>
          <w:lang w:val="en-US"/>
        </w:rPr>
        <w:t>17</w:t>
      </w:r>
      <w:r w:rsidRPr="000D7670">
        <w:rPr>
          <w:rtl/>
          <w:lang w:val="en-US"/>
        </w:rPr>
        <w:t>-</w:t>
      </w:r>
      <w:r w:rsidRPr="000D7670">
        <w:rPr>
          <w:rtl/>
          <w:lang w:val="en-US"/>
        </w:rPr>
        <w:tab/>
        <w:t>و</w:t>
      </w:r>
      <w:r w:rsidR="00B6606A">
        <w:rPr>
          <w:rtl/>
          <w:lang w:val="en-US"/>
        </w:rPr>
        <w:t xml:space="preserve">وفقاً </w:t>
      </w:r>
      <w:r w:rsidRPr="000D7670">
        <w:rPr>
          <w:rtl/>
          <w:lang w:val="en-US"/>
        </w:rPr>
        <w:t xml:space="preserve">للمادة </w:t>
      </w:r>
      <w:r w:rsidRPr="00575C09">
        <w:rPr>
          <w:rtl/>
          <w:lang w:val="en-US"/>
        </w:rPr>
        <w:t>9</w:t>
      </w:r>
      <w:r w:rsidRPr="000D7670">
        <w:rPr>
          <w:rtl/>
          <w:lang w:val="en-US"/>
        </w:rPr>
        <w:t>(</w:t>
      </w:r>
      <w:r w:rsidRPr="00575C09">
        <w:rPr>
          <w:rtl/>
          <w:lang w:val="en-US"/>
        </w:rPr>
        <w:t>2</w:t>
      </w:r>
      <w:r w:rsidRPr="000D7670">
        <w:rPr>
          <w:rtl/>
          <w:lang w:val="en-US"/>
        </w:rPr>
        <w:t xml:space="preserve">) من البروتوكول الاختياري والمادة </w:t>
      </w:r>
      <w:r w:rsidRPr="00575C09">
        <w:rPr>
          <w:rtl/>
          <w:lang w:val="en-US"/>
        </w:rPr>
        <w:t>18</w:t>
      </w:r>
      <w:r w:rsidRPr="000D7670">
        <w:rPr>
          <w:rtl/>
          <w:lang w:val="en-US"/>
        </w:rPr>
        <w:t>(</w:t>
      </w:r>
      <w:r w:rsidRPr="00575C09">
        <w:rPr>
          <w:rtl/>
          <w:lang w:val="en-US"/>
        </w:rPr>
        <w:t>1</w:t>
      </w:r>
      <w:r w:rsidRPr="000D7670">
        <w:rPr>
          <w:rtl/>
          <w:lang w:val="en-US"/>
        </w:rPr>
        <w:t>) من النظام الداخلي المؤقت للبروتوكول الاختياري، يُطلب إلى الدولة الطرف أن تقدم إلى اللجنة، في غضون ستة أشهر، معلومات خطية بخصوص أي إجراءات اتُخذت لتنفيذ آراء اللجنة وتوصياتها. ويُطلب إلى الدولة الطرف</w:t>
      </w:r>
      <w:r w:rsidR="00B6606A">
        <w:rPr>
          <w:rtl/>
          <w:lang w:val="en-US"/>
        </w:rPr>
        <w:t xml:space="preserve"> أيضاً </w:t>
      </w:r>
      <w:r w:rsidRPr="000D7670">
        <w:rPr>
          <w:rtl/>
          <w:lang w:val="en-US"/>
        </w:rPr>
        <w:t>نشر آراء وتوصيات اللجنة وتوزيعها على نطاق واسع، بوسائط يسهل الوصول إليها، بحيث تصل إلى علم جميع الفئات السكانية.</w:t>
      </w:r>
    </w:p>
    <w:p w14:paraId="64129E40" w14:textId="361898AB" w:rsidR="00A13A25" w:rsidRPr="000D7670" w:rsidRDefault="000D7670" w:rsidP="000D7670">
      <w:pPr>
        <w:pStyle w:val="SingleTxtGA"/>
        <w:jc w:val="center"/>
        <w:rPr>
          <w:u w:val="single"/>
          <w:rtl/>
        </w:rPr>
      </w:pPr>
      <w:r>
        <w:rPr>
          <w:u w:val="single"/>
          <w:rtl/>
        </w:rPr>
        <w:tab/>
      </w:r>
      <w:r>
        <w:rPr>
          <w:u w:val="single"/>
          <w:rtl/>
        </w:rPr>
        <w:tab/>
      </w:r>
      <w:r>
        <w:rPr>
          <w:u w:val="single"/>
          <w:rtl/>
        </w:rPr>
        <w:tab/>
      </w:r>
    </w:p>
    <w:sectPr w:rsidR="00A13A25" w:rsidRPr="000D7670" w:rsidSect="00C22A2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FAAD1" w14:textId="77777777" w:rsidR="001D7A1E" w:rsidRPr="002901D9" w:rsidRDefault="001D7A1E" w:rsidP="00485999">
      <w:pPr>
        <w:spacing w:after="60" w:line="240" w:lineRule="auto"/>
        <w:ind w:left="57"/>
        <w:rPr>
          <w:i/>
          <w:iCs/>
        </w:rPr>
      </w:pPr>
      <w:r>
        <w:rPr>
          <w:rFonts w:hint="cs"/>
          <w:i/>
          <w:iCs/>
          <w:rtl/>
        </w:rPr>
        <w:t>الحواشي</w:t>
      </w:r>
    </w:p>
  </w:endnote>
  <w:endnote w:type="continuationSeparator" w:id="0">
    <w:p w14:paraId="60FB04A1" w14:textId="77777777" w:rsidR="001D7A1E" w:rsidRDefault="001D7A1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2854" w14:textId="44D583CD" w:rsidR="001D7A1E" w:rsidRPr="00FA1FB7" w:rsidRDefault="001D7A1E" w:rsidP="00FA1FB7">
    <w:pPr>
      <w:pStyle w:val="Footer"/>
      <w:tabs>
        <w:tab w:val="right" w:pos="9638"/>
      </w:tabs>
      <w:rPr>
        <w:b/>
        <w:sz w:val="18"/>
        <w:lang w:val="en-US"/>
      </w:rPr>
    </w:pPr>
    <w:r>
      <w:rPr>
        <w:lang w:val="en-US"/>
      </w:rPr>
      <w:t>GE.21-17202</w:t>
    </w:r>
    <w:r>
      <w:rPr>
        <w:lang w:val="en-US"/>
      </w:rPr>
      <w:tab/>
    </w:r>
    <w:r w:rsidRPr="00FA1FB7">
      <w:rPr>
        <w:b/>
        <w:sz w:val="18"/>
        <w:lang w:val="en-US"/>
      </w:rPr>
      <w:fldChar w:fldCharType="begin"/>
    </w:r>
    <w:r w:rsidRPr="00FA1FB7">
      <w:rPr>
        <w:b/>
        <w:sz w:val="18"/>
        <w:lang w:val="en-US"/>
      </w:rPr>
      <w:instrText xml:space="preserve"> PAGE  \* MERGEFORMAT </w:instrText>
    </w:r>
    <w:r w:rsidRPr="00FA1FB7">
      <w:rPr>
        <w:b/>
        <w:sz w:val="18"/>
        <w:lang w:val="en-US"/>
      </w:rPr>
      <w:fldChar w:fldCharType="separate"/>
    </w:r>
    <w:r w:rsidRPr="00FA1FB7">
      <w:rPr>
        <w:b/>
        <w:noProof/>
        <w:sz w:val="18"/>
        <w:lang w:val="en-US"/>
      </w:rPr>
      <w:t>2</w:t>
    </w:r>
    <w:r w:rsidRPr="00FA1FB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5700" w14:textId="4FA16A7B" w:rsidR="001D7A1E" w:rsidRPr="00FA1FB7" w:rsidRDefault="001D7A1E" w:rsidP="00FA1FB7">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GE.21-17202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F96C" w14:textId="0FA9EF85" w:rsidR="001D7A1E" w:rsidRPr="00FA1FB7" w:rsidRDefault="001D7A1E" w:rsidP="00FA1FB7">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D9C0412" wp14:editId="4AD12C8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21-17202 (A)</w:t>
    </w:r>
    <w:r>
      <w:rPr>
        <w:noProof/>
        <w:sz w:val="20"/>
        <w:lang w:val="en-US"/>
      </w:rPr>
      <w:drawing>
        <wp:anchor distT="0" distB="0" distL="114300" distR="114300" simplePos="0" relativeHeight="251659264" behindDoc="0" locked="0" layoutInCell="1" allowOverlap="1" wp14:anchorId="62F011EF" wp14:editId="0049AF10">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4843" w14:textId="77777777" w:rsidR="001D7A1E" w:rsidRPr="00EE401A" w:rsidRDefault="001D7A1E"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5850E21" w14:textId="77777777" w:rsidR="001D7A1E" w:rsidRDefault="001D7A1E" w:rsidP="00656392">
      <w:pPr>
        <w:spacing w:line="240" w:lineRule="auto"/>
      </w:pPr>
      <w:r>
        <w:continuationSeparator/>
      </w:r>
    </w:p>
  </w:footnote>
  <w:footnote w:id="1">
    <w:p w14:paraId="5713BCFC" w14:textId="64528364" w:rsidR="001D7A1E" w:rsidRPr="000D7670" w:rsidRDefault="001D7A1E" w:rsidP="000D7670">
      <w:pPr>
        <w:pStyle w:val="FootnoteText1"/>
        <w:rPr>
          <w:rFonts w:hint="cs"/>
          <w:rtl/>
        </w:rPr>
      </w:pPr>
      <w:r>
        <w:rPr>
          <w:rtl/>
        </w:rPr>
        <w:t>*</w:t>
      </w:r>
      <w:r>
        <w:rPr>
          <w:rtl/>
        </w:rPr>
        <w:tab/>
      </w:r>
      <w:r w:rsidRPr="000D7670">
        <w:rPr>
          <w:rtl/>
        </w:rPr>
        <w:t>اعتمدتها اللجنة في دورتها السبعين (</w:t>
      </w:r>
      <w:r w:rsidRPr="00575C09">
        <w:rPr>
          <w:rtl/>
        </w:rPr>
        <w:t>27</w:t>
      </w:r>
      <w:r w:rsidRPr="000D7670">
        <w:rPr>
          <w:rtl/>
        </w:rPr>
        <w:t xml:space="preserve"> أيلول/سبتمبر - </w:t>
      </w:r>
      <w:r w:rsidRPr="00575C09">
        <w:rPr>
          <w:rtl/>
        </w:rPr>
        <w:t>15</w:t>
      </w:r>
      <w:r w:rsidRPr="000D7670">
        <w:rPr>
          <w:rtl/>
        </w:rPr>
        <w:t xml:space="preserve"> تشرين الأول/أكتوبر </w:t>
      </w:r>
      <w:r w:rsidRPr="00575C09">
        <w:rPr>
          <w:rtl/>
        </w:rPr>
        <w:t>2021</w:t>
      </w:r>
      <w:r w:rsidRPr="000D7670">
        <w:rPr>
          <w:rtl/>
        </w:rPr>
        <w:t>).</w:t>
      </w:r>
    </w:p>
  </w:footnote>
  <w:footnote w:id="2">
    <w:p w14:paraId="355D3597" w14:textId="645D04C0"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تعرض الوقائع كما أعيدت صياغتها على أساس البلاغ المقدم من صاحب الشكوى والمعلومات التي قدمها الطرفان.</w:t>
      </w:r>
    </w:p>
  </w:footnote>
  <w:footnote w:id="3">
    <w:p w14:paraId="366C97E5" w14:textId="46F69A29"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اتصل صاحب البلاغ، </w:t>
      </w:r>
      <w:r>
        <w:rPr>
          <w:rtl/>
        </w:rPr>
        <w:t xml:space="preserve">وفقاً </w:t>
      </w:r>
      <w:r w:rsidRPr="000D7670">
        <w:rPr>
          <w:rtl/>
        </w:rPr>
        <w:t xml:space="preserve">للوثائق المرفقة ببلاغه، </w:t>
      </w:r>
      <w:proofErr w:type="spellStart"/>
      <w:r w:rsidRPr="000D7670">
        <w:rPr>
          <w:rtl/>
        </w:rPr>
        <w:t>ببورغمستر</w:t>
      </w:r>
      <w:proofErr w:type="spellEnd"/>
      <w:r w:rsidRPr="000D7670">
        <w:rPr>
          <w:rtl/>
        </w:rPr>
        <w:t xml:space="preserve"> </w:t>
      </w:r>
      <w:proofErr w:type="spellStart"/>
      <w:r w:rsidRPr="000D7670">
        <w:rPr>
          <w:rtl/>
        </w:rPr>
        <w:t>إتربيك</w:t>
      </w:r>
      <w:proofErr w:type="spellEnd"/>
      <w:r w:rsidRPr="000D7670">
        <w:rPr>
          <w:rtl/>
        </w:rPr>
        <w:t xml:space="preserve"> في عدة مناسبات وقابله، على نحو ما ورد في رسائله الإلكترونية المؤرخة </w:t>
      </w:r>
      <w:r w:rsidRPr="00575C09">
        <w:rPr>
          <w:rtl/>
        </w:rPr>
        <w:t>31</w:t>
      </w:r>
      <w:r w:rsidRPr="000D7670">
        <w:rPr>
          <w:rtl/>
        </w:rPr>
        <w:t xml:space="preserve"> تموز/يوليه و</w:t>
      </w:r>
      <w:r w:rsidRPr="00575C09">
        <w:rPr>
          <w:rtl/>
        </w:rPr>
        <w:t>1</w:t>
      </w:r>
      <w:r w:rsidRPr="000D7670">
        <w:rPr>
          <w:rtl/>
        </w:rPr>
        <w:t xml:space="preserve"> تشرين الأول/أكتوبر </w:t>
      </w:r>
      <w:r w:rsidRPr="00575C09">
        <w:rPr>
          <w:rtl/>
        </w:rPr>
        <w:t>2018</w:t>
      </w:r>
      <w:r w:rsidRPr="000D7670">
        <w:rPr>
          <w:rtl/>
        </w:rPr>
        <w:t>.</w:t>
      </w:r>
    </w:p>
  </w:footnote>
  <w:footnote w:id="4">
    <w:p w14:paraId="2A23EC0D" w14:textId="2AFBAC18"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1D7A1E">
        <w:rPr>
          <w:spacing w:val="-4"/>
          <w:rtl/>
        </w:rPr>
        <w:t xml:space="preserve">انظر قضية </w:t>
      </w:r>
      <w:r w:rsidRPr="001D7A1E">
        <w:rPr>
          <w:i/>
          <w:iCs/>
          <w:spacing w:val="-4"/>
          <w:rtl/>
        </w:rPr>
        <w:t>بن جازية وبليلي ضد إسبانيا</w:t>
      </w:r>
      <w:r w:rsidRPr="001D7A1E">
        <w:rPr>
          <w:spacing w:val="-4"/>
          <w:rtl/>
        </w:rPr>
        <w:t xml:space="preserve"> (</w:t>
      </w:r>
      <w:r w:rsidRPr="001D7A1E">
        <w:rPr>
          <w:spacing w:val="-4"/>
        </w:rPr>
        <w:t>E/C.</w:t>
      </w:r>
      <w:r w:rsidRPr="00575C09">
        <w:rPr>
          <w:spacing w:val="-4"/>
        </w:rPr>
        <w:t>12</w:t>
      </w:r>
      <w:r w:rsidRPr="001D7A1E">
        <w:rPr>
          <w:spacing w:val="-4"/>
        </w:rPr>
        <w:t>/</w:t>
      </w:r>
      <w:r w:rsidRPr="00575C09">
        <w:rPr>
          <w:spacing w:val="-4"/>
        </w:rPr>
        <w:t>61</w:t>
      </w:r>
      <w:r w:rsidRPr="001D7A1E">
        <w:rPr>
          <w:spacing w:val="-4"/>
        </w:rPr>
        <w:t>/D/</w:t>
      </w:r>
      <w:r w:rsidRPr="00575C09">
        <w:rPr>
          <w:spacing w:val="-4"/>
        </w:rPr>
        <w:t>5</w:t>
      </w:r>
      <w:r w:rsidRPr="001D7A1E">
        <w:rPr>
          <w:spacing w:val="-4"/>
        </w:rPr>
        <w:t>/</w:t>
      </w:r>
      <w:r w:rsidRPr="00575C09">
        <w:rPr>
          <w:spacing w:val="-4"/>
        </w:rPr>
        <w:t>2015</w:t>
      </w:r>
      <w:r w:rsidRPr="001D7A1E">
        <w:rPr>
          <w:spacing w:val="-4"/>
          <w:rtl/>
        </w:rPr>
        <w:t xml:space="preserve">)؛ و‎‎اللجنة المعنية بالحقوق الاقتصادية والاجتماعية والثقافية‏‏، </w:t>
      </w:r>
      <w:r w:rsidRPr="000D7670">
        <w:rPr>
          <w:rtl/>
        </w:rPr>
        <w:t xml:space="preserve">التعليق العام رقم </w:t>
      </w:r>
      <w:r w:rsidRPr="00575C09">
        <w:rPr>
          <w:rtl/>
        </w:rPr>
        <w:t>4</w:t>
      </w:r>
      <w:r w:rsidRPr="000D7670">
        <w:rPr>
          <w:rtl/>
        </w:rPr>
        <w:t>(</w:t>
      </w:r>
      <w:r w:rsidRPr="00575C09">
        <w:rPr>
          <w:rtl/>
        </w:rPr>
        <w:t>1991</w:t>
      </w:r>
      <w:r w:rsidRPr="000D7670">
        <w:rPr>
          <w:rtl/>
        </w:rPr>
        <w:t>).</w:t>
      </w:r>
    </w:p>
  </w:footnote>
  <w:footnote w:id="5">
    <w:p w14:paraId="3518DE10" w14:textId="42A0957E"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انظر ‎‎اللجنة المعنية بالحقوق الاقتصادية والاجتماعية والثقافية‏‏، التعليقين العامين رقم </w:t>
      </w:r>
      <w:r w:rsidRPr="00575C09">
        <w:rPr>
          <w:rtl/>
        </w:rPr>
        <w:t>6</w:t>
      </w:r>
      <w:r w:rsidRPr="000D7670">
        <w:rPr>
          <w:rtl/>
        </w:rPr>
        <w:t>(</w:t>
      </w:r>
      <w:r w:rsidRPr="00575C09">
        <w:rPr>
          <w:rtl/>
        </w:rPr>
        <w:t>1995</w:t>
      </w:r>
      <w:r w:rsidRPr="000D7670">
        <w:rPr>
          <w:rtl/>
        </w:rPr>
        <w:t>) و</w:t>
      </w:r>
      <w:r w:rsidRPr="00575C09">
        <w:rPr>
          <w:rtl/>
        </w:rPr>
        <w:t>7</w:t>
      </w:r>
      <w:r w:rsidRPr="000D7670">
        <w:rPr>
          <w:rtl/>
        </w:rPr>
        <w:t>(</w:t>
      </w:r>
      <w:r w:rsidRPr="00575C09">
        <w:rPr>
          <w:rtl/>
        </w:rPr>
        <w:t>1997</w:t>
      </w:r>
      <w:r w:rsidRPr="000D7670">
        <w:rPr>
          <w:rtl/>
        </w:rPr>
        <w:t>).</w:t>
      </w:r>
    </w:p>
  </w:footnote>
  <w:footnote w:id="6">
    <w:p w14:paraId="057D4375" w14:textId="3CDBB94C"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تحقيق</w:t>
      </w:r>
      <w:r w:rsidR="00DD7E44">
        <w:rPr>
          <w:rtl/>
        </w:rPr>
        <w:t xml:space="preserve">اً </w:t>
      </w:r>
      <w:r w:rsidRPr="000D7670">
        <w:rPr>
          <w:rtl/>
        </w:rPr>
        <w:t xml:space="preserve">لهذه الغاية، يرفق صاحب البلاغ دراسة أجرتها الخبيرة الاقتصادية ماريون </w:t>
      </w:r>
      <w:proofErr w:type="spellStart"/>
      <w:r w:rsidRPr="000D7670">
        <w:rPr>
          <w:rtl/>
        </w:rPr>
        <w:t>إنغلرت</w:t>
      </w:r>
      <w:proofErr w:type="spellEnd"/>
      <w:r w:rsidRPr="000D7670">
        <w:rPr>
          <w:rtl/>
        </w:rPr>
        <w:t xml:space="preserve">. </w:t>
      </w:r>
    </w:p>
  </w:footnote>
  <w:footnote w:id="7">
    <w:p w14:paraId="198EA39C" w14:textId="33D3EC99" w:rsidR="001D7A1E" w:rsidRPr="00B6606A" w:rsidRDefault="001D7A1E" w:rsidP="000D7670">
      <w:pPr>
        <w:pStyle w:val="FootnoteText1"/>
        <w:textDirection w:val="tbRlV"/>
        <w:rPr>
          <w:spacing w:val="-2"/>
        </w:rPr>
      </w:pPr>
      <w:r w:rsidRPr="000D7670">
        <w:rPr>
          <w:rtl/>
        </w:rPr>
        <w:t>(</w:t>
      </w:r>
      <w:r w:rsidRPr="00575C09">
        <w:rPr>
          <w:rStyle w:val="FootnoteReference"/>
          <w:vertAlign w:val="baseline"/>
        </w:rPr>
        <w:footnoteRef/>
      </w:r>
      <w:r w:rsidRPr="000D7670">
        <w:rPr>
          <w:rtl/>
        </w:rPr>
        <w:t>)</w:t>
      </w:r>
      <w:r w:rsidRPr="00B6606A">
        <w:rPr>
          <w:spacing w:val="-2"/>
          <w:rtl/>
        </w:rPr>
        <w:tab/>
        <w:t xml:space="preserve">‎‎اللجنة المعنية بالحقوق الاقتصادية والاجتماعية والثقافية،‏‏ التعليقان العامان رقم </w:t>
      </w:r>
      <w:r w:rsidRPr="00575C09">
        <w:rPr>
          <w:spacing w:val="-2"/>
          <w:rtl/>
        </w:rPr>
        <w:t>4</w:t>
      </w:r>
      <w:r w:rsidRPr="00B6606A">
        <w:rPr>
          <w:spacing w:val="-2"/>
          <w:rtl/>
        </w:rPr>
        <w:t>(</w:t>
      </w:r>
      <w:r w:rsidRPr="00575C09">
        <w:rPr>
          <w:spacing w:val="-2"/>
          <w:rtl/>
        </w:rPr>
        <w:t>1991</w:t>
      </w:r>
      <w:r w:rsidRPr="00B6606A">
        <w:rPr>
          <w:spacing w:val="-2"/>
          <w:rtl/>
        </w:rPr>
        <w:t xml:space="preserve">)، الفقرة </w:t>
      </w:r>
      <w:r w:rsidRPr="00575C09">
        <w:rPr>
          <w:spacing w:val="-2"/>
          <w:rtl/>
        </w:rPr>
        <w:t>18</w:t>
      </w:r>
      <w:r w:rsidRPr="00B6606A">
        <w:rPr>
          <w:spacing w:val="-2"/>
          <w:rtl/>
        </w:rPr>
        <w:t xml:space="preserve">، ورقم </w:t>
      </w:r>
      <w:r w:rsidRPr="00575C09">
        <w:rPr>
          <w:spacing w:val="-2"/>
          <w:rtl/>
        </w:rPr>
        <w:t>7</w:t>
      </w:r>
      <w:r w:rsidRPr="00B6606A">
        <w:rPr>
          <w:spacing w:val="-2"/>
          <w:rtl/>
        </w:rPr>
        <w:t>(</w:t>
      </w:r>
      <w:r w:rsidRPr="00575C09">
        <w:rPr>
          <w:spacing w:val="-2"/>
          <w:rtl/>
        </w:rPr>
        <w:t>1997</w:t>
      </w:r>
      <w:r w:rsidRPr="00B6606A">
        <w:rPr>
          <w:spacing w:val="-2"/>
          <w:rtl/>
        </w:rPr>
        <w:t xml:space="preserve">)، الفقرة </w:t>
      </w:r>
      <w:r w:rsidRPr="00575C09">
        <w:rPr>
          <w:spacing w:val="-2"/>
          <w:rtl/>
        </w:rPr>
        <w:t>16</w:t>
      </w:r>
      <w:r w:rsidRPr="00B6606A">
        <w:rPr>
          <w:spacing w:val="-2"/>
          <w:rtl/>
        </w:rPr>
        <w:t>.</w:t>
      </w:r>
    </w:p>
  </w:footnote>
  <w:footnote w:id="8">
    <w:p w14:paraId="06107B0B" w14:textId="642871D0"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7</w:t>
      </w:r>
      <w:r w:rsidRPr="000D7670">
        <w:rPr>
          <w:rtl/>
        </w:rPr>
        <w:t>(</w:t>
      </w:r>
      <w:r w:rsidRPr="00575C09">
        <w:rPr>
          <w:rtl/>
        </w:rPr>
        <w:t>1997</w:t>
      </w:r>
      <w:r w:rsidRPr="000D7670">
        <w:rPr>
          <w:rtl/>
        </w:rPr>
        <w:t xml:space="preserve">)، الفقرة </w:t>
      </w:r>
      <w:r w:rsidRPr="00575C09">
        <w:rPr>
          <w:rtl/>
        </w:rPr>
        <w:t>11</w:t>
      </w:r>
      <w:r w:rsidRPr="000D7670">
        <w:rPr>
          <w:rtl/>
        </w:rPr>
        <w:t>.</w:t>
      </w:r>
    </w:p>
  </w:footnote>
  <w:footnote w:id="9">
    <w:p w14:paraId="127337BE" w14:textId="6413BBA7"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انظر المحكمة الأوروبية لحقوق الإنسان، قضية </w:t>
      </w:r>
      <w:proofErr w:type="spellStart"/>
      <w:r w:rsidRPr="001D7A1E">
        <w:rPr>
          <w:i/>
          <w:iCs/>
          <w:rtl/>
        </w:rPr>
        <w:t>فرزيتش</w:t>
      </w:r>
      <w:proofErr w:type="spellEnd"/>
      <w:r w:rsidRPr="001D7A1E">
        <w:rPr>
          <w:i/>
          <w:iCs/>
          <w:rtl/>
        </w:rPr>
        <w:t xml:space="preserve"> ضد كرواتيا</w:t>
      </w:r>
      <w:r w:rsidRPr="000D7670">
        <w:rPr>
          <w:rtl/>
        </w:rPr>
        <w:t xml:space="preserve">، الطلب رقم </w:t>
      </w:r>
      <w:r w:rsidRPr="00575C09">
        <w:rPr>
          <w:rtl/>
        </w:rPr>
        <w:t>43777</w:t>
      </w:r>
      <w:r w:rsidRPr="000D7670">
        <w:rPr>
          <w:rtl/>
        </w:rPr>
        <w:t>/</w:t>
      </w:r>
      <w:r w:rsidRPr="00575C09">
        <w:rPr>
          <w:rtl/>
        </w:rPr>
        <w:t>13</w:t>
      </w:r>
      <w:r w:rsidRPr="000D7670">
        <w:rPr>
          <w:rtl/>
        </w:rPr>
        <w:t xml:space="preserve">، قرار، </w:t>
      </w:r>
      <w:r w:rsidRPr="00575C09">
        <w:rPr>
          <w:rtl/>
        </w:rPr>
        <w:t>12</w:t>
      </w:r>
      <w:r w:rsidRPr="000D7670">
        <w:rPr>
          <w:rtl/>
        </w:rPr>
        <w:t xml:space="preserve"> تموز/يوليه </w:t>
      </w:r>
      <w:r w:rsidRPr="00575C09">
        <w:rPr>
          <w:rtl/>
        </w:rPr>
        <w:t>2016</w:t>
      </w:r>
      <w:r w:rsidRPr="000D7670">
        <w:rPr>
          <w:rtl/>
        </w:rPr>
        <w:t xml:space="preserve">؛ والمحكمة الأوروبية لحقوق الإنسان، قضية </w:t>
      </w:r>
      <w:r w:rsidRPr="001D7A1E">
        <w:rPr>
          <w:i/>
          <w:iCs/>
          <w:rtl/>
        </w:rPr>
        <w:t>ف. ج. م. ضد المملكة المتحدة</w:t>
      </w:r>
      <w:r w:rsidRPr="000D7670">
        <w:rPr>
          <w:rtl/>
        </w:rPr>
        <w:t xml:space="preserve">، الطلب رقم </w:t>
      </w:r>
      <w:r w:rsidRPr="00575C09">
        <w:rPr>
          <w:rtl/>
        </w:rPr>
        <w:t>76202</w:t>
      </w:r>
      <w:r w:rsidRPr="000D7670">
        <w:rPr>
          <w:rtl/>
        </w:rPr>
        <w:t>/</w:t>
      </w:r>
      <w:r w:rsidRPr="00575C09">
        <w:rPr>
          <w:rtl/>
        </w:rPr>
        <w:t>16</w:t>
      </w:r>
      <w:r w:rsidRPr="000D7670">
        <w:rPr>
          <w:rtl/>
        </w:rPr>
        <w:t xml:space="preserve">، مقرّر، </w:t>
      </w:r>
      <w:r w:rsidRPr="00575C09">
        <w:rPr>
          <w:rtl/>
        </w:rPr>
        <w:t>6</w:t>
      </w:r>
      <w:r w:rsidRPr="000D7670">
        <w:rPr>
          <w:rtl/>
        </w:rPr>
        <w:t xml:space="preserve"> تشرين الثاني/</w:t>
      </w:r>
      <w:r w:rsidR="00190E4B">
        <w:rPr>
          <w:rFonts w:hint="cs"/>
          <w:rtl/>
        </w:rPr>
        <w:t xml:space="preserve"> </w:t>
      </w:r>
      <w:r w:rsidRPr="000D7670">
        <w:rPr>
          <w:rtl/>
        </w:rPr>
        <w:t xml:space="preserve">نوفمبر </w:t>
      </w:r>
      <w:r w:rsidRPr="00575C09">
        <w:rPr>
          <w:rtl/>
        </w:rPr>
        <w:t>2018</w:t>
      </w:r>
      <w:r w:rsidRPr="000D7670">
        <w:rPr>
          <w:rtl/>
        </w:rPr>
        <w:t xml:space="preserve">، الفقرة </w:t>
      </w:r>
      <w:r w:rsidRPr="00575C09">
        <w:rPr>
          <w:rtl/>
        </w:rPr>
        <w:t>40</w:t>
      </w:r>
      <w:r w:rsidRPr="000D7670">
        <w:rPr>
          <w:rtl/>
        </w:rPr>
        <w:t>.</w:t>
      </w:r>
    </w:p>
  </w:footnote>
  <w:footnote w:id="10">
    <w:p w14:paraId="12DB3032" w14:textId="13591EB2" w:rsidR="001D7A1E" w:rsidRPr="000D7670" w:rsidRDefault="001D7A1E" w:rsidP="003D33AE">
      <w:pPr>
        <w:pStyle w:val="FootnoteText1"/>
        <w:spacing w:line="260" w:lineRule="exact"/>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انظر مرصد الأوضاع الصحية والاجتماعية لبروكسل العاصمة، </w:t>
      </w:r>
      <w:r w:rsidRPr="00B24BD4">
        <w:rPr>
          <w:i/>
          <w:iCs/>
          <w:rtl/>
        </w:rPr>
        <w:t xml:space="preserve">مؤشر اجتماعي: تقرير بروكسل عن حالة الفقر – عام </w:t>
      </w:r>
      <w:r w:rsidRPr="00575C09">
        <w:rPr>
          <w:i/>
          <w:iCs/>
          <w:rtl/>
        </w:rPr>
        <w:t>2018</w:t>
      </w:r>
      <w:r w:rsidRPr="000D7670">
        <w:rPr>
          <w:rtl/>
        </w:rPr>
        <w:t xml:space="preserve">، بروكسل، اللجنة المجتمعية المشتركة، عام </w:t>
      </w:r>
      <w:r w:rsidRPr="00575C09">
        <w:rPr>
          <w:rtl/>
        </w:rPr>
        <w:t>2018</w:t>
      </w:r>
      <w:r w:rsidRPr="000D7670">
        <w:rPr>
          <w:rtl/>
        </w:rPr>
        <w:t xml:space="preserve"> (</w:t>
      </w:r>
      <w:proofErr w:type="spellStart"/>
      <w:r w:rsidR="00E262B9" w:rsidRPr="004F0BC2">
        <w:t>Observatoir</w:t>
      </w:r>
      <w:r w:rsidR="00E262B9">
        <w:t>e</w:t>
      </w:r>
      <w:proofErr w:type="spellEnd"/>
      <w:r w:rsidR="00E262B9" w:rsidRPr="004F0BC2">
        <w:t xml:space="preserve"> de la </w:t>
      </w:r>
      <w:proofErr w:type="spellStart"/>
      <w:r w:rsidR="00E262B9">
        <w:t>s</w:t>
      </w:r>
      <w:r w:rsidR="00E262B9" w:rsidRPr="004F0BC2">
        <w:t>anté</w:t>
      </w:r>
      <w:proofErr w:type="spellEnd"/>
      <w:r w:rsidR="00E262B9" w:rsidRPr="004F0BC2">
        <w:t xml:space="preserve"> et du </w:t>
      </w:r>
      <w:r w:rsidR="00E262B9">
        <w:t>s</w:t>
      </w:r>
      <w:r w:rsidR="00E262B9" w:rsidRPr="004F0BC2">
        <w:t xml:space="preserve">ocial </w:t>
      </w:r>
      <w:r w:rsidR="00E262B9">
        <w:t xml:space="preserve">de </w:t>
      </w:r>
      <w:proofErr w:type="spellStart"/>
      <w:r w:rsidR="00E262B9" w:rsidRPr="004F0BC2">
        <w:t>Bruxelles</w:t>
      </w:r>
      <w:r w:rsidR="00E262B9">
        <w:t>-Capitale</w:t>
      </w:r>
      <w:proofErr w:type="spellEnd"/>
      <w:r w:rsidR="00E262B9" w:rsidRPr="004F0BC2">
        <w:t xml:space="preserve">, </w:t>
      </w:r>
      <w:proofErr w:type="spellStart"/>
      <w:r w:rsidR="00E262B9" w:rsidRPr="00575C09">
        <w:rPr>
          <w:i/>
          <w:iCs/>
        </w:rPr>
        <w:t>Baromètre</w:t>
      </w:r>
      <w:proofErr w:type="spellEnd"/>
      <w:r w:rsidR="00E262B9" w:rsidRPr="00575C09">
        <w:rPr>
          <w:i/>
          <w:iCs/>
        </w:rPr>
        <w:t xml:space="preserve"> </w:t>
      </w:r>
      <w:proofErr w:type="gramStart"/>
      <w:r w:rsidR="00E262B9" w:rsidRPr="00575C09">
        <w:rPr>
          <w:i/>
          <w:iCs/>
        </w:rPr>
        <w:t>social :</w:t>
      </w:r>
      <w:proofErr w:type="gramEnd"/>
      <w:r w:rsidR="00E262B9" w:rsidRPr="00575C09">
        <w:rPr>
          <w:i/>
          <w:iCs/>
        </w:rPr>
        <w:t xml:space="preserve"> rapport </w:t>
      </w:r>
      <w:proofErr w:type="spellStart"/>
      <w:r w:rsidR="00E262B9" w:rsidRPr="00575C09">
        <w:rPr>
          <w:i/>
          <w:iCs/>
        </w:rPr>
        <w:t>bruxellois</w:t>
      </w:r>
      <w:proofErr w:type="spellEnd"/>
      <w:r w:rsidR="00E262B9" w:rsidRPr="00575C09">
        <w:rPr>
          <w:i/>
          <w:iCs/>
        </w:rPr>
        <w:t xml:space="preserve"> sur </w:t>
      </w:r>
      <w:proofErr w:type="spellStart"/>
      <w:r w:rsidR="00E262B9" w:rsidRPr="00575C09">
        <w:rPr>
          <w:i/>
          <w:iCs/>
        </w:rPr>
        <w:t>l’état</w:t>
      </w:r>
      <w:proofErr w:type="spellEnd"/>
      <w:r w:rsidR="00E262B9" w:rsidRPr="00575C09">
        <w:rPr>
          <w:i/>
          <w:iCs/>
        </w:rPr>
        <w:t xml:space="preserve"> de la </w:t>
      </w:r>
      <w:proofErr w:type="spellStart"/>
      <w:r w:rsidR="00E262B9" w:rsidRPr="00575C09">
        <w:rPr>
          <w:i/>
          <w:iCs/>
        </w:rPr>
        <w:t>pauvreté</w:t>
      </w:r>
      <w:proofErr w:type="spellEnd"/>
      <w:r w:rsidR="00E262B9" w:rsidRPr="00575C09">
        <w:rPr>
          <w:i/>
          <w:iCs/>
        </w:rPr>
        <w:t xml:space="preserve"> – 2018</w:t>
      </w:r>
      <w:r w:rsidR="00E262B9">
        <w:t xml:space="preserve">, </w:t>
      </w:r>
      <w:proofErr w:type="spellStart"/>
      <w:r w:rsidR="00E262B9">
        <w:t>Bruxelles</w:t>
      </w:r>
      <w:proofErr w:type="spellEnd"/>
      <w:r w:rsidR="00E262B9">
        <w:t xml:space="preserve">, Commission </w:t>
      </w:r>
      <w:proofErr w:type="spellStart"/>
      <w:r w:rsidR="00E262B9">
        <w:t>communautaire</w:t>
      </w:r>
      <w:proofErr w:type="spellEnd"/>
      <w:r w:rsidR="00E262B9">
        <w:t xml:space="preserve"> commune, </w:t>
      </w:r>
      <w:r w:rsidR="00E262B9" w:rsidRPr="00575C09">
        <w:t>2018</w:t>
      </w:r>
      <w:r w:rsidRPr="000D7670">
        <w:rPr>
          <w:rtl/>
        </w:rPr>
        <w:t>).</w:t>
      </w:r>
    </w:p>
  </w:footnote>
  <w:footnote w:id="11">
    <w:p w14:paraId="227610CD" w14:textId="252CCCB5" w:rsidR="001D7A1E" w:rsidRPr="000D7670" w:rsidRDefault="001D7A1E" w:rsidP="003D33AE">
      <w:pPr>
        <w:pStyle w:val="FootnoteText1"/>
        <w:spacing w:line="260" w:lineRule="exact"/>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المرجع نفسه.</w:t>
      </w:r>
      <w:r>
        <w:rPr>
          <w:rtl/>
        </w:rPr>
        <w:t xml:space="preserve"> </w:t>
      </w:r>
    </w:p>
  </w:footnote>
  <w:footnote w:id="12">
    <w:p w14:paraId="1ED6C24D" w14:textId="4503DDCC"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أعضاء المركز القانوني للمساواة الذين شاركوا في إعداد بيان تدخل الطرف الثالث هم: إيمانويل </w:t>
      </w:r>
      <w:proofErr w:type="spellStart"/>
      <w:r w:rsidRPr="000D7670">
        <w:rPr>
          <w:rtl/>
        </w:rPr>
        <w:t>بريبوسيا</w:t>
      </w:r>
      <w:proofErr w:type="spellEnd"/>
      <w:r w:rsidRPr="000D7670">
        <w:rPr>
          <w:rtl/>
        </w:rPr>
        <w:t xml:space="preserve">، </w:t>
      </w:r>
      <w:proofErr w:type="spellStart"/>
      <w:r w:rsidRPr="000D7670">
        <w:rPr>
          <w:rtl/>
        </w:rPr>
        <w:t>وهانيا</w:t>
      </w:r>
      <w:proofErr w:type="spellEnd"/>
      <w:r w:rsidRPr="000D7670">
        <w:rPr>
          <w:rtl/>
        </w:rPr>
        <w:t xml:space="preserve"> </w:t>
      </w:r>
      <w:proofErr w:type="spellStart"/>
      <w:r w:rsidRPr="000D7670">
        <w:rPr>
          <w:rtl/>
        </w:rPr>
        <w:t>أوهناوي</w:t>
      </w:r>
      <w:proofErr w:type="spellEnd"/>
      <w:r w:rsidRPr="000D7670">
        <w:rPr>
          <w:rtl/>
        </w:rPr>
        <w:t>، وإيزابيل</w:t>
      </w:r>
      <w:r w:rsidR="00E262B9">
        <w:rPr>
          <w:rFonts w:hint="cs"/>
          <w:rtl/>
        </w:rPr>
        <w:t> </w:t>
      </w:r>
      <w:proofErr w:type="spellStart"/>
      <w:r w:rsidRPr="000D7670">
        <w:rPr>
          <w:rtl/>
        </w:rPr>
        <w:t>روريف</w:t>
      </w:r>
      <w:proofErr w:type="spellEnd"/>
      <w:r w:rsidRPr="000D7670">
        <w:rPr>
          <w:rtl/>
        </w:rPr>
        <w:t>.</w:t>
      </w:r>
    </w:p>
  </w:footnote>
  <w:footnote w:id="13">
    <w:p w14:paraId="5F35429F" w14:textId="52EE47F4"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اعتمدت اللجنة هذه التوجيهات في دورتها التاسعة والخمسين وهي متاحة على صفحة اللجنة على شبكة الإنترنت.</w:t>
      </w:r>
    </w:p>
  </w:footnote>
  <w:footnote w:id="14">
    <w:p w14:paraId="0C0EA16C" w14:textId="565772ED"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المحكمة الدستورية في بلجيكا، القرار رقم </w:t>
      </w:r>
      <w:r w:rsidRPr="00575C09">
        <w:rPr>
          <w:rtl/>
        </w:rPr>
        <w:t>39</w:t>
      </w:r>
      <w:r w:rsidRPr="000D7670">
        <w:rPr>
          <w:rtl/>
        </w:rPr>
        <w:t>/</w:t>
      </w:r>
      <w:r w:rsidRPr="00575C09">
        <w:rPr>
          <w:rtl/>
        </w:rPr>
        <w:t>2020</w:t>
      </w:r>
      <w:r w:rsidRPr="000D7670">
        <w:rPr>
          <w:rtl/>
        </w:rPr>
        <w:t xml:space="preserve">، </w:t>
      </w:r>
      <w:r w:rsidRPr="00575C09">
        <w:rPr>
          <w:rtl/>
        </w:rPr>
        <w:t>12</w:t>
      </w:r>
      <w:r w:rsidRPr="000D7670">
        <w:rPr>
          <w:rtl/>
        </w:rPr>
        <w:t xml:space="preserve"> آذار/مارس </w:t>
      </w:r>
      <w:r w:rsidRPr="00575C09">
        <w:rPr>
          <w:rtl/>
        </w:rPr>
        <w:t>2020</w:t>
      </w:r>
      <w:r w:rsidRPr="000D7670">
        <w:rPr>
          <w:rtl/>
        </w:rPr>
        <w:t>، الفقرة B.</w:t>
      </w:r>
      <w:r w:rsidRPr="00575C09">
        <w:rPr>
          <w:rtl/>
        </w:rPr>
        <w:t>12</w:t>
      </w:r>
      <w:r w:rsidRPr="000D7670">
        <w:rPr>
          <w:rtl/>
        </w:rPr>
        <w:t>.</w:t>
      </w:r>
      <w:r w:rsidRPr="00575C09">
        <w:rPr>
          <w:rtl/>
        </w:rPr>
        <w:t>1</w:t>
      </w:r>
      <w:r w:rsidRPr="000D7670">
        <w:rPr>
          <w:rtl/>
        </w:rPr>
        <w:t xml:space="preserve">. </w:t>
      </w:r>
    </w:p>
  </w:footnote>
  <w:footnote w:id="15">
    <w:p w14:paraId="25B44D84" w14:textId="20865B8A"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مركز تكافؤ الفرص ومناهضة العنصرية، </w:t>
      </w:r>
      <w:r w:rsidRPr="00575C09">
        <w:rPr>
          <w:i/>
          <w:iCs/>
          <w:rtl/>
        </w:rPr>
        <w:t>مؤشر التنوع - السكن</w:t>
      </w:r>
      <w:r w:rsidRPr="000D7670">
        <w:rPr>
          <w:rtl/>
        </w:rPr>
        <w:t xml:space="preserve">، تشرين الأول/أكتوبر </w:t>
      </w:r>
      <w:r w:rsidRPr="00575C09">
        <w:rPr>
          <w:rtl/>
        </w:rPr>
        <w:t>2014</w:t>
      </w:r>
      <w:r w:rsidRPr="000D7670">
        <w:rPr>
          <w:rtl/>
        </w:rPr>
        <w:t xml:space="preserve">، ص. </w:t>
      </w:r>
      <w:r w:rsidRPr="00575C09">
        <w:rPr>
          <w:rtl/>
        </w:rPr>
        <w:t>18</w:t>
      </w:r>
      <w:r w:rsidRPr="000D7670">
        <w:rPr>
          <w:rtl/>
        </w:rPr>
        <w:t>-</w:t>
      </w:r>
      <w:r w:rsidRPr="00575C09">
        <w:rPr>
          <w:rtl/>
        </w:rPr>
        <w:t>19</w:t>
      </w:r>
      <w:r w:rsidRPr="000D7670">
        <w:rPr>
          <w:rtl/>
        </w:rPr>
        <w:t xml:space="preserve"> (</w:t>
      </w:r>
      <w:r w:rsidR="00E262B9">
        <w:t xml:space="preserve">Centre </w:t>
      </w:r>
      <w:proofErr w:type="spellStart"/>
      <w:r w:rsidR="00E262B9">
        <w:t>interfédéral</w:t>
      </w:r>
      <w:proofErr w:type="spellEnd"/>
      <w:r w:rsidR="00E262B9">
        <w:t xml:space="preserve"> pour </w:t>
      </w:r>
      <w:proofErr w:type="spellStart"/>
      <w:r w:rsidR="00E262B9">
        <w:t>l’égalité</w:t>
      </w:r>
      <w:proofErr w:type="spellEnd"/>
      <w:r w:rsidR="00E262B9">
        <w:t xml:space="preserve"> des chances</w:t>
      </w:r>
      <w:r w:rsidR="00E262B9" w:rsidRPr="007C1F6D">
        <w:t xml:space="preserve">, </w:t>
      </w:r>
      <w:proofErr w:type="spellStart"/>
      <w:r w:rsidR="00E262B9" w:rsidRPr="00575C09">
        <w:rPr>
          <w:i/>
          <w:iCs/>
        </w:rPr>
        <w:t>Baromètre</w:t>
      </w:r>
      <w:proofErr w:type="spellEnd"/>
      <w:r w:rsidR="00E262B9" w:rsidRPr="00575C09">
        <w:rPr>
          <w:i/>
          <w:iCs/>
        </w:rPr>
        <w:t xml:space="preserve"> de la </w:t>
      </w:r>
      <w:proofErr w:type="spellStart"/>
      <w:r w:rsidR="00E262B9" w:rsidRPr="00575C09">
        <w:rPr>
          <w:i/>
          <w:iCs/>
        </w:rPr>
        <w:t>diversité</w:t>
      </w:r>
      <w:proofErr w:type="spellEnd"/>
      <w:r w:rsidR="00E262B9" w:rsidRPr="00575C09">
        <w:rPr>
          <w:i/>
          <w:iCs/>
        </w:rPr>
        <w:t xml:space="preserve"> – </w:t>
      </w:r>
      <w:proofErr w:type="spellStart"/>
      <w:r w:rsidR="00E262B9" w:rsidRPr="00575C09">
        <w:rPr>
          <w:i/>
          <w:iCs/>
        </w:rPr>
        <w:t>Logement</w:t>
      </w:r>
      <w:proofErr w:type="spellEnd"/>
      <w:r w:rsidRPr="000D7670">
        <w:rPr>
          <w:rtl/>
        </w:rPr>
        <w:t>).</w:t>
      </w:r>
      <w:r>
        <w:rPr>
          <w:rtl/>
        </w:rPr>
        <w:t xml:space="preserve"> </w:t>
      </w:r>
    </w:p>
  </w:footnote>
  <w:footnote w:id="16">
    <w:p w14:paraId="705AAE73" w14:textId="4E57386A" w:rsidR="001D7A1E" w:rsidRPr="00E262B9" w:rsidRDefault="001D7A1E" w:rsidP="000D7670">
      <w:pPr>
        <w:pStyle w:val="FootnoteText1"/>
        <w:textDirection w:val="tbRlV"/>
        <w:rPr>
          <w:lang w:val="fr-CH"/>
        </w:rPr>
      </w:pPr>
      <w:r w:rsidRPr="000D7670">
        <w:rPr>
          <w:rtl/>
        </w:rPr>
        <w:t>(</w:t>
      </w:r>
      <w:r w:rsidRPr="00575C09">
        <w:rPr>
          <w:rStyle w:val="FootnoteReference"/>
          <w:vertAlign w:val="baseline"/>
        </w:rPr>
        <w:footnoteRef/>
      </w:r>
      <w:r w:rsidRPr="000D7670">
        <w:rPr>
          <w:rtl/>
        </w:rPr>
        <w:t>)</w:t>
      </w:r>
      <w:r>
        <w:rPr>
          <w:rtl/>
        </w:rPr>
        <w:tab/>
      </w:r>
      <w:r w:rsidRPr="000D7670">
        <w:rPr>
          <w:rtl/>
        </w:rPr>
        <w:t xml:space="preserve">ماري لورانس دي </w:t>
      </w:r>
      <w:proofErr w:type="spellStart"/>
      <w:r w:rsidRPr="000D7670">
        <w:rPr>
          <w:rtl/>
        </w:rPr>
        <w:t>كيرسماكر</w:t>
      </w:r>
      <w:proofErr w:type="spellEnd"/>
      <w:r w:rsidRPr="000D7670">
        <w:rPr>
          <w:rtl/>
        </w:rPr>
        <w:t xml:space="preserve">، </w:t>
      </w:r>
      <w:r w:rsidRPr="00B24BD4">
        <w:rPr>
          <w:i/>
          <w:iCs/>
          <w:rtl/>
        </w:rPr>
        <w:t xml:space="preserve">مرصد الإيجارات: دراسة استكشافية لعام </w:t>
      </w:r>
      <w:r w:rsidRPr="00575C09">
        <w:rPr>
          <w:i/>
          <w:iCs/>
          <w:rtl/>
        </w:rPr>
        <w:t>2018</w:t>
      </w:r>
      <w:r w:rsidRPr="000D7670">
        <w:rPr>
          <w:rtl/>
        </w:rPr>
        <w:t xml:space="preserve">، بروكسل، مؤسسة الإسكان في منطقة بروكسل العاصمة، عام </w:t>
      </w:r>
      <w:r w:rsidRPr="00575C09">
        <w:rPr>
          <w:rtl/>
        </w:rPr>
        <w:t>2019</w:t>
      </w:r>
      <w:r w:rsidRPr="000D7670">
        <w:rPr>
          <w:rtl/>
        </w:rPr>
        <w:t xml:space="preserve">، ص </w:t>
      </w:r>
      <w:r w:rsidRPr="00575C09">
        <w:rPr>
          <w:rtl/>
        </w:rPr>
        <w:t>46</w:t>
      </w:r>
      <w:r w:rsidRPr="000D7670">
        <w:rPr>
          <w:rtl/>
        </w:rPr>
        <w:t>. (</w:t>
      </w:r>
      <w:r w:rsidR="00B24BD4" w:rsidRPr="00B24BD4">
        <w:rPr>
          <w:lang w:val="fr-CH"/>
        </w:rPr>
        <w:t xml:space="preserve">Marie-Laurence De </w:t>
      </w:r>
      <w:proofErr w:type="spellStart"/>
      <w:r w:rsidR="00B24BD4" w:rsidRPr="00B24BD4">
        <w:rPr>
          <w:lang w:val="fr-CH"/>
        </w:rPr>
        <w:t>Keersmaecker</w:t>
      </w:r>
      <w:proofErr w:type="spellEnd"/>
      <w:r w:rsidR="00B24BD4" w:rsidRPr="00B24BD4">
        <w:rPr>
          <w:lang w:val="fr-CH"/>
        </w:rPr>
        <w:t xml:space="preserve">, </w:t>
      </w:r>
      <w:r w:rsidR="00B24BD4" w:rsidRPr="00575C09">
        <w:rPr>
          <w:i/>
          <w:iCs/>
          <w:lang w:val="fr-CH"/>
        </w:rPr>
        <w:t xml:space="preserve">Observatoire des </w:t>
      </w:r>
      <w:proofErr w:type="gramStart"/>
      <w:r w:rsidR="00B24BD4" w:rsidRPr="00575C09">
        <w:rPr>
          <w:i/>
          <w:iCs/>
          <w:lang w:val="fr-CH"/>
        </w:rPr>
        <w:t>loyers :</w:t>
      </w:r>
      <w:proofErr w:type="gramEnd"/>
      <w:r w:rsidR="00B24BD4" w:rsidRPr="00575C09">
        <w:rPr>
          <w:i/>
          <w:iCs/>
          <w:lang w:val="fr-CH"/>
        </w:rPr>
        <w:t xml:space="preserve"> enquête 2018</w:t>
      </w:r>
      <w:r w:rsidR="00B24BD4" w:rsidRPr="00B24BD4">
        <w:rPr>
          <w:lang w:val="fr-CH"/>
        </w:rPr>
        <w:t xml:space="preserve">, Bruxelles, Société du logement de la Région de Bruxelles-Capitale, </w:t>
      </w:r>
      <w:r w:rsidR="00B24BD4" w:rsidRPr="00575C09">
        <w:rPr>
          <w:lang w:val="fr-CH"/>
        </w:rPr>
        <w:t>2019</w:t>
      </w:r>
      <w:r w:rsidRPr="000D7670">
        <w:rPr>
          <w:rtl/>
        </w:rPr>
        <w:t>)</w:t>
      </w:r>
      <w:r w:rsidR="00E262B9">
        <w:rPr>
          <w:rFonts w:hint="cs"/>
          <w:rtl/>
        </w:rPr>
        <w:t>.</w:t>
      </w:r>
    </w:p>
  </w:footnote>
  <w:footnote w:id="17">
    <w:p w14:paraId="08AC1B56" w14:textId="451A45D7" w:rsidR="001D7A1E" w:rsidRPr="00E262B9" w:rsidRDefault="001D7A1E" w:rsidP="000D7670">
      <w:pPr>
        <w:pStyle w:val="FootnoteText1"/>
        <w:textDirection w:val="tbRlV"/>
        <w:rPr>
          <w:lang w:val="fr-CH"/>
        </w:rPr>
      </w:pPr>
      <w:r w:rsidRPr="000D7670">
        <w:rPr>
          <w:rtl/>
        </w:rPr>
        <w:t>(</w:t>
      </w:r>
      <w:r w:rsidRPr="00575C09">
        <w:rPr>
          <w:rStyle w:val="FootnoteReference"/>
          <w:vertAlign w:val="baseline"/>
        </w:rPr>
        <w:footnoteRef/>
      </w:r>
      <w:r w:rsidRPr="000D7670">
        <w:rPr>
          <w:rtl/>
        </w:rPr>
        <w:t>)</w:t>
      </w:r>
      <w:r>
        <w:rPr>
          <w:rtl/>
        </w:rPr>
        <w:tab/>
      </w:r>
      <w:r w:rsidRPr="000D7670">
        <w:rPr>
          <w:rtl/>
        </w:rPr>
        <w:t xml:space="preserve">مرصد الأوضاع الصحية والاجتماعية في بروكسل العاصمة، مؤشر اجتماعي: تقرير بروكسل عن حالة الفقر – عام </w:t>
      </w:r>
      <w:r w:rsidRPr="00575C09">
        <w:rPr>
          <w:rtl/>
        </w:rPr>
        <w:t>2019</w:t>
      </w:r>
      <w:r w:rsidRPr="000D7670">
        <w:rPr>
          <w:rtl/>
        </w:rPr>
        <w:t xml:space="preserve">، بروكسل، اللجنة المجتمعية المشتركة، عام </w:t>
      </w:r>
      <w:r w:rsidRPr="00575C09">
        <w:rPr>
          <w:rtl/>
        </w:rPr>
        <w:t>2019</w:t>
      </w:r>
      <w:r w:rsidRPr="000D7670">
        <w:rPr>
          <w:rtl/>
        </w:rPr>
        <w:t xml:space="preserve">، ص. </w:t>
      </w:r>
      <w:r w:rsidRPr="00575C09">
        <w:rPr>
          <w:rtl/>
        </w:rPr>
        <w:t>18</w:t>
      </w:r>
      <w:r w:rsidRPr="000D7670">
        <w:rPr>
          <w:rtl/>
        </w:rPr>
        <w:t xml:space="preserve"> و</w:t>
      </w:r>
      <w:r w:rsidRPr="00575C09">
        <w:rPr>
          <w:rtl/>
        </w:rPr>
        <w:t>70</w:t>
      </w:r>
      <w:r w:rsidRPr="000D7670">
        <w:rPr>
          <w:rtl/>
        </w:rPr>
        <w:t xml:space="preserve"> و</w:t>
      </w:r>
      <w:r w:rsidRPr="00575C09">
        <w:rPr>
          <w:rtl/>
        </w:rPr>
        <w:t>71</w:t>
      </w:r>
      <w:r w:rsidRPr="000D7670">
        <w:rPr>
          <w:rtl/>
        </w:rPr>
        <w:t>. (</w:t>
      </w:r>
      <w:r w:rsidR="00E262B9" w:rsidRPr="00E262B9">
        <w:rPr>
          <w:lang w:val="fr-CH"/>
        </w:rPr>
        <w:t xml:space="preserve">Observatoire de la santé et du social de Bruxelles-Capitale, </w:t>
      </w:r>
      <w:r w:rsidR="00E262B9" w:rsidRPr="00575C09">
        <w:rPr>
          <w:i/>
          <w:iCs/>
          <w:lang w:val="fr-CH"/>
        </w:rPr>
        <w:t xml:space="preserve">Baromètre </w:t>
      </w:r>
      <w:proofErr w:type="gramStart"/>
      <w:r w:rsidR="00E262B9" w:rsidRPr="00575C09">
        <w:rPr>
          <w:i/>
          <w:iCs/>
          <w:lang w:val="fr-CH"/>
        </w:rPr>
        <w:t>social :</w:t>
      </w:r>
      <w:proofErr w:type="gramEnd"/>
      <w:r w:rsidR="00E262B9" w:rsidRPr="00575C09">
        <w:rPr>
          <w:i/>
          <w:iCs/>
          <w:lang w:val="fr-CH"/>
        </w:rPr>
        <w:t xml:space="preserve"> rapport bruxellois sur l’état de la pauvreté – 2019</w:t>
      </w:r>
      <w:r w:rsidR="00E262B9" w:rsidRPr="00E262B9">
        <w:rPr>
          <w:lang w:val="fr-CH"/>
        </w:rPr>
        <w:t>, Bruxelles, Commission communautaire commune</w:t>
      </w:r>
      <w:r w:rsidRPr="000D7670">
        <w:rPr>
          <w:rtl/>
        </w:rPr>
        <w:t>)</w:t>
      </w:r>
      <w:r w:rsidR="00E262B9">
        <w:rPr>
          <w:rFonts w:hint="cs"/>
          <w:rtl/>
        </w:rPr>
        <w:t>.</w:t>
      </w:r>
    </w:p>
  </w:footnote>
  <w:footnote w:id="18">
    <w:p w14:paraId="0D3C68B1" w14:textId="65063C7F" w:rsidR="001D7A1E" w:rsidRPr="00E262B9" w:rsidRDefault="001D7A1E" w:rsidP="000D7670">
      <w:pPr>
        <w:pStyle w:val="FootnoteText1"/>
        <w:textDirection w:val="tbRlV"/>
        <w:rPr>
          <w:lang w:val="fr-CH"/>
        </w:rPr>
      </w:pPr>
      <w:r w:rsidRPr="000D7670">
        <w:rPr>
          <w:rtl/>
        </w:rPr>
        <w:t>(</w:t>
      </w:r>
      <w:r w:rsidRPr="00575C09">
        <w:rPr>
          <w:rStyle w:val="FootnoteReference"/>
          <w:vertAlign w:val="baseline"/>
        </w:rPr>
        <w:footnoteRef/>
      </w:r>
      <w:r w:rsidRPr="000D7670">
        <w:rPr>
          <w:rtl/>
        </w:rPr>
        <w:t>)</w:t>
      </w:r>
      <w:r>
        <w:rPr>
          <w:rtl/>
        </w:rPr>
        <w:tab/>
      </w:r>
      <w:r w:rsidRPr="000D7670">
        <w:rPr>
          <w:rtl/>
        </w:rPr>
        <w:t xml:space="preserve">ماري لورانس دي </w:t>
      </w:r>
      <w:proofErr w:type="spellStart"/>
      <w:r w:rsidRPr="000D7670">
        <w:rPr>
          <w:rtl/>
        </w:rPr>
        <w:t>كيرسماكر</w:t>
      </w:r>
      <w:proofErr w:type="spellEnd"/>
      <w:r w:rsidRPr="000D7670">
        <w:rPr>
          <w:rtl/>
        </w:rPr>
        <w:t xml:space="preserve">، مرصد الإيجارات: دراسة استكشافية لعام </w:t>
      </w:r>
      <w:r w:rsidRPr="00575C09">
        <w:rPr>
          <w:rtl/>
        </w:rPr>
        <w:t>2018</w:t>
      </w:r>
      <w:r w:rsidRPr="000D7670">
        <w:rPr>
          <w:rtl/>
        </w:rPr>
        <w:t xml:space="preserve">، بروكسل، مؤسسة الإسكان في منطقة بروكسل العاصمة، عام </w:t>
      </w:r>
      <w:r w:rsidRPr="00575C09">
        <w:rPr>
          <w:rtl/>
        </w:rPr>
        <w:t>2019</w:t>
      </w:r>
      <w:r w:rsidRPr="000D7670">
        <w:rPr>
          <w:rtl/>
        </w:rPr>
        <w:t xml:space="preserve">، ص. </w:t>
      </w:r>
      <w:r w:rsidRPr="00575C09">
        <w:rPr>
          <w:rtl/>
        </w:rPr>
        <w:t>56</w:t>
      </w:r>
      <w:r w:rsidRPr="000D7670">
        <w:rPr>
          <w:rtl/>
        </w:rPr>
        <w:t xml:space="preserve"> و</w:t>
      </w:r>
      <w:r w:rsidRPr="00575C09">
        <w:rPr>
          <w:rtl/>
        </w:rPr>
        <w:t>57</w:t>
      </w:r>
      <w:r w:rsidRPr="000D7670">
        <w:rPr>
          <w:rtl/>
        </w:rPr>
        <w:t>. (</w:t>
      </w:r>
      <w:r w:rsidR="00E262B9" w:rsidRPr="00E262B9">
        <w:rPr>
          <w:lang w:val="fr-CH"/>
        </w:rPr>
        <w:t xml:space="preserve">Marie-Laurence De </w:t>
      </w:r>
      <w:proofErr w:type="spellStart"/>
      <w:r w:rsidR="00E262B9" w:rsidRPr="00E262B9">
        <w:rPr>
          <w:lang w:val="fr-CH"/>
        </w:rPr>
        <w:t>Keersmaecker</w:t>
      </w:r>
      <w:proofErr w:type="spellEnd"/>
      <w:r w:rsidR="00E262B9" w:rsidRPr="00E262B9">
        <w:rPr>
          <w:lang w:val="fr-CH"/>
        </w:rPr>
        <w:t xml:space="preserve">, </w:t>
      </w:r>
      <w:r w:rsidR="00E262B9" w:rsidRPr="00575C09">
        <w:rPr>
          <w:i/>
          <w:iCs/>
          <w:lang w:val="fr-CH"/>
        </w:rPr>
        <w:t xml:space="preserve">Observatoire des </w:t>
      </w:r>
      <w:proofErr w:type="gramStart"/>
      <w:r w:rsidR="00E262B9" w:rsidRPr="00575C09">
        <w:rPr>
          <w:i/>
          <w:iCs/>
          <w:lang w:val="fr-CH"/>
        </w:rPr>
        <w:t>loyers :</w:t>
      </w:r>
      <w:proofErr w:type="gramEnd"/>
      <w:r w:rsidR="00E262B9" w:rsidRPr="00575C09">
        <w:rPr>
          <w:i/>
          <w:iCs/>
          <w:lang w:val="fr-CH"/>
        </w:rPr>
        <w:t xml:space="preserve"> enquête 2018</w:t>
      </w:r>
      <w:r w:rsidR="00E262B9" w:rsidRPr="00E262B9">
        <w:rPr>
          <w:lang w:val="fr-CH"/>
        </w:rPr>
        <w:t>, Bruxelles, Société du logement de la Région de Bruxelles-Capitale</w:t>
      </w:r>
      <w:r w:rsidRPr="000D7670">
        <w:rPr>
          <w:rtl/>
        </w:rPr>
        <w:t>)</w:t>
      </w:r>
      <w:r w:rsidR="00E262B9">
        <w:rPr>
          <w:rFonts w:hint="cs"/>
          <w:rtl/>
        </w:rPr>
        <w:t>.</w:t>
      </w:r>
    </w:p>
  </w:footnote>
  <w:footnote w:id="19">
    <w:p w14:paraId="45F5F499" w14:textId="2384326A"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مرصد الأوضاع الصحية والاجتماعية في بروكسل العاصمة، </w:t>
      </w:r>
      <w:r w:rsidRPr="00B24BD4">
        <w:rPr>
          <w:i/>
          <w:iCs/>
          <w:rtl/>
        </w:rPr>
        <w:t>مظاهر الضعف، ومشكلة السكن، وحالات الطرد من المسكن في منطقة بروكسل: تقرير عن حالة الفقر في بروكسل لعام</w:t>
      </w:r>
      <w:r w:rsidRPr="000D7670">
        <w:rPr>
          <w:rtl/>
        </w:rPr>
        <w:t xml:space="preserve"> </w:t>
      </w:r>
      <w:r w:rsidRPr="00575C09">
        <w:rPr>
          <w:rtl/>
        </w:rPr>
        <w:t>2018</w:t>
      </w:r>
      <w:r w:rsidRPr="000D7670">
        <w:rPr>
          <w:rtl/>
        </w:rPr>
        <w:t xml:space="preserve">، بروكسل، اللجنة المجتمعية المشتركة، عام </w:t>
      </w:r>
      <w:r w:rsidRPr="00575C09">
        <w:rPr>
          <w:rtl/>
        </w:rPr>
        <w:t>2019</w:t>
      </w:r>
      <w:r w:rsidRPr="000D7670">
        <w:rPr>
          <w:rtl/>
        </w:rPr>
        <w:t xml:space="preserve">، ص </w:t>
      </w:r>
      <w:r w:rsidRPr="00575C09">
        <w:rPr>
          <w:rtl/>
        </w:rPr>
        <w:t>128</w:t>
      </w:r>
      <w:r w:rsidRPr="000D7670">
        <w:rPr>
          <w:rtl/>
        </w:rPr>
        <w:t>. (</w:t>
      </w:r>
      <w:proofErr w:type="spellStart"/>
      <w:r w:rsidR="002A7D75" w:rsidRPr="00C444E6">
        <w:t>Observatoire</w:t>
      </w:r>
      <w:proofErr w:type="spellEnd"/>
      <w:r w:rsidR="002A7D75" w:rsidRPr="00C444E6">
        <w:t xml:space="preserve"> de la </w:t>
      </w:r>
      <w:proofErr w:type="spellStart"/>
      <w:r w:rsidR="002A7D75">
        <w:t>s</w:t>
      </w:r>
      <w:r w:rsidR="002A7D75" w:rsidRPr="00C444E6">
        <w:t>anté</w:t>
      </w:r>
      <w:proofErr w:type="spellEnd"/>
      <w:r w:rsidR="002A7D75" w:rsidRPr="00C444E6">
        <w:t xml:space="preserve"> et du </w:t>
      </w:r>
      <w:r w:rsidR="002A7D75">
        <w:t>s</w:t>
      </w:r>
      <w:r w:rsidR="002A7D75" w:rsidRPr="00C444E6">
        <w:t xml:space="preserve">ocial </w:t>
      </w:r>
      <w:r w:rsidR="002A7D75">
        <w:t>de</w:t>
      </w:r>
      <w:r w:rsidR="002A7D75" w:rsidRPr="00C444E6">
        <w:t xml:space="preserve"> </w:t>
      </w:r>
      <w:proofErr w:type="spellStart"/>
      <w:r w:rsidR="002A7D75" w:rsidRPr="00C444E6">
        <w:t>Bruxelles</w:t>
      </w:r>
      <w:r w:rsidR="002A7D75">
        <w:t>-Capitale</w:t>
      </w:r>
      <w:proofErr w:type="spellEnd"/>
      <w:r w:rsidR="002A7D75" w:rsidRPr="00C444E6">
        <w:t xml:space="preserve">, </w:t>
      </w:r>
      <w:proofErr w:type="spellStart"/>
      <w:r w:rsidR="002A7D75" w:rsidRPr="00575C09">
        <w:rPr>
          <w:i/>
          <w:iCs/>
        </w:rPr>
        <w:t>Précarités</w:t>
      </w:r>
      <w:proofErr w:type="spellEnd"/>
      <w:r w:rsidR="002A7D75" w:rsidRPr="00575C09">
        <w:rPr>
          <w:i/>
          <w:iCs/>
        </w:rPr>
        <w:t>, mal-</w:t>
      </w:r>
      <w:proofErr w:type="spellStart"/>
      <w:r w:rsidR="002A7D75" w:rsidRPr="00575C09">
        <w:rPr>
          <w:i/>
          <w:iCs/>
        </w:rPr>
        <w:t>logement</w:t>
      </w:r>
      <w:proofErr w:type="spellEnd"/>
      <w:r w:rsidR="002A7D75" w:rsidRPr="00575C09">
        <w:rPr>
          <w:i/>
          <w:iCs/>
        </w:rPr>
        <w:t xml:space="preserve"> et expulsions </w:t>
      </w:r>
      <w:proofErr w:type="spellStart"/>
      <w:r w:rsidR="002A7D75" w:rsidRPr="00575C09">
        <w:rPr>
          <w:i/>
          <w:iCs/>
        </w:rPr>
        <w:t>domiciliaires</w:t>
      </w:r>
      <w:proofErr w:type="spellEnd"/>
      <w:r w:rsidR="002A7D75" w:rsidRPr="00575C09">
        <w:rPr>
          <w:i/>
          <w:iCs/>
        </w:rPr>
        <w:t xml:space="preserve"> </w:t>
      </w:r>
      <w:proofErr w:type="spellStart"/>
      <w:r w:rsidR="002A7D75" w:rsidRPr="00575C09">
        <w:rPr>
          <w:i/>
          <w:iCs/>
        </w:rPr>
        <w:t>en</w:t>
      </w:r>
      <w:proofErr w:type="spellEnd"/>
      <w:r w:rsidR="002A7D75" w:rsidRPr="00575C09">
        <w:rPr>
          <w:i/>
          <w:iCs/>
        </w:rPr>
        <w:t xml:space="preserve"> </w:t>
      </w:r>
      <w:proofErr w:type="spellStart"/>
      <w:r w:rsidR="002A7D75" w:rsidRPr="00575C09">
        <w:rPr>
          <w:i/>
          <w:iCs/>
        </w:rPr>
        <w:t>région</w:t>
      </w:r>
      <w:proofErr w:type="spellEnd"/>
      <w:r w:rsidR="002A7D75" w:rsidRPr="00575C09">
        <w:rPr>
          <w:i/>
          <w:iCs/>
        </w:rPr>
        <w:t xml:space="preserve"> </w:t>
      </w:r>
      <w:proofErr w:type="spellStart"/>
      <w:proofErr w:type="gramStart"/>
      <w:r w:rsidR="002A7D75" w:rsidRPr="00575C09">
        <w:rPr>
          <w:i/>
          <w:iCs/>
        </w:rPr>
        <w:t>bruxelloise</w:t>
      </w:r>
      <w:proofErr w:type="spellEnd"/>
      <w:r w:rsidR="002A7D75" w:rsidRPr="00575C09">
        <w:rPr>
          <w:i/>
          <w:iCs/>
        </w:rPr>
        <w:t> :</w:t>
      </w:r>
      <w:proofErr w:type="gramEnd"/>
      <w:r w:rsidR="002A7D75" w:rsidRPr="00575C09">
        <w:rPr>
          <w:i/>
          <w:iCs/>
        </w:rPr>
        <w:t xml:space="preserve"> rapport </w:t>
      </w:r>
      <w:proofErr w:type="spellStart"/>
      <w:r w:rsidR="002A7D75" w:rsidRPr="00575C09">
        <w:rPr>
          <w:i/>
          <w:iCs/>
        </w:rPr>
        <w:t>bruxellois</w:t>
      </w:r>
      <w:proofErr w:type="spellEnd"/>
      <w:r w:rsidR="002A7D75" w:rsidRPr="00575C09">
        <w:rPr>
          <w:i/>
          <w:iCs/>
        </w:rPr>
        <w:t xml:space="preserve"> sur </w:t>
      </w:r>
      <w:proofErr w:type="spellStart"/>
      <w:r w:rsidR="002A7D75" w:rsidRPr="00575C09">
        <w:rPr>
          <w:i/>
          <w:iCs/>
        </w:rPr>
        <w:t>l’état</w:t>
      </w:r>
      <w:proofErr w:type="spellEnd"/>
      <w:r w:rsidR="002A7D75" w:rsidRPr="00575C09">
        <w:rPr>
          <w:i/>
          <w:iCs/>
        </w:rPr>
        <w:t xml:space="preserve"> de la </w:t>
      </w:r>
      <w:proofErr w:type="spellStart"/>
      <w:r w:rsidR="002A7D75" w:rsidRPr="00575C09">
        <w:rPr>
          <w:i/>
          <w:iCs/>
        </w:rPr>
        <w:t>pauvreté</w:t>
      </w:r>
      <w:proofErr w:type="spellEnd"/>
      <w:r w:rsidR="002A7D75" w:rsidRPr="00575C09">
        <w:rPr>
          <w:i/>
          <w:iCs/>
        </w:rPr>
        <w:t xml:space="preserve"> 2018</w:t>
      </w:r>
      <w:r w:rsidR="002A7D75" w:rsidRPr="00C444E6">
        <w:t xml:space="preserve">, </w:t>
      </w:r>
      <w:proofErr w:type="spellStart"/>
      <w:r w:rsidR="002A7D75">
        <w:t>Bruxelles</w:t>
      </w:r>
      <w:proofErr w:type="spellEnd"/>
      <w:r w:rsidR="002A7D75">
        <w:t xml:space="preserve">, Commission </w:t>
      </w:r>
      <w:proofErr w:type="spellStart"/>
      <w:r w:rsidR="002A7D75">
        <w:t>communautaire</w:t>
      </w:r>
      <w:proofErr w:type="spellEnd"/>
      <w:r w:rsidR="002A7D75">
        <w:t xml:space="preserve"> commune</w:t>
      </w:r>
      <w:r w:rsidRPr="000D7670">
        <w:rPr>
          <w:rtl/>
        </w:rPr>
        <w:t>)</w:t>
      </w:r>
      <w:r w:rsidR="002A7D75">
        <w:rPr>
          <w:rFonts w:hint="cs"/>
          <w:rtl/>
        </w:rPr>
        <w:t>.</w:t>
      </w:r>
      <w:r w:rsidRPr="000D7670">
        <w:rPr>
          <w:rtl/>
        </w:rPr>
        <w:t xml:space="preserve"> وتبين دراسة استقصائية أجرتها شركة "</w:t>
      </w:r>
      <w:proofErr w:type="spellStart"/>
      <w:r w:rsidRPr="000D7670">
        <w:rPr>
          <w:rtl/>
        </w:rPr>
        <w:t>ماتيكسي</w:t>
      </w:r>
      <w:proofErr w:type="spellEnd"/>
      <w:r w:rsidRPr="000D7670">
        <w:rPr>
          <w:rtl/>
        </w:rPr>
        <w:t xml:space="preserve">" لبناء المساكن بالتعاون </w:t>
      </w:r>
      <w:r w:rsidRPr="002A7D75">
        <w:rPr>
          <w:spacing w:val="-2"/>
          <w:rtl/>
        </w:rPr>
        <w:t>مع الجامعة الكاثوليكية في لوفان أن "</w:t>
      </w:r>
      <w:r w:rsidRPr="00575C09">
        <w:rPr>
          <w:spacing w:val="-2"/>
          <w:rtl/>
        </w:rPr>
        <w:t>61</w:t>
      </w:r>
      <w:r w:rsidRPr="002A7D75">
        <w:rPr>
          <w:spacing w:val="-2"/>
          <w:rtl/>
        </w:rPr>
        <w:t xml:space="preserve"> في المائة من المجيبين قالوا إن معرفة جيرانهم جيد</w:t>
      </w:r>
      <w:r w:rsidR="00DD7E44">
        <w:rPr>
          <w:spacing w:val="-2"/>
          <w:rtl/>
        </w:rPr>
        <w:t xml:space="preserve">اً </w:t>
      </w:r>
      <w:r w:rsidRPr="002A7D75">
        <w:rPr>
          <w:spacing w:val="-2"/>
          <w:rtl/>
        </w:rPr>
        <w:t>والتآلف معهم هو العنصر الأهم في</w:t>
      </w:r>
      <w:r w:rsidRPr="000D7670">
        <w:rPr>
          <w:rtl/>
        </w:rPr>
        <w:t xml:space="preserve"> مكان إقامتهم"؛ </w:t>
      </w:r>
      <w:proofErr w:type="spellStart"/>
      <w:r w:rsidRPr="000D7670">
        <w:rPr>
          <w:rtl/>
        </w:rPr>
        <w:t>ماتيكسي</w:t>
      </w:r>
      <w:proofErr w:type="spellEnd"/>
      <w:r w:rsidRPr="000D7670">
        <w:rPr>
          <w:rtl/>
        </w:rPr>
        <w:t xml:space="preserve">، "البلجيكيون وحيّهم"، </w:t>
      </w:r>
      <w:r w:rsidRPr="00575C09">
        <w:rPr>
          <w:rtl/>
        </w:rPr>
        <w:t>26</w:t>
      </w:r>
      <w:r w:rsidRPr="000D7670">
        <w:rPr>
          <w:rtl/>
        </w:rPr>
        <w:t xml:space="preserve"> كانون الأول/ديسمبر </w:t>
      </w:r>
      <w:r w:rsidRPr="00575C09">
        <w:rPr>
          <w:rtl/>
        </w:rPr>
        <w:t>2016</w:t>
      </w:r>
      <w:r w:rsidRPr="000D7670">
        <w:rPr>
          <w:rtl/>
        </w:rPr>
        <w:t xml:space="preserve"> (</w:t>
      </w:r>
      <w:bookmarkStart w:id="0" w:name="_Hlk90630889"/>
      <w:proofErr w:type="spellStart"/>
      <w:r w:rsidR="00B24BD4" w:rsidRPr="00C3277A">
        <w:t>Matexi</w:t>
      </w:r>
      <w:proofErr w:type="spellEnd"/>
      <w:r w:rsidR="00B24BD4" w:rsidRPr="00C3277A">
        <w:t xml:space="preserve">, </w:t>
      </w:r>
      <w:proofErr w:type="gramStart"/>
      <w:r w:rsidR="00B24BD4" w:rsidRPr="00C3277A">
        <w:t>«</w:t>
      </w:r>
      <w:r w:rsidR="00B24BD4">
        <w:t> </w:t>
      </w:r>
      <w:r w:rsidR="00B24BD4" w:rsidRPr="00C3277A">
        <w:t>Les</w:t>
      </w:r>
      <w:proofErr w:type="gramEnd"/>
      <w:r w:rsidR="00B24BD4" w:rsidRPr="00C3277A">
        <w:t xml:space="preserve"> </w:t>
      </w:r>
      <w:proofErr w:type="spellStart"/>
      <w:r w:rsidR="00B24BD4" w:rsidRPr="00C3277A">
        <w:t>Belges</w:t>
      </w:r>
      <w:proofErr w:type="spellEnd"/>
      <w:r w:rsidR="00B24BD4" w:rsidRPr="00C3277A">
        <w:t xml:space="preserve"> et </w:t>
      </w:r>
      <w:proofErr w:type="spellStart"/>
      <w:r w:rsidR="00B24BD4" w:rsidRPr="00C3277A">
        <w:t>leur</w:t>
      </w:r>
      <w:proofErr w:type="spellEnd"/>
      <w:r w:rsidR="00B24BD4" w:rsidRPr="00C3277A">
        <w:t xml:space="preserve"> quartier</w:t>
      </w:r>
      <w:r w:rsidR="00B24BD4">
        <w:t> </w:t>
      </w:r>
      <w:r w:rsidR="00B24BD4" w:rsidRPr="00C3277A">
        <w:t xml:space="preserve">», </w:t>
      </w:r>
      <w:r w:rsidR="00B24BD4" w:rsidRPr="00575C09">
        <w:t>26</w:t>
      </w:r>
      <w:r w:rsidR="00B24BD4" w:rsidRPr="00C3277A">
        <w:t xml:space="preserve"> </w:t>
      </w:r>
      <w:proofErr w:type="spellStart"/>
      <w:r w:rsidR="00B24BD4" w:rsidRPr="00C3277A">
        <w:t>décembre</w:t>
      </w:r>
      <w:proofErr w:type="spellEnd"/>
      <w:r w:rsidR="00B24BD4" w:rsidRPr="00C3277A">
        <w:t xml:space="preserve"> </w:t>
      </w:r>
      <w:r w:rsidR="00B24BD4" w:rsidRPr="00575C09">
        <w:t>2016</w:t>
      </w:r>
      <w:bookmarkEnd w:id="0"/>
      <w:r w:rsidRPr="000D7670">
        <w:rPr>
          <w:rtl/>
        </w:rPr>
        <w:t>).</w:t>
      </w:r>
    </w:p>
  </w:footnote>
  <w:footnote w:id="20">
    <w:p w14:paraId="7715012C" w14:textId="7D904763"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4</w:t>
      </w:r>
      <w:r w:rsidRPr="000D7670">
        <w:rPr>
          <w:rtl/>
        </w:rPr>
        <w:t>(</w:t>
      </w:r>
      <w:r w:rsidRPr="00575C09">
        <w:rPr>
          <w:rtl/>
        </w:rPr>
        <w:t>1991</w:t>
      </w:r>
      <w:r w:rsidRPr="000D7670">
        <w:rPr>
          <w:rtl/>
        </w:rPr>
        <w:t xml:space="preserve">)، الفقرة </w:t>
      </w:r>
      <w:r w:rsidRPr="00575C09">
        <w:rPr>
          <w:rtl/>
        </w:rPr>
        <w:t>1</w:t>
      </w:r>
      <w:r w:rsidRPr="000D7670">
        <w:rPr>
          <w:rtl/>
        </w:rPr>
        <w:t>.</w:t>
      </w:r>
      <w:r w:rsidR="002A7D75">
        <w:rPr>
          <w:rFonts w:hint="cs"/>
          <w:rtl/>
        </w:rPr>
        <w:t xml:space="preserve"> </w:t>
      </w:r>
    </w:p>
  </w:footnote>
  <w:footnote w:id="21">
    <w:p w14:paraId="714A3035" w14:textId="073DD599"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المرجع نفسه، الفقرتان </w:t>
      </w:r>
      <w:r w:rsidRPr="00575C09">
        <w:rPr>
          <w:rtl/>
        </w:rPr>
        <w:t>7</w:t>
      </w:r>
      <w:r w:rsidRPr="000D7670">
        <w:rPr>
          <w:rtl/>
        </w:rPr>
        <w:t xml:space="preserve"> و</w:t>
      </w:r>
      <w:r w:rsidRPr="00575C09">
        <w:rPr>
          <w:rtl/>
        </w:rPr>
        <w:t>9</w:t>
      </w:r>
      <w:r w:rsidRPr="000D7670">
        <w:rPr>
          <w:rtl/>
        </w:rPr>
        <w:t>.</w:t>
      </w:r>
    </w:p>
  </w:footnote>
  <w:footnote w:id="22">
    <w:p w14:paraId="653D3D2B" w14:textId="0263233C"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المرجع نفسه، الفقرة </w:t>
      </w:r>
      <w:r w:rsidRPr="00575C09">
        <w:rPr>
          <w:rtl/>
        </w:rPr>
        <w:t>7</w:t>
      </w:r>
      <w:r w:rsidRPr="000D7670">
        <w:rPr>
          <w:rtl/>
        </w:rPr>
        <w:t>.</w:t>
      </w:r>
    </w:p>
  </w:footnote>
  <w:footnote w:id="23">
    <w:p w14:paraId="1EEEF359" w14:textId="4DBB4A7B"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المرجع نفسه، الفقرة </w:t>
      </w:r>
      <w:r w:rsidRPr="00575C09">
        <w:rPr>
          <w:rtl/>
        </w:rPr>
        <w:t>12</w:t>
      </w:r>
      <w:r w:rsidRPr="000D7670">
        <w:rPr>
          <w:rtl/>
        </w:rPr>
        <w:t>.</w:t>
      </w:r>
    </w:p>
  </w:footnote>
  <w:footnote w:id="24">
    <w:p w14:paraId="669D31CC" w14:textId="519B445D"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المرجع نفسه، الفقرة </w:t>
      </w:r>
      <w:r w:rsidRPr="00575C09">
        <w:rPr>
          <w:rtl/>
        </w:rPr>
        <w:t>18</w:t>
      </w:r>
      <w:r w:rsidRPr="000D7670">
        <w:rPr>
          <w:rtl/>
        </w:rPr>
        <w:t xml:space="preserve"> والتعليق العام رقم </w:t>
      </w:r>
      <w:r w:rsidRPr="00575C09">
        <w:rPr>
          <w:rtl/>
        </w:rPr>
        <w:t>7</w:t>
      </w:r>
      <w:r w:rsidRPr="000D7670">
        <w:rPr>
          <w:rtl/>
        </w:rPr>
        <w:t>(</w:t>
      </w:r>
      <w:r w:rsidRPr="00575C09">
        <w:rPr>
          <w:rtl/>
        </w:rPr>
        <w:t>1997</w:t>
      </w:r>
      <w:r w:rsidRPr="000D7670">
        <w:rPr>
          <w:rtl/>
        </w:rPr>
        <w:t xml:space="preserve">)، الفقرة </w:t>
      </w:r>
      <w:r w:rsidRPr="00575C09">
        <w:rPr>
          <w:rtl/>
        </w:rPr>
        <w:t>1</w:t>
      </w:r>
      <w:r w:rsidRPr="000D7670">
        <w:rPr>
          <w:rtl/>
        </w:rPr>
        <w:t>.</w:t>
      </w:r>
    </w:p>
  </w:footnote>
  <w:footnote w:id="25">
    <w:p w14:paraId="4031310C" w14:textId="5A6D1A43"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قضية </w:t>
      </w:r>
      <w:r w:rsidRPr="002A7D75">
        <w:rPr>
          <w:i/>
          <w:iCs/>
          <w:rtl/>
        </w:rPr>
        <w:t>بن جازية وبليلي ضد إسبانيا</w:t>
      </w:r>
      <w:r w:rsidRPr="000D7670">
        <w:rPr>
          <w:rtl/>
        </w:rPr>
        <w:t xml:space="preserve">، الفقرة </w:t>
      </w:r>
      <w:r w:rsidRPr="00575C09">
        <w:rPr>
          <w:rtl/>
        </w:rPr>
        <w:t>13</w:t>
      </w:r>
      <w:r w:rsidRPr="000D7670">
        <w:rPr>
          <w:rtl/>
        </w:rPr>
        <w:t>-</w:t>
      </w:r>
      <w:r w:rsidRPr="00575C09">
        <w:rPr>
          <w:rtl/>
        </w:rPr>
        <w:t>4</w:t>
      </w:r>
      <w:r w:rsidRPr="000D7670">
        <w:rPr>
          <w:rtl/>
        </w:rPr>
        <w:t>.</w:t>
      </w:r>
    </w:p>
  </w:footnote>
  <w:footnote w:id="26">
    <w:p w14:paraId="507DBDD2" w14:textId="23973348"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قضية </w:t>
      </w:r>
      <w:r w:rsidRPr="002A7D75">
        <w:rPr>
          <w:i/>
          <w:iCs/>
          <w:rtl/>
        </w:rPr>
        <w:t>غوميز - ليمون باردو ضد إسبانيا</w:t>
      </w:r>
      <w:r w:rsidRPr="000D7670">
        <w:rPr>
          <w:rtl/>
        </w:rPr>
        <w:t xml:space="preserve"> (</w:t>
      </w:r>
      <w:r w:rsidRPr="000D7670">
        <w:t>E/C.</w:t>
      </w:r>
      <w:r w:rsidRPr="00575C09">
        <w:t>12</w:t>
      </w:r>
      <w:r w:rsidRPr="000D7670">
        <w:t>/</w:t>
      </w:r>
      <w:r w:rsidRPr="00575C09">
        <w:t>67</w:t>
      </w:r>
      <w:r w:rsidRPr="000D7670">
        <w:t>/D/</w:t>
      </w:r>
      <w:r w:rsidRPr="00575C09">
        <w:t>52</w:t>
      </w:r>
      <w:r w:rsidRPr="000D7670">
        <w:t>/</w:t>
      </w:r>
      <w:r w:rsidRPr="00575C09">
        <w:t>2018</w:t>
      </w:r>
      <w:r w:rsidRPr="000D7670">
        <w:rPr>
          <w:rtl/>
        </w:rPr>
        <w:t xml:space="preserve">)، الفقرة </w:t>
      </w:r>
      <w:r w:rsidRPr="00575C09">
        <w:rPr>
          <w:rtl/>
        </w:rPr>
        <w:t>9</w:t>
      </w:r>
      <w:r w:rsidRPr="000D7670">
        <w:rPr>
          <w:rtl/>
        </w:rPr>
        <w:t>-</w:t>
      </w:r>
      <w:r w:rsidRPr="00575C09">
        <w:rPr>
          <w:rtl/>
        </w:rPr>
        <w:t>4</w:t>
      </w:r>
      <w:r w:rsidRPr="000D7670">
        <w:rPr>
          <w:rtl/>
        </w:rPr>
        <w:t>.</w:t>
      </w:r>
    </w:p>
  </w:footnote>
  <w:footnote w:id="27">
    <w:p w14:paraId="63966346" w14:textId="1EEB5C32"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قضية </w:t>
      </w:r>
      <w:proofErr w:type="spellStart"/>
      <w:r w:rsidRPr="002A7D75">
        <w:rPr>
          <w:i/>
          <w:iCs/>
          <w:rtl/>
        </w:rPr>
        <w:t>لوبيس</w:t>
      </w:r>
      <w:proofErr w:type="spellEnd"/>
      <w:r w:rsidRPr="002A7D75">
        <w:rPr>
          <w:i/>
          <w:iCs/>
          <w:rtl/>
        </w:rPr>
        <w:t xml:space="preserve"> ألبان ضد إسبانيا</w:t>
      </w:r>
      <w:r w:rsidRPr="000D7670">
        <w:rPr>
          <w:rtl/>
        </w:rPr>
        <w:t xml:space="preserve"> (</w:t>
      </w:r>
      <w:r w:rsidRPr="000D7670">
        <w:t>E/C.</w:t>
      </w:r>
      <w:r w:rsidRPr="00575C09">
        <w:t>12</w:t>
      </w:r>
      <w:r w:rsidRPr="000D7670">
        <w:t>/</w:t>
      </w:r>
      <w:r w:rsidRPr="00575C09">
        <w:t>66</w:t>
      </w:r>
      <w:r w:rsidRPr="000D7670">
        <w:t>/D/</w:t>
      </w:r>
      <w:r w:rsidRPr="00575C09">
        <w:t>37</w:t>
      </w:r>
      <w:r w:rsidRPr="000D7670">
        <w:t>/</w:t>
      </w:r>
      <w:r w:rsidRPr="00575C09">
        <w:t>2018</w:t>
      </w:r>
      <w:r w:rsidRPr="000D7670">
        <w:rPr>
          <w:rtl/>
        </w:rPr>
        <w:t xml:space="preserve">)، الفقرة </w:t>
      </w:r>
      <w:r w:rsidRPr="00575C09">
        <w:rPr>
          <w:rtl/>
        </w:rPr>
        <w:t>11</w:t>
      </w:r>
      <w:r w:rsidRPr="000D7670">
        <w:rPr>
          <w:rtl/>
        </w:rPr>
        <w:t>-</w:t>
      </w:r>
      <w:r w:rsidRPr="00575C09">
        <w:rPr>
          <w:rtl/>
        </w:rPr>
        <w:t>5</w:t>
      </w:r>
      <w:r w:rsidRPr="000D7670">
        <w:rPr>
          <w:rtl/>
        </w:rPr>
        <w:t>.</w:t>
      </w:r>
    </w:p>
  </w:footnote>
  <w:footnote w:id="28">
    <w:p w14:paraId="40A4EE5E" w14:textId="26DD832C"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المرجع نفسه، الفقرة </w:t>
      </w:r>
      <w:r w:rsidRPr="00575C09">
        <w:rPr>
          <w:rtl/>
        </w:rPr>
        <w:t>11</w:t>
      </w:r>
      <w:r w:rsidRPr="000D7670">
        <w:rPr>
          <w:rtl/>
        </w:rPr>
        <w:t>-</w:t>
      </w:r>
      <w:r w:rsidRPr="00575C09">
        <w:rPr>
          <w:rtl/>
        </w:rPr>
        <w:t>7</w:t>
      </w:r>
      <w:r w:rsidRPr="000D7670">
        <w:rPr>
          <w:rtl/>
        </w:rPr>
        <w:t>.</w:t>
      </w:r>
    </w:p>
  </w:footnote>
  <w:footnote w:id="29">
    <w:p w14:paraId="6D44014D" w14:textId="1B7ABCCC"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المرجع نفسه.</w:t>
      </w:r>
    </w:p>
  </w:footnote>
  <w:footnote w:id="30">
    <w:p w14:paraId="2EDAD135" w14:textId="5BE0E68A"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قضية </w:t>
      </w:r>
      <w:r w:rsidRPr="002A7D75">
        <w:rPr>
          <w:i/>
          <w:iCs/>
          <w:rtl/>
        </w:rPr>
        <w:t>بن جازية وبليلي ضد إسبانيا</w:t>
      </w:r>
      <w:r w:rsidRPr="000D7670">
        <w:rPr>
          <w:rtl/>
        </w:rPr>
        <w:t xml:space="preserve">، الفقرة </w:t>
      </w:r>
      <w:r w:rsidRPr="00575C09">
        <w:rPr>
          <w:rtl/>
        </w:rPr>
        <w:t>15</w:t>
      </w:r>
      <w:r w:rsidRPr="000D7670">
        <w:rPr>
          <w:rtl/>
        </w:rPr>
        <w:t>-</w:t>
      </w:r>
      <w:r w:rsidRPr="00575C09">
        <w:rPr>
          <w:rtl/>
        </w:rPr>
        <w:t>1</w:t>
      </w:r>
      <w:r w:rsidRPr="000D7670">
        <w:rPr>
          <w:rtl/>
        </w:rPr>
        <w:t>.</w:t>
      </w:r>
    </w:p>
  </w:footnote>
  <w:footnote w:id="31">
    <w:p w14:paraId="76E7AF06" w14:textId="4C9A8D35"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7</w:t>
      </w:r>
      <w:r w:rsidRPr="000D7670">
        <w:rPr>
          <w:rtl/>
        </w:rPr>
        <w:t>(</w:t>
      </w:r>
      <w:r w:rsidRPr="00575C09">
        <w:rPr>
          <w:rtl/>
        </w:rPr>
        <w:t>1997</w:t>
      </w:r>
      <w:r w:rsidRPr="000D7670">
        <w:rPr>
          <w:rtl/>
        </w:rPr>
        <w:t xml:space="preserve">)، الفقرة </w:t>
      </w:r>
      <w:r w:rsidRPr="00575C09">
        <w:rPr>
          <w:rtl/>
        </w:rPr>
        <w:t>16</w:t>
      </w:r>
      <w:r w:rsidRPr="000D7670">
        <w:rPr>
          <w:rtl/>
        </w:rPr>
        <w:t>.</w:t>
      </w:r>
    </w:p>
  </w:footnote>
  <w:footnote w:id="32">
    <w:p w14:paraId="2D7127F5" w14:textId="7ABB8765"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قضية </w:t>
      </w:r>
      <w:r w:rsidRPr="00DD7E44">
        <w:rPr>
          <w:i/>
          <w:iCs/>
          <w:rtl/>
        </w:rPr>
        <w:t>بن جازية وبليلي ضد إسبانيا</w:t>
      </w:r>
      <w:r w:rsidRPr="000D7670">
        <w:rPr>
          <w:rtl/>
        </w:rPr>
        <w:t xml:space="preserve">، الفقرة </w:t>
      </w:r>
      <w:r w:rsidRPr="00575C09">
        <w:rPr>
          <w:rtl/>
        </w:rPr>
        <w:t>15</w:t>
      </w:r>
      <w:r w:rsidRPr="000D7670">
        <w:rPr>
          <w:rtl/>
        </w:rPr>
        <w:t>-</w:t>
      </w:r>
      <w:r w:rsidRPr="00575C09">
        <w:rPr>
          <w:rtl/>
        </w:rPr>
        <w:t>2</w:t>
      </w:r>
      <w:r w:rsidRPr="000D7670">
        <w:rPr>
          <w:rtl/>
        </w:rPr>
        <w:t>.</w:t>
      </w:r>
    </w:p>
  </w:footnote>
  <w:footnote w:id="33">
    <w:p w14:paraId="1858B5E0" w14:textId="31BCA29B"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المرجع نفسه، الفقرة </w:t>
      </w:r>
      <w:r w:rsidRPr="00575C09">
        <w:rPr>
          <w:rtl/>
        </w:rPr>
        <w:t>15</w:t>
      </w:r>
      <w:r w:rsidRPr="000D7670">
        <w:rPr>
          <w:rtl/>
        </w:rPr>
        <w:t>-</w:t>
      </w:r>
      <w:r w:rsidRPr="00575C09">
        <w:rPr>
          <w:rtl/>
        </w:rPr>
        <w:t>5</w:t>
      </w:r>
      <w:r w:rsidRPr="000D7670">
        <w:rPr>
          <w:rtl/>
        </w:rPr>
        <w:t>. وانظر</w:t>
      </w:r>
      <w:r>
        <w:rPr>
          <w:rtl/>
        </w:rPr>
        <w:t xml:space="preserve"> أيضاً </w:t>
      </w:r>
      <w:r w:rsidRPr="000D7670">
        <w:t>E/C.</w:t>
      </w:r>
      <w:r w:rsidRPr="00575C09">
        <w:t>12</w:t>
      </w:r>
      <w:r w:rsidRPr="000D7670">
        <w:t>/</w:t>
      </w:r>
      <w:r w:rsidRPr="00575C09">
        <w:t>2007</w:t>
      </w:r>
      <w:r w:rsidRPr="000D7670">
        <w:t>/</w:t>
      </w:r>
      <w:r w:rsidRPr="00575C09">
        <w:t>1</w:t>
      </w:r>
      <w:r w:rsidRPr="000D7670">
        <w:rPr>
          <w:rtl/>
        </w:rPr>
        <w:t>.</w:t>
      </w:r>
    </w:p>
  </w:footnote>
  <w:footnote w:id="34">
    <w:p w14:paraId="19392D64" w14:textId="602819E5"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4</w:t>
      </w:r>
      <w:r w:rsidRPr="000D7670">
        <w:rPr>
          <w:rtl/>
        </w:rPr>
        <w:t>(</w:t>
      </w:r>
      <w:r w:rsidRPr="00575C09">
        <w:rPr>
          <w:rtl/>
        </w:rPr>
        <w:t>1991</w:t>
      </w:r>
      <w:r w:rsidRPr="000D7670">
        <w:rPr>
          <w:rtl/>
        </w:rPr>
        <w:t xml:space="preserve">)، الفقرة </w:t>
      </w:r>
      <w:r w:rsidRPr="00575C09">
        <w:rPr>
          <w:rtl/>
        </w:rPr>
        <w:t>8</w:t>
      </w:r>
      <w:r w:rsidRPr="000D7670">
        <w:rPr>
          <w:rtl/>
        </w:rPr>
        <w:t>(ج). وانظر</w:t>
      </w:r>
      <w:r>
        <w:rPr>
          <w:rtl/>
        </w:rPr>
        <w:t xml:space="preserve"> أيضاً </w:t>
      </w:r>
      <w:r w:rsidRPr="000D7670">
        <w:rPr>
          <w:rtl/>
        </w:rPr>
        <w:t xml:space="preserve">المرجع نفسه، الفقرة </w:t>
      </w:r>
      <w:r w:rsidRPr="00575C09">
        <w:rPr>
          <w:rtl/>
        </w:rPr>
        <w:t>13</w:t>
      </w:r>
      <w:r w:rsidRPr="000D7670">
        <w:rPr>
          <w:rtl/>
        </w:rPr>
        <w:t>.</w:t>
      </w:r>
    </w:p>
  </w:footnote>
  <w:footnote w:id="35">
    <w:p w14:paraId="18AF7EF2" w14:textId="7D7658C1"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3</w:t>
      </w:r>
      <w:r w:rsidRPr="000D7670">
        <w:rPr>
          <w:rtl/>
        </w:rPr>
        <w:t>(</w:t>
      </w:r>
      <w:r w:rsidRPr="00575C09">
        <w:rPr>
          <w:rtl/>
        </w:rPr>
        <w:t>1990</w:t>
      </w:r>
      <w:r w:rsidRPr="000D7670">
        <w:rPr>
          <w:rtl/>
        </w:rPr>
        <w:t xml:space="preserve">)، الفقرة </w:t>
      </w:r>
      <w:r w:rsidRPr="00575C09">
        <w:rPr>
          <w:rtl/>
        </w:rPr>
        <w:t>2</w:t>
      </w:r>
      <w:r w:rsidRPr="000D7670">
        <w:rPr>
          <w:rtl/>
        </w:rPr>
        <w:t>. وانظر</w:t>
      </w:r>
      <w:r>
        <w:rPr>
          <w:rtl/>
        </w:rPr>
        <w:t xml:space="preserve"> أيضاً </w:t>
      </w:r>
      <w:r w:rsidRPr="000D7670">
        <w:rPr>
          <w:rtl/>
        </w:rPr>
        <w:t xml:space="preserve">الرسالة المؤرخة </w:t>
      </w:r>
      <w:r w:rsidRPr="00575C09">
        <w:rPr>
          <w:rtl/>
        </w:rPr>
        <w:t>16</w:t>
      </w:r>
      <w:r w:rsidRPr="000D7670">
        <w:rPr>
          <w:rtl/>
        </w:rPr>
        <w:t xml:space="preserve"> أيار/مايو </w:t>
      </w:r>
      <w:r w:rsidRPr="00575C09">
        <w:rPr>
          <w:rtl/>
        </w:rPr>
        <w:t>2012</w:t>
      </w:r>
      <w:r w:rsidRPr="000D7670">
        <w:rPr>
          <w:rtl/>
        </w:rPr>
        <w:t xml:space="preserve"> الموجهة من رئيس اللجنة إلى الدول الأطراف في العهد (</w:t>
      </w:r>
      <w:r w:rsidRPr="000D7670">
        <w:t>HRC/NONE/</w:t>
      </w:r>
      <w:r w:rsidRPr="00575C09">
        <w:t>2012</w:t>
      </w:r>
      <w:r w:rsidRPr="000D7670">
        <w:t>/</w:t>
      </w:r>
      <w:r w:rsidRPr="00575C09">
        <w:t>76</w:t>
      </w:r>
      <w:r w:rsidRPr="000D7670">
        <w:rPr>
          <w:rtl/>
        </w:rPr>
        <w:t>).</w:t>
      </w:r>
    </w:p>
  </w:footnote>
  <w:footnote w:id="36">
    <w:p w14:paraId="17028CDE" w14:textId="7978FA16"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انظر، على سبيل المثال، الوثيقة </w:t>
      </w:r>
      <w:r w:rsidRPr="000D7670">
        <w:t>A/HRC/</w:t>
      </w:r>
      <w:r w:rsidRPr="00575C09">
        <w:t>31</w:t>
      </w:r>
      <w:r w:rsidRPr="000D7670">
        <w:t>/</w:t>
      </w:r>
      <w:r w:rsidRPr="00575C09">
        <w:t>54</w:t>
      </w:r>
      <w:r w:rsidRPr="000D7670">
        <w:rPr>
          <w:rtl/>
        </w:rPr>
        <w:t xml:space="preserve">، الفقرات </w:t>
      </w:r>
      <w:r w:rsidRPr="00575C09">
        <w:rPr>
          <w:rtl/>
        </w:rPr>
        <w:t>28</w:t>
      </w:r>
      <w:r w:rsidRPr="000D7670">
        <w:rPr>
          <w:rtl/>
        </w:rPr>
        <w:t>-</w:t>
      </w:r>
      <w:r w:rsidRPr="00575C09">
        <w:rPr>
          <w:rtl/>
        </w:rPr>
        <w:t>38</w:t>
      </w:r>
      <w:r w:rsidRPr="000D7670">
        <w:rPr>
          <w:rtl/>
        </w:rPr>
        <w:t>.</w:t>
      </w:r>
    </w:p>
  </w:footnote>
  <w:footnote w:id="37">
    <w:p w14:paraId="63AE69D2" w14:textId="4037D9E7"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4</w:t>
      </w:r>
      <w:r w:rsidRPr="000D7670">
        <w:rPr>
          <w:rtl/>
        </w:rPr>
        <w:t>(</w:t>
      </w:r>
      <w:r w:rsidRPr="00575C09">
        <w:rPr>
          <w:rtl/>
        </w:rPr>
        <w:t>1991</w:t>
      </w:r>
      <w:r w:rsidRPr="000D7670">
        <w:rPr>
          <w:rtl/>
        </w:rPr>
        <w:t xml:space="preserve">)، الفقرة </w:t>
      </w:r>
      <w:r w:rsidRPr="00575C09">
        <w:rPr>
          <w:rtl/>
        </w:rPr>
        <w:t>8</w:t>
      </w:r>
      <w:r w:rsidRPr="000D7670">
        <w:rPr>
          <w:rtl/>
        </w:rPr>
        <w:t>.</w:t>
      </w:r>
    </w:p>
  </w:footnote>
  <w:footnote w:id="38">
    <w:p w14:paraId="42FEF312" w14:textId="4E21052B"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قضية </w:t>
      </w:r>
      <w:r w:rsidRPr="002A7D75">
        <w:rPr>
          <w:i/>
          <w:iCs/>
          <w:rtl/>
        </w:rPr>
        <w:t>لوبيز ألبان ضد إسبانيا</w:t>
      </w:r>
      <w:r w:rsidRPr="000D7670">
        <w:rPr>
          <w:rtl/>
        </w:rPr>
        <w:t xml:space="preserve">، الفقرة </w:t>
      </w:r>
      <w:r w:rsidRPr="00575C09">
        <w:rPr>
          <w:rtl/>
        </w:rPr>
        <w:t>9</w:t>
      </w:r>
      <w:r w:rsidRPr="000D7670">
        <w:rPr>
          <w:rtl/>
        </w:rPr>
        <w:t>-</w:t>
      </w:r>
      <w:r w:rsidRPr="00575C09">
        <w:rPr>
          <w:rtl/>
        </w:rPr>
        <w:t>3</w:t>
      </w:r>
      <w:r w:rsidRPr="000D7670">
        <w:rPr>
          <w:rtl/>
        </w:rPr>
        <w:t>.</w:t>
      </w:r>
    </w:p>
  </w:footnote>
  <w:footnote w:id="39">
    <w:p w14:paraId="37018546" w14:textId="39AF3B13"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4</w:t>
      </w:r>
      <w:r w:rsidRPr="000D7670">
        <w:rPr>
          <w:rtl/>
        </w:rPr>
        <w:t>(</w:t>
      </w:r>
      <w:r w:rsidRPr="00575C09">
        <w:rPr>
          <w:rtl/>
        </w:rPr>
        <w:t>1991</w:t>
      </w:r>
      <w:r w:rsidRPr="000D7670">
        <w:rPr>
          <w:rtl/>
        </w:rPr>
        <w:t xml:space="preserve">)، الفقرة </w:t>
      </w:r>
      <w:r w:rsidRPr="00575C09">
        <w:rPr>
          <w:rtl/>
        </w:rPr>
        <w:t>8</w:t>
      </w:r>
      <w:r w:rsidRPr="000D7670">
        <w:rPr>
          <w:rtl/>
        </w:rPr>
        <w:t>(ج).</w:t>
      </w:r>
    </w:p>
  </w:footnote>
  <w:footnote w:id="40">
    <w:p w14:paraId="0EF366BB" w14:textId="127A1EAC"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24</w:t>
      </w:r>
      <w:r w:rsidRPr="000D7670">
        <w:rPr>
          <w:rtl/>
        </w:rPr>
        <w:t>(</w:t>
      </w:r>
      <w:r w:rsidRPr="00575C09">
        <w:rPr>
          <w:rtl/>
        </w:rPr>
        <w:t>2017</w:t>
      </w:r>
      <w:r w:rsidRPr="000D7670">
        <w:rPr>
          <w:rtl/>
        </w:rPr>
        <w:t xml:space="preserve">)، الفقرة </w:t>
      </w:r>
      <w:r w:rsidRPr="00575C09">
        <w:rPr>
          <w:rtl/>
        </w:rPr>
        <w:t>18</w:t>
      </w:r>
      <w:r w:rsidRPr="000D7670">
        <w:rPr>
          <w:rtl/>
        </w:rPr>
        <w:t>.</w:t>
      </w:r>
    </w:p>
  </w:footnote>
  <w:footnote w:id="41">
    <w:p w14:paraId="2187D5C6" w14:textId="71F76CFF"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4</w:t>
      </w:r>
      <w:r w:rsidRPr="000D7670">
        <w:rPr>
          <w:rtl/>
        </w:rPr>
        <w:t>(</w:t>
      </w:r>
      <w:r w:rsidRPr="00575C09">
        <w:rPr>
          <w:rtl/>
        </w:rPr>
        <w:t>1991</w:t>
      </w:r>
      <w:r w:rsidRPr="000D7670">
        <w:rPr>
          <w:rtl/>
        </w:rPr>
        <w:t xml:space="preserve">)، الفقرة </w:t>
      </w:r>
      <w:r w:rsidRPr="00575C09">
        <w:rPr>
          <w:rtl/>
        </w:rPr>
        <w:t>8</w:t>
      </w:r>
      <w:r w:rsidRPr="000D7670">
        <w:rPr>
          <w:rtl/>
        </w:rPr>
        <w:t>.</w:t>
      </w:r>
    </w:p>
  </w:footnote>
  <w:footnote w:id="42">
    <w:p w14:paraId="2D259966" w14:textId="3C1D5B89"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اللجنة المعنية بالحقوق الاقتصادية والاجتماعية والثقافية، التعليق العام رقم </w:t>
      </w:r>
      <w:r w:rsidRPr="00575C09">
        <w:rPr>
          <w:rtl/>
        </w:rPr>
        <w:t>6</w:t>
      </w:r>
      <w:r w:rsidRPr="000D7670">
        <w:rPr>
          <w:rtl/>
        </w:rPr>
        <w:t>(</w:t>
      </w:r>
      <w:r w:rsidRPr="00575C09">
        <w:rPr>
          <w:rtl/>
        </w:rPr>
        <w:t>1995</w:t>
      </w:r>
      <w:r w:rsidRPr="000D7670">
        <w:rPr>
          <w:rtl/>
        </w:rPr>
        <w:t xml:space="preserve">)، الفقرة </w:t>
      </w:r>
      <w:r w:rsidRPr="00575C09">
        <w:rPr>
          <w:rtl/>
        </w:rPr>
        <w:t>10</w:t>
      </w:r>
      <w:r w:rsidRPr="000D7670">
        <w:rPr>
          <w:rtl/>
        </w:rPr>
        <w:t>.</w:t>
      </w:r>
    </w:p>
  </w:footnote>
  <w:footnote w:id="43">
    <w:p w14:paraId="354CA138" w14:textId="0E5209BD" w:rsidR="001D7A1E" w:rsidRPr="000D7670" w:rsidRDefault="001D7A1E" w:rsidP="000D7670">
      <w:pPr>
        <w:pStyle w:val="FootnoteText1"/>
        <w:textDirection w:val="tbRlV"/>
      </w:pPr>
      <w:r w:rsidRPr="000D7670">
        <w:rPr>
          <w:rtl/>
        </w:rPr>
        <w:t>(</w:t>
      </w:r>
      <w:r w:rsidRPr="00575C09">
        <w:rPr>
          <w:rStyle w:val="FootnoteReference"/>
          <w:vertAlign w:val="baseline"/>
        </w:rPr>
        <w:footnoteRef/>
      </w:r>
      <w:r w:rsidRPr="000D7670">
        <w:rPr>
          <w:rtl/>
        </w:rPr>
        <w:t>)</w:t>
      </w:r>
      <w:r>
        <w:rPr>
          <w:rtl/>
        </w:rPr>
        <w:tab/>
      </w:r>
      <w:r w:rsidRPr="000D7670">
        <w:rPr>
          <w:rtl/>
        </w:rPr>
        <w:t xml:space="preserve">المرجع نفسه، الفقرة </w:t>
      </w:r>
      <w:r w:rsidRPr="00575C09">
        <w:rPr>
          <w:rtl/>
        </w:rPr>
        <w:t>33</w:t>
      </w:r>
      <w:r w:rsidRPr="000D7670">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F15D" w14:textId="7DD17AA8" w:rsidR="001D7A1E" w:rsidRPr="00FA1FB7" w:rsidRDefault="001D7A1E" w:rsidP="00FA1FB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E/C.12/70/D/61/2018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0FDC" w14:textId="4705CA32" w:rsidR="001D7A1E" w:rsidRPr="00FA1FB7" w:rsidRDefault="001D7A1E" w:rsidP="00FA1FB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E/C.12/70/D/61/2018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F0AF" w14:textId="77777777" w:rsidR="001D7A1E" w:rsidRDefault="001D7A1E"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C8"/>
    <w:rsid w:val="000076D5"/>
    <w:rsid w:val="000148E3"/>
    <w:rsid w:val="00043663"/>
    <w:rsid w:val="000505CF"/>
    <w:rsid w:val="000C0380"/>
    <w:rsid w:val="000D63FC"/>
    <w:rsid w:val="000D701C"/>
    <w:rsid w:val="000D7670"/>
    <w:rsid w:val="000E2A71"/>
    <w:rsid w:val="000E524A"/>
    <w:rsid w:val="00147B99"/>
    <w:rsid w:val="00160263"/>
    <w:rsid w:val="00165FA4"/>
    <w:rsid w:val="0017461F"/>
    <w:rsid w:val="00181F96"/>
    <w:rsid w:val="00190E4B"/>
    <w:rsid w:val="001A1371"/>
    <w:rsid w:val="001A4A23"/>
    <w:rsid w:val="001A58AC"/>
    <w:rsid w:val="001B346A"/>
    <w:rsid w:val="001D1FE9"/>
    <w:rsid w:val="001D7A1E"/>
    <w:rsid w:val="001E1CAD"/>
    <w:rsid w:val="001E290D"/>
    <w:rsid w:val="002144FA"/>
    <w:rsid w:val="0023469A"/>
    <w:rsid w:val="00242AA9"/>
    <w:rsid w:val="00243C8A"/>
    <w:rsid w:val="00263FCF"/>
    <w:rsid w:val="00267A0E"/>
    <w:rsid w:val="002901D9"/>
    <w:rsid w:val="002976C2"/>
    <w:rsid w:val="002A7D75"/>
    <w:rsid w:val="002C40EA"/>
    <w:rsid w:val="00310E12"/>
    <w:rsid w:val="00325CC1"/>
    <w:rsid w:val="003260FF"/>
    <w:rsid w:val="00343D95"/>
    <w:rsid w:val="00360ABA"/>
    <w:rsid w:val="00374341"/>
    <w:rsid w:val="003D1062"/>
    <w:rsid w:val="003D1720"/>
    <w:rsid w:val="003D33AE"/>
    <w:rsid w:val="003E159A"/>
    <w:rsid w:val="003F4B0C"/>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75C09"/>
    <w:rsid w:val="005817D9"/>
    <w:rsid w:val="005827D4"/>
    <w:rsid w:val="0059622A"/>
    <w:rsid w:val="005A5A78"/>
    <w:rsid w:val="005A7535"/>
    <w:rsid w:val="005B279A"/>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33704"/>
    <w:rsid w:val="00740188"/>
    <w:rsid w:val="0078071A"/>
    <w:rsid w:val="007A70BB"/>
    <w:rsid w:val="007C1C49"/>
    <w:rsid w:val="007D7F4E"/>
    <w:rsid w:val="00801D24"/>
    <w:rsid w:val="00852A9A"/>
    <w:rsid w:val="00871544"/>
    <w:rsid w:val="00871FC8"/>
    <w:rsid w:val="008864E6"/>
    <w:rsid w:val="008930DB"/>
    <w:rsid w:val="00895D16"/>
    <w:rsid w:val="008F49E1"/>
    <w:rsid w:val="0090370F"/>
    <w:rsid w:val="00912FE7"/>
    <w:rsid w:val="009269D2"/>
    <w:rsid w:val="00934890"/>
    <w:rsid w:val="00942135"/>
    <w:rsid w:val="009521B0"/>
    <w:rsid w:val="009A7E9F"/>
    <w:rsid w:val="009E0EDE"/>
    <w:rsid w:val="009E5018"/>
    <w:rsid w:val="00A072C6"/>
    <w:rsid w:val="00A12B37"/>
    <w:rsid w:val="00A13A25"/>
    <w:rsid w:val="00A15998"/>
    <w:rsid w:val="00A50EC0"/>
    <w:rsid w:val="00A74331"/>
    <w:rsid w:val="00A862CC"/>
    <w:rsid w:val="00AB6758"/>
    <w:rsid w:val="00B13763"/>
    <w:rsid w:val="00B24420"/>
    <w:rsid w:val="00B24BD4"/>
    <w:rsid w:val="00B477A4"/>
    <w:rsid w:val="00B54045"/>
    <w:rsid w:val="00B6606A"/>
    <w:rsid w:val="00BA1F0F"/>
    <w:rsid w:val="00BA641F"/>
    <w:rsid w:val="00C022F5"/>
    <w:rsid w:val="00C22A2A"/>
    <w:rsid w:val="00C438D7"/>
    <w:rsid w:val="00C53FE8"/>
    <w:rsid w:val="00C81B50"/>
    <w:rsid w:val="00CA655B"/>
    <w:rsid w:val="00CB3C3C"/>
    <w:rsid w:val="00CD1801"/>
    <w:rsid w:val="00CE29BB"/>
    <w:rsid w:val="00D10EF1"/>
    <w:rsid w:val="00D42810"/>
    <w:rsid w:val="00D914A7"/>
    <w:rsid w:val="00DD13C3"/>
    <w:rsid w:val="00DD596E"/>
    <w:rsid w:val="00DD621E"/>
    <w:rsid w:val="00DD7E44"/>
    <w:rsid w:val="00DF0575"/>
    <w:rsid w:val="00DF20AC"/>
    <w:rsid w:val="00E049EC"/>
    <w:rsid w:val="00E262B9"/>
    <w:rsid w:val="00E3601B"/>
    <w:rsid w:val="00E70E04"/>
    <w:rsid w:val="00EC05A7"/>
    <w:rsid w:val="00EC4B6B"/>
    <w:rsid w:val="00EC7D11"/>
    <w:rsid w:val="00ED7442"/>
    <w:rsid w:val="00EE0B18"/>
    <w:rsid w:val="00EE2AFF"/>
    <w:rsid w:val="00EE401A"/>
    <w:rsid w:val="00EF1EE5"/>
    <w:rsid w:val="00F33A94"/>
    <w:rsid w:val="00F6423C"/>
    <w:rsid w:val="00F763B4"/>
    <w:rsid w:val="00F900C3"/>
    <w:rsid w:val="00FA0CD3"/>
    <w:rsid w:val="00FA1FB7"/>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0A10E6"/>
  <w15:docId w15:val="{AC634C32-AC82-418F-966C-774495EE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18</Pages>
  <Words>4764</Words>
  <Characters>41259</Characters>
  <Application>Microsoft Office Word</Application>
  <DocSecurity>0</DocSecurity>
  <Lines>5157</Lines>
  <Paragraphs>3287</Paragraphs>
  <ScaleCrop>false</ScaleCrop>
  <HeadingPairs>
    <vt:vector size="2" baseType="variant">
      <vt:variant>
        <vt:lpstr>Title</vt:lpstr>
      </vt:variant>
      <vt:variant>
        <vt:i4>1</vt:i4>
      </vt:variant>
    </vt:vector>
  </HeadingPairs>
  <TitlesOfParts>
    <vt:vector size="1" baseType="lpstr">
      <vt:lpstr>E/C.12/70/D/61/2018</vt:lpstr>
    </vt:vector>
  </TitlesOfParts>
  <Company>DCM</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E/C.12/70/D/61/2018</dc:title>
  <dc:subject>GE.2117202(A)</dc:subject>
  <dc:creator>Gamal MAHMOUD - MKADD</dc:creator>
  <cp:keywords>GE.2134295(A)</cp:keywords>
  <dc:description>Distr.: General_x000d_
23 November 2021_x000d_
Original: French</dc:description>
  <cp:lastModifiedBy>Gamal MAHMOUD</cp:lastModifiedBy>
  <cp:revision>2</cp:revision>
  <dcterms:created xsi:type="dcterms:W3CDTF">2021-12-17T16:28:00Z</dcterms:created>
  <dcterms:modified xsi:type="dcterms:W3CDTF">2021-12-17T16:28:00Z</dcterms:modified>
  <cp:category>Final</cp:category>
</cp:coreProperties>
</file>