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EB2FC5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9AE1DD" w14:textId="77777777" w:rsidR="002D5AAC" w:rsidRPr="00274E03" w:rsidRDefault="002D5AAC" w:rsidP="00415B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D7961B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A653D7" w14:textId="77777777" w:rsidR="002D5AAC" w:rsidRDefault="00415B20" w:rsidP="00415B20">
            <w:pPr>
              <w:jc w:val="right"/>
            </w:pPr>
            <w:r w:rsidRPr="00415B20">
              <w:rPr>
                <w:sz w:val="40"/>
              </w:rPr>
              <w:t>E</w:t>
            </w:r>
            <w:r>
              <w:t>/C.12/BEL/CO/5</w:t>
            </w:r>
          </w:p>
        </w:tc>
      </w:tr>
      <w:tr w:rsidR="002D5AAC" w:rsidRPr="00D02197" w14:paraId="5C873EBD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944D77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8DE203" wp14:editId="5D2441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6CB136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D75370" w14:textId="77777777" w:rsidR="002D5AAC" w:rsidRDefault="00415B20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A8BC0A" w14:textId="77777777" w:rsidR="00415B20" w:rsidRDefault="00415B20" w:rsidP="00415B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March 2020</w:t>
            </w:r>
          </w:p>
          <w:p w14:paraId="2542A8FF" w14:textId="77777777" w:rsidR="00415B20" w:rsidRDefault="00415B20" w:rsidP="00415B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59FE8E" w14:textId="77777777" w:rsidR="00415B20" w:rsidRPr="00D62A45" w:rsidRDefault="00415B20" w:rsidP="00415B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B7EB87E" w14:textId="77777777" w:rsidR="00415B20" w:rsidRPr="005C71C9" w:rsidRDefault="00415B20" w:rsidP="00415B20">
      <w:pPr>
        <w:spacing w:before="1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Комитет по экономическим, социальным </w:t>
      </w:r>
      <w:r>
        <w:rPr>
          <w:b/>
          <w:sz w:val="24"/>
          <w:szCs w:val="24"/>
        </w:rPr>
        <w:br/>
        <w:t>и культурным правам</w:t>
      </w:r>
    </w:p>
    <w:p w14:paraId="57789FD3" w14:textId="77777777" w:rsidR="00415B20" w:rsidRPr="00415B20" w:rsidRDefault="00415B20" w:rsidP="00415B20">
      <w:pPr>
        <w:pStyle w:val="HChG"/>
      </w:pPr>
      <w:r w:rsidRPr="00415B20">
        <w:tab/>
      </w:r>
      <w:r w:rsidRPr="00415B20">
        <w:tab/>
        <w:t>Заключительные замечания по пятому периодическому докладу Бельгии</w:t>
      </w:r>
      <w:r w:rsidRPr="00415B20">
        <w:rPr>
          <w:b w:val="0"/>
          <w:sz w:val="20"/>
        </w:rPr>
        <w:footnoteReference w:customMarkFollows="1" w:id="1"/>
        <w:t>*</w:t>
      </w:r>
    </w:p>
    <w:p w14:paraId="49984AA0" w14:textId="77777777" w:rsidR="00415B20" w:rsidRPr="00415B20" w:rsidRDefault="00415B20" w:rsidP="00415B20">
      <w:pPr>
        <w:pStyle w:val="SingleTxtG"/>
      </w:pPr>
      <w:r w:rsidRPr="00415B20">
        <w:t>1.</w:t>
      </w:r>
      <w:r w:rsidRPr="00415B20">
        <w:tab/>
        <w:t>Комитет рассмотрел пятый периодический доклад Бельгии (E/C.12/BEL/5) на своих 6-м и 7-м заседаниях (см. E/C.12/2020/SR.6 и 7), состоявшихся 19 и 20 февраля 2020 года, и на своем 30-м заседании, состоявшемся 6 марта 2020 года, принял настоящие заключительные замечания.</w:t>
      </w:r>
    </w:p>
    <w:p w14:paraId="7273C852" w14:textId="77777777" w:rsidR="00415B20" w:rsidRPr="00415B20" w:rsidRDefault="00415B20" w:rsidP="00415B20">
      <w:pPr>
        <w:pStyle w:val="H1G"/>
      </w:pPr>
      <w:r w:rsidRPr="00415B20">
        <w:tab/>
        <w:t>A.</w:t>
      </w:r>
      <w:r w:rsidRPr="00415B20">
        <w:tab/>
        <w:t>Введение</w:t>
      </w:r>
    </w:p>
    <w:p w14:paraId="5ED8D6B7" w14:textId="5AD6C198" w:rsidR="00415B20" w:rsidRDefault="00415B20" w:rsidP="00415B20">
      <w:pPr>
        <w:pStyle w:val="SingleTxtG"/>
      </w:pPr>
      <w:r w:rsidRPr="00415B20">
        <w:rPr>
          <w:bCs/>
        </w:rPr>
        <w:t>2.</w:t>
      </w:r>
      <w:r w:rsidRPr="00415B20">
        <w:rPr>
          <w:bCs/>
        </w:rPr>
        <w:tab/>
        <w:t>Комитет выражает удовлетворение в связи с представлением государством-участником своего пятого периодического доклада, который был подготовлен на основе предварительного перечня вопросов, составленного Комитетом (</w:t>
      </w:r>
      <w:r w:rsidRPr="00415B20">
        <w:rPr>
          <w:bCs/>
          <w:lang w:val="fr-CA"/>
        </w:rPr>
        <w:t>E</w:t>
      </w:r>
      <w:r w:rsidRPr="00415B20">
        <w:rPr>
          <w:bCs/>
        </w:rPr>
        <w:t>/</w:t>
      </w:r>
      <w:r w:rsidRPr="00415B20">
        <w:rPr>
          <w:bCs/>
          <w:lang w:val="fr-CA"/>
        </w:rPr>
        <w:t>C</w:t>
      </w:r>
      <w:r w:rsidRPr="00415B20">
        <w:rPr>
          <w:bCs/>
        </w:rPr>
        <w:t>.12/</w:t>
      </w:r>
      <w:r w:rsidRPr="00415B20">
        <w:rPr>
          <w:bCs/>
          <w:lang w:val="fr-CA"/>
        </w:rPr>
        <w:t>BEL</w:t>
      </w:r>
      <w:r w:rsidRPr="00415B20">
        <w:rPr>
          <w:bCs/>
        </w:rPr>
        <w:t>/</w:t>
      </w:r>
      <w:r w:rsidRPr="00415B20">
        <w:rPr>
          <w:bCs/>
          <w:lang w:val="fr-CA"/>
        </w:rPr>
        <w:t>QPR</w:t>
      </w:r>
      <w:r w:rsidRPr="00415B20">
        <w:rPr>
          <w:bCs/>
        </w:rPr>
        <w:t>/5). Комитет выражает признательность государству-участнику за согласие следовать упрощенной процедуре представления докладов, поскольку она позволяет предметно рассмотреть доклад и придать целенаправленный характер диалогу с делегацией. Он приветствует открытый и конструктивный диалог, проведенный с делегацией государства-участника, в состав которой входили высокопоставленные представители различных министерст</w:t>
      </w:r>
      <w:r w:rsidRPr="00415B20">
        <w:t>в.</w:t>
      </w:r>
    </w:p>
    <w:p w14:paraId="7BCDD283" w14:textId="63357287" w:rsidR="00D02197" w:rsidRPr="00D02197" w:rsidRDefault="00D02197" w:rsidP="00D02197">
      <w:pPr>
        <w:pStyle w:val="H1G"/>
      </w:pPr>
      <w:r>
        <w:tab/>
      </w:r>
      <w:r w:rsidRPr="00D02197">
        <w:t>B.</w:t>
      </w:r>
      <w:r w:rsidRPr="00D02197">
        <w:tab/>
      </w:r>
      <w:r>
        <w:t>Позитивные аспекты</w:t>
      </w:r>
    </w:p>
    <w:p w14:paraId="3FB21E18" w14:textId="4C41FC9C" w:rsidR="00415B20" w:rsidRPr="00415B20" w:rsidRDefault="00415B20" w:rsidP="00415B20">
      <w:pPr>
        <w:pStyle w:val="SingleTxtG"/>
      </w:pPr>
      <w:r w:rsidRPr="00415B20">
        <w:t>3.</w:t>
      </w:r>
      <w:r w:rsidRPr="00415B20">
        <w:tab/>
        <w:t>Комитет с удовлетворением отмечает активную позицию государства-участника и предпринятые им усилия по дальнейшему обеспечению всестороннего осуществления экономических, социальных и культурных прав, такие как принятие 23</w:t>
      </w:r>
      <w:r>
        <w:rPr>
          <w:lang w:val="en-US"/>
        </w:rPr>
        <w:t> </w:t>
      </w:r>
      <w:r w:rsidRPr="00415B20">
        <w:t>июня 2017</w:t>
      </w:r>
      <w:r w:rsidR="00D02197">
        <w:t> </w:t>
      </w:r>
      <w:r w:rsidRPr="00415B20">
        <w:t>года Национального плана действий «Предпринимательская деятельность и права человека», создание национального правозащитного учреждения в соответствии с Законом от 12 мая 2019 года и принятие Национального плана в области адаптации к изменению климата на 2017</w:t>
      </w:r>
      <w:r w:rsidR="00274E03">
        <w:t>‒</w:t>
      </w:r>
      <w:r w:rsidRPr="00415B20">
        <w:t>2020 годы. Кроме того, Комитет приветствует поддержку правозащитного подхода, выраженную государством-участником на переговорах об изменении климата, в частности применительно к плану действий по обеспечению гендерного равенства, платформе местных общин и коренных народов, а также в рамках действий по расширению возможностей в области борьбы с изменением климата.</w:t>
      </w:r>
    </w:p>
    <w:p w14:paraId="2F3962F9" w14:textId="77777777" w:rsidR="00415B20" w:rsidRPr="00415B20" w:rsidRDefault="00415B20" w:rsidP="00415B20">
      <w:pPr>
        <w:pStyle w:val="SingleTxtG"/>
      </w:pPr>
      <w:r w:rsidRPr="00415B20">
        <w:t>4.</w:t>
      </w:r>
      <w:r w:rsidRPr="00415B20">
        <w:tab/>
        <w:t xml:space="preserve">Комитет с удовлетворением отмечает состоявшуюся 20 мая 2014 года ратификацию Факультативного протокола к Международному пакту об экономических, социальных и культурных правах, а также признание компетенции </w:t>
      </w:r>
      <w:r w:rsidRPr="00415B20">
        <w:lastRenderedPageBreak/>
        <w:t>Комитета в отношении процедуры расследования, которая предусмотрена в статье 11 Факультативного протокола.</w:t>
      </w:r>
    </w:p>
    <w:p w14:paraId="4796C5A5" w14:textId="77777777" w:rsidR="00415B20" w:rsidRPr="00415B20" w:rsidRDefault="00415B20" w:rsidP="00415B20">
      <w:pPr>
        <w:pStyle w:val="H1G"/>
      </w:pPr>
      <w:r w:rsidRPr="00415B20">
        <w:tab/>
        <w:t>C.</w:t>
      </w:r>
      <w:r w:rsidRPr="00415B20">
        <w:tab/>
        <w:t>Основные вопросы, вызывающие озабоченность, и рекомендации</w:t>
      </w:r>
    </w:p>
    <w:p w14:paraId="7E2926F3" w14:textId="77777777" w:rsidR="00415B20" w:rsidRPr="00415B20" w:rsidRDefault="00415B20" w:rsidP="00415B20">
      <w:pPr>
        <w:pStyle w:val="H23G"/>
      </w:pPr>
      <w:r w:rsidRPr="00415B20">
        <w:tab/>
      </w:r>
      <w:r w:rsidRPr="00415B20">
        <w:tab/>
      </w:r>
      <w:r w:rsidRPr="00415B20">
        <w:tab/>
        <w:t>Статус Пакта во внутренней правовой системе</w:t>
      </w:r>
    </w:p>
    <w:p w14:paraId="0BC83A95" w14:textId="77777777" w:rsidR="00415B20" w:rsidRPr="00415B20" w:rsidRDefault="00415B20" w:rsidP="00415B20">
      <w:pPr>
        <w:pStyle w:val="SingleTxtG"/>
      </w:pPr>
      <w:r w:rsidRPr="00415B20">
        <w:t>5.</w:t>
      </w:r>
      <w:r w:rsidRPr="00415B20">
        <w:tab/>
        <w:t xml:space="preserve">Комитет отмечает, что в системе внутреннего права государства-участника применимость Пакта и всего комплекса его положений не признана, и с беспокойством принимает к сведению тот факт, что суды крайне редко ссылаются на положения Пакта. </w:t>
      </w:r>
    </w:p>
    <w:p w14:paraId="1B7C14D0" w14:textId="77777777" w:rsidR="00415B20" w:rsidRPr="00415B20" w:rsidRDefault="00415B20" w:rsidP="00415B20">
      <w:pPr>
        <w:pStyle w:val="SingleTxtG"/>
      </w:pPr>
      <w:r w:rsidRPr="00415B20">
        <w:t>6.</w:t>
      </w:r>
      <w:r w:rsidRPr="00415B20">
        <w:tab/>
      </w:r>
      <w:r w:rsidRPr="00415B20">
        <w:rPr>
          <w:b/>
        </w:rPr>
        <w:t>Комитет вновь ссылается на свои рекомендации из предыдущих заключительных замечаний, где государству-участнику предлагалось гарантировать</w:t>
      </w:r>
      <w:r w:rsidRPr="00415B20">
        <w:t xml:space="preserve"> </w:t>
      </w:r>
      <w:r w:rsidRPr="00415B20">
        <w:rPr>
          <w:b/>
        </w:rPr>
        <w:t>непосредственное применение положений Пакта в рамках национального правового режима (</w:t>
      </w:r>
      <w:r w:rsidRPr="00415B20">
        <w:rPr>
          <w:b/>
          <w:lang w:val="fr-FR"/>
        </w:rPr>
        <w:t>E</w:t>
      </w:r>
      <w:r w:rsidRPr="00415B20">
        <w:rPr>
          <w:b/>
        </w:rPr>
        <w:t>/</w:t>
      </w:r>
      <w:r w:rsidRPr="00415B20">
        <w:rPr>
          <w:b/>
          <w:lang w:val="fr-FR"/>
        </w:rPr>
        <w:t>C</w:t>
      </w:r>
      <w:r w:rsidRPr="00415B20">
        <w:rPr>
          <w:b/>
        </w:rPr>
        <w:t>.12/</w:t>
      </w:r>
      <w:r w:rsidRPr="00415B20">
        <w:rPr>
          <w:b/>
          <w:lang w:val="fr-FR"/>
        </w:rPr>
        <w:t>BEL</w:t>
      </w:r>
      <w:r w:rsidRPr="00415B20">
        <w:rPr>
          <w:b/>
        </w:rPr>
        <w:t>/</w:t>
      </w:r>
      <w:r w:rsidRPr="00415B20">
        <w:rPr>
          <w:b/>
          <w:lang w:val="fr-FR"/>
        </w:rPr>
        <w:t>CO</w:t>
      </w:r>
      <w:r w:rsidRPr="00415B20">
        <w:rPr>
          <w:b/>
        </w:rPr>
        <w:t>/3, пункты 24 и 25; E/C.12/BEL/CO/4, пункт 7). Он рекомендует также государству-участнику активизировать усилия по распространению содержания положений Пакта и Факультативного протокола к нему среди адвокатов, судей и магистратов, а</w:t>
      </w:r>
      <w:r>
        <w:rPr>
          <w:b/>
          <w:lang w:val="en-US"/>
        </w:rPr>
        <w:t> </w:t>
      </w:r>
      <w:r w:rsidRPr="00415B20">
        <w:rPr>
          <w:b/>
        </w:rPr>
        <w:t>также среди широкой общественности. Комитет обращает внимание государства-участника на свое замечание общего порядка №</w:t>
      </w:r>
      <w:r w:rsidRPr="00415B20">
        <w:rPr>
          <w:b/>
          <w:lang w:val="fr-FR"/>
        </w:rPr>
        <w:t> </w:t>
      </w:r>
      <w:r w:rsidRPr="00415B20">
        <w:rPr>
          <w:b/>
        </w:rPr>
        <w:t>9 (1998) о применении Пакта во внутреннем праве.</w:t>
      </w:r>
    </w:p>
    <w:p w14:paraId="02372943" w14:textId="77777777" w:rsidR="00415B20" w:rsidRPr="00415B20" w:rsidRDefault="00415B20" w:rsidP="00415B20">
      <w:pPr>
        <w:pStyle w:val="H23G"/>
      </w:pPr>
      <w:r w:rsidRPr="00415B20">
        <w:tab/>
      </w:r>
      <w:r w:rsidRPr="00415B20">
        <w:tab/>
        <w:t>Национальное правозащитное учреждение</w:t>
      </w:r>
    </w:p>
    <w:p w14:paraId="19369D93" w14:textId="77777777" w:rsidR="00415B20" w:rsidRPr="00415B20" w:rsidRDefault="00415B20" w:rsidP="00415B20">
      <w:pPr>
        <w:pStyle w:val="SingleTxtG"/>
      </w:pPr>
      <w:r w:rsidRPr="00415B20">
        <w:t>7.</w:t>
      </w:r>
      <w:r w:rsidRPr="00415B20">
        <w:tab/>
        <w:t>Принимая к сведению информацию о создании в 2019 году Федерального института по правам человека, Комитет, однако, обеспокоен тем, что его мандат на федеральном уровне пока ограничен и не включает в себя полномочий принимать индивидуальные жалобы, а также тем, что институт не имеет соглашения о сотрудничестве с действующими национальными правозащитными учреждениями, такими как «Униа».</w:t>
      </w:r>
    </w:p>
    <w:p w14:paraId="5F47C6A7" w14:textId="77777777" w:rsidR="00415B20" w:rsidRPr="00415B20" w:rsidRDefault="00415B20" w:rsidP="00415B20">
      <w:pPr>
        <w:pStyle w:val="SingleTxtG"/>
        <w:rPr>
          <w:b/>
        </w:rPr>
      </w:pPr>
      <w:r w:rsidRPr="00415B20">
        <w:t>8.</w:t>
      </w:r>
      <w:r w:rsidRPr="00415B20">
        <w:tab/>
      </w:r>
      <w:r w:rsidRPr="00415B20">
        <w:rPr>
          <w:b/>
        </w:rPr>
        <w:t>Комитет рекомендует государству-участнику расширить мандат своего национального правозащитного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принципы), чтобы он применялся в отношении федерального государства и регионов. Он просит государство-участник гарантировать координацию между различными субъектами, занимающимися проблематикой прав человека. Комитет призывает также государство-участник изучить возможность предоставления упомянутому учреждению полномочий принимать и рассматривать жалобы и петиции, касающиеся положения отдельных лиц, особенно в отношении экономических, социальных и культурных прав.</w:t>
      </w:r>
    </w:p>
    <w:p w14:paraId="5F9CD2A0" w14:textId="77777777" w:rsidR="00415B20" w:rsidRPr="00415B20" w:rsidRDefault="00415B20" w:rsidP="00415B20">
      <w:pPr>
        <w:pStyle w:val="H23G"/>
      </w:pPr>
      <w:r w:rsidRPr="00415B20">
        <w:tab/>
      </w:r>
      <w:r w:rsidRPr="00415B20">
        <w:tab/>
      </w:r>
      <w:r w:rsidRPr="00415B20">
        <w:tab/>
        <w:t>Изменение климата</w:t>
      </w:r>
    </w:p>
    <w:p w14:paraId="1E493BCA" w14:textId="77777777" w:rsidR="00415B20" w:rsidRPr="00415B20" w:rsidRDefault="00415B20" w:rsidP="00415B20">
      <w:pPr>
        <w:pStyle w:val="SingleTxtG"/>
      </w:pPr>
      <w:r w:rsidRPr="00415B20">
        <w:t>9.</w:t>
      </w:r>
      <w:r w:rsidRPr="00415B20">
        <w:tab/>
        <w:t>Комитет с удовлетворением отмечает принятие национального плана адаптации к изменению климата. При этом он с обеспокоенностью констатирует, что государство-участник не в состоянии достичь своей цели, предусматривающей сокращение выбросов парниковых газов на 15% к 2020 году и на 35% к 2030 году в сопоставлении с объемом таких выбросов в 2005 году.</w:t>
      </w:r>
    </w:p>
    <w:p w14:paraId="7A876AED" w14:textId="77777777" w:rsidR="00415B20" w:rsidRPr="00415B20" w:rsidRDefault="00415B20" w:rsidP="00415B20">
      <w:pPr>
        <w:pStyle w:val="SingleTxtG"/>
        <w:rPr>
          <w:b/>
        </w:rPr>
      </w:pPr>
      <w:r w:rsidRPr="00415B20">
        <w:t>10.</w:t>
      </w:r>
      <w:r w:rsidRPr="00415B20">
        <w:tab/>
      </w:r>
      <w:r w:rsidRPr="00415B20">
        <w:rPr>
          <w:b/>
        </w:rPr>
        <w:t>Комитет рекомендует государству-участнику активизировать усилия, направленные на достижение целей в области снижения объема выбросов парниковых газов к 2020 году и повысить целевой показатель, предусмотренный для 2030 года, чтобы привести его в соответствие с обязательством по ограничению роста температуры на уровне 1,5 °C. Комитет рекомендует ему принять необходимые меры для осуществления стратегии Европейского союза по обеспечению к 2050 году перехода к экономике с нулевым чистым уровнем выбросов парниковых газов. Комитет далее рекомендует ему обновить свой национальный план адап</w:t>
      </w:r>
      <w:r>
        <w:rPr>
          <w:b/>
        </w:rPr>
        <w:t>т</w:t>
      </w:r>
      <w:r w:rsidRPr="00415B20">
        <w:rPr>
          <w:b/>
        </w:rPr>
        <w:t xml:space="preserve">ации к изменению климата при всестороннем участии </w:t>
      </w:r>
      <w:r w:rsidRPr="00415B20">
        <w:rPr>
          <w:b/>
        </w:rPr>
        <w:lastRenderedPageBreak/>
        <w:t>регионов и сообществ. В этой связи он обращает внимание государства-участника на свое заявление об изменении климата и Пакте (E/C.12/2018/1), принятое 8 октября 2018 года, и на совместное заявление о правах человека и изменении климата, сделанное 16 сентября 2019 года Комитетом по ликвидации дискриминации в отношении женщин, Комитетом по экономическим, социальным и культурным правам, Комитетом по защите прав всех трудящихся-мигрантов и членов их семей, Комитетом по правам ребенка и Комитетом по правам инвалидов.</w:t>
      </w:r>
    </w:p>
    <w:p w14:paraId="381E0F4B" w14:textId="77777777" w:rsidR="00415B20" w:rsidRPr="00415B20" w:rsidRDefault="00415B20" w:rsidP="00415B20">
      <w:pPr>
        <w:pStyle w:val="H23G"/>
      </w:pPr>
      <w:r w:rsidRPr="00415B20">
        <w:tab/>
      </w:r>
      <w:r w:rsidRPr="00415B20">
        <w:tab/>
      </w:r>
      <w:r w:rsidRPr="00415B20">
        <w:tab/>
        <w:t>Предпринимательская деятельность и права человека</w:t>
      </w:r>
    </w:p>
    <w:p w14:paraId="743D7A33" w14:textId="77777777" w:rsidR="00415B20" w:rsidRPr="00415B20" w:rsidRDefault="00415B20" w:rsidP="00415B20">
      <w:pPr>
        <w:pStyle w:val="SingleTxtG"/>
      </w:pPr>
      <w:r w:rsidRPr="00415B20">
        <w:t>11.</w:t>
      </w:r>
      <w:r w:rsidRPr="00415B20">
        <w:tab/>
        <w:t>Комитет принимает к сведению утверждение первого национального плана действий «Предпринимательская деятельность и права человека», состоявшееся 23</w:t>
      </w:r>
      <w:r>
        <w:t> </w:t>
      </w:r>
      <w:r w:rsidRPr="00415B20">
        <w:t>июня 2017 года. Отмечая 33 мероприятия по реализации, которые предусмотрены в принятом плане действий, Комитет в то же время обеспокоен исключительно добровольным характером этого плана, а также отсутствием эффективной системы рассмотрения жалоб и механизма помощи жертвам преследований.</w:t>
      </w:r>
    </w:p>
    <w:p w14:paraId="7585DB14" w14:textId="77777777" w:rsidR="00415B20" w:rsidRPr="00415B20" w:rsidRDefault="00415B20" w:rsidP="00415B20">
      <w:pPr>
        <w:pStyle w:val="SingleTxtG"/>
      </w:pPr>
      <w:r w:rsidRPr="00415B20">
        <w:t>12.</w:t>
      </w:r>
      <w:r w:rsidRPr="00415B20">
        <w:tab/>
      </w:r>
      <w:r w:rsidRPr="00415B20">
        <w:rPr>
          <w:b/>
        </w:rPr>
        <w:t>Помимо реализации национального плана действий «Предпринимательская деятельность и права человека», Комитет рекомендует государству-участнику ввести в действие комплекс обязывающих нормативных и регламентирующих положений, которые:</w:t>
      </w:r>
    </w:p>
    <w:p w14:paraId="2B32857A" w14:textId="77777777" w:rsidR="00415B20" w:rsidRPr="00415B20" w:rsidRDefault="00415B20" w:rsidP="00415B20">
      <w:pPr>
        <w:pStyle w:val="SingleTxtG"/>
        <w:rPr>
          <w:b/>
        </w:rPr>
      </w:pPr>
      <w:r>
        <w:rPr>
          <w:b/>
        </w:rPr>
        <w:tab/>
      </w:r>
      <w:r w:rsidRPr="00415B20">
        <w:rPr>
          <w:b/>
        </w:rPr>
        <w:tab/>
        <w:t>a)</w:t>
      </w:r>
      <w:r w:rsidRPr="00415B20">
        <w:rPr>
          <w:b/>
        </w:rPr>
        <w:tab/>
        <w:t>предписывают предприятиям, зарегистрированным в государстве-участнике, проявлять должную осмотрительность в области прав человека в ходе своей деятельности и в своих коммерческих отношениях как на территории государства-участника, так и за границей;</w:t>
      </w:r>
    </w:p>
    <w:p w14:paraId="4C3772DC" w14:textId="77777777" w:rsidR="00415B20" w:rsidRPr="00415B20" w:rsidRDefault="00415B20" w:rsidP="00415B20">
      <w:pPr>
        <w:pStyle w:val="SingleTxtG"/>
        <w:rPr>
          <w:b/>
        </w:rPr>
      </w:pPr>
      <w:r>
        <w:rPr>
          <w:b/>
        </w:rPr>
        <w:tab/>
      </w:r>
      <w:r w:rsidRPr="00415B20">
        <w:rPr>
          <w:b/>
        </w:rPr>
        <w:tab/>
        <w:t>b)</w:t>
      </w:r>
      <w:r w:rsidRPr="00415B20">
        <w:rPr>
          <w:b/>
        </w:rPr>
        <w:tab/>
        <w:t>предусматривают привлечение предприятий к ответственности в случае нарушения экономических, социальных и культурных прав;</w:t>
      </w:r>
    </w:p>
    <w:p w14:paraId="063E3E16" w14:textId="77777777" w:rsidR="00415B20" w:rsidRPr="00415B20" w:rsidRDefault="00415B20" w:rsidP="00415B20">
      <w:pPr>
        <w:pStyle w:val="SingleTxtG"/>
        <w:rPr>
          <w:b/>
        </w:rPr>
      </w:pPr>
      <w:r>
        <w:rPr>
          <w:b/>
        </w:rPr>
        <w:tab/>
      </w:r>
      <w:r w:rsidRPr="00415B20">
        <w:rPr>
          <w:b/>
        </w:rPr>
        <w:tab/>
        <w:t>c)</w:t>
      </w:r>
      <w:r w:rsidRPr="00415B20">
        <w:rPr>
          <w:b/>
        </w:rPr>
        <w:tab/>
        <w:t xml:space="preserve">дают возможность жертвам, в том числе жертвам преследований, требовать в судебном и внесудебном порядке возмещения причиненного им ущерба. </w:t>
      </w:r>
    </w:p>
    <w:p w14:paraId="1CE09581" w14:textId="77777777" w:rsidR="00415B20" w:rsidRPr="00415B20" w:rsidRDefault="00415B20" w:rsidP="00415B20">
      <w:pPr>
        <w:pStyle w:val="SingleTxtG"/>
        <w:rPr>
          <w:b/>
        </w:rPr>
      </w:pPr>
      <w:r w:rsidRPr="00415B20">
        <w:t>13.</w:t>
      </w:r>
      <w:r w:rsidRPr="00415B20">
        <w:tab/>
      </w:r>
      <w:r w:rsidRPr="00415B20">
        <w:rPr>
          <w:b/>
        </w:rPr>
        <w:t>Комитет предлагает государству-участнику включить указанные элементы в свой следующий национальный план действий «Предпринимательская деятельность и права человека». Комитет обращает внимание государства-участника на свое замечание общего порядка №</w:t>
      </w:r>
      <w:r w:rsidRPr="00415B20">
        <w:rPr>
          <w:lang w:val="fr-FR"/>
        </w:rPr>
        <w:t> </w:t>
      </w:r>
      <w:r w:rsidRPr="00415B20">
        <w:rPr>
          <w:b/>
        </w:rPr>
        <w:t>24 (2017) об обязательствах государств по Международному пакту об экономических, социальных и культурных правах в контексте предпринимательской деятельности.</w:t>
      </w:r>
    </w:p>
    <w:p w14:paraId="6ED44296" w14:textId="77777777" w:rsidR="00415B20" w:rsidRPr="00415B20" w:rsidRDefault="00415B20" w:rsidP="009D57C4">
      <w:pPr>
        <w:pStyle w:val="H23G"/>
      </w:pPr>
      <w:r w:rsidRPr="00415B20">
        <w:tab/>
      </w:r>
      <w:r w:rsidRPr="00415B20">
        <w:tab/>
      </w:r>
      <w:r w:rsidRPr="00415B20">
        <w:tab/>
        <w:t>Международное сотрудничество</w:t>
      </w:r>
    </w:p>
    <w:p w14:paraId="600B74B1" w14:textId="77777777" w:rsidR="00415B20" w:rsidRPr="00415B20" w:rsidRDefault="00415B20" w:rsidP="00415B20">
      <w:pPr>
        <w:pStyle w:val="SingleTxtG"/>
      </w:pPr>
      <w:r w:rsidRPr="00415B20">
        <w:t>14.</w:t>
      </w:r>
      <w:r w:rsidRPr="00415B20">
        <w:tab/>
        <w:t>Комитет с удовлетворением отмечает уделение государством-участником внимания проблеме изменения климата, в частности через направление финансовых средств в международные фонды, такие как Фонд для наименее развитых стран и Адаптационный фонд, а также через финансирование мероприятий по смягчению последствий и адаптации в странах-получателях. При этом Комитет сожалеет, что государству-участнику не удалось достичь целевого показателя, предусматривающего выделение 0,7% валового национального дохода на оказание помощи в целях развития (статья 2).</w:t>
      </w:r>
    </w:p>
    <w:p w14:paraId="3288A269" w14:textId="77777777" w:rsidR="00415B20" w:rsidRPr="00415B20" w:rsidRDefault="00415B20" w:rsidP="00415B20">
      <w:pPr>
        <w:pStyle w:val="SingleTxtG"/>
        <w:rPr>
          <w:b/>
        </w:rPr>
      </w:pPr>
      <w:r w:rsidRPr="00415B20">
        <w:t>15.</w:t>
      </w:r>
      <w:r w:rsidRPr="00415B20">
        <w:tab/>
      </w:r>
      <w:r w:rsidRPr="00415B20">
        <w:rPr>
          <w:b/>
        </w:rPr>
        <w:t>Комитет вновь ссылается на сформулированную в его предыдущих заключительных замечаниях рекомендацию о том, что государству-участнику следует активизировать усилия по достижению международного целевого показателя, предусматривающего выделение 0,7% валового национального дохода на государственную помощь в целях развития (пункт 9). Комитет также призывает его поддерживать уровень своих финансовых взносов в Адаптационный фонд, цель которого – противодействовать последствиям изменения климата в странах-получателях.</w:t>
      </w:r>
    </w:p>
    <w:p w14:paraId="3ECB7681" w14:textId="77777777" w:rsidR="00415B20" w:rsidRPr="00415B20" w:rsidRDefault="00415B20" w:rsidP="008A3403">
      <w:pPr>
        <w:pStyle w:val="H23G"/>
      </w:pPr>
      <w:r w:rsidRPr="00415B20">
        <w:lastRenderedPageBreak/>
        <w:tab/>
      </w:r>
      <w:r w:rsidRPr="00415B20">
        <w:tab/>
      </w:r>
      <w:r w:rsidRPr="00415B20">
        <w:tab/>
        <w:t xml:space="preserve">Налогообложение </w:t>
      </w:r>
    </w:p>
    <w:p w14:paraId="1E8DFCF8" w14:textId="77777777" w:rsidR="00415B20" w:rsidRPr="00415B20" w:rsidRDefault="00415B20" w:rsidP="00415B20">
      <w:pPr>
        <w:pStyle w:val="SingleTxtG"/>
      </w:pPr>
      <w:r w:rsidRPr="00415B20">
        <w:t>16.</w:t>
      </w:r>
      <w:r w:rsidRPr="00415B20">
        <w:tab/>
        <w:t>Комитет обеспокоен наличием налоговых льгот для отдельных видов доходов по сравнению с налогообложением доходов от заработной платы, Он также с озабоченностью отмечает снижение ставки налога на предприятия. Кроме того, Комитет выражает обеспокоенность в связи с оценочными данными о недополучении налоговых поступлений, которое является следствием уклонения от уплаты налогов и налогового мошенничества (статья 2).</w:t>
      </w:r>
    </w:p>
    <w:p w14:paraId="482E8239" w14:textId="77777777" w:rsidR="00415B20" w:rsidRPr="00415B20" w:rsidRDefault="00415B20" w:rsidP="00415B20">
      <w:pPr>
        <w:pStyle w:val="SingleTxtG"/>
        <w:rPr>
          <w:b/>
        </w:rPr>
      </w:pPr>
      <w:r w:rsidRPr="00415B20">
        <w:t>17.</w:t>
      </w:r>
      <w:r w:rsidRPr="00415B20">
        <w:tab/>
      </w:r>
      <w:r w:rsidRPr="00415B20">
        <w:rPr>
          <w:b/>
        </w:rPr>
        <w:t>Комитет рекомендует государству-участнику принять меры к тому, чтобы его налоговая система обеспечивала направление максимального объема на постепенное осуществление экономических и социальных прав, в частности для социально отчужденных групп населения. В этой связи Комитет рекомендует ему пересмотреть систему налогообложения предприятий во избежание выравнивания по нижней ставке, которое привело бы к сокращению возможностей по мобилизации внутренних ресурсов и способствовало бы росту неравенства. Комитет рекомендует также государству-участнику ужесточить борьбу с уклонением от уплаты налогов и налоговым мошенничеством.</w:t>
      </w:r>
    </w:p>
    <w:p w14:paraId="3B468D2A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</w:r>
      <w:r w:rsidRPr="00415B20">
        <w:tab/>
        <w:t>Недискриминация</w:t>
      </w:r>
    </w:p>
    <w:p w14:paraId="1CA2508A" w14:textId="77777777" w:rsidR="00415B20" w:rsidRPr="00415B20" w:rsidRDefault="00415B20" w:rsidP="00415B20">
      <w:pPr>
        <w:pStyle w:val="SingleTxtG"/>
      </w:pPr>
      <w:r w:rsidRPr="00415B20">
        <w:t>18.</w:t>
      </w:r>
      <w:r w:rsidRPr="00415B20">
        <w:tab/>
        <w:t>Комитет принимает к сведению учреждение в 2016 году Комиссии по оценке федерального законодательства о борьбе с дискриминацией, которой поручено оценивать федеральные законы, касающиеся борьбы с дискриминацией, расизмом гендерной дискриминацией. В то же время Комитет обеспокоен недостаточным уровнем выполнения 33 рекомендаций, содержащихся в первом докладе, опубликованном этой комиссией в 2017 году, и отсутствием механизма рассмотрения жалоб на проявления дискриминации по языковому признаку (статья 2).</w:t>
      </w:r>
    </w:p>
    <w:p w14:paraId="19F86E2A" w14:textId="77777777" w:rsidR="00415B20" w:rsidRPr="00415B20" w:rsidRDefault="00415B20" w:rsidP="00415B20">
      <w:pPr>
        <w:pStyle w:val="SingleTxtG"/>
        <w:rPr>
          <w:b/>
        </w:rPr>
      </w:pPr>
      <w:r w:rsidRPr="00415B20">
        <w:t>19.</w:t>
      </w:r>
      <w:r w:rsidRPr="00415B20">
        <w:tab/>
      </w:r>
      <w:r w:rsidRPr="00415B20">
        <w:rPr>
          <w:b/>
        </w:rPr>
        <w:t>Комитет просит государство-участник выполнить рекомендации, сформулированные Комиссией по оценке федерального законодательства о борьбе с дискриминацией. Комитет также рекомендует ему назначить орган, отвечающий за рассмотрение жалоб на проявления дискриминации по языковому признаку. В этой связи Комитет обращает внимание государства-участника на свое замечание общего порядка № 20 (2009) о недискриминации при осуществлении экономических, социальных и культурных прав.</w:t>
      </w:r>
    </w:p>
    <w:p w14:paraId="6AA7054A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</w:r>
      <w:r w:rsidRPr="00415B20">
        <w:tab/>
        <w:t>Рома</w:t>
      </w:r>
    </w:p>
    <w:p w14:paraId="2482E564" w14:textId="77777777" w:rsidR="00415B20" w:rsidRPr="00415B20" w:rsidRDefault="00415B20" w:rsidP="00415B20">
      <w:pPr>
        <w:pStyle w:val="SingleTxtG"/>
      </w:pPr>
      <w:r w:rsidRPr="00415B20">
        <w:t>20.</w:t>
      </w:r>
      <w:r w:rsidRPr="00415B20">
        <w:tab/>
        <w:t>Комитет с обеспокоенностью отмечает упущения в реализации Национальной стратегии интеграции рома и отсутствие конкретных мер борьбы с дискриминацией в отношении представителей народности рома, особенно женщин и детей. Кроме того, Комитет озабочен сохраняющимися антицыганскими настроениями (статья 2).</w:t>
      </w:r>
    </w:p>
    <w:p w14:paraId="4CA6EA52" w14:textId="77777777" w:rsidR="00415B20" w:rsidRPr="00415B20" w:rsidRDefault="00415B20" w:rsidP="00415B20">
      <w:pPr>
        <w:pStyle w:val="SingleTxtG"/>
        <w:rPr>
          <w:b/>
        </w:rPr>
      </w:pPr>
      <w:r w:rsidRPr="00415B20">
        <w:t>21.</w:t>
      </w:r>
      <w:r w:rsidRPr="00415B20">
        <w:tab/>
      </w:r>
      <w:r w:rsidRPr="00415B20">
        <w:rPr>
          <w:b/>
        </w:rPr>
        <w:t>Комитет рекомендует государству-участнику стремиться к эффективной реализации Национальной стратегии интеграции рома путем принятия межфедерального плана действий, предусматривающего особые меры в интересах женщин и детей и подкрепленного отдельным и достаточным бюджетом. Комитет также рекомендует ему принять межфедеральный план действий по борьбе с антицыганскими настроениями.</w:t>
      </w:r>
    </w:p>
    <w:p w14:paraId="3A782016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</w:r>
      <w:r w:rsidRPr="00415B20">
        <w:tab/>
        <w:t xml:space="preserve">Mигранты, беженцы и просители убежища </w:t>
      </w:r>
    </w:p>
    <w:p w14:paraId="2D73ACBB" w14:textId="77777777" w:rsidR="00415B20" w:rsidRPr="00415B20" w:rsidRDefault="00415B20" w:rsidP="00415B20">
      <w:pPr>
        <w:pStyle w:val="SingleTxtG"/>
      </w:pPr>
      <w:r w:rsidRPr="00415B20">
        <w:t>22.</w:t>
      </w:r>
      <w:r w:rsidRPr="00415B20">
        <w:tab/>
        <w:t>Комитет озабочен сохраняющимися проявлениями дискриминации в отношении мигрантов, в частности тех, которые не являются выходцами из стран Европейского союза, в таких областях, как доступ к занятости, жилью, медицинскому обслуживанию и достаточному питанию. Комитет особо обеспокоен трудовой эксплуатацией мигрантов и беженцев в сфере интенсивного малоквалифицированного труда (статья 2).</w:t>
      </w:r>
    </w:p>
    <w:p w14:paraId="49B65960" w14:textId="77777777" w:rsidR="00415B20" w:rsidRPr="00415B20" w:rsidRDefault="00415B20" w:rsidP="00415B20">
      <w:pPr>
        <w:pStyle w:val="SingleTxtG"/>
        <w:rPr>
          <w:b/>
        </w:rPr>
      </w:pPr>
      <w:r w:rsidRPr="00415B20">
        <w:t>23.</w:t>
      </w:r>
      <w:r w:rsidRPr="00415B20">
        <w:tab/>
      </w:r>
      <w:r w:rsidRPr="00415B20">
        <w:rPr>
          <w:b/>
        </w:rPr>
        <w:t xml:space="preserve">Комитет рекомендует государству-участнику усилить принимаемые меры по предупреждению дискриминации в отношении мигрантов, беженцев и просителей убежища при осуществлении ими своих экономических и </w:t>
      </w:r>
      <w:r w:rsidRPr="00415B20">
        <w:rPr>
          <w:b/>
        </w:rPr>
        <w:lastRenderedPageBreak/>
        <w:t>социальных прав. Комитет также рекомендует ему следить за эффективностью действия законов о борьбе с дискриминацией на рабочем месте, особенно в частном секторе, а также при доступе к жилью. Кроме того, Комитет рекомендует ему гарантировать просителям убежища достойный уровень жизни, в том числе в случае подачи последующего ходатайства или применения дисциплинарного наказания. В этой связи Комитет обращает внимание государства-участника на свое заявление об обязанностях государств по отношению к беженцам и мигрантам согласно Пакту (</w:t>
      </w:r>
      <w:r w:rsidRPr="00415B20">
        <w:rPr>
          <w:b/>
          <w:lang w:val="fr-FR"/>
        </w:rPr>
        <w:t>E</w:t>
      </w:r>
      <w:r w:rsidRPr="00415B20">
        <w:rPr>
          <w:b/>
        </w:rPr>
        <w:t>/</w:t>
      </w:r>
      <w:r w:rsidRPr="00415B20">
        <w:rPr>
          <w:b/>
          <w:lang w:val="fr-FR"/>
        </w:rPr>
        <w:t>C</w:t>
      </w:r>
      <w:r w:rsidRPr="00415B20">
        <w:rPr>
          <w:b/>
        </w:rPr>
        <w:t>.12/2017/1), принятое в 2017 году.</w:t>
      </w:r>
    </w:p>
    <w:p w14:paraId="738F90BD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</w:r>
      <w:r w:rsidRPr="00415B20">
        <w:tab/>
        <w:t>Инвалиды</w:t>
      </w:r>
    </w:p>
    <w:p w14:paraId="65B08CD5" w14:textId="77777777" w:rsidR="00415B20" w:rsidRPr="00415B20" w:rsidRDefault="00415B20" w:rsidP="00415B20">
      <w:pPr>
        <w:pStyle w:val="SingleTxtG"/>
      </w:pPr>
      <w:r w:rsidRPr="00415B20">
        <w:t>24.</w:t>
      </w:r>
      <w:r w:rsidRPr="00415B20">
        <w:tab/>
        <w:t>Комитет выражает обеспокоенность в связи с нехваткой дезагрегированных статистических данных о положении инвалидов в области занятости. Кроме того, он обеспокоен незначительной долей работающих инвалидов и низким уровнем занятости инвалидов в частном секторе, поскольку соответствующие показатели намного ниже квот и целевых показателей, установленных органами власти (статья 2).</w:t>
      </w:r>
    </w:p>
    <w:p w14:paraId="4117B00E" w14:textId="77777777" w:rsidR="00415B20" w:rsidRPr="00415B20" w:rsidRDefault="00415B20" w:rsidP="00415B20">
      <w:pPr>
        <w:pStyle w:val="SingleTxtG"/>
        <w:rPr>
          <w:b/>
        </w:rPr>
      </w:pPr>
      <w:r w:rsidRPr="00415B20">
        <w:t>25.</w:t>
      </w:r>
      <w:r w:rsidRPr="00415B20">
        <w:tab/>
      </w:r>
      <w:r w:rsidRPr="00415B20">
        <w:rPr>
          <w:b/>
        </w:rPr>
        <w:t>Комитет рекомендует государству-участнику принять необходимые меры для упрощения доступа инвалидов к занятости путем: a) гарантированного обеспечения разумных приспособлений инвалидам, выходящим на рынок труда; b) обеспечения соблюдения квот, установленных органами власти; и c) оказания помощи частным предприятиям для стимулирования найма инвалидов. Комитет рекомендует также государству-участнику вести сбор дезагрегированных статистических данных о положении инвалидов на рынке труда.</w:t>
      </w:r>
    </w:p>
    <w:p w14:paraId="44C9D969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</w:r>
      <w:r w:rsidRPr="00415B20">
        <w:tab/>
        <w:t xml:space="preserve">Равенство между мужчинами и женщинами </w:t>
      </w:r>
    </w:p>
    <w:p w14:paraId="0EA66032" w14:textId="77777777" w:rsidR="00415B20" w:rsidRPr="00415B20" w:rsidRDefault="00415B20" w:rsidP="00415B20">
      <w:pPr>
        <w:pStyle w:val="SingleTxtG"/>
      </w:pPr>
      <w:r w:rsidRPr="00415B20">
        <w:t>26.</w:t>
      </w:r>
      <w:r w:rsidRPr="00415B20">
        <w:tab/>
        <w:t>Комитет обеспокоен дискриминацией в отношении женщин в экономической и социальной сферах, в частности сохранением разрыва в оплате труда между мужчинами и женщинами, а также препятствиями, с которыми женщины сталкиваются при доступе к руководящим должностям в государственном и частном секторах. Комитет также обеспокоен непризнанием случаев проявления перекрестной дискриминации в отношении женщин, относящихся к маргинальным группам населения (статья</w:t>
      </w:r>
      <w:r w:rsidRPr="00415B20">
        <w:rPr>
          <w:lang w:val="fr-FR"/>
        </w:rPr>
        <w:t> </w:t>
      </w:r>
      <w:r w:rsidRPr="00415B20">
        <w:t>3).</w:t>
      </w:r>
    </w:p>
    <w:p w14:paraId="1FC529D8" w14:textId="77777777" w:rsidR="00415B20" w:rsidRPr="00415B20" w:rsidRDefault="00415B20" w:rsidP="00415B20">
      <w:pPr>
        <w:pStyle w:val="SingleTxtG"/>
        <w:rPr>
          <w:b/>
        </w:rPr>
      </w:pPr>
      <w:r w:rsidRPr="00415B20">
        <w:t>27.</w:t>
      </w:r>
      <w:r w:rsidRPr="00415B20">
        <w:tab/>
      </w:r>
      <w:r w:rsidRPr="00415B20">
        <w:rPr>
          <w:b/>
        </w:rPr>
        <w:t>Комитет рекомендует государству-участнику наращивать усилия по обеспечению реального равенства между мужчинами и женщинами, в частности:</w:t>
      </w:r>
    </w:p>
    <w:p w14:paraId="69E3087A" w14:textId="77777777" w:rsidR="00415B20" w:rsidRPr="00415B20" w:rsidRDefault="008A3403" w:rsidP="00415B20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415B20" w:rsidRPr="00415B20">
        <w:rPr>
          <w:b/>
        </w:rPr>
        <w:t>a)</w:t>
      </w:r>
      <w:r w:rsidR="00415B20" w:rsidRPr="00415B20">
        <w:rPr>
          <w:b/>
        </w:rPr>
        <w:tab/>
        <w:t>эффективно применять Закон от 22 апреля 2012 года о мерах по ликвидации разрыва в оплате труда между мужчинами и женщинами с поправкой, внесенной 12 июля 2013 года;</w:t>
      </w:r>
    </w:p>
    <w:p w14:paraId="45C91553" w14:textId="77777777" w:rsidR="00415B20" w:rsidRPr="00415B20" w:rsidRDefault="008A3403" w:rsidP="00415B20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415B20" w:rsidRPr="00415B20">
        <w:rPr>
          <w:b/>
        </w:rPr>
        <w:t>b)</w:t>
      </w:r>
      <w:r w:rsidR="00415B20" w:rsidRPr="00415B20">
        <w:rPr>
          <w:b/>
        </w:rPr>
        <w:tab/>
        <w:t>продолжать расширение представленности женщин на всех уровнях государственной службы, особенно на руководящих должностях, а также их участия в принятии управленческих решений в частном секторе;</w:t>
      </w:r>
    </w:p>
    <w:p w14:paraId="4E43E54C" w14:textId="77777777" w:rsidR="00415B20" w:rsidRPr="00415B20" w:rsidRDefault="008A3403" w:rsidP="00415B20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415B20" w:rsidRPr="00415B20">
        <w:rPr>
          <w:b/>
        </w:rPr>
        <w:t>c)</w:t>
      </w:r>
      <w:r w:rsidR="00415B20" w:rsidRPr="00415B20">
        <w:rPr>
          <w:b/>
        </w:rPr>
        <w:tab/>
        <w:t>гарантировать справедливый родительский отпуск и принять необходимые меры для повышения вместимости учреждений по уходу за детьми;</w:t>
      </w:r>
    </w:p>
    <w:p w14:paraId="1DC06DC7" w14:textId="77777777" w:rsidR="00415B20" w:rsidRPr="00415B20" w:rsidRDefault="008A3403" w:rsidP="00415B20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415B20" w:rsidRPr="00415B20">
        <w:rPr>
          <w:b/>
        </w:rPr>
        <w:t>d)</w:t>
      </w:r>
      <w:r w:rsidR="00415B20" w:rsidRPr="00415B20">
        <w:rPr>
          <w:b/>
        </w:rPr>
        <w:tab/>
        <w:t xml:space="preserve">учитывать замечание общего порядка № 16 (2005) о равном для мужчин и женщин праве пользования всеми экономическими, социальными и культурными правами, особенно при проявлениях перекрестной дискриминации. </w:t>
      </w:r>
    </w:p>
    <w:p w14:paraId="7A40249C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Право на труд и профсоюзные права</w:t>
      </w:r>
    </w:p>
    <w:p w14:paraId="09C97328" w14:textId="77777777" w:rsidR="00415B20" w:rsidRPr="00415B20" w:rsidRDefault="00415B20" w:rsidP="00415B20">
      <w:pPr>
        <w:pStyle w:val="SingleTxtG"/>
      </w:pPr>
      <w:r w:rsidRPr="00415B20">
        <w:t>28.</w:t>
      </w:r>
      <w:r w:rsidRPr="00415B20">
        <w:tab/>
        <w:t xml:space="preserve">Комитет обеспокоен: </w:t>
      </w:r>
      <w:r w:rsidRPr="00415B20">
        <w:rPr>
          <w:lang w:val="fr-FR"/>
        </w:rPr>
        <w:t>a</w:t>
      </w:r>
      <w:r w:rsidRPr="00415B20">
        <w:t>)</w:t>
      </w:r>
      <w:r w:rsidRPr="00415B20">
        <w:rPr>
          <w:lang w:val="fr-FR"/>
        </w:rPr>
        <w:t> </w:t>
      </w:r>
      <w:r w:rsidRPr="00415B20">
        <w:t xml:space="preserve">безработицей и неполной занятостью среди молодежи, лиц старше 55 лет и среди инвалидов; </w:t>
      </w:r>
      <w:r w:rsidRPr="00415B20">
        <w:rPr>
          <w:lang w:val="fr-FR"/>
        </w:rPr>
        <w:t>b</w:t>
      </w:r>
      <w:r w:rsidRPr="00415B20">
        <w:t>)</w:t>
      </w:r>
      <w:r w:rsidRPr="00415B20">
        <w:rPr>
          <w:lang w:val="fr-FR"/>
        </w:rPr>
        <w:t> </w:t>
      </w:r>
      <w:r w:rsidRPr="00415B20">
        <w:t xml:space="preserve">трудностями при доступе к постоянной занятости для женщин, в частности для матерей с детьми; </w:t>
      </w:r>
      <w:r w:rsidRPr="00415B20">
        <w:rPr>
          <w:lang w:val="fr-FR"/>
        </w:rPr>
        <w:t>c</w:t>
      </w:r>
      <w:r w:rsidRPr="00415B20">
        <w:t>)</w:t>
      </w:r>
      <w:r w:rsidRPr="00415B20">
        <w:rPr>
          <w:lang w:val="fr-FR"/>
        </w:rPr>
        <w:t> </w:t>
      </w:r>
      <w:r w:rsidRPr="00415B20">
        <w:t xml:space="preserve">отменой мер по развитию занятости среди лиц старше 50 лет; и </w:t>
      </w:r>
      <w:r w:rsidRPr="00415B20">
        <w:rPr>
          <w:lang w:val="fr-FR"/>
        </w:rPr>
        <w:t>d</w:t>
      </w:r>
      <w:r w:rsidRPr="00415B20">
        <w:t>)</w:t>
      </w:r>
      <w:r w:rsidRPr="00415B20">
        <w:rPr>
          <w:lang w:val="fr-FR"/>
        </w:rPr>
        <w:t> </w:t>
      </w:r>
      <w:r w:rsidRPr="00415B20">
        <w:t>непропорциональным расхождением показателей безработицы среди различных категорий занятости в зависимости от уровня квалификации. Кроме того, Комитет озабочен отсутствием законодательного признания права на забастовку (статьи 6 и 8).</w:t>
      </w:r>
    </w:p>
    <w:p w14:paraId="10536A06" w14:textId="77777777" w:rsidR="00415B20" w:rsidRPr="00415B20" w:rsidRDefault="00415B20" w:rsidP="00415B20">
      <w:pPr>
        <w:pStyle w:val="SingleTxtG"/>
        <w:rPr>
          <w:b/>
        </w:rPr>
      </w:pPr>
      <w:r w:rsidRPr="00415B20">
        <w:lastRenderedPageBreak/>
        <w:t>29.</w:t>
      </w:r>
      <w:r w:rsidRPr="00415B20">
        <w:tab/>
      </w:r>
      <w:r w:rsidRPr="00415B20">
        <w:rPr>
          <w:b/>
        </w:rPr>
        <w:t>Комитет рекомендует государству-участнику: a) активизировать усилия по решению проблем, с которыми сталкиваются при доступе к занятости некоторые группы населения, в частности молодежь, лица пожилого возраста и трудовые мигранты; b) принять необходимые меры для устранения препятствий в сфере доступа к занятости, связанных с уровнем квалификации; и</w:t>
      </w:r>
      <w:r w:rsidR="008A3403">
        <w:rPr>
          <w:b/>
          <w:lang w:val="en-US"/>
        </w:rPr>
        <w:t> </w:t>
      </w:r>
      <w:r w:rsidRPr="00415B20">
        <w:rPr>
          <w:b/>
        </w:rPr>
        <w:t>c) наращивать и координировать усилия со всеми федеральными образованиями для принятия эффективных мер по сокращению безработицы среди лиц старше 55 лет. Комитет рекомендует также государству-участнику гарантировать в законодательстве и на практике осуществление права на забастовку в полном соответствии с Пактом. Комитет обращает внимание государства-участника на свое замечание общего порядка № 18 (2005) о праве на труд и ссылается на свое совместное заявление с Комитетом по правам человека о свободе ассоциации, включая право создавать профсоюзы и вступать в них (E/C.12/66/5-CCPR/C/127/4), принятое в 2019 году.</w:t>
      </w:r>
    </w:p>
    <w:p w14:paraId="6B172D43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Домашние работники</w:t>
      </w:r>
    </w:p>
    <w:p w14:paraId="73304F4F" w14:textId="77777777" w:rsidR="00415B20" w:rsidRPr="00415B20" w:rsidRDefault="00415B20" w:rsidP="00415B20">
      <w:pPr>
        <w:pStyle w:val="SingleTxtG"/>
      </w:pPr>
      <w:r w:rsidRPr="00415B20">
        <w:t>30.</w:t>
      </w:r>
      <w:r w:rsidRPr="00415B20">
        <w:tab/>
        <w:t>Комитет отмечает принятые государством-участником меры в отношении домашних работников, в частности их включение в сферу применения Закона о социальном обеспечении 2014 года. При этом он по-прежнему озабочен нехваткой особых мер защиты домашних работников (статья</w:t>
      </w:r>
      <w:r w:rsidRPr="00415B20">
        <w:rPr>
          <w:lang w:val="fr-FR"/>
        </w:rPr>
        <w:t> </w:t>
      </w:r>
      <w:r w:rsidRPr="00415B20">
        <w:t>7).</w:t>
      </w:r>
    </w:p>
    <w:p w14:paraId="1F5F802A" w14:textId="77777777" w:rsidR="00415B20" w:rsidRPr="00415B20" w:rsidRDefault="00415B20" w:rsidP="00415B20">
      <w:pPr>
        <w:pStyle w:val="SingleTxtG"/>
      </w:pPr>
      <w:r w:rsidRPr="00415B20">
        <w:t>31.</w:t>
      </w:r>
      <w:r w:rsidRPr="00415B20">
        <w:tab/>
      </w:r>
      <w:r w:rsidRPr="00415B20">
        <w:rPr>
          <w:b/>
        </w:rPr>
        <w:t>Комитет рекомендует государству-участнику следить за тем, чтобы домашние работники, которые нанимаются в основном для оказания услуг по уходу и сопровождению лиц, имели равные с другими работниками условия вознаграждения, отдыха и досуга, ограниченную продолжительность рабочего времени и защиту от неправомерного увольнения. Комитет также рекомендует ему обеспечивать защиту таких работников от всех форм эксплуатации и жестокого обращения, в частности путем совершенствования механизмов рассмотрения жалоб, чтобы сделать их более доступными для этой категории работников, и путем повышения эффективности инспекционных служб в части контроля их условий труда. В этой связи Комитет обращает внимание государства-участника на свое замечание общего порядка №</w:t>
      </w:r>
      <w:r w:rsidRPr="00415B20">
        <w:rPr>
          <w:b/>
          <w:lang w:val="fr-FR"/>
        </w:rPr>
        <w:t> </w:t>
      </w:r>
      <w:r w:rsidRPr="00415B20">
        <w:rPr>
          <w:b/>
        </w:rPr>
        <w:t>23 (2016) о праве на справедливые и благоприятные условия труда.</w:t>
      </w:r>
    </w:p>
    <w:p w14:paraId="2DC4857B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Самозанятые работники</w:t>
      </w:r>
    </w:p>
    <w:p w14:paraId="67417854" w14:textId="77777777" w:rsidR="00415B20" w:rsidRPr="00415B20" w:rsidRDefault="00415B20" w:rsidP="00415B20">
      <w:pPr>
        <w:pStyle w:val="SingleTxtG"/>
      </w:pPr>
      <w:r w:rsidRPr="00415B20">
        <w:t>32.</w:t>
      </w:r>
      <w:r w:rsidRPr="00415B20">
        <w:tab/>
        <w:t>Комитет с обеспокоенностью отмечает, что социальные взносы для самозанятых работников ниже, чем для лиц наемного труда. Кроме того, его беспокоит повышенный риск наступления бедности, который грозит самозанятым работникам, в</w:t>
      </w:r>
      <w:r w:rsidR="008A3403">
        <w:rPr>
          <w:lang w:val="en-US"/>
        </w:rPr>
        <w:t> </w:t>
      </w:r>
      <w:r w:rsidRPr="00415B20">
        <w:t>частности из-за отсутствия у них права на пособия по безработице (статья</w:t>
      </w:r>
      <w:r w:rsidRPr="00415B20">
        <w:rPr>
          <w:lang w:val="fr-FR"/>
        </w:rPr>
        <w:t> </w:t>
      </w:r>
      <w:r w:rsidRPr="00415B20">
        <w:t>7).</w:t>
      </w:r>
    </w:p>
    <w:p w14:paraId="55B214A4" w14:textId="77777777" w:rsidR="00415B20" w:rsidRPr="00415B20" w:rsidRDefault="00415B20" w:rsidP="00415B20">
      <w:pPr>
        <w:pStyle w:val="SingleTxtG"/>
      </w:pPr>
      <w:r w:rsidRPr="00415B20">
        <w:t>33.</w:t>
      </w:r>
      <w:r w:rsidRPr="00415B20">
        <w:tab/>
      </w:r>
      <w:r w:rsidRPr="00415B20">
        <w:rPr>
          <w:b/>
        </w:rPr>
        <w:t>Комитет рекомендует государству-участнику принять меры к тому, чтобы самозанятые работники могли получать пособия по безработице и чтобы размер этих пособий обеспечивал их получателям достойный уровень жизни. Комитет отсылает государство-участник к своему замечанию общего порядка № 19 (2007) о праве на социальное обеспечение.</w:t>
      </w:r>
    </w:p>
    <w:p w14:paraId="2BCEC786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Гендерное насилие</w:t>
      </w:r>
    </w:p>
    <w:p w14:paraId="36C92165" w14:textId="77777777" w:rsidR="00415B20" w:rsidRPr="00415B20" w:rsidRDefault="00415B20" w:rsidP="00415B20">
      <w:pPr>
        <w:pStyle w:val="SingleTxtG"/>
      </w:pPr>
      <w:r w:rsidRPr="00415B20">
        <w:t>34.</w:t>
      </w:r>
      <w:r w:rsidRPr="00415B20">
        <w:tab/>
        <w:t>Принимая к сведению предварительный доклад о реализации Национального плана действий по борьбе со всеми формами гендерного насилия на 2015</w:t>
      </w:r>
      <w:r w:rsidR="008A3403">
        <w:t>‒</w:t>
      </w:r>
      <w:r w:rsidRPr="00415B20">
        <w:t>2019 годы, а также заявление о признании сексуального и домашнего насилия приоритетным аспектом в сфере безопасности, Комитет выражает обеспокоенность в связи с отсутствием данных об оценке эффективности мер борьбы против гендерного насилия. Наряду с этим он озабочен недостаточно эффективной защитой, предоставляемой женщинам-мигрантам, в частности нелегальным, которые, опасаясь высылки, зачастую воздерживаются от подачи жалоб на проявляемое к ним насилие (статья</w:t>
      </w:r>
      <w:r w:rsidRPr="00415B20">
        <w:rPr>
          <w:lang w:val="fr-FR"/>
        </w:rPr>
        <w:t> </w:t>
      </w:r>
      <w:r w:rsidRPr="00415B20">
        <w:t>10).</w:t>
      </w:r>
    </w:p>
    <w:p w14:paraId="5D12DEA1" w14:textId="77777777" w:rsidR="00415B20" w:rsidRPr="00415B20" w:rsidRDefault="00415B20" w:rsidP="00415B20">
      <w:pPr>
        <w:pStyle w:val="SingleTxtG"/>
        <w:rPr>
          <w:b/>
        </w:rPr>
      </w:pPr>
      <w:r w:rsidRPr="00415B20">
        <w:t>35.</w:t>
      </w:r>
      <w:r w:rsidRPr="00415B20">
        <w:tab/>
      </w:r>
      <w:r w:rsidRPr="00415B20">
        <w:rPr>
          <w:b/>
        </w:rPr>
        <w:t xml:space="preserve">Комитет рекомендует государству-участнику принять меры к выполнению рекомендаций, касающихся оценки Национального плана действий </w:t>
      </w:r>
      <w:r w:rsidRPr="00415B20">
        <w:rPr>
          <w:b/>
        </w:rPr>
        <w:lastRenderedPageBreak/>
        <w:t>по борьбе со всеми формами гендерного насилия, поддерживать уровень финансирования центров по оказанию помощи жертвам и активизировать предупреждение новых форм гендерного насилия, таких как киберпреследование. Комитет также рекомендует ему создать механизмы, позволяющие нелегальным женщинам-мигрантам обращаться с жалобами на проявляемое к ним насилие, не опасаясь высылки.</w:t>
      </w:r>
    </w:p>
    <w:p w14:paraId="37F3B682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Бедность</w:t>
      </w:r>
    </w:p>
    <w:p w14:paraId="1BAD61E9" w14:textId="77777777" w:rsidR="00415B20" w:rsidRPr="00415B20" w:rsidRDefault="00415B20" w:rsidP="00415B20">
      <w:pPr>
        <w:pStyle w:val="SingleTxtG"/>
      </w:pPr>
      <w:r w:rsidRPr="00415B20">
        <w:t>36.</w:t>
      </w:r>
      <w:r w:rsidRPr="00415B20">
        <w:tab/>
        <w:t>Комитет принимает к сведению третий федеральный план по борьбе с бедностью, а также планы борьбы с бедностью, принятые на уровне сообществ и регионов. Однако он обеспокоен тем, что федеральный план не реализован в полной мере, поскольку государство-участник не достигло поставленной цели, предусматривавшей сокращение группы населения, живущей за чертой бедности, на 380</w:t>
      </w:r>
      <w:r w:rsidRPr="00415B20">
        <w:rPr>
          <w:lang w:val="fr-FR"/>
        </w:rPr>
        <w:t> </w:t>
      </w:r>
      <w:r w:rsidRPr="00415B20">
        <w:t>000 человек. При этом Комитет особо озабочен широкими масштабами бедности среди детей (статья</w:t>
      </w:r>
      <w:r w:rsidRPr="00415B20">
        <w:rPr>
          <w:lang w:val="fr-FR"/>
        </w:rPr>
        <w:t> </w:t>
      </w:r>
      <w:r w:rsidRPr="00415B20">
        <w:t>11).</w:t>
      </w:r>
    </w:p>
    <w:p w14:paraId="6591E276" w14:textId="77777777" w:rsidR="00415B20" w:rsidRPr="00415B20" w:rsidRDefault="00415B20" w:rsidP="00415B20">
      <w:pPr>
        <w:pStyle w:val="SingleTxtG"/>
        <w:rPr>
          <w:b/>
        </w:rPr>
      </w:pPr>
      <w:r w:rsidRPr="00415B20">
        <w:t>37.</w:t>
      </w:r>
      <w:r w:rsidRPr="00415B20">
        <w:tab/>
      </w:r>
      <w:r w:rsidRPr="00415B20">
        <w:rPr>
          <w:b/>
        </w:rPr>
        <w:t xml:space="preserve">Комитет рекомендует государству-участнику принять меры к тому, чтобы четвертый федеральный план по борьбе с бедностью: </w:t>
      </w:r>
      <w:r w:rsidRPr="00415B20">
        <w:rPr>
          <w:b/>
          <w:lang w:val="fr-FR"/>
        </w:rPr>
        <w:t>a</w:t>
      </w:r>
      <w:r w:rsidRPr="00415B20">
        <w:rPr>
          <w:b/>
        </w:rPr>
        <w:t xml:space="preserve">) был ориентирован на самых социально отчужденных лиц и группы лиц, в частности на детей; </w:t>
      </w:r>
      <w:r w:rsidRPr="00415B20">
        <w:rPr>
          <w:b/>
          <w:lang w:val="fr-FR"/>
        </w:rPr>
        <w:t>b</w:t>
      </w:r>
      <w:r w:rsidRPr="00415B20">
        <w:rPr>
          <w:b/>
        </w:rPr>
        <w:t>)</w:t>
      </w:r>
      <w:r w:rsidRPr="00415B20">
        <w:rPr>
          <w:b/>
          <w:lang w:val="fr-FR"/>
        </w:rPr>
        <w:t> </w:t>
      </w:r>
      <w:r w:rsidRPr="00415B20">
        <w:rPr>
          <w:b/>
        </w:rPr>
        <w:t xml:space="preserve">был составлен с участием лиц, живущих в бедности, и их ассоциаций; и </w:t>
      </w:r>
      <w:r w:rsidRPr="00415B20">
        <w:rPr>
          <w:b/>
          <w:lang w:val="fr-FR"/>
        </w:rPr>
        <w:t>c</w:t>
      </w:r>
      <w:r w:rsidRPr="00415B20">
        <w:rPr>
          <w:b/>
        </w:rPr>
        <w:t>)</w:t>
      </w:r>
      <w:r w:rsidRPr="00415B20">
        <w:rPr>
          <w:b/>
          <w:lang w:val="fr-FR"/>
        </w:rPr>
        <w:t> </w:t>
      </w:r>
      <w:r w:rsidRPr="00415B20">
        <w:rPr>
          <w:b/>
        </w:rPr>
        <w:t>учитывал динамику выполнения третьего федерального плана по борьбе с бедностью. Комитет также рекомендует ему поднять минимальные социальные выплаты выше уровня бедности и гарантировать детям из бедных семей доступ к качественным государственным услугам. В этой связи Комитет напоминает государству-участнику свое заявление о проблеме нищеты и осуществлении Пакта, принятое 4 мая 2001 года (</w:t>
      </w:r>
      <w:r w:rsidRPr="00415B20">
        <w:rPr>
          <w:b/>
          <w:lang w:val="fr-FR"/>
        </w:rPr>
        <w:t>E</w:t>
      </w:r>
      <w:r w:rsidRPr="00415B20">
        <w:rPr>
          <w:b/>
        </w:rPr>
        <w:t>/</w:t>
      </w:r>
      <w:r w:rsidRPr="00415B20">
        <w:rPr>
          <w:b/>
          <w:lang w:val="fr-FR"/>
        </w:rPr>
        <w:t>C</w:t>
      </w:r>
      <w:r w:rsidRPr="00415B20">
        <w:rPr>
          <w:b/>
        </w:rPr>
        <w:t>.12/2001/10).</w:t>
      </w:r>
    </w:p>
    <w:p w14:paraId="28A9B943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Право на достаточное жилище</w:t>
      </w:r>
    </w:p>
    <w:p w14:paraId="12350480" w14:textId="77777777" w:rsidR="00415B20" w:rsidRPr="00415B20" w:rsidRDefault="00415B20" w:rsidP="00415B20">
      <w:pPr>
        <w:pStyle w:val="SingleTxtG"/>
      </w:pPr>
      <w:r w:rsidRPr="00415B20">
        <w:t>38.</w:t>
      </w:r>
      <w:r w:rsidRPr="00415B20">
        <w:tab/>
        <w:t>Комитет обеспокоен нехваткой социального жилья, которая наблюдается</w:t>
      </w:r>
      <w:r w:rsidR="00823977" w:rsidRPr="00133C3D">
        <w:t>,</w:t>
      </w:r>
      <w:r w:rsidRPr="00415B20">
        <w:t xml:space="preserve"> несмотря на усилия, предпринимаемые на уровне регионов, и недостаточной координацией действий между федеральным государством и регионами в сфере жилищной политики (статья</w:t>
      </w:r>
      <w:r w:rsidRPr="00415B20">
        <w:rPr>
          <w:lang w:val="fr-FR"/>
        </w:rPr>
        <w:t> </w:t>
      </w:r>
      <w:r w:rsidRPr="00415B20">
        <w:t>11).</w:t>
      </w:r>
    </w:p>
    <w:p w14:paraId="16FA6F14" w14:textId="77777777" w:rsidR="00415B20" w:rsidRPr="00415B20" w:rsidRDefault="00415B20" w:rsidP="00415B20">
      <w:pPr>
        <w:pStyle w:val="SingleTxtG"/>
        <w:rPr>
          <w:b/>
        </w:rPr>
      </w:pPr>
      <w:r w:rsidRPr="00415B20">
        <w:t>39.</w:t>
      </w:r>
      <w:r w:rsidRPr="00415B20">
        <w:tab/>
      </w:r>
      <w:r w:rsidRPr="00415B20">
        <w:rPr>
          <w:b/>
        </w:rPr>
        <w:t>Комитет рекомендует государству-участнику гарантировать расширение предложения доступного и более качественного жилья, в частности благодаря увеличению числа предлагаемого социального жилья, борьбе с пустующими частными и государственными зданиями и установлению предельных уровней арендной платы на рынке частного арендного жилья. В этой связи Комитет отсылает государство-участник к своему замечанию общего порядка № 4 (1991) о</w:t>
      </w:r>
      <w:r w:rsidR="008A3403">
        <w:rPr>
          <w:b/>
          <w:lang w:val="en-US"/>
        </w:rPr>
        <w:t> </w:t>
      </w:r>
      <w:r w:rsidRPr="00415B20">
        <w:rPr>
          <w:b/>
        </w:rPr>
        <w:t xml:space="preserve">праве на достаточное жилище. </w:t>
      </w:r>
    </w:p>
    <w:p w14:paraId="20841E2C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 xml:space="preserve">Принудительные выселения </w:t>
      </w:r>
    </w:p>
    <w:p w14:paraId="0786318A" w14:textId="77777777" w:rsidR="00415B20" w:rsidRPr="00415B20" w:rsidRDefault="00415B20" w:rsidP="00415B20">
      <w:pPr>
        <w:pStyle w:val="SingleTxtG"/>
      </w:pPr>
      <w:r w:rsidRPr="00415B20">
        <w:t>40.</w:t>
      </w:r>
      <w:r w:rsidRPr="00415B20">
        <w:tab/>
        <w:t>Комитет выражает озабоченность в связи с ростом числа принудительных выселений и незаметностью этого явления, которая обусловлена, в частности, отсутствием на федеральном уровне соответствующих агрегированных данных. Комитет также обеспокоен выселениями семей рома и отсутствием адекватной защиты трейлеров как места проживания (статья</w:t>
      </w:r>
      <w:r w:rsidRPr="00415B20">
        <w:rPr>
          <w:lang w:val="fr-FR"/>
        </w:rPr>
        <w:t> </w:t>
      </w:r>
      <w:r w:rsidRPr="00415B20">
        <w:t>11).</w:t>
      </w:r>
    </w:p>
    <w:p w14:paraId="42272D69" w14:textId="77777777" w:rsidR="00415B20" w:rsidRPr="00415B20" w:rsidRDefault="00415B20" w:rsidP="00415B20">
      <w:pPr>
        <w:pStyle w:val="SingleTxtG"/>
        <w:rPr>
          <w:b/>
        </w:rPr>
      </w:pPr>
      <w:r w:rsidRPr="00415B20">
        <w:t>41.</w:t>
      </w:r>
      <w:r w:rsidRPr="00415B20">
        <w:tab/>
      </w:r>
      <w:r w:rsidRPr="00415B20">
        <w:rPr>
          <w:b/>
        </w:rPr>
        <w:t>Комитет рекомендует государству-участнику принять меры к тому, чтобы во всех трех регионах выселения применялись только в крайнем случае, даже при вынесении решения о признании условий проживания антисанитарными, за исключением ситуаций, когда налицо явный риск для здоровья и безопасности людей. Комитет также рекомендует ему: a) запретить принудительные выселения без предоставления сменного жилья; b) активизировать усилия по обустройству жилых объектов для семей рома; c) принять меры по обеспечению надлежащей защиты трейлеров как места проживания; и d) систематически регистрировать все случаи выселений. Комитет отсылает государство-участник к своему замечанию общего порядка № 7 (1997) о принудительных выселениях.</w:t>
      </w:r>
    </w:p>
    <w:p w14:paraId="7405EA69" w14:textId="77777777" w:rsidR="00415B20" w:rsidRPr="00415B20" w:rsidRDefault="00415B20" w:rsidP="008A3403">
      <w:pPr>
        <w:pStyle w:val="H23G"/>
      </w:pPr>
      <w:r w:rsidRPr="00415B20">
        <w:lastRenderedPageBreak/>
        <w:tab/>
      </w:r>
      <w:r w:rsidRPr="00415B20">
        <w:tab/>
        <w:t xml:space="preserve">Доступ к электро- и газоснабжению </w:t>
      </w:r>
    </w:p>
    <w:p w14:paraId="21FEB31C" w14:textId="77777777" w:rsidR="00415B20" w:rsidRPr="00415B20" w:rsidRDefault="00415B20" w:rsidP="00415B20">
      <w:pPr>
        <w:pStyle w:val="SingleTxtG"/>
      </w:pPr>
      <w:r w:rsidRPr="00415B20">
        <w:t>42.</w:t>
      </w:r>
      <w:r w:rsidRPr="00415B20">
        <w:tab/>
        <w:t>Комитет обеспокоен воздействием стоимости электроснабжения на бюджет домохозяйств, в особенности тех, которые имеют низкий доход. С другой стороны, он выражает озабоченность в связи с отключениями газа и электричества из-за неоплаты счетов (статья 11).</w:t>
      </w:r>
    </w:p>
    <w:p w14:paraId="432A017A" w14:textId="77777777" w:rsidR="00415B20" w:rsidRPr="00415B20" w:rsidRDefault="00415B20" w:rsidP="00415B20">
      <w:pPr>
        <w:pStyle w:val="SingleTxtG"/>
      </w:pPr>
      <w:r w:rsidRPr="00415B20">
        <w:t>43.</w:t>
      </w:r>
      <w:r w:rsidRPr="00415B20">
        <w:tab/>
      </w:r>
      <w:r w:rsidRPr="00415B20">
        <w:rPr>
          <w:b/>
        </w:rPr>
        <w:t xml:space="preserve">Комитет рекомендует государству-участнику принять необходимые меры, чтобы гарантировать минимальное энергоснабжение, включая установку счетчиков. Комитет также рекомендует ему расширить льготную категорию потребителей, имеющих право на социальный тариф, благодаря повышению объема отчислений в Фонд электро- и газоснабжения. </w:t>
      </w:r>
    </w:p>
    <w:p w14:paraId="3D878A06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Право на водоснабжение и санитарные услуги</w:t>
      </w:r>
    </w:p>
    <w:p w14:paraId="13C6E6D1" w14:textId="77777777" w:rsidR="00415B20" w:rsidRPr="00415B20" w:rsidRDefault="00415B20" w:rsidP="00415B20">
      <w:pPr>
        <w:pStyle w:val="SingleTxtG"/>
      </w:pPr>
      <w:r w:rsidRPr="00415B20">
        <w:t>44.</w:t>
      </w:r>
      <w:r w:rsidRPr="00415B20">
        <w:tab/>
        <w:t>Комитет обеспокоен ростом стоимости водоснабжения во всех регионах государства-участника. Кроме того, он выражает особую озабоченность в связи с отключениями воды или ограничениями водоснабжения домохозяйств, в частности с установкой водопроводных редукторов во фламандском и валлонском регионах (статья 11).</w:t>
      </w:r>
    </w:p>
    <w:p w14:paraId="5091A336" w14:textId="77777777" w:rsidR="00415B20" w:rsidRPr="00415B20" w:rsidRDefault="00415B20" w:rsidP="00415B20">
      <w:pPr>
        <w:pStyle w:val="SingleTxtG"/>
        <w:rPr>
          <w:b/>
        </w:rPr>
      </w:pPr>
      <w:r w:rsidRPr="00415B20">
        <w:t>45.</w:t>
      </w:r>
      <w:r w:rsidRPr="00415B20">
        <w:tab/>
      </w:r>
      <w:r w:rsidRPr="00415B20">
        <w:rPr>
          <w:b/>
        </w:rPr>
        <w:t>Комитет рекомендует государству-участнику принять меры к тому, чтобы водоснабжение оставалось доступным для домохозяйств, и рассмотреть вопрос о введении социального тарифа на воду. Комитет рекомендует также гарантировать предоставление минимального объема воды и санитарных услуг с учетом размера домохозяйств, в том числе при установке водопроводных редукторов во фламандском и валлонском регионах. Комитет напоминает государству-участнику свое замечание общего порядка № 15 (2002) о праве на воду.</w:t>
      </w:r>
    </w:p>
    <w:p w14:paraId="7E2F2CCC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Бездомные</w:t>
      </w:r>
    </w:p>
    <w:p w14:paraId="72D69AAC" w14:textId="77777777" w:rsidR="00415B20" w:rsidRPr="00415B20" w:rsidRDefault="00415B20" w:rsidP="00415B20">
      <w:pPr>
        <w:pStyle w:val="SingleTxtG"/>
      </w:pPr>
      <w:r w:rsidRPr="00415B20">
        <w:t>46.</w:t>
      </w:r>
      <w:r w:rsidRPr="00415B20">
        <w:tab/>
        <w:t>Комитет обеспокоен сохранением явления бездомности в государстве-участнике и отсутствием общенациональных данных о бездомных лицах. Комитет также озабочен недостаточным уровнем осуществления Соглашения о сотрудничестве в области борьбы с бездомностью и отсутствием жилья, которое было заключено между федеральными образованиями в 2014 году (статья 11).</w:t>
      </w:r>
    </w:p>
    <w:p w14:paraId="2DF8AF66" w14:textId="77777777" w:rsidR="00415B20" w:rsidRPr="00415B20" w:rsidRDefault="00415B20" w:rsidP="00415B20">
      <w:pPr>
        <w:pStyle w:val="SingleTxtG"/>
        <w:rPr>
          <w:b/>
        </w:rPr>
      </w:pPr>
      <w:r w:rsidRPr="00415B20">
        <w:t>47.</w:t>
      </w:r>
      <w:r w:rsidRPr="00415B20">
        <w:tab/>
      </w:r>
      <w:r w:rsidRPr="00415B20">
        <w:rPr>
          <w:b/>
        </w:rPr>
        <w:t xml:space="preserve">Комитет рекомендует государству-участнику принять меры по обеспечению эффективной координации усилий федерального государства и регионов, чтобы гарантировать мониторинг выполнения Соглашения о сотрудничестве в области борьбы с бездомностью и отсутствием жилья. Комитет также рекомендует ему вести сбор общенациональных данных о бездомных лицах. </w:t>
      </w:r>
    </w:p>
    <w:p w14:paraId="386D99B9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 xml:space="preserve">Право на достаточное питание </w:t>
      </w:r>
    </w:p>
    <w:p w14:paraId="5FAF147D" w14:textId="77777777" w:rsidR="00415B20" w:rsidRPr="00415B20" w:rsidRDefault="00415B20" w:rsidP="00415B20">
      <w:pPr>
        <w:pStyle w:val="SingleTxtG"/>
      </w:pPr>
      <w:r w:rsidRPr="00415B20">
        <w:t>48.</w:t>
      </w:r>
      <w:r w:rsidRPr="00415B20">
        <w:tab/>
        <w:t>Комитет приветствует введение маркировки упаковок пищевых продуктов, на которой указаны их питательные свойства. При этом он обеспокоен ростом распространения избыточного веса и ожирения, а также тем фактом, что государство-участник не приняло достаточных мер для снижения потребления сладких напитков и не ввело в действие положения об ограничении рекламы пищевых продуктов, которые несовместимы со здоровым питанием (статья</w:t>
      </w:r>
      <w:r w:rsidRPr="00415B20">
        <w:rPr>
          <w:lang w:val="fr-FR"/>
        </w:rPr>
        <w:t> </w:t>
      </w:r>
      <w:r w:rsidRPr="00415B20">
        <w:t>11).</w:t>
      </w:r>
    </w:p>
    <w:p w14:paraId="5AB1E7C9" w14:textId="77777777" w:rsidR="00415B20" w:rsidRPr="00415B20" w:rsidRDefault="00415B20" w:rsidP="00415B20">
      <w:pPr>
        <w:pStyle w:val="SingleTxtG"/>
        <w:rPr>
          <w:b/>
        </w:rPr>
      </w:pPr>
      <w:r w:rsidRPr="00415B20">
        <w:t>49.</w:t>
      </w:r>
      <w:r w:rsidRPr="00415B20">
        <w:tab/>
      </w:r>
      <w:r w:rsidRPr="00415B20">
        <w:rPr>
          <w:b/>
        </w:rPr>
        <w:t>Комитет рекомендует государству-участнику:</w:t>
      </w:r>
    </w:p>
    <w:p w14:paraId="7615E4D4" w14:textId="77777777" w:rsidR="00415B20" w:rsidRPr="00415B20" w:rsidRDefault="008A3403" w:rsidP="00415B20">
      <w:pPr>
        <w:pStyle w:val="SingleTxtG"/>
        <w:rPr>
          <w:b/>
        </w:rPr>
      </w:pPr>
      <w:r w:rsidRPr="00F16B5A">
        <w:rPr>
          <w:b/>
        </w:rPr>
        <w:tab/>
      </w:r>
      <w:r w:rsidRPr="00F16B5A">
        <w:rPr>
          <w:b/>
        </w:rPr>
        <w:tab/>
      </w:r>
      <w:r w:rsidR="00415B20" w:rsidRPr="00415B20">
        <w:rPr>
          <w:b/>
          <w:lang w:val="fr-FR"/>
        </w:rPr>
        <w:t>a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ввести в действие нормативные положения о прямом признании права на питание, которые могли бы служить основой для проведения политики популяризации здорового, калорийного и достаточного питания, с уделением особого внимания малоимущим группам населения;</w:t>
      </w:r>
    </w:p>
    <w:p w14:paraId="40F89EEA" w14:textId="77777777" w:rsidR="00415B20" w:rsidRPr="00415B20" w:rsidRDefault="008A3403" w:rsidP="00415B20">
      <w:pPr>
        <w:pStyle w:val="SingleTxtG"/>
        <w:rPr>
          <w:b/>
        </w:rPr>
      </w:pPr>
      <w:r w:rsidRPr="00F16B5A">
        <w:rPr>
          <w:b/>
        </w:rPr>
        <w:tab/>
      </w:r>
      <w:r w:rsidRPr="00F16B5A">
        <w:rPr>
          <w:b/>
        </w:rPr>
        <w:tab/>
      </w:r>
      <w:r w:rsidR="00415B20" w:rsidRPr="00415B20">
        <w:rPr>
          <w:b/>
          <w:lang w:val="fr-FR"/>
        </w:rPr>
        <w:t>b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принять эффективные меры для сдерживания потребления вредных для здоровья напитков и пищевых продуктов, рассматривая при этом вопрос о повышении налогов на сладкие напитки;</w:t>
      </w:r>
    </w:p>
    <w:p w14:paraId="1CF54144" w14:textId="77777777" w:rsidR="00415B20" w:rsidRPr="00415B20" w:rsidRDefault="008A3403" w:rsidP="00415B20">
      <w:pPr>
        <w:pStyle w:val="SingleTxtG"/>
        <w:rPr>
          <w:b/>
        </w:rPr>
      </w:pPr>
      <w:r w:rsidRPr="00F16B5A">
        <w:rPr>
          <w:b/>
        </w:rPr>
        <w:lastRenderedPageBreak/>
        <w:tab/>
      </w:r>
      <w:r w:rsidRPr="00F16B5A">
        <w:rPr>
          <w:b/>
        </w:rPr>
        <w:tab/>
      </w:r>
      <w:r w:rsidR="00415B20" w:rsidRPr="00415B20">
        <w:rPr>
          <w:b/>
          <w:lang w:val="fr-FR"/>
        </w:rPr>
        <w:t>c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ввести ограничения на рекламу вредных или нездоровых напитков и пищевых продуктов, в частности тех, которые предназначены для детей.</w:t>
      </w:r>
    </w:p>
    <w:p w14:paraId="07D58168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 xml:space="preserve">Фермерские хозяйства </w:t>
      </w:r>
    </w:p>
    <w:p w14:paraId="24D232FF" w14:textId="77777777" w:rsidR="00415B20" w:rsidRPr="00415B20" w:rsidRDefault="00415B20" w:rsidP="00415B20">
      <w:pPr>
        <w:pStyle w:val="SingleTxtG"/>
      </w:pPr>
      <w:r w:rsidRPr="00415B20">
        <w:t>50.</w:t>
      </w:r>
      <w:r w:rsidRPr="00415B20">
        <w:tab/>
        <w:t>Комитет вновь выражает озабоченность по поводу значительного сокращения числа мелких фермерских хозяйств и тех трудностей, с которыми они сталкиваются (статья 11).</w:t>
      </w:r>
    </w:p>
    <w:p w14:paraId="2EFB2DAA" w14:textId="77777777" w:rsidR="00415B20" w:rsidRPr="00415B20" w:rsidRDefault="00415B20" w:rsidP="00415B20">
      <w:pPr>
        <w:pStyle w:val="SingleTxtG"/>
        <w:rPr>
          <w:b/>
        </w:rPr>
      </w:pPr>
      <w:r w:rsidRPr="00415B20">
        <w:t>51.</w:t>
      </w:r>
      <w:r w:rsidRPr="00415B20">
        <w:tab/>
      </w:r>
      <w:r w:rsidRPr="00415B20">
        <w:rPr>
          <w:b/>
        </w:rPr>
        <w:t xml:space="preserve">Комитет рекомендует государству-участнику усилить действующие меры и принять необходимые дополнительные меры для защиты мелких фермерских хозяйств и содействия их развитию. </w:t>
      </w:r>
    </w:p>
    <w:p w14:paraId="7513A21B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 xml:space="preserve">Доступ к медицинскому обслуживанию </w:t>
      </w:r>
    </w:p>
    <w:p w14:paraId="0D3ECD5D" w14:textId="77777777" w:rsidR="00415B20" w:rsidRPr="00415B20" w:rsidRDefault="00415B20" w:rsidP="00415B20">
      <w:pPr>
        <w:pStyle w:val="SingleTxtG"/>
      </w:pPr>
      <w:r w:rsidRPr="00415B20">
        <w:t>52.</w:t>
      </w:r>
      <w:r w:rsidRPr="00415B20">
        <w:tab/>
        <w:t>Комитет обеспокоен неравенством в сфере доступа к медицинскому обслуживанию в зависимости от уровня дохода, от которого страдают лица с наиболее низкими доходами. Он также озабочен практическими трудностями, с которыми сталкиваются нелегальные мигранты при доступе к услугам неотложной помощи. С</w:t>
      </w:r>
      <w:r w:rsidR="008A3403">
        <w:rPr>
          <w:lang w:val="en-US"/>
        </w:rPr>
        <w:t> </w:t>
      </w:r>
      <w:r w:rsidRPr="00415B20">
        <w:t>другой стороны, Комитет выражает сожаление в связи с нехваткой информации о доступе инвалидов к медицинскому обслуживанию (статья 12).</w:t>
      </w:r>
    </w:p>
    <w:p w14:paraId="3D591D76" w14:textId="77777777" w:rsidR="00415B20" w:rsidRPr="00415B20" w:rsidRDefault="00415B20" w:rsidP="00415B20">
      <w:pPr>
        <w:pStyle w:val="SingleTxtG"/>
        <w:rPr>
          <w:b/>
        </w:rPr>
      </w:pPr>
      <w:r w:rsidRPr="00415B20">
        <w:t>53.</w:t>
      </w:r>
      <w:r w:rsidRPr="00415B20">
        <w:tab/>
      </w:r>
      <w:r w:rsidRPr="00415B20">
        <w:rPr>
          <w:b/>
        </w:rPr>
        <w:t xml:space="preserve">Комитет рекомендует государству-участнику усилить принятие конкретных мер для гарантирования доступа к медицинскому обслуживанию для маргинальных слоев населения, включая срочное уделение внимания мигрантам. Комитет также рекомендует ему укрепить потенциал своей системы здравоохранения, чтобы гарантировать инвалидам доступ к ее услугам. </w:t>
      </w:r>
    </w:p>
    <w:p w14:paraId="1ECC05F2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 xml:space="preserve">Интерсексуалы </w:t>
      </w:r>
    </w:p>
    <w:p w14:paraId="140CD2BC" w14:textId="77777777" w:rsidR="00415B20" w:rsidRPr="00415B20" w:rsidRDefault="00415B20" w:rsidP="00415B20">
      <w:pPr>
        <w:pStyle w:val="SingleTxtG"/>
      </w:pPr>
      <w:r w:rsidRPr="00415B20">
        <w:t>54.</w:t>
      </w:r>
      <w:r w:rsidRPr="00415B20">
        <w:tab/>
        <w:t>Комитет выражает обеспокоенность в связи с положением несовершеннолетних интерсексуалов, в частности с практикой хирургических вмешательств, которые зачастую носят необратимый характер и применяются в отсутствие необходимости или срочных медицинских показаний и которые наносят ущерб физической и психической неприкосновенности соответствующих лиц (статьи</w:t>
      </w:r>
      <w:r w:rsidRPr="00415B20">
        <w:rPr>
          <w:lang w:val="fr-FR"/>
        </w:rPr>
        <w:t> </w:t>
      </w:r>
      <w:r w:rsidRPr="00415B20">
        <w:t>10 и 12).</w:t>
      </w:r>
    </w:p>
    <w:p w14:paraId="4AFD2427" w14:textId="77777777" w:rsidR="00415B20" w:rsidRPr="00415B20" w:rsidRDefault="00415B20" w:rsidP="00415B20">
      <w:pPr>
        <w:pStyle w:val="SingleTxtG"/>
        <w:rPr>
          <w:b/>
        </w:rPr>
      </w:pPr>
      <w:r w:rsidRPr="00415B20">
        <w:t>55.</w:t>
      </w:r>
      <w:r w:rsidRPr="00415B20">
        <w:tab/>
      </w:r>
      <w:r w:rsidRPr="00415B20">
        <w:rPr>
          <w:b/>
        </w:rPr>
        <w:t>Комитет рекомендует государству-участнику в рамках Межфедерального плана действий по борьбе с дискриминацией и насилием в отношении членов ЛГБТИ-сообщества:</w:t>
      </w:r>
    </w:p>
    <w:p w14:paraId="6C60CC4C" w14:textId="77777777" w:rsidR="00415B20" w:rsidRPr="00415B20" w:rsidRDefault="008A3403" w:rsidP="00415B20">
      <w:pPr>
        <w:pStyle w:val="SingleTxtG"/>
        <w:rPr>
          <w:b/>
        </w:rPr>
      </w:pPr>
      <w:r w:rsidRPr="00F16B5A">
        <w:rPr>
          <w:b/>
        </w:rPr>
        <w:tab/>
      </w:r>
      <w:r w:rsidRPr="00F16B5A">
        <w:rPr>
          <w:b/>
        </w:rPr>
        <w:tab/>
      </w:r>
      <w:r w:rsidR="00415B20" w:rsidRPr="00415B20">
        <w:rPr>
          <w:b/>
          <w:lang w:val="fr-FR"/>
        </w:rPr>
        <w:t>a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принять меры к тому, чтобы на практике при отсутствии необходимости или срочных медицинских показаний дети-интерсексуалы не подвергались никаким хирургическим операциям, связанным с их половыми признаками, пока они не смогут самостоятельно сформировать собственное мнение и дать осознанное согласие;</w:t>
      </w:r>
    </w:p>
    <w:p w14:paraId="588A8189" w14:textId="77777777" w:rsidR="00415B20" w:rsidRPr="00415B20" w:rsidRDefault="008A3403" w:rsidP="00415B20">
      <w:pPr>
        <w:pStyle w:val="SingleTxtG"/>
        <w:rPr>
          <w:b/>
        </w:rPr>
      </w:pPr>
      <w:r w:rsidRPr="00F16B5A">
        <w:rPr>
          <w:b/>
        </w:rPr>
        <w:tab/>
      </w:r>
      <w:r w:rsidRPr="00F16B5A">
        <w:rPr>
          <w:b/>
        </w:rPr>
        <w:tab/>
      </w:r>
      <w:r w:rsidR="00415B20" w:rsidRPr="00415B20">
        <w:rPr>
          <w:b/>
          <w:lang w:val="fr-FR"/>
        </w:rPr>
        <w:t>b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активизировать мероприятия по информированию о состоянии интерсексуальности и обеспечивать профессиональную подготовку работников здравоохранения с учетом медицинских потребностей и основных прав интерсексуалов, в том числе их права на самостоятельность и физическую неприкосновенность;</w:t>
      </w:r>
    </w:p>
    <w:p w14:paraId="54983D69" w14:textId="77777777" w:rsidR="00415B20" w:rsidRPr="00415B20" w:rsidRDefault="008A3403" w:rsidP="00415B20">
      <w:pPr>
        <w:pStyle w:val="SingleTxtG"/>
        <w:rPr>
          <w:b/>
        </w:rPr>
      </w:pPr>
      <w:r w:rsidRPr="008A3403">
        <w:rPr>
          <w:b/>
        </w:rPr>
        <w:tab/>
      </w:r>
      <w:r w:rsidRPr="008A3403">
        <w:rPr>
          <w:b/>
        </w:rPr>
        <w:tab/>
      </w:r>
      <w:r w:rsidR="00415B20" w:rsidRPr="00415B20">
        <w:rPr>
          <w:b/>
          <w:lang w:val="fr-FR"/>
        </w:rPr>
        <w:t>c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следить за тем, чтобы с интерсексуалами и представляющими их организациями продолжалось проведение консультаций в ходе исследований и разработки законов и политики, которые касаются их прав, и чтобы они привлекались к участию в таких мероприятиях.</w:t>
      </w:r>
    </w:p>
    <w:p w14:paraId="6F78BA69" w14:textId="77777777" w:rsidR="00415B20" w:rsidRPr="00415B20" w:rsidRDefault="00415B20" w:rsidP="008A3403">
      <w:pPr>
        <w:pStyle w:val="H23G"/>
      </w:pPr>
      <w:r w:rsidRPr="00415B20">
        <w:tab/>
      </w:r>
      <w:r w:rsidRPr="00415B20">
        <w:tab/>
        <w:t>Доступ к образованию</w:t>
      </w:r>
    </w:p>
    <w:p w14:paraId="0594431D" w14:textId="77777777" w:rsidR="00415B20" w:rsidRPr="00415B20" w:rsidRDefault="00415B20" w:rsidP="00415B20">
      <w:pPr>
        <w:pStyle w:val="SingleTxtG"/>
      </w:pPr>
      <w:r w:rsidRPr="00415B20">
        <w:t>56.</w:t>
      </w:r>
      <w:r w:rsidRPr="00415B20">
        <w:tab/>
        <w:t xml:space="preserve">Комитет обеспокоен: </w:t>
      </w:r>
      <w:r w:rsidRPr="00415B20">
        <w:rPr>
          <w:lang w:val="fr-FR"/>
        </w:rPr>
        <w:t>a</w:t>
      </w:r>
      <w:r w:rsidRPr="00415B20">
        <w:t>)</w:t>
      </w:r>
      <w:r w:rsidRPr="00415B20">
        <w:rPr>
          <w:lang w:val="fr-FR"/>
        </w:rPr>
        <w:t> </w:t>
      </w:r>
      <w:r w:rsidRPr="00415B20">
        <w:t xml:space="preserve">фактической сегрегацией на основе социального происхождения детей и трудностями, которые испытывают дети-инвалиды в учебных заведениях; </w:t>
      </w:r>
      <w:r w:rsidRPr="00415B20">
        <w:rPr>
          <w:lang w:val="fr-FR"/>
        </w:rPr>
        <w:t>b</w:t>
      </w:r>
      <w:r w:rsidRPr="00415B20">
        <w:t>)</w:t>
      </w:r>
      <w:r w:rsidRPr="00415B20">
        <w:rPr>
          <w:lang w:val="fr-FR"/>
        </w:rPr>
        <w:t> </w:t>
      </w:r>
      <w:r w:rsidRPr="00415B20">
        <w:t xml:space="preserve">нерегулярностью посещения дошкольных учреждений и диспропорциями между регионами и социально-экономическими группами; </w:t>
      </w:r>
      <w:r w:rsidRPr="00415B20">
        <w:rPr>
          <w:lang w:val="fr-FR"/>
        </w:rPr>
        <w:t>c</w:t>
      </w:r>
      <w:r w:rsidRPr="00415B20">
        <w:t>)</w:t>
      </w:r>
      <w:r w:rsidRPr="00415B20">
        <w:rPr>
          <w:lang w:val="fr-FR"/>
        </w:rPr>
        <w:t> </w:t>
      </w:r>
      <w:r w:rsidRPr="00415B20">
        <w:t xml:space="preserve">нехваткой данных о детях рома, в частности для проведения оценки эффективности </w:t>
      </w:r>
      <w:r w:rsidRPr="00415B20">
        <w:lastRenderedPageBreak/>
        <w:t xml:space="preserve">принимаемых мер по упрощению их доступа к образованию; </w:t>
      </w:r>
      <w:r w:rsidRPr="00415B20">
        <w:rPr>
          <w:lang w:val="fr-FR"/>
        </w:rPr>
        <w:t>d</w:t>
      </w:r>
      <w:r w:rsidRPr="00415B20">
        <w:t>)</w:t>
      </w:r>
      <w:r w:rsidRPr="00415B20">
        <w:rPr>
          <w:lang w:val="fr-FR"/>
        </w:rPr>
        <w:t> </w:t>
      </w:r>
      <w:r w:rsidRPr="00415B20">
        <w:t xml:space="preserve">недостаточным доступом франкоязычного меньшинства к образованию на французском языке в Брюссельском столичном регионе; и </w:t>
      </w:r>
      <w:r w:rsidRPr="00415B20">
        <w:rPr>
          <w:lang w:val="fr-FR"/>
        </w:rPr>
        <w:t>e</w:t>
      </w:r>
      <w:r w:rsidRPr="00415B20">
        <w:t>)</w:t>
      </w:r>
      <w:r w:rsidRPr="00415B20">
        <w:rPr>
          <w:lang w:val="fr-FR"/>
        </w:rPr>
        <w:t> </w:t>
      </w:r>
      <w:r w:rsidRPr="00415B20">
        <w:t>опасностью школьного отсева вследствие запрета ношения религиозных символов в государственных учебных заведениях (статья</w:t>
      </w:r>
      <w:r w:rsidRPr="00415B20">
        <w:rPr>
          <w:lang w:val="fr-FR"/>
        </w:rPr>
        <w:t> </w:t>
      </w:r>
      <w:r w:rsidRPr="00415B20">
        <w:t>13).</w:t>
      </w:r>
    </w:p>
    <w:p w14:paraId="23DF517B" w14:textId="77777777" w:rsidR="00415B20" w:rsidRPr="00415B20" w:rsidRDefault="00415B20" w:rsidP="00415B20">
      <w:pPr>
        <w:pStyle w:val="SingleTxtG"/>
        <w:rPr>
          <w:b/>
        </w:rPr>
      </w:pPr>
      <w:r w:rsidRPr="00415B20">
        <w:t>57.</w:t>
      </w:r>
      <w:r w:rsidRPr="00415B20">
        <w:tab/>
      </w:r>
      <w:r w:rsidRPr="00415B20">
        <w:rPr>
          <w:b/>
        </w:rPr>
        <w:t>Комитет рекомендует государству-участнику:</w:t>
      </w:r>
    </w:p>
    <w:p w14:paraId="49459A06" w14:textId="77777777" w:rsidR="00415B20" w:rsidRPr="00415B20" w:rsidRDefault="008A3403" w:rsidP="00415B20">
      <w:pPr>
        <w:pStyle w:val="SingleTxtG"/>
        <w:rPr>
          <w:b/>
        </w:rPr>
      </w:pPr>
      <w:r w:rsidRPr="00F16B5A">
        <w:rPr>
          <w:b/>
        </w:rPr>
        <w:tab/>
      </w:r>
      <w:r w:rsidRPr="00F16B5A">
        <w:rPr>
          <w:b/>
        </w:rPr>
        <w:tab/>
      </w:r>
      <w:r w:rsidR="00415B20" w:rsidRPr="00415B20">
        <w:rPr>
          <w:b/>
          <w:lang w:val="fr-FR"/>
        </w:rPr>
        <w:t>a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активизировать совместно с регионами усилия по борьбе с отсевом в школах, в частности среди детей из социально отчужденных и маргинальных групп;</w:t>
      </w:r>
    </w:p>
    <w:p w14:paraId="0E32B6D1" w14:textId="77777777" w:rsidR="00415B20" w:rsidRPr="00415B20" w:rsidRDefault="008A3403" w:rsidP="00415B20">
      <w:pPr>
        <w:pStyle w:val="SingleTxtG"/>
        <w:rPr>
          <w:b/>
        </w:rPr>
      </w:pPr>
      <w:r w:rsidRPr="00F16B5A">
        <w:rPr>
          <w:b/>
        </w:rPr>
        <w:tab/>
      </w:r>
      <w:r w:rsidRPr="00F16B5A">
        <w:rPr>
          <w:b/>
        </w:rPr>
        <w:tab/>
      </w:r>
      <w:r w:rsidR="00415B20" w:rsidRPr="00415B20">
        <w:rPr>
          <w:b/>
          <w:lang w:val="fr-FR"/>
        </w:rPr>
        <w:t>b</w:t>
      </w:r>
      <w:r w:rsidR="00415B20" w:rsidRPr="00415B20">
        <w:rPr>
          <w:b/>
        </w:rPr>
        <w:t>)</w:t>
      </w:r>
      <w:r w:rsidR="00415B20" w:rsidRPr="00415B20">
        <w:tab/>
      </w:r>
      <w:r w:rsidR="00415B20" w:rsidRPr="00415B20">
        <w:rPr>
          <w:b/>
        </w:rPr>
        <w:t>гарантировать инклюзивность обучения в целях противодействия социально-экономической сегрегации и вопиющего неравенства в школьной среде, расширяя доступ выходцам из недопредставленных групп в учреждения начального, среднего и высшего образования;</w:t>
      </w:r>
    </w:p>
    <w:p w14:paraId="4A9C3336" w14:textId="77777777" w:rsidR="00415B20" w:rsidRPr="00415B20" w:rsidRDefault="008A3403" w:rsidP="00415B20">
      <w:pPr>
        <w:pStyle w:val="SingleTxtG"/>
        <w:rPr>
          <w:b/>
        </w:rPr>
      </w:pPr>
      <w:r w:rsidRPr="00F16B5A">
        <w:rPr>
          <w:b/>
        </w:rPr>
        <w:tab/>
      </w:r>
      <w:r w:rsidRPr="00F16B5A">
        <w:rPr>
          <w:b/>
        </w:rPr>
        <w:tab/>
      </w:r>
      <w:r w:rsidR="00415B20" w:rsidRPr="00415B20">
        <w:rPr>
          <w:b/>
          <w:lang w:val="fr-FR"/>
        </w:rPr>
        <w:t>c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гарантировать всем детям, особенно выходцам из малоимущих семей, доступ к качественному дошкольному обучению;</w:t>
      </w:r>
    </w:p>
    <w:p w14:paraId="65657CCD" w14:textId="77777777" w:rsidR="00415B20" w:rsidRPr="00415B20" w:rsidRDefault="008A3403" w:rsidP="00415B20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415B20" w:rsidRPr="00415B20">
        <w:rPr>
          <w:b/>
          <w:lang w:val="fr-FR"/>
        </w:rPr>
        <w:t>d</w:t>
      </w:r>
      <w:r w:rsidR="00415B20" w:rsidRPr="00415B20">
        <w:rPr>
          <w:b/>
        </w:rPr>
        <w:t>)</w:t>
      </w:r>
      <w:r w:rsidR="00415B20" w:rsidRPr="00415B20">
        <w:rPr>
          <w:b/>
        </w:rPr>
        <w:tab/>
        <w:t>предотвращать любые негативные последствия запрета ношения религиозных символов в государственных и частных учебных заведениях для доступа к образованию.</w:t>
      </w:r>
    </w:p>
    <w:p w14:paraId="0171AAAE" w14:textId="77777777" w:rsidR="00415B20" w:rsidRPr="00415B20" w:rsidRDefault="00415B20" w:rsidP="008A3403">
      <w:pPr>
        <w:pStyle w:val="H1G"/>
      </w:pPr>
      <w:r w:rsidRPr="00415B20">
        <w:tab/>
        <w:t>D.</w:t>
      </w:r>
      <w:r w:rsidRPr="00415B20">
        <w:tab/>
        <w:t xml:space="preserve">Прочие рекомендации </w:t>
      </w:r>
    </w:p>
    <w:p w14:paraId="00AD7F66" w14:textId="77777777" w:rsidR="00415B20" w:rsidRPr="00415B20" w:rsidRDefault="00415B20" w:rsidP="00415B20">
      <w:pPr>
        <w:pStyle w:val="SingleTxtG"/>
        <w:rPr>
          <w:b/>
          <w:bCs/>
        </w:rPr>
      </w:pPr>
      <w:r w:rsidRPr="00415B20">
        <w:rPr>
          <w:bCs/>
        </w:rPr>
        <w:t>58.</w:t>
      </w:r>
      <w:r w:rsidRPr="00415B20">
        <w:rPr>
          <w:bCs/>
        </w:rPr>
        <w:tab/>
      </w:r>
      <w:r w:rsidRPr="00415B20"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года. Государство-участник могло бы существенно содействовать достижению Целей в области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 Достижение Целей на основе принципов участия, подотчетности и недискриминации будет способствовать обеспечению того, чтобы никто не был забыт. В этой связи Комитет обращает внимание государства-участника на свое заявление об обязательстве никого не забыть (</w:t>
      </w:r>
      <w:r w:rsidRPr="00415B20">
        <w:rPr>
          <w:b/>
          <w:bCs/>
          <w:lang w:val="fr-FR"/>
        </w:rPr>
        <w:t>E</w:t>
      </w:r>
      <w:r w:rsidRPr="00415B20">
        <w:rPr>
          <w:b/>
          <w:bCs/>
        </w:rPr>
        <w:t>/</w:t>
      </w:r>
      <w:r w:rsidRPr="00415B20">
        <w:rPr>
          <w:b/>
          <w:bCs/>
          <w:lang w:val="fr-FR"/>
        </w:rPr>
        <w:t>C</w:t>
      </w:r>
      <w:r w:rsidRPr="00415B20">
        <w:rPr>
          <w:b/>
          <w:bCs/>
        </w:rPr>
        <w:t>.12/2019/1).</w:t>
      </w:r>
    </w:p>
    <w:p w14:paraId="1AFD29A6" w14:textId="77777777" w:rsidR="00415B20" w:rsidRPr="00415B20" w:rsidRDefault="00415B20" w:rsidP="00415B20">
      <w:pPr>
        <w:pStyle w:val="SingleTxtG"/>
        <w:rPr>
          <w:b/>
          <w:bCs/>
        </w:rPr>
      </w:pPr>
      <w:r w:rsidRPr="00415B20">
        <w:rPr>
          <w:bCs/>
        </w:rPr>
        <w:t>59.</w:t>
      </w:r>
      <w:r w:rsidRPr="00415B20">
        <w:rPr>
          <w:bCs/>
        </w:rPr>
        <w:tab/>
      </w:r>
      <w:r w:rsidRPr="00415B20">
        <w:rPr>
          <w:b/>
          <w:bCs/>
        </w:rPr>
        <w:t>Комитет рекомендует государству-участнику предпринять шаги по поэтапной разработке и применению соответствующих показателей осуществления экономических, социальных и культурных прав в интересах оценки достигнутого государством-участником прогресса в деле выполнения своих обязательств в соответствии с Пактом применительно к различным слоям населения. В этой связи Комитет обращает внимание государства-участника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</w:t>
      </w:r>
      <w:r w:rsidRPr="00415B20">
        <w:rPr>
          <w:b/>
          <w:bCs/>
          <w:lang w:val="fr-FR"/>
        </w:rPr>
        <w:t>HRI</w:t>
      </w:r>
      <w:r w:rsidRPr="00415B20">
        <w:rPr>
          <w:b/>
          <w:bCs/>
        </w:rPr>
        <w:t>/</w:t>
      </w:r>
      <w:r w:rsidRPr="00415B20">
        <w:rPr>
          <w:b/>
          <w:bCs/>
          <w:lang w:val="fr-FR"/>
        </w:rPr>
        <w:t>MC</w:t>
      </w:r>
      <w:r w:rsidRPr="00415B20">
        <w:rPr>
          <w:b/>
          <w:bCs/>
        </w:rPr>
        <w:t>/2008/3).</w:t>
      </w:r>
    </w:p>
    <w:p w14:paraId="7D33901D" w14:textId="77777777" w:rsidR="00415B20" w:rsidRPr="00415B20" w:rsidRDefault="00415B20" w:rsidP="00415B20">
      <w:pPr>
        <w:pStyle w:val="SingleTxtG"/>
        <w:rPr>
          <w:b/>
          <w:bCs/>
        </w:rPr>
      </w:pPr>
      <w:r w:rsidRPr="00415B20">
        <w:rPr>
          <w:bCs/>
        </w:rPr>
        <w:t>60.</w:t>
      </w:r>
      <w:r w:rsidRPr="00415B20">
        <w:rPr>
          <w:bCs/>
        </w:rPr>
        <w:tab/>
      </w:r>
      <w:r w:rsidRPr="00415B20">
        <w:rPr>
          <w:b/>
          <w:bCs/>
        </w:rPr>
        <w:t>Комитет просит государство-участник обеспечить широкое распространение настоящих заключительных замечаний среди всех слоев общества как на федеральном уровне, так и на уровне сообществ и регионов, в частности среди парламентариев, государственных должностных лиц и судебных органов. Комитет призывает государство-участник сотрудничать со всеми национальными правозащитными учреждениями, неправительственными организациями и другими членами гражданского общества в работе по осуществлению настоящих заключительных замечаний и в процессе проведения на национальном уровне консультаций до представления следующего периодического доклада.</w:t>
      </w:r>
    </w:p>
    <w:p w14:paraId="3E2CB30A" w14:textId="77777777" w:rsidR="00415B20" w:rsidRPr="00415B20" w:rsidRDefault="00415B20" w:rsidP="00415B20">
      <w:pPr>
        <w:pStyle w:val="SingleTxtG"/>
        <w:rPr>
          <w:b/>
          <w:bCs/>
        </w:rPr>
      </w:pPr>
      <w:r w:rsidRPr="00415B20">
        <w:rPr>
          <w:bCs/>
        </w:rPr>
        <w:lastRenderedPageBreak/>
        <w:t>61.</w:t>
      </w:r>
      <w:r w:rsidRPr="00415B20">
        <w:rPr>
          <w:bCs/>
        </w:rPr>
        <w:tab/>
      </w:r>
      <w:r w:rsidRPr="00415B20">
        <w:rPr>
          <w:b/>
          <w:bCs/>
        </w:rPr>
        <w:t>В соответствии с процедурой последующих действий по осуществлению принятых Комитетом заключительных замечаний государству-участнику предлагается представить в течение 24 месяцев после принятия настоящих заключительных замечаний информацию о выполнении рекомендаций Комитета, изложенных в пунктах 31 (домашние работники), 37 (бедность) и 41</w:t>
      </w:r>
      <w:r w:rsidR="00133C3D">
        <w:rPr>
          <w:b/>
          <w:bCs/>
          <w:lang w:val="en-US"/>
        </w:rPr>
        <w:t> </w:t>
      </w:r>
      <w:r w:rsidRPr="00415B20">
        <w:rPr>
          <w:b/>
          <w:bCs/>
        </w:rPr>
        <w:t>(принудительные выселения) выше.</w:t>
      </w:r>
    </w:p>
    <w:p w14:paraId="53DD6AA9" w14:textId="77777777" w:rsidR="00381C24" w:rsidRDefault="00415B20" w:rsidP="00415B20">
      <w:pPr>
        <w:pStyle w:val="SingleTxtG"/>
        <w:rPr>
          <w:b/>
          <w:bCs/>
        </w:rPr>
      </w:pPr>
      <w:r w:rsidRPr="00415B20">
        <w:rPr>
          <w:bCs/>
        </w:rPr>
        <w:t>62.</w:t>
      </w:r>
      <w:r w:rsidRPr="00415B20">
        <w:rPr>
          <w:bCs/>
        </w:rPr>
        <w:tab/>
      </w:r>
      <w:r w:rsidRPr="00415B20">
        <w:rPr>
          <w:b/>
          <w:bCs/>
        </w:rPr>
        <w:t>Комитет обращается к государству-участнику с просьбой представить ему свой шестой периодический доклад к 31 марта 2025 года. Для этой цели и с учетом того, что государство-участник согласилось представлять Комитету доклады в соответствии с упрощенной процедурой представления докладов, Комитет в установленном порядке направит государству-участнику предварительный перечень вопросов для рассмотрения. Ответы государства-участника на этот перечень вопросов будут являться его шестым периодическим докладом, представленным согласно статье 16 Пакта.</w:t>
      </w:r>
    </w:p>
    <w:p w14:paraId="7051C20A" w14:textId="77777777" w:rsidR="00415B20" w:rsidRPr="00415B20" w:rsidRDefault="00415B20" w:rsidP="00415B20">
      <w:pPr>
        <w:pStyle w:val="SingleTxtG"/>
        <w:spacing w:before="240" w:after="0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415B20" w:rsidRPr="00415B20" w:rsidSect="00415B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8BEF" w14:textId="77777777" w:rsidR="00CD6E59" w:rsidRPr="00A312BC" w:rsidRDefault="00CD6E59" w:rsidP="00A312BC"/>
  </w:endnote>
  <w:endnote w:type="continuationSeparator" w:id="0">
    <w:p w14:paraId="57C51139" w14:textId="77777777" w:rsidR="00CD6E59" w:rsidRPr="00A312BC" w:rsidRDefault="00CD6E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E6C8" w14:textId="77777777" w:rsidR="00415B20" w:rsidRPr="00415B20" w:rsidRDefault="00415B20">
    <w:pPr>
      <w:pStyle w:val="aa"/>
    </w:pPr>
    <w:r w:rsidRPr="00415B20">
      <w:rPr>
        <w:b/>
        <w:sz w:val="18"/>
      </w:rPr>
      <w:fldChar w:fldCharType="begin"/>
    </w:r>
    <w:r w:rsidRPr="00415B20">
      <w:rPr>
        <w:b/>
        <w:sz w:val="18"/>
      </w:rPr>
      <w:instrText xml:space="preserve"> PAGE  \* MERGEFORMAT </w:instrText>
    </w:r>
    <w:r w:rsidRPr="00415B20">
      <w:rPr>
        <w:b/>
        <w:sz w:val="18"/>
      </w:rPr>
      <w:fldChar w:fldCharType="separate"/>
    </w:r>
    <w:r w:rsidRPr="00415B20">
      <w:rPr>
        <w:b/>
        <w:noProof/>
        <w:sz w:val="18"/>
      </w:rPr>
      <w:t>2</w:t>
    </w:r>
    <w:r w:rsidRPr="00415B20">
      <w:rPr>
        <w:b/>
        <w:sz w:val="18"/>
      </w:rPr>
      <w:fldChar w:fldCharType="end"/>
    </w:r>
    <w:r>
      <w:rPr>
        <w:b/>
        <w:sz w:val="18"/>
      </w:rPr>
      <w:tab/>
    </w:r>
    <w:r>
      <w:t>GE.20-04523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1F6E" w14:textId="77777777" w:rsidR="00415B20" w:rsidRPr="00415B20" w:rsidRDefault="00415B20" w:rsidP="00415B20">
    <w:pPr>
      <w:pStyle w:val="aa"/>
      <w:tabs>
        <w:tab w:val="clear" w:pos="9639"/>
        <w:tab w:val="right" w:pos="9638"/>
      </w:tabs>
      <w:rPr>
        <w:b/>
        <w:sz w:val="18"/>
      </w:rPr>
    </w:pPr>
    <w:r>
      <w:t>GE.20-04523</w:t>
    </w:r>
    <w:r>
      <w:tab/>
    </w:r>
    <w:r w:rsidRPr="00415B20">
      <w:rPr>
        <w:b/>
        <w:sz w:val="18"/>
      </w:rPr>
      <w:fldChar w:fldCharType="begin"/>
    </w:r>
    <w:r w:rsidRPr="00415B20">
      <w:rPr>
        <w:b/>
        <w:sz w:val="18"/>
      </w:rPr>
      <w:instrText xml:space="preserve"> PAGE  \* MERGEFORMAT </w:instrText>
    </w:r>
    <w:r w:rsidRPr="00415B20">
      <w:rPr>
        <w:b/>
        <w:sz w:val="18"/>
      </w:rPr>
      <w:fldChar w:fldCharType="separate"/>
    </w:r>
    <w:r w:rsidRPr="00415B20">
      <w:rPr>
        <w:b/>
        <w:noProof/>
        <w:sz w:val="18"/>
      </w:rPr>
      <w:t>3</w:t>
    </w:r>
    <w:r w:rsidRPr="00415B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3F71" w14:textId="1FC926CB" w:rsidR="00042B72" w:rsidRPr="00415B20" w:rsidRDefault="00415B20" w:rsidP="00415B2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A20BC6" wp14:editId="6AAA79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20-04523  (R)</w:t>
    </w:r>
    <w:r w:rsidR="00CB0A7A">
      <w:rPr>
        <w:lang w:val="en-US"/>
      </w:rPr>
      <w:t xml:space="preserve">  070420  1</w:t>
    </w:r>
    <w:r w:rsidR="00F16B5A">
      <w:rPr>
        <w:lang w:val="en-US"/>
      </w:rPr>
      <w:t>6</w:t>
    </w:r>
    <w:r w:rsidR="00CB0A7A">
      <w:rPr>
        <w:lang w:val="en-US"/>
      </w:rPr>
      <w:t>0420</w:t>
    </w:r>
    <w:r>
      <w:br/>
    </w:r>
    <w:r w:rsidRPr="00415B20">
      <w:rPr>
        <w:rFonts w:ascii="C39T30Lfz" w:hAnsi="C39T30Lfz"/>
        <w:kern w:val="14"/>
        <w:sz w:val="56"/>
      </w:rPr>
      <w:t></w:t>
    </w:r>
    <w:r w:rsidRPr="00415B20">
      <w:rPr>
        <w:rFonts w:ascii="C39T30Lfz" w:hAnsi="C39T30Lfz"/>
        <w:kern w:val="14"/>
        <w:sz w:val="56"/>
      </w:rPr>
      <w:t></w:t>
    </w:r>
    <w:r w:rsidRPr="00415B20">
      <w:rPr>
        <w:rFonts w:ascii="C39T30Lfz" w:hAnsi="C39T30Lfz"/>
        <w:kern w:val="14"/>
        <w:sz w:val="56"/>
      </w:rPr>
      <w:t></w:t>
    </w:r>
    <w:r w:rsidRPr="00415B20">
      <w:rPr>
        <w:rFonts w:ascii="C39T30Lfz" w:hAnsi="C39T30Lfz"/>
        <w:kern w:val="14"/>
        <w:sz w:val="56"/>
      </w:rPr>
      <w:t></w:t>
    </w:r>
    <w:r w:rsidRPr="00415B20">
      <w:rPr>
        <w:rFonts w:ascii="C39T30Lfz" w:hAnsi="C39T30Lfz"/>
        <w:kern w:val="14"/>
        <w:sz w:val="56"/>
      </w:rPr>
      <w:t></w:t>
    </w:r>
    <w:r w:rsidRPr="00415B20">
      <w:rPr>
        <w:rFonts w:ascii="C39T30Lfz" w:hAnsi="C39T30Lfz"/>
        <w:kern w:val="14"/>
        <w:sz w:val="56"/>
      </w:rPr>
      <w:t></w:t>
    </w:r>
    <w:r w:rsidRPr="00415B20">
      <w:rPr>
        <w:rFonts w:ascii="C39T30Lfz" w:hAnsi="C39T30Lfz"/>
        <w:kern w:val="14"/>
        <w:sz w:val="56"/>
      </w:rPr>
      <w:t></w:t>
    </w:r>
    <w:r w:rsidRPr="00415B20">
      <w:rPr>
        <w:rFonts w:ascii="C39T30Lfz" w:hAnsi="C39T30Lfz"/>
        <w:kern w:val="14"/>
        <w:sz w:val="56"/>
      </w:rPr>
      <w:t></w:t>
    </w:r>
    <w:r w:rsidRPr="00415B2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5C2243" wp14:editId="719B1B6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BEL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BEL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A860" w14:textId="77777777" w:rsidR="00CD6E59" w:rsidRPr="001075E9" w:rsidRDefault="00CD6E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DF304A" w14:textId="77777777" w:rsidR="00CD6E59" w:rsidRDefault="00CD6E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777863" w14:textId="77777777" w:rsidR="00415B20" w:rsidRPr="00256884" w:rsidRDefault="00415B20" w:rsidP="00415B20">
      <w:pPr>
        <w:pStyle w:val="af"/>
      </w:pPr>
      <w:r>
        <w:rPr>
          <w:rStyle w:val="a8"/>
        </w:rPr>
        <w:tab/>
      </w:r>
      <w:r w:rsidRPr="00415B20">
        <w:rPr>
          <w:rStyle w:val="a8"/>
          <w:sz w:val="20"/>
          <w:vertAlign w:val="baseline"/>
        </w:rPr>
        <w:t>*</w:t>
      </w:r>
      <w:r w:rsidRPr="00415B20">
        <w:rPr>
          <w:rStyle w:val="a8"/>
          <w:sz w:val="20"/>
          <w:vertAlign w:val="baseline"/>
        </w:rPr>
        <w:tab/>
      </w:r>
      <w:r>
        <w:t>Приняты Комитетом на его шестьдесят седьмой сессии (17 февраля – 6 марта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C635" w14:textId="123C4DDA" w:rsidR="00415B20" w:rsidRPr="00415B20" w:rsidRDefault="00BA4CF4">
    <w:pPr>
      <w:pStyle w:val="a5"/>
    </w:pPr>
    <w:fldSimple w:instr=" TITLE  \* MERGEFORMAT ">
      <w:r w:rsidR="00E23155">
        <w:t>E/C.12/BEL/CO/5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BF76" w14:textId="7F235A86" w:rsidR="00415B20" w:rsidRPr="00415B20" w:rsidRDefault="00BA4CF4" w:rsidP="00415B20">
    <w:pPr>
      <w:pStyle w:val="a5"/>
      <w:jc w:val="right"/>
    </w:pPr>
    <w:fldSimple w:instr=" TITLE  \* MERGEFORMAT ">
      <w:r w:rsidR="00E23155">
        <w:t>E/C.12/BEL/CO/5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59"/>
    <w:rsid w:val="00033EE1"/>
    <w:rsid w:val="00042B72"/>
    <w:rsid w:val="00043B08"/>
    <w:rsid w:val="000558BD"/>
    <w:rsid w:val="000857D2"/>
    <w:rsid w:val="000B57E7"/>
    <w:rsid w:val="000B6373"/>
    <w:rsid w:val="000C7E0E"/>
    <w:rsid w:val="000F09DF"/>
    <w:rsid w:val="000F61B2"/>
    <w:rsid w:val="001075E9"/>
    <w:rsid w:val="001253D8"/>
    <w:rsid w:val="00133C3D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504B9"/>
    <w:rsid w:val="00274E03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15B20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3977"/>
    <w:rsid w:val="00825F8D"/>
    <w:rsid w:val="00834B71"/>
    <w:rsid w:val="0086445C"/>
    <w:rsid w:val="00881771"/>
    <w:rsid w:val="00894693"/>
    <w:rsid w:val="00896BA2"/>
    <w:rsid w:val="008A08D7"/>
    <w:rsid w:val="008A3403"/>
    <w:rsid w:val="008B6909"/>
    <w:rsid w:val="008C30BC"/>
    <w:rsid w:val="00906890"/>
    <w:rsid w:val="00911BE4"/>
    <w:rsid w:val="00951972"/>
    <w:rsid w:val="009608F3"/>
    <w:rsid w:val="009A24AC"/>
    <w:rsid w:val="009B58E2"/>
    <w:rsid w:val="009D57C4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A4CF4"/>
    <w:rsid w:val="00BC18B2"/>
    <w:rsid w:val="00BD33EE"/>
    <w:rsid w:val="00BF21E1"/>
    <w:rsid w:val="00C106D6"/>
    <w:rsid w:val="00C60F0C"/>
    <w:rsid w:val="00C805C9"/>
    <w:rsid w:val="00C92939"/>
    <w:rsid w:val="00CA1679"/>
    <w:rsid w:val="00CB0A7A"/>
    <w:rsid w:val="00CB151C"/>
    <w:rsid w:val="00CD6E59"/>
    <w:rsid w:val="00CE5A1A"/>
    <w:rsid w:val="00CF55F6"/>
    <w:rsid w:val="00D02197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23155"/>
    <w:rsid w:val="00E73F76"/>
    <w:rsid w:val="00E90403"/>
    <w:rsid w:val="00EA2C9F"/>
    <w:rsid w:val="00EA420E"/>
    <w:rsid w:val="00ED0BDA"/>
    <w:rsid w:val="00EE142A"/>
    <w:rsid w:val="00EF1360"/>
    <w:rsid w:val="00EF3220"/>
    <w:rsid w:val="00F16B5A"/>
    <w:rsid w:val="00F43903"/>
    <w:rsid w:val="00F94155"/>
    <w:rsid w:val="00F968D2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4D6AC"/>
  <w15:docId w15:val="{215C01A5-2D4F-48EF-A03A-CD2DFA1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11</Pages>
  <Words>4059</Words>
  <Characters>28730</Characters>
  <Application>Microsoft Office Word</Application>
  <DocSecurity>0</DocSecurity>
  <Lines>522</Lines>
  <Paragraphs>118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E/C.12/BEL/CO/5</vt:lpstr>
      <vt:lpstr>A/</vt:lpstr>
      <vt:lpstr>A/</vt:lpstr>
    </vt:vector>
  </TitlesOfParts>
  <Company>DCM</Company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E/C.12/BEL/CO/5</dc:title>
  <dc:subject/>
  <dc:creator>Anna PETELINA</dc:creator>
  <cp:keywords/>
  <cp:lastModifiedBy>Ioulia Goussarova</cp:lastModifiedBy>
  <cp:revision>3</cp:revision>
  <cp:lastPrinted>2020-04-16T09:15:00Z</cp:lastPrinted>
  <dcterms:created xsi:type="dcterms:W3CDTF">2020-04-16T09:15:00Z</dcterms:created>
  <dcterms:modified xsi:type="dcterms:W3CDTF">2020-04-16T09:15:00Z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