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1FA9F344" w14:textId="77777777" w:rsidTr="00295CCA">
        <w:trPr>
          <w:trHeight w:hRule="exact" w:val="851"/>
        </w:trPr>
        <w:tc>
          <w:tcPr>
            <w:tcW w:w="1276" w:type="dxa"/>
            <w:tcBorders>
              <w:bottom w:val="single" w:sz="4" w:space="0" w:color="auto"/>
            </w:tcBorders>
          </w:tcPr>
          <w:p w14:paraId="5C908394" w14:textId="77777777" w:rsidR="001433FD" w:rsidRPr="00DB58B5" w:rsidRDefault="001433FD" w:rsidP="002A17CF"/>
        </w:tc>
        <w:tc>
          <w:tcPr>
            <w:tcW w:w="2268" w:type="dxa"/>
            <w:tcBorders>
              <w:bottom w:val="single" w:sz="4" w:space="0" w:color="auto"/>
            </w:tcBorders>
            <w:vAlign w:val="bottom"/>
          </w:tcPr>
          <w:p w14:paraId="2F14A44D"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EFE827" w14:textId="64E6A0C3" w:rsidR="001433FD" w:rsidRPr="006F53E8" w:rsidRDefault="006F53E8" w:rsidP="0085643B">
            <w:pPr>
              <w:jc w:val="right"/>
            </w:pPr>
            <w:r w:rsidRPr="006F53E8">
              <w:rPr>
                <w:sz w:val="40"/>
              </w:rPr>
              <w:t>E</w:t>
            </w:r>
            <w:r>
              <w:t>/C.12/BEL/QPR/5</w:t>
            </w:r>
          </w:p>
        </w:tc>
      </w:tr>
      <w:tr w:rsidR="001433FD" w:rsidRPr="00DB58B5" w14:paraId="44BD4858" w14:textId="77777777" w:rsidTr="00295CCA">
        <w:trPr>
          <w:trHeight w:hRule="exact" w:val="2835"/>
        </w:trPr>
        <w:tc>
          <w:tcPr>
            <w:tcW w:w="1276" w:type="dxa"/>
            <w:tcBorders>
              <w:top w:val="single" w:sz="4" w:space="0" w:color="auto"/>
              <w:bottom w:val="single" w:sz="12" w:space="0" w:color="auto"/>
            </w:tcBorders>
          </w:tcPr>
          <w:p w14:paraId="55E63C09" w14:textId="77777777" w:rsidR="001433FD" w:rsidRPr="00DB58B5" w:rsidRDefault="001433FD" w:rsidP="00295CCA">
            <w:pPr>
              <w:spacing w:before="120"/>
              <w:jc w:val="center"/>
            </w:pPr>
            <w:r>
              <w:rPr>
                <w:noProof/>
                <w:lang w:eastAsia="fr-CH"/>
              </w:rPr>
              <w:drawing>
                <wp:inline distT="0" distB="0" distL="0" distR="0" wp14:anchorId="4B6B5B87" wp14:editId="70A31E8F">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9A1848"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EA27B64" w14:textId="3840BDFC" w:rsidR="001433FD" w:rsidRDefault="002A17CF" w:rsidP="00295CCA">
            <w:pPr>
              <w:spacing w:before="240"/>
            </w:pPr>
            <w:r>
              <w:t>Distr.</w:t>
            </w:r>
            <w:r w:rsidR="00A839A1">
              <w:t xml:space="preserve"> </w:t>
            </w:r>
            <w:r w:rsidR="003F7FE7">
              <w:t>générale</w:t>
            </w:r>
          </w:p>
          <w:p w14:paraId="34A7BFAC" w14:textId="73DF9E02" w:rsidR="00832891" w:rsidRDefault="0085643B" w:rsidP="002A17CF">
            <w:pPr>
              <w:spacing w:line="240" w:lineRule="exact"/>
            </w:pPr>
            <w:r>
              <w:t>1</w:t>
            </w:r>
            <w:r w:rsidR="00A9699A">
              <w:t>4</w:t>
            </w:r>
            <w:r>
              <w:t xml:space="preserve"> novembre </w:t>
            </w:r>
            <w:r w:rsidR="002A17CF">
              <w:t>201</w:t>
            </w:r>
            <w:r w:rsidR="009F4347">
              <w:t>8</w:t>
            </w:r>
          </w:p>
          <w:p w14:paraId="32870C47" w14:textId="77777777" w:rsidR="00F06304" w:rsidRDefault="00F06304" w:rsidP="002A17CF">
            <w:pPr>
              <w:spacing w:line="240" w:lineRule="exact"/>
            </w:pPr>
          </w:p>
          <w:p w14:paraId="70D95878" w14:textId="1385F1C3" w:rsidR="002A17CF" w:rsidRDefault="002A17CF" w:rsidP="002A17CF">
            <w:pPr>
              <w:spacing w:line="240" w:lineRule="exact"/>
            </w:pPr>
            <w:r>
              <w:t>Original</w:t>
            </w:r>
            <w:r w:rsidR="00A839A1">
              <w:t> </w:t>
            </w:r>
            <w:r>
              <w:t xml:space="preserve">: </w:t>
            </w:r>
            <w:r w:rsidR="00A839A1">
              <w:t xml:space="preserve">français </w:t>
            </w:r>
          </w:p>
          <w:p w14:paraId="5D23E2B6" w14:textId="00A8E9EA" w:rsidR="00583C17" w:rsidRPr="007549C4" w:rsidRDefault="00364239" w:rsidP="002A17CF">
            <w:pPr>
              <w:spacing w:line="240" w:lineRule="exact"/>
              <w:rPr>
                <w:b/>
              </w:rPr>
            </w:pPr>
            <w:r w:rsidRPr="00364239">
              <w:t xml:space="preserve">Anglais, </w:t>
            </w:r>
            <w:r w:rsidR="00A839A1">
              <w:t>e</w:t>
            </w:r>
            <w:r w:rsidRPr="00364239">
              <w:t xml:space="preserve">spagnol et </w:t>
            </w:r>
            <w:r w:rsidR="00A839A1">
              <w:t>f</w:t>
            </w:r>
            <w:r w:rsidRPr="00364239">
              <w:t>rançais seulement</w:t>
            </w:r>
          </w:p>
        </w:tc>
      </w:tr>
    </w:tbl>
    <w:p w14:paraId="2C8D24D9" w14:textId="77777777" w:rsidR="005316B0" w:rsidRPr="007549C4" w:rsidRDefault="00974B1D" w:rsidP="005316B0">
      <w:pPr>
        <w:spacing w:before="120"/>
        <w:rPr>
          <w:b/>
          <w:sz w:val="24"/>
          <w:szCs w:val="24"/>
        </w:rPr>
      </w:pPr>
      <w:r w:rsidRPr="007549C4">
        <w:rPr>
          <w:b/>
          <w:sz w:val="24"/>
          <w:szCs w:val="24"/>
        </w:rPr>
        <w:t>Comité des droits économiques, sociaux et culturels</w:t>
      </w:r>
    </w:p>
    <w:p w14:paraId="5D52B6DB" w14:textId="5CB70941" w:rsidR="008D671A" w:rsidRDefault="00364239" w:rsidP="00364239">
      <w:pPr>
        <w:pStyle w:val="HChG"/>
      </w:pPr>
      <w:r>
        <w:tab/>
      </w:r>
      <w:r>
        <w:tab/>
      </w:r>
      <w:r w:rsidR="00FD5473">
        <w:t>Liste</w:t>
      </w:r>
      <w:r w:rsidRPr="00364239">
        <w:t xml:space="preserve"> de points </w:t>
      </w:r>
      <w:r w:rsidR="008D671A">
        <w:t>établie avant la soumission du</w:t>
      </w:r>
      <w:r w:rsidR="006410CC">
        <w:t xml:space="preserve"> </w:t>
      </w:r>
      <w:r w:rsidR="008D671A">
        <w:t xml:space="preserve">cinquième </w:t>
      </w:r>
      <w:r w:rsidRPr="00364239">
        <w:t xml:space="preserve">rapport </w:t>
      </w:r>
      <w:r w:rsidR="008D671A">
        <w:t>périodique de la Belgique</w:t>
      </w:r>
      <w:r w:rsidR="006410CC" w:rsidRPr="007549C4">
        <w:rPr>
          <w:rStyle w:val="Appelnotedebasdep"/>
          <w:b w:val="0"/>
          <w:sz w:val="20"/>
          <w:vertAlign w:val="baseline"/>
        </w:rPr>
        <w:footnoteReference w:customMarkFollows="1" w:id="2"/>
        <w:t>*</w:t>
      </w:r>
    </w:p>
    <w:p w14:paraId="659A3ABD" w14:textId="004E528E" w:rsidR="008D671A" w:rsidRDefault="008D671A" w:rsidP="007549C4">
      <w:pPr>
        <w:pStyle w:val="H1G"/>
        <w:rPr>
          <w:lang w:val="fr-FR"/>
        </w:rPr>
      </w:pPr>
      <w:r>
        <w:tab/>
      </w:r>
      <w:r w:rsidR="00F06304">
        <w:rPr>
          <w:lang w:val="fr-FR"/>
        </w:rPr>
        <w:t>A.</w:t>
      </w:r>
      <w:r w:rsidR="00F06304">
        <w:rPr>
          <w:lang w:val="fr-FR"/>
        </w:rPr>
        <w:tab/>
      </w:r>
      <w:r w:rsidRPr="00A805AE">
        <w:rPr>
          <w:lang w:val="fr-FR"/>
        </w:rPr>
        <w:t>Points présentant un intérêt particulier</w:t>
      </w:r>
    </w:p>
    <w:p w14:paraId="16E74514" w14:textId="3EBD737B" w:rsidR="00F06304" w:rsidRDefault="00F06304" w:rsidP="007549C4">
      <w:pPr>
        <w:pStyle w:val="H23G"/>
        <w:rPr>
          <w:lang w:val="fr-FR"/>
        </w:rPr>
      </w:pPr>
      <w:r>
        <w:rPr>
          <w:lang w:val="fr-FR"/>
        </w:rPr>
        <w:tab/>
      </w:r>
      <w:r>
        <w:rPr>
          <w:lang w:val="fr-FR"/>
        </w:rPr>
        <w:tab/>
      </w:r>
      <w:r w:rsidR="00733190">
        <w:rPr>
          <w:lang w:val="fr-FR"/>
        </w:rPr>
        <w:t>Application du Pacte</w:t>
      </w:r>
    </w:p>
    <w:p w14:paraId="150B13AF" w14:textId="4C33DA50" w:rsidR="00F06304" w:rsidRDefault="00FF05B6" w:rsidP="00FF05B6">
      <w:pPr>
        <w:pStyle w:val="SingleTxtG"/>
        <w:rPr>
          <w:lang w:val="fr-FR"/>
        </w:rPr>
      </w:pPr>
      <w:r w:rsidRPr="00A805AE">
        <w:rPr>
          <w:lang w:val="fr-FR"/>
        </w:rPr>
        <w:t>1.</w:t>
      </w:r>
      <w:r w:rsidRPr="00A805AE">
        <w:rPr>
          <w:lang w:val="fr-FR"/>
        </w:rPr>
        <w:tab/>
      </w:r>
      <w:r w:rsidR="008D671A" w:rsidRPr="008D671A">
        <w:t>Fournir</w:t>
      </w:r>
      <w:r w:rsidR="008D671A" w:rsidRPr="00A805AE">
        <w:rPr>
          <w:lang w:val="fr-FR"/>
        </w:rPr>
        <w:t xml:space="preserve"> des renseignements sur les mesures </w:t>
      </w:r>
      <w:r w:rsidR="008D671A">
        <w:rPr>
          <w:lang w:val="fr-FR"/>
        </w:rPr>
        <w:t>adoptées en vue de</w:t>
      </w:r>
      <w:r w:rsidR="008D671A" w:rsidRPr="00A805AE">
        <w:rPr>
          <w:lang w:val="fr-FR"/>
        </w:rPr>
        <w:t xml:space="preserve"> garantir l’application directe des dispositions du Pacte</w:t>
      </w:r>
      <w:r w:rsidR="008D671A">
        <w:rPr>
          <w:lang w:val="fr-FR"/>
        </w:rPr>
        <w:t xml:space="preserve"> international relatif aux droits économiques, sociaux et culturels</w:t>
      </w:r>
      <w:r w:rsidR="008D671A" w:rsidRPr="00A805AE">
        <w:rPr>
          <w:lang w:val="fr-FR"/>
        </w:rPr>
        <w:t xml:space="preserve"> dans l’ordre juridique interne </w:t>
      </w:r>
      <w:r w:rsidR="00D52965">
        <w:rPr>
          <w:lang w:val="fr-FR"/>
        </w:rPr>
        <w:t xml:space="preserve">de l’État partie </w:t>
      </w:r>
      <w:r w:rsidR="008D671A">
        <w:rPr>
          <w:lang w:val="fr-FR"/>
        </w:rPr>
        <w:t xml:space="preserve">et de faire connaître </w:t>
      </w:r>
      <w:r w:rsidR="008D671A" w:rsidRPr="003750B1">
        <w:rPr>
          <w:lang w:val="fr-FR"/>
        </w:rPr>
        <w:t>le Pacte aux avocats, juges et magistrats afin de faciliter, le cas échéant, son invocation ou son application par les cours et tribunaux</w:t>
      </w:r>
      <w:r w:rsidR="008D671A">
        <w:rPr>
          <w:lang w:val="fr-FR"/>
        </w:rPr>
        <w:t xml:space="preserve"> </w:t>
      </w:r>
      <w:r w:rsidR="00BF0F8B">
        <w:rPr>
          <w:lang w:val="fr-FR"/>
        </w:rPr>
        <w:t>de l’État partie</w:t>
      </w:r>
      <w:r w:rsidR="008D671A" w:rsidRPr="00A805AE">
        <w:rPr>
          <w:lang w:val="fr-FR"/>
        </w:rPr>
        <w:t>.</w:t>
      </w:r>
    </w:p>
    <w:p w14:paraId="63E9B0F5" w14:textId="7C4B1A0F" w:rsidR="00B07266" w:rsidRPr="00ED750E" w:rsidRDefault="00F06304" w:rsidP="007549C4">
      <w:pPr>
        <w:pStyle w:val="H23G"/>
        <w:rPr>
          <w:lang w:val="fr-FR"/>
        </w:rPr>
      </w:pPr>
      <w:r>
        <w:rPr>
          <w:lang w:val="fr-FR"/>
        </w:rPr>
        <w:tab/>
      </w:r>
      <w:r>
        <w:rPr>
          <w:lang w:val="fr-FR"/>
        </w:rPr>
        <w:tab/>
      </w:r>
      <w:r w:rsidR="00583C17" w:rsidRPr="00262510">
        <w:rPr>
          <w:lang w:val="fr-FR"/>
        </w:rPr>
        <w:t>Droit à un logement adéquat</w:t>
      </w:r>
    </w:p>
    <w:p w14:paraId="2471530B" w14:textId="750B0090" w:rsidR="0080158D" w:rsidRPr="00DB7332" w:rsidRDefault="00FF05B6" w:rsidP="0080158D">
      <w:pPr>
        <w:pStyle w:val="SingleTxtG"/>
        <w:rPr>
          <w:lang w:val="fr-FR" w:eastAsia="zh-CN"/>
        </w:rPr>
      </w:pPr>
      <w:r>
        <w:rPr>
          <w:lang w:val="fr-FR"/>
        </w:rPr>
        <w:t>2.</w:t>
      </w:r>
      <w:r>
        <w:rPr>
          <w:lang w:val="fr-FR"/>
        </w:rPr>
        <w:tab/>
      </w:r>
      <w:r w:rsidR="0080158D" w:rsidRPr="00A805AE">
        <w:rPr>
          <w:lang w:val="fr-FR" w:eastAsia="zh-CN"/>
        </w:rPr>
        <w:t xml:space="preserve">Fournir des renseignements sur </w:t>
      </w:r>
      <w:r w:rsidR="0080158D">
        <w:rPr>
          <w:lang w:val="fr-FR" w:eastAsia="zh-CN"/>
        </w:rPr>
        <w:t xml:space="preserve">les </w:t>
      </w:r>
      <w:r w:rsidR="0080158D" w:rsidRPr="00A805AE">
        <w:rPr>
          <w:lang w:val="fr-FR" w:eastAsia="zh-CN"/>
        </w:rPr>
        <w:t>mesures adoptées</w:t>
      </w:r>
      <w:r w:rsidR="0080158D">
        <w:rPr>
          <w:lang w:val="fr-FR" w:eastAsia="zh-CN"/>
        </w:rPr>
        <w:t xml:space="preserve"> </w:t>
      </w:r>
      <w:r w:rsidR="00076A2E">
        <w:rPr>
          <w:lang w:val="fr-FR" w:eastAsia="zh-CN"/>
        </w:rPr>
        <w:t>pour</w:t>
      </w:r>
      <w:r w:rsidR="0080158D" w:rsidRPr="00DB7332">
        <w:rPr>
          <w:lang w:val="fr-FR" w:eastAsia="zh-CN"/>
        </w:rPr>
        <w:t xml:space="preserve"> </w:t>
      </w:r>
      <w:r w:rsidR="0080158D" w:rsidRPr="00DB7332">
        <w:rPr>
          <w:lang w:val="fr-FR"/>
        </w:rPr>
        <w:t>favoriser</w:t>
      </w:r>
      <w:r w:rsidR="0080158D" w:rsidRPr="00DB7332">
        <w:rPr>
          <w:lang w:val="fr-FR" w:eastAsia="zh-CN"/>
        </w:rPr>
        <w:t xml:space="preserve"> l’accès à un logement </w:t>
      </w:r>
      <w:r w:rsidR="0080158D" w:rsidRPr="009F4347">
        <w:rPr>
          <w:rFonts w:eastAsia="SimSun"/>
          <w:lang w:val="fr-FR" w:eastAsia="zh-CN"/>
        </w:rPr>
        <w:t>adéquat</w:t>
      </w:r>
      <w:r w:rsidR="00B07266">
        <w:rPr>
          <w:rFonts w:eastAsia="SimSun"/>
          <w:lang w:val="fr-FR" w:eastAsia="zh-CN"/>
        </w:rPr>
        <w:t>,</w:t>
      </w:r>
      <w:r w:rsidR="00BE4600">
        <w:rPr>
          <w:lang w:val="fr-FR" w:eastAsia="zh-CN"/>
        </w:rPr>
        <w:t xml:space="preserve"> sans discrimination</w:t>
      </w:r>
      <w:r w:rsidR="00B07266">
        <w:rPr>
          <w:lang w:val="fr-FR" w:eastAsia="zh-CN"/>
        </w:rPr>
        <w:t>,</w:t>
      </w:r>
      <w:r w:rsidR="00BE4600">
        <w:rPr>
          <w:lang w:val="fr-FR" w:eastAsia="zh-CN"/>
        </w:rPr>
        <w:t xml:space="preserve"> aux personnes à </w:t>
      </w:r>
      <w:r w:rsidR="0035428C">
        <w:rPr>
          <w:lang w:val="fr-FR" w:eastAsia="zh-CN"/>
        </w:rPr>
        <w:t>faible revenu</w:t>
      </w:r>
      <w:r w:rsidR="0080158D" w:rsidRPr="00DB7332">
        <w:rPr>
          <w:lang w:val="fr-FR" w:eastAsia="zh-CN"/>
        </w:rPr>
        <w:t xml:space="preserve">, </w:t>
      </w:r>
      <w:r w:rsidR="00BE4600">
        <w:rPr>
          <w:lang w:val="fr-FR" w:eastAsia="zh-CN"/>
        </w:rPr>
        <w:t>aux</w:t>
      </w:r>
      <w:r w:rsidR="0080158D" w:rsidRPr="00DB7332">
        <w:rPr>
          <w:lang w:val="fr-FR" w:eastAsia="zh-CN"/>
        </w:rPr>
        <w:t xml:space="preserve"> populations </w:t>
      </w:r>
      <w:r w:rsidR="0080158D" w:rsidRPr="00DB7332">
        <w:rPr>
          <w:lang w:val="fr-FR"/>
        </w:rPr>
        <w:t>marginalisées</w:t>
      </w:r>
      <w:r w:rsidR="0080158D" w:rsidRPr="00DB7332">
        <w:rPr>
          <w:lang w:val="fr-FR" w:eastAsia="zh-CN"/>
        </w:rPr>
        <w:t xml:space="preserve"> et défavorisées et </w:t>
      </w:r>
      <w:r w:rsidR="00BE4600">
        <w:rPr>
          <w:lang w:val="fr-FR" w:eastAsia="zh-CN"/>
        </w:rPr>
        <w:t>aux</w:t>
      </w:r>
      <w:r w:rsidR="0080158D" w:rsidRPr="00DB7332">
        <w:rPr>
          <w:lang w:val="fr-FR" w:eastAsia="zh-CN"/>
        </w:rPr>
        <w:t xml:space="preserve"> personnes d’origine étrangère</w:t>
      </w:r>
      <w:r w:rsidR="003E24B4">
        <w:rPr>
          <w:lang w:val="fr-FR" w:eastAsia="zh-CN"/>
        </w:rPr>
        <w:t xml:space="preserve">, </w:t>
      </w:r>
      <w:r w:rsidR="00076A2E">
        <w:rPr>
          <w:lang w:val="fr-FR" w:eastAsia="zh-CN"/>
        </w:rPr>
        <w:t>et pour</w:t>
      </w:r>
      <w:r w:rsidR="0080158D" w:rsidRPr="00DB7332">
        <w:rPr>
          <w:lang w:val="fr-FR" w:eastAsia="zh-CN"/>
        </w:rPr>
        <w:t xml:space="preserve"> </w:t>
      </w:r>
      <w:r w:rsidR="00DF45E1">
        <w:rPr>
          <w:lang w:val="fr-FR" w:eastAsia="zh-CN"/>
        </w:rPr>
        <w:t>réduire le nombre</w:t>
      </w:r>
      <w:r w:rsidR="00BA7C84" w:rsidRPr="007549C4">
        <w:rPr>
          <w:lang w:val="fr-FR" w:eastAsia="zh-CN"/>
        </w:rPr>
        <w:t xml:space="preserve"> de</w:t>
      </w:r>
      <w:r w:rsidR="0080158D" w:rsidRPr="009D70D3">
        <w:rPr>
          <w:lang w:val="fr-FR" w:eastAsia="zh-CN"/>
        </w:rPr>
        <w:t xml:space="preserve"> sans-abri</w:t>
      </w:r>
      <w:r w:rsidR="003E24B4" w:rsidRPr="009D70D3">
        <w:rPr>
          <w:lang w:val="fr-FR" w:eastAsia="zh-CN"/>
        </w:rPr>
        <w:t> </w:t>
      </w:r>
      <w:r w:rsidR="003E24B4" w:rsidRPr="00636978">
        <w:rPr>
          <w:lang w:val="fr-FR" w:eastAsia="zh-CN"/>
        </w:rPr>
        <w:t>;</w:t>
      </w:r>
      <w:r w:rsidR="003E24B4" w:rsidRPr="00BA7C84">
        <w:rPr>
          <w:lang w:val="fr-FR" w:eastAsia="zh-CN"/>
        </w:rPr>
        <w:t xml:space="preserve"> </w:t>
      </w:r>
      <w:r w:rsidR="006C0157">
        <w:rPr>
          <w:lang w:val="fr-FR" w:eastAsia="zh-CN"/>
        </w:rPr>
        <w:t>indiquer quels ont été</w:t>
      </w:r>
      <w:r w:rsidR="0080158D">
        <w:rPr>
          <w:lang w:val="fr-FR" w:eastAsia="zh-CN"/>
        </w:rPr>
        <w:t xml:space="preserve"> l’impact de ces mesures et les défis rencontrés dans leur mise en œuvre</w:t>
      </w:r>
      <w:r w:rsidR="0080158D" w:rsidRPr="00DB7332">
        <w:rPr>
          <w:lang w:val="fr-FR" w:eastAsia="zh-CN"/>
        </w:rPr>
        <w:t>. En particulier :</w:t>
      </w:r>
    </w:p>
    <w:p w14:paraId="2A8B839F" w14:textId="14CCC9E8" w:rsidR="0080158D" w:rsidRDefault="0080158D" w:rsidP="00A859DA">
      <w:pPr>
        <w:pStyle w:val="SingleTxtG"/>
        <w:ind w:firstLine="567"/>
        <w:rPr>
          <w:lang w:val="fr-FR" w:eastAsia="zh-CN"/>
        </w:rPr>
      </w:pPr>
      <w:r>
        <w:rPr>
          <w:lang w:val="fr-FR" w:eastAsia="zh-CN"/>
        </w:rPr>
        <w:t>a)</w:t>
      </w:r>
      <w:r>
        <w:rPr>
          <w:lang w:val="fr-FR" w:eastAsia="zh-CN"/>
        </w:rPr>
        <w:tab/>
        <w:t>F</w:t>
      </w:r>
      <w:r w:rsidR="003E24B4">
        <w:rPr>
          <w:lang w:val="fr-FR" w:eastAsia="zh-CN"/>
        </w:rPr>
        <w:t>ournir des renseignements</w:t>
      </w:r>
      <w:r w:rsidR="00BE4600">
        <w:rPr>
          <w:lang w:val="fr-FR" w:eastAsia="zh-CN"/>
        </w:rPr>
        <w:t xml:space="preserve"> sur l’actuel déficit de logement</w:t>
      </w:r>
      <w:r w:rsidR="00D52965">
        <w:rPr>
          <w:lang w:val="fr-FR" w:eastAsia="zh-CN"/>
        </w:rPr>
        <w:t>s</w:t>
      </w:r>
      <w:r w:rsidR="00BE4600">
        <w:rPr>
          <w:lang w:val="fr-FR" w:eastAsia="zh-CN"/>
        </w:rPr>
        <w:t>, le nombre de personnes sur liste d’attent</w:t>
      </w:r>
      <w:r w:rsidR="00A859DA">
        <w:rPr>
          <w:lang w:val="fr-FR" w:eastAsia="zh-CN"/>
        </w:rPr>
        <w:t>e pour un logement social et la durée moyenne d’attente</w:t>
      </w:r>
      <w:r w:rsidR="00BE4600">
        <w:rPr>
          <w:lang w:val="fr-FR" w:eastAsia="zh-CN"/>
        </w:rPr>
        <w:t>.</w:t>
      </w:r>
      <w:r w:rsidR="00A859DA">
        <w:rPr>
          <w:lang w:val="fr-FR" w:eastAsia="zh-CN"/>
        </w:rPr>
        <w:t xml:space="preserve"> Fournir des données </w:t>
      </w:r>
      <w:r>
        <w:rPr>
          <w:lang w:val="fr-FR" w:eastAsia="zh-CN"/>
        </w:rPr>
        <w:t>ventilées par région</w:t>
      </w:r>
      <w:r w:rsidRPr="00A805AE">
        <w:rPr>
          <w:lang w:val="fr-FR" w:eastAsia="zh-CN"/>
        </w:rPr>
        <w:t xml:space="preserve"> sur le nombre de logements sociaux (par unité)</w:t>
      </w:r>
      <w:r>
        <w:rPr>
          <w:lang w:val="fr-FR" w:eastAsia="zh-CN"/>
        </w:rPr>
        <w:t xml:space="preserve"> </w:t>
      </w:r>
      <w:r w:rsidRPr="00A805AE">
        <w:rPr>
          <w:lang w:val="fr-FR" w:eastAsia="zh-CN"/>
        </w:rPr>
        <w:t>construit</w:t>
      </w:r>
      <w:r>
        <w:rPr>
          <w:lang w:val="fr-FR" w:eastAsia="zh-CN"/>
        </w:rPr>
        <w:t>s</w:t>
      </w:r>
      <w:r w:rsidRPr="00A805AE">
        <w:rPr>
          <w:lang w:val="fr-FR" w:eastAsia="zh-CN"/>
        </w:rPr>
        <w:t xml:space="preserve"> </w:t>
      </w:r>
      <w:r>
        <w:rPr>
          <w:lang w:val="fr-FR" w:eastAsia="zh-CN"/>
        </w:rPr>
        <w:t>durant les cinq dernières années</w:t>
      </w:r>
      <w:r w:rsidR="00A92EDB" w:rsidRPr="00A92EDB">
        <w:rPr>
          <w:lang w:val="fr-FR" w:eastAsia="zh-CN"/>
        </w:rPr>
        <w:t xml:space="preserve"> </w:t>
      </w:r>
      <w:r w:rsidR="00A92EDB">
        <w:rPr>
          <w:lang w:val="fr-FR" w:eastAsia="zh-CN"/>
        </w:rPr>
        <w:t xml:space="preserve">et </w:t>
      </w:r>
      <w:r w:rsidR="00A92EDB" w:rsidRPr="003D1FC8">
        <w:rPr>
          <w:lang w:val="fr-FR" w:eastAsia="zh-CN"/>
        </w:rPr>
        <w:t xml:space="preserve">sur </w:t>
      </w:r>
      <w:r w:rsidR="00A92EDB" w:rsidRPr="006812D0">
        <w:rPr>
          <w:lang w:val="fr-FR" w:eastAsia="zh-CN"/>
        </w:rPr>
        <w:t>les plans envisagés</w:t>
      </w:r>
      <w:r w:rsidR="00A92EDB" w:rsidRPr="003D1FC8">
        <w:rPr>
          <w:lang w:val="fr-FR" w:eastAsia="zh-CN"/>
        </w:rPr>
        <w:t xml:space="preserve"> en vue d’augmenter le nombre de logements</w:t>
      </w:r>
      <w:r w:rsidR="00A92EDB">
        <w:rPr>
          <w:lang w:val="fr-FR" w:eastAsia="zh-CN"/>
        </w:rPr>
        <w:t xml:space="preserve"> sociaux</w:t>
      </w:r>
      <w:r w:rsidR="00A859DA">
        <w:rPr>
          <w:lang w:val="fr-FR" w:eastAsia="zh-CN"/>
        </w:rPr>
        <w:t> ;</w:t>
      </w:r>
    </w:p>
    <w:p w14:paraId="53CBC450" w14:textId="4CB7FABD" w:rsidR="00A859DA" w:rsidRDefault="0080158D" w:rsidP="0080158D">
      <w:pPr>
        <w:pStyle w:val="SingleTxtG"/>
        <w:ind w:firstLine="567"/>
        <w:rPr>
          <w:lang w:val="fr-FR" w:eastAsia="zh-CN"/>
        </w:rPr>
      </w:pPr>
      <w:r>
        <w:rPr>
          <w:lang w:val="fr-FR" w:eastAsia="zh-CN"/>
        </w:rPr>
        <w:t>b)</w:t>
      </w:r>
      <w:r>
        <w:rPr>
          <w:lang w:val="fr-FR" w:eastAsia="zh-CN"/>
        </w:rPr>
        <w:tab/>
        <w:t xml:space="preserve">Fournir des </w:t>
      </w:r>
      <w:r w:rsidR="00A859DA">
        <w:rPr>
          <w:lang w:val="fr-FR" w:eastAsia="zh-CN"/>
        </w:rPr>
        <w:t>données ventilées par région sur les expulsions men</w:t>
      </w:r>
      <w:r w:rsidR="00E26425">
        <w:rPr>
          <w:lang w:val="fr-FR" w:eastAsia="zh-CN"/>
        </w:rPr>
        <w:t>ées par des entités publiques ou</w:t>
      </w:r>
      <w:r w:rsidR="00A859DA">
        <w:rPr>
          <w:lang w:val="fr-FR" w:eastAsia="zh-CN"/>
        </w:rPr>
        <w:t xml:space="preserve"> privées. </w:t>
      </w:r>
      <w:r w:rsidR="0006193F">
        <w:rPr>
          <w:lang w:val="fr-FR" w:eastAsia="zh-CN"/>
        </w:rPr>
        <w:t>Donner des informations</w:t>
      </w:r>
      <w:r w:rsidR="00D76306">
        <w:rPr>
          <w:lang w:val="fr-FR" w:eastAsia="zh-CN"/>
        </w:rPr>
        <w:t xml:space="preserve"> sur la réglementation en place ou </w:t>
      </w:r>
      <w:r w:rsidR="00E26425">
        <w:rPr>
          <w:lang w:val="fr-FR" w:eastAsia="zh-CN"/>
        </w:rPr>
        <w:t>prévue</w:t>
      </w:r>
      <w:r w:rsidR="004A6466">
        <w:rPr>
          <w:lang w:val="fr-FR" w:eastAsia="zh-CN"/>
        </w:rPr>
        <w:t xml:space="preserve"> </w:t>
      </w:r>
      <w:r w:rsidR="003E29EF">
        <w:rPr>
          <w:lang w:val="fr-FR" w:eastAsia="zh-CN"/>
        </w:rPr>
        <w:t xml:space="preserve">visant à </w:t>
      </w:r>
      <w:r w:rsidR="004A6466">
        <w:rPr>
          <w:lang w:val="fr-FR" w:eastAsia="zh-CN"/>
        </w:rPr>
        <w:t xml:space="preserve">protéger les </w:t>
      </w:r>
      <w:r w:rsidR="003E29EF">
        <w:rPr>
          <w:lang w:val="fr-FR" w:eastAsia="zh-CN"/>
        </w:rPr>
        <w:t>individus</w:t>
      </w:r>
      <w:r w:rsidR="004A6466">
        <w:rPr>
          <w:lang w:val="fr-FR" w:eastAsia="zh-CN"/>
        </w:rPr>
        <w:t xml:space="preserve"> des pratiques </w:t>
      </w:r>
      <w:r w:rsidR="008523AD">
        <w:rPr>
          <w:lang w:val="fr-FR" w:eastAsia="zh-CN"/>
        </w:rPr>
        <w:t>abusives</w:t>
      </w:r>
      <w:r w:rsidR="004A6466">
        <w:rPr>
          <w:lang w:val="fr-FR" w:eastAsia="zh-CN"/>
        </w:rPr>
        <w:t xml:space="preserve"> de propriétaires privés</w:t>
      </w:r>
      <w:r w:rsidR="0006193F">
        <w:rPr>
          <w:lang w:val="fr-FR" w:eastAsia="zh-CN"/>
        </w:rPr>
        <w:t>,</w:t>
      </w:r>
      <w:r w:rsidR="00F074CA">
        <w:rPr>
          <w:lang w:val="fr-FR" w:eastAsia="zh-CN"/>
        </w:rPr>
        <w:t xml:space="preserve"> telles que les </w:t>
      </w:r>
      <w:r w:rsidR="00D76306">
        <w:rPr>
          <w:lang w:val="fr-FR" w:eastAsia="zh-CN"/>
        </w:rPr>
        <w:t>discriminations</w:t>
      </w:r>
      <w:r w:rsidR="004A6466">
        <w:rPr>
          <w:lang w:val="fr-FR" w:eastAsia="zh-CN"/>
        </w:rPr>
        <w:t xml:space="preserve"> à l’encontre des personne</w:t>
      </w:r>
      <w:r w:rsidR="00F074CA">
        <w:rPr>
          <w:lang w:val="fr-FR" w:eastAsia="zh-CN"/>
        </w:rPr>
        <w:t>s étrangères ou sans</w:t>
      </w:r>
      <w:r w:rsidR="00076A2E">
        <w:rPr>
          <w:lang w:val="fr-FR" w:eastAsia="zh-CN"/>
        </w:rPr>
        <w:t xml:space="preserve"> </w:t>
      </w:r>
      <w:r w:rsidR="00F074CA">
        <w:rPr>
          <w:lang w:val="fr-FR" w:eastAsia="zh-CN"/>
        </w:rPr>
        <w:t xml:space="preserve">emploi, les résiliations </w:t>
      </w:r>
      <w:r w:rsidR="00584214">
        <w:rPr>
          <w:lang w:val="fr-FR" w:eastAsia="zh-CN"/>
        </w:rPr>
        <w:t xml:space="preserve">et le non-renouvèlement arbitraires des contrats de bail </w:t>
      </w:r>
      <w:r w:rsidR="00F074CA">
        <w:rPr>
          <w:lang w:val="fr-FR" w:eastAsia="zh-CN"/>
        </w:rPr>
        <w:t xml:space="preserve">et les expulsions. Fournir des renseignements sur les programmes en place visant à offrir </w:t>
      </w:r>
      <w:r w:rsidR="00076A2E">
        <w:rPr>
          <w:lang w:val="fr-FR" w:eastAsia="zh-CN"/>
        </w:rPr>
        <w:t>un autre</w:t>
      </w:r>
      <w:r w:rsidR="00F074CA">
        <w:rPr>
          <w:lang w:val="fr-FR" w:eastAsia="zh-CN"/>
        </w:rPr>
        <w:t xml:space="preserve"> </w:t>
      </w:r>
      <w:r w:rsidR="00F074CA" w:rsidRPr="007D15F0">
        <w:rPr>
          <w:lang w:val="fr-FR" w:eastAsia="zh-CN"/>
        </w:rPr>
        <w:t xml:space="preserve">logement </w:t>
      </w:r>
      <w:r w:rsidR="00BA7C84">
        <w:rPr>
          <w:lang w:val="fr-FR" w:eastAsia="zh-CN"/>
        </w:rPr>
        <w:t xml:space="preserve">aux </w:t>
      </w:r>
      <w:r w:rsidR="00BA7C84" w:rsidRPr="009D70D3">
        <w:rPr>
          <w:lang w:val="fr-FR" w:eastAsia="zh-CN"/>
        </w:rPr>
        <w:t xml:space="preserve">personnes </w:t>
      </w:r>
      <w:r w:rsidR="00BA7C84" w:rsidRPr="007549C4">
        <w:rPr>
          <w:lang w:val="fr-FR" w:eastAsia="zh-CN"/>
        </w:rPr>
        <w:t xml:space="preserve">risquant de </w:t>
      </w:r>
      <w:r w:rsidR="00BA7C84">
        <w:rPr>
          <w:lang w:val="fr-FR" w:eastAsia="zh-CN"/>
        </w:rPr>
        <w:t>se</w:t>
      </w:r>
      <w:r w:rsidR="00BA7C84" w:rsidRPr="009D70D3">
        <w:rPr>
          <w:lang w:val="fr-FR" w:eastAsia="zh-CN"/>
        </w:rPr>
        <w:t xml:space="preserve"> retrouver</w:t>
      </w:r>
      <w:r w:rsidR="00BA7C84" w:rsidRPr="007549C4">
        <w:rPr>
          <w:lang w:val="fr-FR" w:eastAsia="zh-CN"/>
        </w:rPr>
        <w:t xml:space="preserve"> sans</w:t>
      </w:r>
      <w:r w:rsidR="00AA53FF">
        <w:rPr>
          <w:lang w:val="fr-FR" w:eastAsia="zh-CN"/>
        </w:rPr>
        <w:t xml:space="preserve"> </w:t>
      </w:r>
      <w:r w:rsidR="00BA7C84" w:rsidRPr="007549C4">
        <w:rPr>
          <w:lang w:val="fr-FR" w:eastAsia="zh-CN"/>
        </w:rPr>
        <w:t>abri</w:t>
      </w:r>
      <w:r w:rsidR="00BA7C84" w:rsidRPr="009D70D3">
        <w:rPr>
          <w:lang w:val="fr-FR" w:eastAsia="zh-CN"/>
        </w:rPr>
        <w:t xml:space="preserve"> </w:t>
      </w:r>
      <w:r w:rsidR="00F074CA" w:rsidRPr="009D70D3">
        <w:rPr>
          <w:lang w:val="fr-FR" w:eastAsia="zh-CN"/>
        </w:rPr>
        <w:t>en cas d</w:t>
      </w:r>
      <w:r w:rsidR="00F074CA" w:rsidRPr="00636978">
        <w:rPr>
          <w:lang w:val="fr-FR" w:eastAsia="zh-CN"/>
        </w:rPr>
        <w:t>’</w:t>
      </w:r>
      <w:r w:rsidR="00F074CA" w:rsidRPr="00BA7C84">
        <w:rPr>
          <w:lang w:val="fr-FR" w:eastAsia="zh-CN"/>
        </w:rPr>
        <w:t>expulsion</w:t>
      </w:r>
      <w:r w:rsidR="00F074CA" w:rsidRPr="006C0854">
        <w:rPr>
          <w:lang w:val="fr-FR" w:eastAsia="zh-CN"/>
        </w:rPr>
        <w:t xml:space="preserve"> par des entités publiques ou privées</w:t>
      </w:r>
      <w:r w:rsidR="00C902E5" w:rsidRPr="007549C4">
        <w:rPr>
          <w:lang w:val="fr-FR" w:eastAsia="zh-CN"/>
        </w:rPr>
        <w:t> </w:t>
      </w:r>
      <w:r w:rsidR="00C902E5" w:rsidRPr="007D15F0">
        <w:rPr>
          <w:lang w:val="fr-FR" w:eastAsia="zh-CN"/>
        </w:rPr>
        <w:t>;</w:t>
      </w:r>
    </w:p>
    <w:p w14:paraId="23D00BEF" w14:textId="32A1EE70" w:rsidR="00C902E5" w:rsidRPr="007549C4" w:rsidRDefault="0080158D" w:rsidP="00C902E5">
      <w:pPr>
        <w:pStyle w:val="SingleTxtG"/>
        <w:ind w:firstLine="567"/>
      </w:pPr>
      <w:r>
        <w:rPr>
          <w:lang w:val="fr-FR" w:eastAsia="zh-CN"/>
        </w:rPr>
        <w:t>c)</w:t>
      </w:r>
      <w:r>
        <w:rPr>
          <w:lang w:val="fr-FR" w:eastAsia="zh-CN"/>
        </w:rPr>
        <w:tab/>
        <w:t>Fou</w:t>
      </w:r>
      <w:r w:rsidR="003F3C3D">
        <w:rPr>
          <w:lang w:val="fr-FR" w:eastAsia="zh-CN"/>
        </w:rPr>
        <w:t xml:space="preserve">rnir des renseignements sur le nombre de ménages </w:t>
      </w:r>
      <w:r w:rsidR="00991A62">
        <w:rPr>
          <w:lang w:val="fr-FR" w:eastAsia="zh-CN"/>
        </w:rPr>
        <w:t>touch</w:t>
      </w:r>
      <w:r w:rsidR="003F3C3D">
        <w:rPr>
          <w:lang w:val="fr-FR" w:eastAsia="zh-CN"/>
        </w:rPr>
        <w:t>é</w:t>
      </w:r>
      <w:r w:rsidR="009076C2">
        <w:rPr>
          <w:lang w:val="fr-FR" w:eastAsia="zh-CN"/>
        </w:rPr>
        <w:t>s</w:t>
      </w:r>
      <w:r w:rsidR="003F3C3D">
        <w:rPr>
          <w:lang w:val="fr-FR" w:eastAsia="zh-CN"/>
        </w:rPr>
        <w:t xml:space="preserve"> par les coupures d’eau et d’électricité. Fournir </w:t>
      </w:r>
      <w:r w:rsidR="00645F9A">
        <w:rPr>
          <w:lang w:val="fr-FR" w:eastAsia="zh-CN"/>
        </w:rPr>
        <w:t xml:space="preserve">également </w:t>
      </w:r>
      <w:r w:rsidR="003F3C3D">
        <w:rPr>
          <w:lang w:val="fr-FR" w:eastAsia="zh-CN"/>
        </w:rPr>
        <w:t>des renseignements sur la législation actuelle régissant les coupures d’</w:t>
      </w:r>
      <w:r w:rsidR="004A2172">
        <w:rPr>
          <w:lang w:val="fr-FR" w:eastAsia="zh-CN"/>
        </w:rPr>
        <w:t>eau</w:t>
      </w:r>
      <w:r w:rsidR="003F3C3D">
        <w:rPr>
          <w:lang w:val="fr-FR" w:eastAsia="zh-CN"/>
        </w:rPr>
        <w:t xml:space="preserve"> et d’</w:t>
      </w:r>
      <w:r w:rsidR="004A2172">
        <w:rPr>
          <w:lang w:val="fr-FR" w:eastAsia="zh-CN"/>
        </w:rPr>
        <w:t xml:space="preserve">électricité, les garde-fous procéduraux existants et les mesures envisagées, y compris législatives, </w:t>
      </w:r>
      <w:r w:rsidR="00C902E5">
        <w:rPr>
          <w:lang w:val="fr-FR" w:eastAsia="zh-CN"/>
        </w:rPr>
        <w:t>en vue</w:t>
      </w:r>
      <w:r w:rsidR="008C127F">
        <w:rPr>
          <w:lang w:val="fr-FR" w:eastAsia="zh-CN"/>
        </w:rPr>
        <w:t xml:space="preserve"> de</w:t>
      </w:r>
      <w:r w:rsidR="00C902E5">
        <w:rPr>
          <w:lang w:val="fr-FR" w:eastAsia="zh-CN"/>
        </w:rPr>
        <w:t xml:space="preserve"> </w:t>
      </w:r>
      <w:r w:rsidR="0079721B">
        <w:rPr>
          <w:lang w:val="fr-FR" w:eastAsia="zh-CN"/>
        </w:rPr>
        <w:t>s’assurer que chaque ménage puisse répondre à ses besoins</w:t>
      </w:r>
      <w:r w:rsidR="00584214">
        <w:rPr>
          <w:lang w:val="fr-FR" w:eastAsia="zh-CN"/>
        </w:rPr>
        <w:t xml:space="preserve"> élémentaires</w:t>
      </w:r>
      <w:r w:rsidR="0079721B">
        <w:rPr>
          <w:lang w:val="fr-FR" w:eastAsia="zh-CN"/>
        </w:rPr>
        <w:t xml:space="preserve"> en eau</w:t>
      </w:r>
      <w:r w:rsidR="00C83E97">
        <w:rPr>
          <w:lang w:val="fr-FR" w:eastAsia="zh-CN"/>
        </w:rPr>
        <w:t xml:space="preserve"> potable</w:t>
      </w:r>
      <w:r w:rsidR="0079721B">
        <w:rPr>
          <w:lang w:val="fr-FR" w:eastAsia="zh-CN"/>
        </w:rPr>
        <w:t xml:space="preserve"> et électricité</w:t>
      </w:r>
      <w:r w:rsidR="00523EE9">
        <w:rPr>
          <w:lang w:val="fr-FR" w:eastAsia="zh-CN"/>
        </w:rPr>
        <w:t> </w:t>
      </w:r>
      <w:r w:rsidR="00C902E5" w:rsidRPr="003D1FC8">
        <w:rPr>
          <w:lang w:val="fr-FR"/>
        </w:rPr>
        <w:t>;</w:t>
      </w:r>
    </w:p>
    <w:p w14:paraId="36EC35FB" w14:textId="1C90A629" w:rsidR="0080158D" w:rsidRDefault="00C902E5" w:rsidP="007549C4">
      <w:pPr>
        <w:pStyle w:val="SingleTxtG"/>
        <w:ind w:firstLine="567"/>
        <w:rPr>
          <w:lang w:eastAsia="zh-CN"/>
        </w:rPr>
      </w:pPr>
      <w:r>
        <w:rPr>
          <w:lang w:val="fr-FR" w:eastAsia="zh-CN"/>
        </w:rPr>
        <w:lastRenderedPageBreak/>
        <w:t>d)</w:t>
      </w:r>
      <w:r>
        <w:rPr>
          <w:lang w:val="fr-FR" w:eastAsia="zh-CN"/>
        </w:rPr>
        <w:tab/>
      </w:r>
      <w:r w:rsidR="0080158D">
        <w:rPr>
          <w:lang w:val="fr-FR" w:eastAsia="zh-CN"/>
        </w:rPr>
        <w:t xml:space="preserve">Fournir des informations sur les mesures envisagées </w:t>
      </w:r>
      <w:r w:rsidR="009076C2">
        <w:rPr>
          <w:lang w:val="fr-FR" w:eastAsia="zh-CN"/>
        </w:rPr>
        <w:t>pour</w:t>
      </w:r>
      <w:r w:rsidR="0080158D">
        <w:rPr>
          <w:lang w:val="fr-FR" w:eastAsia="zh-CN"/>
        </w:rPr>
        <w:t xml:space="preserve"> limiter les cas d’expulsion forcé</w:t>
      </w:r>
      <w:r w:rsidR="00076A2E">
        <w:rPr>
          <w:lang w:val="fr-FR" w:eastAsia="zh-CN"/>
        </w:rPr>
        <w:t>e</w:t>
      </w:r>
      <w:r w:rsidR="0080158D">
        <w:rPr>
          <w:lang w:val="fr-FR" w:eastAsia="zh-CN"/>
        </w:rPr>
        <w:t xml:space="preserve"> de familles rom</w:t>
      </w:r>
      <w:r w:rsidR="00CA5F2A">
        <w:rPr>
          <w:lang w:val="fr-FR" w:eastAsia="zh-CN"/>
        </w:rPr>
        <w:t>s</w:t>
      </w:r>
      <w:r w:rsidR="0080158D">
        <w:rPr>
          <w:lang w:val="fr-FR" w:eastAsia="zh-CN"/>
        </w:rPr>
        <w:t xml:space="preserve"> et de gens du voyage et </w:t>
      </w:r>
      <w:r w:rsidR="00584214">
        <w:rPr>
          <w:lang w:val="fr-FR" w:eastAsia="zh-CN"/>
        </w:rPr>
        <w:t xml:space="preserve">pour </w:t>
      </w:r>
      <w:r w:rsidR="0080158D">
        <w:rPr>
          <w:lang w:val="fr-FR" w:eastAsia="zh-CN"/>
        </w:rPr>
        <w:t>offrir à ces familles des aires d’accueil</w:t>
      </w:r>
      <w:r>
        <w:rPr>
          <w:lang w:val="fr-FR" w:eastAsia="zh-CN"/>
        </w:rPr>
        <w:t> ;</w:t>
      </w:r>
    </w:p>
    <w:p w14:paraId="1EDFBB19" w14:textId="4A8867A3" w:rsidR="0080158D" w:rsidRPr="005152C0" w:rsidRDefault="00C902E5" w:rsidP="005152C0">
      <w:pPr>
        <w:pStyle w:val="SingleTxtG"/>
        <w:ind w:firstLine="567"/>
        <w:rPr>
          <w:lang w:val="fr-FR" w:eastAsia="zh-CN"/>
        </w:rPr>
      </w:pPr>
      <w:r>
        <w:rPr>
          <w:lang w:eastAsia="zh-CN"/>
        </w:rPr>
        <w:t>e)</w:t>
      </w:r>
      <w:r>
        <w:rPr>
          <w:lang w:eastAsia="zh-CN"/>
        </w:rPr>
        <w:tab/>
        <w:t xml:space="preserve">Fournir des renseignements sur les progrès accomplis en vue de l’adoption d’une </w:t>
      </w:r>
      <w:r w:rsidRPr="007549C4">
        <w:rPr>
          <w:lang w:val="fr-FR" w:eastAsia="zh-CN"/>
        </w:rPr>
        <w:t>stratégie nationale d’accès au logement</w:t>
      </w:r>
      <w:r>
        <w:rPr>
          <w:lang w:val="fr-FR" w:eastAsia="zh-CN"/>
        </w:rPr>
        <w:t>.</w:t>
      </w:r>
    </w:p>
    <w:p w14:paraId="16F6A918" w14:textId="3CE50EF2" w:rsidR="00056C2D" w:rsidRPr="00ED750E" w:rsidRDefault="00F06304" w:rsidP="007549C4">
      <w:pPr>
        <w:pStyle w:val="H23G"/>
        <w:rPr>
          <w:lang w:val="fr-FR"/>
        </w:rPr>
      </w:pPr>
      <w:r>
        <w:rPr>
          <w:lang w:val="fr-FR"/>
        </w:rPr>
        <w:tab/>
      </w:r>
      <w:r>
        <w:rPr>
          <w:lang w:val="fr-FR"/>
        </w:rPr>
        <w:tab/>
      </w:r>
      <w:r w:rsidR="00056C2D">
        <w:rPr>
          <w:lang w:val="fr-FR"/>
        </w:rPr>
        <w:t>Droits de l’homme et entreprises</w:t>
      </w:r>
    </w:p>
    <w:p w14:paraId="296EC2D4" w14:textId="5B36BEB7" w:rsidR="00F06304" w:rsidRDefault="002F33A7" w:rsidP="00056C2D">
      <w:pPr>
        <w:pStyle w:val="SingleTxtG"/>
        <w:rPr>
          <w:lang w:val="fr-FR" w:eastAsia="zh-CN"/>
        </w:rPr>
      </w:pPr>
      <w:r>
        <w:rPr>
          <w:lang w:val="fr-FR"/>
        </w:rPr>
        <w:t>3</w:t>
      </w:r>
      <w:r w:rsidR="00FF05B6" w:rsidRPr="00A805AE">
        <w:rPr>
          <w:lang w:val="fr-FR"/>
        </w:rPr>
        <w:t>.</w:t>
      </w:r>
      <w:r w:rsidR="00FF05B6" w:rsidRPr="00A805AE">
        <w:rPr>
          <w:lang w:val="fr-FR"/>
        </w:rPr>
        <w:tab/>
      </w:r>
      <w:r w:rsidR="008D671A" w:rsidRPr="007B7B07">
        <w:rPr>
          <w:lang w:val="fr-FR"/>
        </w:rPr>
        <w:t>In</w:t>
      </w:r>
      <w:r w:rsidR="00166517">
        <w:rPr>
          <w:lang w:val="fr-FR"/>
        </w:rPr>
        <w:t>diquer quelles sont</w:t>
      </w:r>
      <w:r w:rsidR="008D671A" w:rsidRPr="007B7B07">
        <w:rPr>
          <w:lang w:val="fr-FR"/>
        </w:rPr>
        <w:t xml:space="preserve"> les mesures envisagées </w:t>
      </w:r>
      <w:r w:rsidR="00166517">
        <w:rPr>
          <w:lang w:val="fr-FR"/>
        </w:rPr>
        <w:t>pour</w:t>
      </w:r>
      <w:r w:rsidR="008D671A" w:rsidRPr="007B7B07">
        <w:rPr>
          <w:lang w:val="fr-FR"/>
        </w:rPr>
        <w:t xml:space="preserve"> </w:t>
      </w:r>
      <w:r w:rsidR="008C67F1">
        <w:rPr>
          <w:lang w:val="fr-FR"/>
        </w:rPr>
        <w:t>développer des</w:t>
      </w:r>
      <w:r w:rsidR="008D671A" w:rsidRPr="007B7B07">
        <w:rPr>
          <w:lang w:val="fr-FR"/>
        </w:rPr>
        <w:t xml:space="preserve"> objectifs</w:t>
      </w:r>
      <w:r w:rsidR="008C67F1">
        <w:rPr>
          <w:lang w:val="fr-FR"/>
        </w:rPr>
        <w:t xml:space="preserve"> et</w:t>
      </w:r>
      <w:r w:rsidR="008D671A" w:rsidRPr="007B7B07">
        <w:rPr>
          <w:lang w:val="fr-FR"/>
        </w:rPr>
        <w:t xml:space="preserve"> </w:t>
      </w:r>
      <w:r w:rsidR="00166517">
        <w:rPr>
          <w:lang w:val="fr-FR"/>
        </w:rPr>
        <w:t xml:space="preserve">des </w:t>
      </w:r>
      <w:r w:rsidR="008D671A" w:rsidRPr="007B7B07">
        <w:rPr>
          <w:lang w:val="fr-FR"/>
        </w:rPr>
        <w:t xml:space="preserve">indicateurs, </w:t>
      </w:r>
      <w:r w:rsidR="008912CF">
        <w:rPr>
          <w:lang w:val="fr-FR"/>
        </w:rPr>
        <w:t>réparti</w:t>
      </w:r>
      <w:r w:rsidR="008C67F1">
        <w:rPr>
          <w:lang w:val="fr-FR"/>
        </w:rPr>
        <w:t>r</w:t>
      </w:r>
      <w:r w:rsidR="008C67F1" w:rsidRPr="007B7B07">
        <w:rPr>
          <w:lang w:val="fr-FR"/>
        </w:rPr>
        <w:t xml:space="preserve"> </w:t>
      </w:r>
      <w:r w:rsidR="008C67F1">
        <w:rPr>
          <w:lang w:val="fr-FR"/>
        </w:rPr>
        <w:t>l</w:t>
      </w:r>
      <w:r w:rsidR="008D671A" w:rsidRPr="007B7B07">
        <w:rPr>
          <w:lang w:val="fr-FR"/>
        </w:rPr>
        <w:t>es rôles,</w:t>
      </w:r>
      <w:r w:rsidR="008C67F1">
        <w:rPr>
          <w:lang w:val="fr-FR"/>
        </w:rPr>
        <w:t xml:space="preserve"> allouer des</w:t>
      </w:r>
      <w:r w:rsidR="008D671A" w:rsidRPr="007B7B07">
        <w:rPr>
          <w:lang w:val="fr-FR"/>
        </w:rPr>
        <w:t xml:space="preserve"> ressources financières et </w:t>
      </w:r>
      <w:r w:rsidR="008C67F1">
        <w:rPr>
          <w:lang w:val="fr-FR"/>
        </w:rPr>
        <w:t xml:space="preserve">établir des </w:t>
      </w:r>
      <w:r w:rsidR="008D671A" w:rsidRPr="007B7B07">
        <w:rPr>
          <w:lang w:val="fr-FR"/>
        </w:rPr>
        <w:t xml:space="preserve">délais </w:t>
      </w:r>
      <w:r w:rsidR="008C67F1">
        <w:rPr>
          <w:lang w:val="fr-FR"/>
        </w:rPr>
        <w:t>pour la mise</w:t>
      </w:r>
      <w:r w:rsidR="008D671A" w:rsidRPr="007B7B07">
        <w:rPr>
          <w:lang w:val="fr-FR"/>
        </w:rPr>
        <w:t xml:space="preserve"> en œuvre</w:t>
      </w:r>
      <w:r w:rsidR="008C67F1" w:rsidRPr="008C67F1">
        <w:rPr>
          <w:lang w:val="fr-FR"/>
        </w:rPr>
        <w:t xml:space="preserve"> </w:t>
      </w:r>
      <w:r w:rsidR="008C67F1">
        <w:rPr>
          <w:lang w:val="fr-FR"/>
        </w:rPr>
        <w:t>du</w:t>
      </w:r>
      <w:r w:rsidR="008C67F1" w:rsidRPr="007B7B07">
        <w:rPr>
          <w:lang w:val="fr-FR"/>
        </w:rPr>
        <w:t xml:space="preserve"> </w:t>
      </w:r>
      <w:r w:rsidR="008C67F1">
        <w:rPr>
          <w:lang w:val="fr-FR"/>
        </w:rPr>
        <w:t>p</w:t>
      </w:r>
      <w:r w:rsidR="008C67F1" w:rsidRPr="007B7B07">
        <w:rPr>
          <w:lang w:val="fr-FR"/>
        </w:rPr>
        <w:t>lan d’action national « entreprises et droits de l’homme »</w:t>
      </w:r>
      <w:r w:rsidR="008D671A" w:rsidRPr="007B7B07">
        <w:rPr>
          <w:lang w:val="fr-FR"/>
        </w:rPr>
        <w:t>. Fournir des renseignements sur l</w:t>
      </w:r>
      <w:r w:rsidR="00A92EDB">
        <w:rPr>
          <w:lang w:val="fr-FR"/>
        </w:rPr>
        <w:t>a possibilité</w:t>
      </w:r>
      <w:r w:rsidR="008D671A" w:rsidRPr="007B7B07">
        <w:rPr>
          <w:lang w:val="fr-FR"/>
        </w:rPr>
        <w:t xml:space="preserve"> de compléter le plan par des </w:t>
      </w:r>
      <w:r w:rsidR="006C0854">
        <w:rPr>
          <w:lang w:val="fr-FR"/>
        </w:rPr>
        <w:t xml:space="preserve">exigences </w:t>
      </w:r>
      <w:r w:rsidR="00EB1D83">
        <w:rPr>
          <w:lang w:val="fr-FR"/>
        </w:rPr>
        <w:t>de diligence raisonnable en matière de droits de l’homme</w:t>
      </w:r>
      <w:r w:rsidR="00BF0F8B">
        <w:rPr>
          <w:lang w:val="fr-FR"/>
        </w:rPr>
        <w:t xml:space="preserve"> de la part des entreprises de l’État partie</w:t>
      </w:r>
      <w:r w:rsidR="00EB1D83">
        <w:rPr>
          <w:lang w:val="fr-FR"/>
        </w:rPr>
        <w:t>, y</w:t>
      </w:r>
      <w:r w:rsidR="00A9699A">
        <w:rPr>
          <w:lang w:val="fr-FR"/>
        </w:rPr>
        <w:t> </w:t>
      </w:r>
      <w:r w:rsidR="00EB1D83">
        <w:rPr>
          <w:lang w:val="fr-FR"/>
        </w:rPr>
        <w:t xml:space="preserve">compris </w:t>
      </w:r>
      <w:r w:rsidR="00F906BC">
        <w:rPr>
          <w:lang w:val="fr-FR"/>
        </w:rPr>
        <w:t xml:space="preserve">par </w:t>
      </w:r>
      <w:r w:rsidR="00B01940">
        <w:rPr>
          <w:lang w:val="fr-FR"/>
        </w:rPr>
        <w:t xml:space="preserve">une </w:t>
      </w:r>
      <w:r w:rsidR="00EB1D83">
        <w:rPr>
          <w:lang w:val="fr-FR"/>
        </w:rPr>
        <w:t>option de mesures</w:t>
      </w:r>
      <w:r w:rsidR="008D671A" w:rsidRPr="007B7B07">
        <w:rPr>
          <w:lang w:val="fr-FR"/>
        </w:rPr>
        <w:t xml:space="preserve"> obligatoires. </w:t>
      </w:r>
      <w:r w:rsidR="00056C2D" w:rsidRPr="00A805AE">
        <w:rPr>
          <w:lang w:val="fr-FR" w:eastAsia="zh-CN"/>
        </w:rPr>
        <w:t xml:space="preserve">Fournir </w:t>
      </w:r>
      <w:r w:rsidR="00056C2D">
        <w:rPr>
          <w:lang w:val="fr-FR" w:eastAsia="zh-CN"/>
        </w:rPr>
        <w:t xml:space="preserve">également </w:t>
      </w:r>
      <w:r w:rsidR="00056C2D" w:rsidRPr="00A805AE">
        <w:rPr>
          <w:lang w:val="fr-FR" w:eastAsia="zh-CN"/>
        </w:rPr>
        <w:t xml:space="preserve">des renseignements sur </w:t>
      </w:r>
      <w:r w:rsidR="00A92EDB">
        <w:rPr>
          <w:lang w:val="fr-FR" w:eastAsia="zh-CN"/>
        </w:rPr>
        <w:t>toute</w:t>
      </w:r>
      <w:r w:rsidR="00056C2D" w:rsidRPr="00A805AE">
        <w:rPr>
          <w:lang w:val="fr-FR" w:eastAsia="zh-CN"/>
        </w:rPr>
        <w:t xml:space="preserve"> étude </w:t>
      </w:r>
      <w:r w:rsidR="00A92EDB">
        <w:rPr>
          <w:lang w:val="fr-FR" w:eastAsia="zh-CN"/>
        </w:rPr>
        <w:t xml:space="preserve">ayant été </w:t>
      </w:r>
      <w:r w:rsidR="00056C2D" w:rsidRPr="00A805AE">
        <w:rPr>
          <w:lang w:val="fr-FR" w:eastAsia="zh-CN"/>
        </w:rPr>
        <w:t xml:space="preserve">menée sur l’utilisation des agro-carburants et leur impact sur la jouissance des droits économiques, sociaux et culturels des communautés locales dans les </w:t>
      </w:r>
      <w:r w:rsidR="007257EF">
        <w:rPr>
          <w:lang w:val="fr-FR"/>
        </w:rPr>
        <w:t>États</w:t>
      </w:r>
      <w:r w:rsidR="00056C2D" w:rsidRPr="00A805AE">
        <w:rPr>
          <w:lang w:val="fr-FR" w:eastAsia="zh-CN"/>
        </w:rPr>
        <w:t xml:space="preserve"> tiers </w:t>
      </w:r>
      <w:r w:rsidR="00D9149D" w:rsidRPr="00A92EDB">
        <w:rPr>
          <w:lang w:val="fr-FR" w:eastAsia="zh-CN"/>
        </w:rPr>
        <w:t>où l</w:t>
      </w:r>
      <w:r w:rsidR="00E67E54" w:rsidRPr="007549C4">
        <w:rPr>
          <w:lang w:val="fr-FR" w:eastAsia="zh-CN"/>
        </w:rPr>
        <w:t xml:space="preserve">es entreprises </w:t>
      </w:r>
      <w:r w:rsidR="00BF0F8B">
        <w:rPr>
          <w:lang w:val="fr-FR" w:eastAsia="zh-CN"/>
        </w:rPr>
        <w:t xml:space="preserve">de </w:t>
      </w:r>
      <w:r w:rsidR="00BF0F8B">
        <w:rPr>
          <w:lang w:val="fr-FR"/>
        </w:rPr>
        <w:t>l’État partie</w:t>
      </w:r>
      <w:r w:rsidR="00E67E54" w:rsidRPr="007549C4">
        <w:rPr>
          <w:lang w:val="fr-FR" w:eastAsia="zh-CN"/>
        </w:rPr>
        <w:t xml:space="preserve"> </w:t>
      </w:r>
      <w:r w:rsidR="00B27E88">
        <w:rPr>
          <w:lang w:val="fr-FR" w:eastAsia="zh-CN"/>
        </w:rPr>
        <w:t>ont des</w:t>
      </w:r>
      <w:r w:rsidR="00E67E54" w:rsidRPr="007549C4">
        <w:rPr>
          <w:lang w:val="fr-FR" w:eastAsia="zh-CN"/>
        </w:rPr>
        <w:t xml:space="preserve"> activités ou </w:t>
      </w:r>
      <w:r w:rsidR="00B05543" w:rsidRPr="007549C4">
        <w:rPr>
          <w:lang w:val="fr-FR" w:eastAsia="zh-CN"/>
        </w:rPr>
        <w:t xml:space="preserve">depuis lesquels elles importent des </w:t>
      </w:r>
      <w:r w:rsidR="00584214">
        <w:rPr>
          <w:lang w:val="fr-FR" w:eastAsia="zh-CN"/>
        </w:rPr>
        <w:t>agro-carburants</w:t>
      </w:r>
      <w:r w:rsidR="00E67E54" w:rsidRPr="007549C4">
        <w:rPr>
          <w:lang w:val="fr-FR" w:eastAsia="zh-CN"/>
        </w:rPr>
        <w:t>.</w:t>
      </w:r>
      <w:r w:rsidR="00056C2D" w:rsidRPr="00155520">
        <w:rPr>
          <w:lang w:val="fr-FR" w:eastAsia="zh-CN"/>
        </w:rPr>
        <w:t xml:space="preserve"> Dans</w:t>
      </w:r>
      <w:r w:rsidR="00056C2D" w:rsidRPr="00A805AE">
        <w:rPr>
          <w:lang w:val="fr-FR" w:eastAsia="zh-CN"/>
        </w:rPr>
        <w:t xml:space="preserve"> le cas où de telles études n’auraient pas encore été conduites, fournir des renseignements sur les projets d’études d’impact envisagés. </w:t>
      </w:r>
    </w:p>
    <w:p w14:paraId="71AB4D04" w14:textId="77777777" w:rsidR="008D671A" w:rsidRPr="009F4347" w:rsidRDefault="009F4347" w:rsidP="007549C4">
      <w:pPr>
        <w:pStyle w:val="H1G"/>
        <w:rPr>
          <w:lang w:val="fr-FR"/>
        </w:rPr>
      </w:pPr>
      <w:r w:rsidRPr="00D97B48">
        <w:rPr>
          <w:lang w:val="fr-FR"/>
        </w:rPr>
        <w:tab/>
      </w:r>
      <w:r>
        <w:rPr>
          <w:lang w:val="fr-FR"/>
        </w:rPr>
        <w:t>B.</w:t>
      </w:r>
      <w:r>
        <w:rPr>
          <w:lang w:val="fr-FR"/>
        </w:rPr>
        <w:tab/>
      </w:r>
      <w:r w:rsidR="008D671A" w:rsidRPr="009F4347">
        <w:rPr>
          <w:lang w:val="fr-FR"/>
        </w:rPr>
        <w:t xml:space="preserve">Mise en œuvre du Pacte </w:t>
      </w:r>
    </w:p>
    <w:p w14:paraId="6BAA8AA7" w14:textId="4219E104" w:rsidR="005355B9" w:rsidRDefault="008D671A" w:rsidP="007549C4">
      <w:pPr>
        <w:pStyle w:val="H23G"/>
        <w:rPr>
          <w:lang w:val="fr-FR"/>
        </w:rPr>
      </w:pPr>
      <w:r w:rsidRPr="00A805AE">
        <w:rPr>
          <w:lang w:val="fr-FR"/>
        </w:rPr>
        <w:tab/>
      </w:r>
      <w:r w:rsidR="00F06304">
        <w:rPr>
          <w:lang w:val="fr-FR"/>
        </w:rPr>
        <w:tab/>
      </w:r>
      <w:r w:rsidR="005355B9" w:rsidRPr="009D75AF">
        <w:rPr>
          <w:lang w:val="fr-FR"/>
        </w:rPr>
        <w:t xml:space="preserve">Institution </w:t>
      </w:r>
      <w:r w:rsidR="00166517">
        <w:rPr>
          <w:lang w:val="fr-FR"/>
        </w:rPr>
        <w:t>n</w:t>
      </w:r>
      <w:r w:rsidR="005355B9" w:rsidRPr="009D75AF">
        <w:rPr>
          <w:lang w:val="fr-FR"/>
        </w:rPr>
        <w:t>ationale de</w:t>
      </w:r>
      <w:r w:rsidR="00327A88">
        <w:rPr>
          <w:lang w:val="fr-FR"/>
        </w:rPr>
        <w:t>s</w:t>
      </w:r>
      <w:r w:rsidR="005355B9" w:rsidRPr="009D75AF">
        <w:rPr>
          <w:lang w:val="fr-FR"/>
        </w:rPr>
        <w:t xml:space="preserve"> droits de l’homme</w:t>
      </w:r>
    </w:p>
    <w:p w14:paraId="39965F5D" w14:textId="2A27B440" w:rsidR="005355B9" w:rsidRPr="007549C4" w:rsidRDefault="005355B9" w:rsidP="007549C4">
      <w:pPr>
        <w:pStyle w:val="SingleTxtG"/>
        <w:rPr>
          <w:lang w:val="fr-FR" w:eastAsia="zh-CN"/>
        </w:rPr>
      </w:pPr>
      <w:r>
        <w:rPr>
          <w:lang w:val="fr-FR" w:eastAsia="zh-CN"/>
        </w:rPr>
        <w:tab/>
      </w:r>
      <w:r w:rsidR="00C96FC5">
        <w:rPr>
          <w:lang w:val="fr-FR" w:eastAsia="zh-CN"/>
        </w:rPr>
        <w:t>4</w:t>
      </w:r>
      <w:r w:rsidRPr="007549C4">
        <w:rPr>
          <w:lang w:val="fr-FR" w:eastAsia="zh-CN"/>
        </w:rPr>
        <w:t>.</w:t>
      </w:r>
      <w:r w:rsidRPr="007549C4">
        <w:rPr>
          <w:lang w:val="fr-FR" w:eastAsia="zh-CN"/>
        </w:rPr>
        <w:tab/>
        <w:t>Indiquer quelles sont les mesures adoptées jusqu’à présent et les étapes à venir en vue de cré</w:t>
      </w:r>
      <w:r w:rsidR="00327A88">
        <w:rPr>
          <w:lang w:val="fr-FR" w:eastAsia="zh-CN"/>
        </w:rPr>
        <w:t xml:space="preserve">er </w:t>
      </w:r>
      <w:r w:rsidRPr="007549C4">
        <w:rPr>
          <w:lang w:val="fr-FR" w:eastAsia="zh-CN"/>
        </w:rPr>
        <w:t>un</w:t>
      </w:r>
      <w:r w:rsidR="002C75BA">
        <w:rPr>
          <w:lang w:val="fr-FR" w:eastAsia="zh-CN"/>
        </w:rPr>
        <w:t>e</w:t>
      </w:r>
      <w:r w:rsidRPr="007549C4">
        <w:rPr>
          <w:lang w:val="fr-FR" w:eastAsia="zh-CN"/>
        </w:rPr>
        <w:t xml:space="preserve"> institut</w:t>
      </w:r>
      <w:r w:rsidR="002C75BA">
        <w:rPr>
          <w:lang w:val="fr-FR" w:eastAsia="zh-CN"/>
        </w:rPr>
        <w:t>ion</w:t>
      </w:r>
      <w:r w:rsidRPr="007549C4">
        <w:rPr>
          <w:lang w:val="fr-FR" w:eastAsia="zh-CN"/>
        </w:rPr>
        <w:t xml:space="preserve"> national</w:t>
      </w:r>
      <w:r w:rsidR="002C75BA">
        <w:rPr>
          <w:lang w:val="fr-FR" w:eastAsia="zh-CN"/>
        </w:rPr>
        <w:t>e des</w:t>
      </w:r>
      <w:r w:rsidRPr="007549C4">
        <w:rPr>
          <w:lang w:val="fr-FR" w:eastAsia="zh-CN"/>
        </w:rPr>
        <w:t xml:space="preserve"> droits de l</w:t>
      </w:r>
      <w:r w:rsidR="00FC3E25">
        <w:rPr>
          <w:lang w:val="fr-FR" w:eastAsia="zh-CN"/>
        </w:rPr>
        <w:t>’</w:t>
      </w:r>
      <w:r w:rsidRPr="007549C4">
        <w:rPr>
          <w:lang w:val="fr-FR" w:eastAsia="zh-CN"/>
        </w:rPr>
        <w:t xml:space="preserve">homme doté d’un mandat élargi de protection et de promotion des droits de l’homme, en conformité avec les </w:t>
      </w:r>
      <w:r w:rsidR="00327A88">
        <w:rPr>
          <w:lang w:val="fr-FR" w:eastAsia="zh-CN"/>
        </w:rPr>
        <w:t>P</w:t>
      </w:r>
      <w:r w:rsidRPr="007549C4">
        <w:rPr>
          <w:lang w:val="fr-FR" w:eastAsia="zh-CN"/>
        </w:rPr>
        <w:t>rincipes concernant le statut des institutions nationales pour la promotion et la protection des droits de l’homme (Principes de Paris)</w:t>
      </w:r>
      <w:r>
        <w:rPr>
          <w:lang w:val="fr-FR" w:eastAsia="zh-CN"/>
        </w:rPr>
        <w:t>.</w:t>
      </w:r>
    </w:p>
    <w:p w14:paraId="53B6853E" w14:textId="4BE28C04" w:rsidR="008D671A" w:rsidRPr="00ED750E" w:rsidRDefault="00C96FC5" w:rsidP="007549C4">
      <w:pPr>
        <w:pStyle w:val="H23G"/>
        <w:rPr>
          <w:lang w:val="fr-FR"/>
        </w:rPr>
      </w:pPr>
      <w:r>
        <w:rPr>
          <w:lang w:val="fr-FR"/>
        </w:rPr>
        <w:tab/>
      </w:r>
      <w:r>
        <w:rPr>
          <w:lang w:val="fr-FR"/>
        </w:rPr>
        <w:tab/>
      </w:r>
      <w:r w:rsidR="008D671A" w:rsidRPr="00ED750E">
        <w:rPr>
          <w:lang w:val="fr-FR"/>
        </w:rPr>
        <w:t>Obligation d’agir au maximum des ressources disponibles</w:t>
      </w:r>
    </w:p>
    <w:p w14:paraId="1C227FDB" w14:textId="3B7EDCEE" w:rsidR="008D671A" w:rsidRPr="00A805AE" w:rsidRDefault="00D66F2E" w:rsidP="00FF05B6">
      <w:pPr>
        <w:pStyle w:val="SingleTxtG"/>
        <w:rPr>
          <w:lang w:val="fr-FR"/>
        </w:rPr>
      </w:pPr>
      <w:r>
        <w:rPr>
          <w:lang w:val="fr-FR"/>
        </w:rPr>
        <w:t>5</w:t>
      </w:r>
      <w:r w:rsidR="00FF05B6" w:rsidRPr="00A805AE">
        <w:rPr>
          <w:lang w:val="fr-FR"/>
        </w:rPr>
        <w:t>.</w:t>
      </w:r>
      <w:r w:rsidR="00FF05B6" w:rsidRPr="00A805AE">
        <w:rPr>
          <w:lang w:val="fr-FR"/>
        </w:rPr>
        <w:tab/>
      </w:r>
      <w:r w:rsidR="008D671A" w:rsidRPr="00A805AE">
        <w:rPr>
          <w:lang w:val="fr-FR"/>
        </w:rPr>
        <w:t>Fournir des renseignements sur l’évolution, depuis la soumission du rapport précédent :</w:t>
      </w:r>
    </w:p>
    <w:p w14:paraId="728FB059" w14:textId="59FB0443" w:rsidR="008D671A" w:rsidRPr="00A805AE" w:rsidRDefault="00FF05B6" w:rsidP="00FF05B6">
      <w:pPr>
        <w:pStyle w:val="SingleTxtG"/>
        <w:ind w:firstLine="567"/>
        <w:rPr>
          <w:lang w:val="fr-FR"/>
        </w:rPr>
      </w:pPr>
      <w:r w:rsidRPr="00A805AE">
        <w:rPr>
          <w:lang w:val="fr-FR"/>
        </w:rPr>
        <w:t>a)</w:t>
      </w:r>
      <w:r w:rsidRPr="00A805AE">
        <w:rPr>
          <w:lang w:val="fr-FR"/>
        </w:rPr>
        <w:tab/>
      </w:r>
      <w:r w:rsidR="00E26425">
        <w:rPr>
          <w:lang w:val="fr-FR"/>
        </w:rPr>
        <w:t>De l</w:t>
      </w:r>
      <w:r w:rsidR="008D671A" w:rsidRPr="00A805AE">
        <w:rPr>
          <w:lang w:val="fr-FR"/>
        </w:rPr>
        <w:t xml:space="preserve">a proportion de personnes en-dessous du seuil de pauvreté et </w:t>
      </w:r>
      <w:r w:rsidR="00327A88">
        <w:rPr>
          <w:lang w:val="fr-FR"/>
        </w:rPr>
        <w:t>du</w:t>
      </w:r>
      <w:r w:rsidR="008D671A" w:rsidRPr="00A805AE">
        <w:rPr>
          <w:lang w:val="fr-FR"/>
        </w:rPr>
        <w:t xml:space="preserve"> niveau d’inégalité, définis par le ratio </w:t>
      </w:r>
      <w:r w:rsidR="008D671A" w:rsidRPr="009F4347">
        <w:t>entre</w:t>
      </w:r>
      <w:r w:rsidR="008D671A" w:rsidRPr="00A805AE">
        <w:rPr>
          <w:lang w:val="fr-FR"/>
        </w:rPr>
        <w:t xml:space="preserve"> le revenu total du décile le plus riche de la population et le revenu total d</w:t>
      </w:r>
      <w:r w:rsidR="00327A88">
        <w:rPr>
          <w:lang w:val="fr-FR"/>
        </w:rPr>
        <w:t>es</w:t>
      </w:r>
      <w:r w:rsidR="008D671A" w:rsidRPr="00A805AE">
        <w:rPr>
          <w:lang w:val="fr-FR"/>
        </w:rPr>
        <w:t xml:space="preserve"> 40</w:t>
      </w:r>
      <w:r w:rsidR="00523EE9">
        <w:rPr>
          <w:lang w:val="fr-FR"/>
        </w:rPr>
        <w:t> %</w:t>
      </w:r>
      <w:r w:rsidR="008D671A" w:rsidRPr="00A805AE">
        <w:rPr>
          <w:lang w:val="fr-FR"/>
        </w:rPr>
        <w:t xml:space="preserve"> de la population la plus pauvre ;</w:t>
      </w:r>
    </w:p>
    <w:p w14:paraId="0D6D4497" w14:textId="0B07BA42" w:rsidR="008D671A" w:rsidRDefault="00FF05B6" w:rsidP="00FF05B6">
      <w:pPr>
        <w:pStyle w:val="SingleTxtG"/>
        <w:ind w:firstLine="567"/>
        <w:rPr>
          <w:lang w:val="fr-FR"/>
        </w:rPr>
      </w:pPr>
      <w:r>
        <w:rPr>
          <w:lang w:val="fr-FR"/>
        </w:rPr>
        <w:t>b)</w:t>
      </w:r>
      <w:r>
        <w:rPr>
          <w:lang w:val="fr-FR"/>
        </w:rPr>
        <w:tab/>
      </w:r>
      <w:r w:rsidR="00E26425">
        <w:rPr>
          <w:lang w:val="fr-FR"/>
        </w:rPr>
        <w:t>Du</w:t>
      </w:r>
      <w:r w:rsidR="008D671A" w:rsidRPr="00A805AE">
        <w:rPr>
          <w:lang w:val="fr-FR"/>
        </w:rPr>
        <w:t xml:space="preserve"> ratio des recettes publiques par rapport au produit intérieur brut et</w:t>
      </w:r>
      <w:r w:rsidR="0017188A">
        <w:rPr>
          <w:lang w:val="fr-FR"/>
        </w:rPr>
        <w:t xml:space="preserve"> de</w:t>
      </w:r>
      <w:r w:rsidR="008D671A" w:rsidRPr="00A805AE">
        <w:rPr>
          <w:lang w:val="fr-FR"/>
        </w:rPr>
        <w:t xml:space="preserve"> la proportion des recettes publiques financée par les taxes ;</w:t>
      </w:r>
      <w:r w:rsidR="008D671A">
        <w:rPr>
          <w:lang w:val="fr-FR"/>
        </w:rPr>
        <w:t xml:space="preserve"> </w:t>
      </w:r>
    </w:p>
    <w:p w14:paraId="33ED0AE1" w14:textId="59B30F46" w:rsidR="008D671A" w:rsidRPr="00A805AE" w:rsidRDefault="00FF05B6" w:rsidP="00FF05B6">
      <w:pPr>
        <w:pStyle w:val="SingleTxtG"/>
        <w:ind w:firstLine="567"/>
        <w:rPr>
          <w:lang w:val="fr-FR"/>
        </w:rPr>
      </w:pPr>
      <w:r w:rsidRPr="00A805AE">
        <w:rPr>
          <w:lang w:val="fr-FR"/>
        </w:rPr>
        <w:t>c)</w:t>
      </w:r>
      <w:r w:rsidRPr="00A805AE">
        <w:rPr>
          <w:lang w:val="fr-FR"/>
        </w:rPr>
        <w:tab/>
      </w:r>
      <w:r w:rsidR="00E26425">
        <w:rPr>
          <w:lang w:val="fr-FR"/>
        </w:rPr>
        <w:t>Du</w:t>
      </w:r>
      <w:r w:rsidR="00E26425" w:rsidRPr="00595CC5">
        <w:rPr>
          <w:lang w:val="fr-FR"/>
        </w:rPr>
        <w:t xml:space="preserve"> </w:t>
      </w:r>
      <w:r w:rsidR="008D671A" w:rsidRPr="00595CC5">
        <w:rPr>
          <w:lang w:val="fr-FR"/>
        </w:rPr>
        <w:t xml:space="preserve">taux </w:t>
      </w:r>
      <w:r w:rsidR="00E26425">
        <w:rPr>
          <w:lang w:val="fr-FR"/>
        </w:rPr>
        <w:t>d’imposition des</w:t>
      </w:r>
      <w:r w:rsidR="008D671A" w:rsidRPr="00595CC5">
        <w:rPr>
          <w:lang w:val="fr-FR"/>
        </w:rPr>
        <w:t xml:space="preserve"> bénéfices des </w:t>
      </w:r>
      <w:r w:rsidR="00E26425">
        <w:rPr>
          <w:lang w:val="fr-FR"/>
        </w:rPr>
        <w:t>entreprise</w:t>
      </w:r>
      <w:r w:rsidR="00E26425" w:rsidRPr="00595CC5">
        <w:rPr>
          <w:lang w:val="fr-FR"/>
        </w:rPr>
        <w:t>s</w:t>
      </w:r>
      <w:r w:rsidR="008D671A" w:rsidRPr="00595CC5">
        <w:rPr>
          <w:lang w:val="fr-FR"/>
        </w:rPr>
        <w:t xml:space="preserve">, </w:t>
      </w:r>
      <w:r w:rsidR="00E26425">
        <w:rPr>
          <w:lang w:val="fr-FR"/>
        </w:rPr>
        <w:t>du taux d’imposition des particuliers</w:t>
      </w:r>
      <w:r w:rsidR="008D671A" w:rsidRPr="00595CC5">
        <w:rPr>
          <w:lang w:val="fr-FR"/>
        </w:rPr>
        <w:t xml:space="preserve"> et </w:t>
      </w:r>
      <w:r w:rsidR="00E26425">
        <w:rPr>
          <w:lang w:val="fr-FR"/>
        </w:rPr>
        <w:t>du taux de la taxe sur la valeur ajoutée</w:t>
      </w:r>
      <w:r w:rsidR="00E26425" w:rsidRPr="00595CC5">
        <w:rPr>
          <w:lang w:val="fr-FR"/>
        </w:rPr>
        <w:t xml:space="preserve"> </w:t>
      </w:r>
      <w:r w:rsidR="008D671A" w:rsidRPr="00595CC5">
        <w:rPr>
          <w:lang w:val="fr-FR"/>
        </w:rPr>
        <w:t xml:space="preserve">(hors </w:t>
      </w:r>
      <w:r w:rsidR="0017188A">
        <w:rPr>
          <w:lang w:val="fr-FR"/>
        </w:rPr>
        <w:t>taxe sur la valeur ajoutée</w:t>
      </w:r>
      <w:r w:rsidR="0017188A" w:rsidRPr="00595CC5" w:rsidDel="0017188A">
        <w:rPr>
          <w:lang w:val="fr-FR"/>
        </w:rPr>
        <w:t xml:space="preserve"> </w:t>
      </w:r>
      <w:r w:rsidR="0017188A">
        <w:rPr>
          <w:lang w:val="fr-FR"/>
        </w:rPr>
        <w:t>d</w:t>
      </w:r>
      <w:r w:rsidR="008D671A" w:rsidRPr="00595CC5">
        <w:rPr>
          <w:lang w:val="fr-FR"/>
        </w:rPr>
        <w:t xml:space="preserve">es articles de luxe, </w:t>
      </w:r>
      <w:r w:rsidR="0017188A">
        <w:rPr>
          <w:lang w:val="fr-FR"/>
        </w:rPr>
        <w:t xml:space="preserve">du </w:t>
      </w:r>
      <w:r>
        <w:rPr>
          <w:lang w:val="fr-FR"/>
        </w:rPr>
        <w:t>tabac</w:t>
      </w:r>
      <w:r w:rsidR="007651E7">
        <w:rPr>
          <w:lang w:val="fr-FR"/>
        </w:rPr>
        <w:t>, de l’</w:t>
      </w:r>
      <w:r>
        <w:rPr>
          <w:lang w:val="fr-FR"/>
        </w:rPr>
        <w:t xml:space="preserve">alcool ou </w:t>
      </w:r>
      <w:r w:rsidR="007651E7">
        <w:rPr>
          <w:lang w:val="fr-FR"/>
        </w:rPr>
        <w:t>d</w:t>
      </w:r>
      <w:r>
        <w:rPr>
          <w:lang w:val="fr-FR"/>
        </w:rPr>
        <w:t>es boissons</w:t>
      </w:r>
      <w:r w:rsidR="007651E7">
        <w:rPr>
          <w:lang w:val="fr-FR"/>
        </w:rPr>
        <w:t xml:space="preserve"> et </w:t>
      </w:r>
      <w:r w:rsidR="008D671A" w:rsidRPr="00595CC5">
        <w:rPr>
          <w:lang w:val="fr-FR"/>
        </w:rPr>
        <w:t xml:space="preserve">snacks sucrés et </w:t>
      </w:r>
      <w:r w:rsidR="007651E7">
        <w:rPr>
          <w:lang w:val="fr-FR"/>
        </w:rPr>
        <w:t xml:space="preserve">de </w:t>
      </w:r>
      <w:r w:rsidR="008D671A">
        <w:rPr>
          <w:lang w:val="fr-FR"/>
        </w:rPr>
        <w:t>l’essence), respectivement</w:t>
      </w:r>
      <w:r w:rsidR="00A92EDB">
        <w:rPr>
          <w:lang w:val="fr-FR"/>
        </w:rPr>
        <w:t xml:space="preserve">, </w:t>
      </w:r>
      <w:r w:rsidR="00E26425">
        <w:rPr>
          <w:lang w:val="fr-FR"/>
        </w:rPr>
        <w:t>ainsi que du</w:t>
      </w:r>
      <w:r w:rsidR="008D671A" w:rsidRPr="00595CC5">
        <w:rPr>
          <w:lang w:val="fr-FR"/>
        </w:rPr>
        <w:t xml:space="preserve"> pourcentage des recettes provenant de l</w:t>
      </w:r>
      <w:r w:rsidR="00166517">
        <w:rPr>
          <w:lang w:val="fr-FR"/>
        </w:rPr>
        <w:t>’</w:t>
      </w:r>
      <w:r w:rsidR="008D671A" w:rsidRPr="00595CC5">
        <w:rPr>
          <w:lang w:val="fr-FR"/>
        </w:rPr>
        <w:t>impôt sur le revenu des particuliers collectées auprès du décile le plus riche de la population</w:t>
      </w:r>
      <w:r w:rsidR="008D671A">
        <w:rPr>
          <w:lang w:val="fr-FR"/>
        </w:rPr>
        <w:t> ;</w:t>
      </w:r>
    </w:p>
    <w:p w14:paraId="27C73228" w14:textId="0BF784B3" w:rsidR="008D671A" w:rsidRPr="00A805AE" w:rsidRDefault="00FF05B6" w:rsidP="00FF05B6">
      <w:pPr>
        <w:pStyle w:val="SingleTxtG"/>
        <w:ind w:firstLine="567"/>
        <w:rPr>
          <w:lang w:val="fr-FR"/>
        </w:rPr>
      </w:pPr>
      <w:r w:rsidRPr="00A805AE">
        <w:rPr>
          <w:lang w:val="fr-FR"/>
        </w:rPr>
        <w:t>d)</w:t>
      </w:r>
      <w:r w:rsidRPr="00A805AE">
        <w:rPr>
          <w:lang w:val="fr-FR"/>
        </w:rPr>
        <w:tab/>
      </w:r>
      <w:r w:rsidR="00E26425">
        <w:rPr>
          <w:lang w:val="fr-FR"/>
        </w:rPr>
        <w:t>Du</w:t>
      </w:r>
      <w:r w:rsidR="008D671A" w:rsidRPr="00A805AE">
        <w:rPr>
          <w:lang w:val="fr-FR"/>
        </w:rPr>
        <w:t xml:space="preserve"> budget public alloué aux dépenses sociales pendant les cinq dernières années</w:t>
      </w:r>
      <w:r w:rsidR="00E26425">
        <w:rPr>
          <w:lang w:val="fr-FR"/>
        </w:rPr>
        <w:t>, ventilé par catégorie</w:t>
      </w:r>
      <w:r w:rsidR="008D671A" w:rsidRPr="00A805AE">
        <w:rPr>
          <w:lang w:val="fr-FR"/>
        </w:rPr>
        <w:t xml:space="preserve"> (</w:t>
      </w:r>
      <w:r w:rsidR="002B4EC8">
        <w:rPr>
          <w:lang w:val="fr-FR"/>
        </w:rPr>
        <w:t xml:space="preserve">emploi, </w:t>
      </w:r>
      <w:r w:rsidR="008D671A" w:rsidRPr="00A805AE">
        <w:rPr>
          <w:lang w:val="fr-FR"/>
        </w:rPr>
        <w:t>éducation, alimentation, santé, sécurité sociale, eau et assainissement, logement</w:t>
      </w:r>
      <w:r w:rsidR="002B4EC8">
        <w:rPr>
          <w:lang w:val="fr-FR"/>
        </w:rPr>
        <w:t xml:space="preserve"> et culture</w:t>
      </w:r>
      <w:r w:rsidR="008D671A" w:rsidRPr="00A805AE">
        <w:rPr>
          <w:lang w:val="fr-FR"/>
        </w:rPr>
        <w:t>) ;</w:t>
      </w:r>
    </w:p>
    <w:p w14:paraId="0227236F" w14:textId="11667F54" w:rsidR="00F06304" w:rsidRDefault="00FF05B6" w:rsidP="00FF05B6">
      <w:pPr>
        <w:pStyle w:val="SingleTxtG"/>
        <w:ind w:firstLine="567"/>
        <w:rPr>
          <w:lang w:val="fr-FR"/>
        </w:rPr>
      </w:pPr>
      <w:r w:rsidRPr="00595CC5">
        <w:rPr>
          <w:lang w:val="fr-FR"/>
        </w:rPr>
        <w:t>e)</w:t>
      </w:r>
      <w:r w:rsidRPr="00595CC5">
        <w:rPr>
          <w:lang w:val="fr-FR"/>
        </w:rPr>
        <w:tab/>
      </w:r>
      <w:r w:rsidR="00730A44">
        <w:rPr>
          <w:lang w:val="fr-FR"/>
        </w:rPr>
        <w:t>D</w:t>
      </w:r>
      <w:r w:rsidR="008D671A">
        <w:rPr>
          <w:lang w:val="fr-FR"/>
        </w:rPr>
        <w:t>es n</w:t>
      </w:r>
      <w:r w:rsidR="008D671A" w:rsidRPr="00A805AE">
        <w:rPr>
          <w:lang w:val="fr-FR"/>
        </w:rPr>
        <w:t>iveaux absolus de dépenses sociales ajustés par rapport à l’inflation.</w:t>
      </w:r>
    </w:p>
    <w:p w14:paraId="22CE34D7" w14:textId="793D802F" w:rsidR="00F06304" w:rsidRDefault="00D66F2E" w:rsidP="00A5562D">
      <w:pPr>
        <w:pStyle w:val="SingleTxtG"/>
        <w:rPr>
          <w:lang w:val="fr-FR"/>
        </w:rPr>
      </w:pPr>
      <w:r>
        <w:rPr>
          <w:lang w:val="fr-FR"/>
        </w:rPr>
        <w:t>6</w:t>
      </w:r>
      <w:r w:rsidR="00EB1D83" w:rsidRPr="007549C4">
        <w:rPr>
          <w:lang w:val="fr-FR"/>
        </w:rPr>
        <w:t>.</w:t>
      </w:r>
      <w:r w:rsidR="002F33A7">
        <w:rPr>
          <w:lang w:val="fr-FR"/>
        </w:rPr>
        <w:tab/>
      </w:r>
      <w:r w:rsidR="00F5165C">
        <w:rPr>
          <w:lang w:val="fr-FR"/>
        </w:rPr>
        <w:t>Fournir</w:t>
      </w:r>
      <w:r w:rsidR="00A5562D">
        <w:rPr>
          <w:lang w:val="fr-FR"/>
        </w:rPr>
        <w:t xml:space="preserve"> des renseignements sur les mesures </w:t>
      </w:r>
      <w:r w:rsidR="00A92EDB">
        <w:rPr>
          <w:lang w:val="fr-FR"/>
        </w:rPr>
        <w:t>prises</w:t>
      </w:r>
      <w:r w:rsidR="00A5562D">
        <w:rPr>
          <w:lang w:val="fr-FR"/>
        </w:rPr>
        <w:t xml:space="preserve"> lors des dernières années en vue de contrer la diminution du montant de l’aide publique </w:t>
      </w:r>
      <w:r w:rsidR="00BF0F8B">
        <w:rPr>
          <w:lang w:val="fr-FR"/>
        </w:rPr>
        <w:t xml:space="preserve">au développement fournie par l’État partie </w:t>
      </w:r>
      <w:r w:rsidR="00A5562D">
        <w:rPr>
          <w:lang w:val="fr-FR"/>
        </w:rPr>
        <w:t>et de l’amener à l’objectif international de 0</w:t>
      </w:r>
      <w:r w:rsidR="00523EE9">
        <w:rPr>
          <w:lang w:val="fr-FR"/>
        </w:rPr>
        <w:t>,</w:t>
      </w:r>
      <w:r w:rsidR="00A5562D">
        <w:rPr>
          <w:lang w:val="fr-FR"/>
        </w:rPr>
        <w:t>7</w:t>
      </w:r>
      <w:r w:rsidR="00523EE9">
        <w:rPr>
          <w:lang w:val="fr-FR"/>
        </w:rPr>
        <w:t> </w:t>
      </w:r>
      <w:r w:rsidR="00A5562D">
        <w:rPr>
          <w:lang w:val="fr-FR"/>
        </w:rPr>
        <w:t>% d</w:t>
      </w:r>
      <w:r w:rsidR="007B5D82">
        <w:rPr>
          <w:lang w:val="fr-FR"/>
        </w:rPr>
        <w:t>e son</w:t>
      </w:r>
      <w:r w:rsidR="00A5562D">
        <w:rPr>
          <w:lang w:val="fr-FR"/>
        </w:rPr>
        <w:t xml:space="preserve"> reven</w:t>
      </w:r>
      <w:r w:rsidR="007257EF">
        <w:rPr>
          <w:lang w:val="fr-FR"/>
        </w:rPr>
        <w:t>u national brut</w:t>
      </w:r>
      <w:r w:rsidR="00A5562D">
        <w:rPr>
          <w:lang w:val="fr-FR"/>
        </w:rPr>
        <w:t>.</w:t>
      </w:r>
    </w:p>
    <w:p w14:paraId="35087641" w14:textId="5BE9C7EF" w:rsidR="005A6765" w:rsidRPr="00ED750E" w:rsidRDefault="00F06304" w:rsidP="007549C4">
      <w:pPr>
        <w:pStyle w:val="H23G"/>
        <w:rPr>
          <w:lang w:val="fr-FR" w:eastAsia="zh-CN"/>
        </w:rPr>
      </w:pPr>
      <w:r>
        <w:rPr>
          <w:lang w:val="fr-FR" w:eastAsia="zh-CN"/>
        </w:rPr>
        <w:tab/>
      </w:r>
      <w:r>
        <w:rPr>
          <w:lang w:val="fr-FR" w:eastAsia="zh-CN"/>
        </w:rPr>
        <w:tab/>
      </w:r>
      <w:r w:rsidR="005A6765">
        <w:rPr>
          <w:lang w:val="fr-FR" w:eastAsia="zh-CN"/>
        </w:rPr>
        <w:t>Droit des réfugiés et requérants d’asile à un niveau de vie suffisant</w:t>
      </w:r>
    </w:p>
    <w:p w14:paraId="091A0BAC" w14:textId="0B5130CF" w:rsidR="005A6765" w:rsidRDefault="00D66F2E" w:rsidP="00155520">
      <w:pPr>
        <w:pStyle w:val="SingleTxtG"/>
        <w:rPr>
          <w:lang w:val="fr-FR" w:eastAsia="zh-CN"/>
        </w:rPr>
      </w:pPr>
      <w:r>
        <w:rPr>
          <w:lang w:val="fr-FR" w:eastAsia="zh-CN"/>
        </w:rPr>
        <w:t>7</w:t>
      </w:r>
      <w:r w:rsidR="005A6765">
        <w:rPr>
          <w:lang w:val="fr-FR" w:eastAsia="zh-CN"/>
        </w:rPr>
        <w:t>.</w:t>
      </w:r>
      <w:r w:rsidR="005A6765">
        <w:rPr>
          <w:lang w:val="fr-FR" w:eastAsia="zh-CN"/>
        </w:rPr>
        <w:tab/>
        <w:t xml:space="preserve">Donner </w:t>
      </w:r>
      <w:r w:rsidR="005A6765" w:rsidRPr="00EB261B">
        <w:rPr>
          <w:lang w:val="fr-FR" w:eastAsia="zh-CN"/>
        </w:rPr>
        <w:t xml:space="preserve">des renseignements sur les mesures spécifiques envisagées en vue de garantir le droit des réfugiés et demandeurs d’asile à un niveau de vie suffisant, en particulier l’accès à un </w:t>
      </w:r>
      <w:r w:rsidR="00584214">
        <w:rPr>
          <w:lang w:val="fr-FR" w:eastAsia="zh-CN"/>
        </w:rPr>
        <w:t>logement</w:t>
      </w:r>
      <w:r w:rsidR="005A6765" w:rsidRPr="00EB261B">
        <w:rPr>
          <w:lang w:val="fr-FR" w:eastAsia="zh-CN"/>
        </w:rPr>
        <w:t xml:space="preserve"> et </w:t>
      </w:r>
      <w:r w:rsidR="005A6765">
        <w:rPr>
          <w:lang w:val="fr-FR" w:eastAsia="zh-CN"/>
        </w:rPr>
        <w:t>à une alimentation suffisante.</w:t>
      </w:r>
    </w:p>
    <w:p w14:paraId="6A9B2FD3" w14:textId="74FA9937" w:rsidR="00347880" w:rsidRPr="00ED750E" w:rsidRDefault="00F06304" w:rsidP="007549C4">
      <w:pPr>
        <w:pStyle w:val="H23G"/>
        <w:rPr>
          <w:lang w:val="fr-FR"/>
        </w:rPr>
      </w:pPr>
      <w:r>
        <w:rPr>
          <w:lang w:val="fr-FR"/>
        </w:rPr>
        <w:lastRenderedPageBreak/>
        <w:tab/>
      </w:r>
      <w:r>
        <w:rPr>
          <w:lang w:val="fr-FR"/>
        </w:rPr>
        <w:tab/>
      </w:r>
      <w:r w:rsidR="005355B9">
        <w:rPr>
          <w:lang w:val="fr-FR"/>
        </w:rPr>
        <w:t>Changement</w:t>
      </w:r>
      <w:r w:rsidR="00347880">
        <w:rPr>
          <w:lang w:val="fr-FR"/>
        </w:rPr>
        <w:t xml:space="preserve"> climatique</w:t>
      </w:r>
    </w:p>
    <w:p w14:paraId="71AEE9A3" w14:textId="335CFF06" w:rsidR="00B77538" w:rsidRDefault="00D66F2E" w:rsidP="00F5165C">
      <w:pPr>
        <w:pStyle w:val="SingleTxtG"/>
        <w:rPr>
          <w:lang w:val="fr-FR"/>
        </w:rPr>
      </w:pPr>
      <w:r>
        <w:rPr>
          <w:lang w:val="fr-FR"/>
        </w:rPr>
        <w:t>8</w:t>
      </w:r>
      <w:r w:rsidR="00F5165C">
        <w:rPr>
          <w:lang w:val="fr-FR"/>
        </w:rPr>
        <w:t>.</w:t>
      </w:r>
      <w:r w:rsidR="002F33A7">
        <w:rPr>
          <w:lang w:val="fr-FR"/>
        </w:rPr>
        <w:tab/>
      </w:r>
      <w:r w:rsidR="00EB1D83" w:rsidRPr="007549C4">
        <w:rPr>
          <w:lang w:val="fr-FR"/>
        </w:rPr>
        <w:t>Fournir des renseigneme</w:t>
      </w:r>
      <w:r w:rsidR="006A563D">
        <w:rPr>
          <w:lang w:val="fr-FR"/>
        </w:rPr>
        <w:t>nts sur les projets</w:t>
      </w:r>
      <w:r w:rsidR="00A5562D">
        <w:rPr>
          <w:lang w:val="fr-FR"/>
        </w:rPr>
        <w:t xml:space="preserve"> </w:t>
      </w:r>
      <w:r w:rsidR="00060315">
        <w:rPr>
          <w:lang w:val="fr-FR"/>
        </w:rPr>
        <w:t>visant à</w:t>
      </w:r>
      <w:r w:rsidR="00060315" w:rsidRPr="00060315">
        <w:rPr>
          <w:lang w:val="fr-FR"/>
        </w:rPr>
        <w:t xml:space="preserve"> </w:t>
      </w:r>
      <w:r w:rsidR="00EB1D83">
        <w:rPr>
          <w:lang w:val="fr-FR"/>
        </w:rPr>
        <w:t>augmenter</w:t>
      </w:r>
      <w:r w:rsidR="00EB1D83" w:rsidRPr="00EB1D83">
        <w:rPr>
          <w:lang w:val="fr-FR"/>
        </w:rPr>
        <w:t xml:space="preserve"> le</w:t>
      </w:r>
      <w:r w:rsidR="00EB1D83" w:rsidRPr="007549C4">
        <w:rPr>
          <w:lang w:val="fr-FR"/>
        </w:rPr>
        <w:t xml:space="preserve"> très modeste</w:t>
      </w:r>
      <w:r w:rsidR="00EB1D83">
        <w:rPr>
          <w:lang w:val="fr-FR"/>
        </w:rPr>
        <w:t xml:space="preserve"> objectif </w:t>
      </w:r>
      <w:r w:rsidR="008268BA">
        <w:rPr>
          <w:lang w:val="fr-FR"/>
        </w:rPr>
        <w:t>de réduction des</w:t>
      </w:r>
      <w:r w:rsidR="00EB1D83">
        <w:rPr>
          <w:lang w:val="fr-FR"/>
        </w:rPr>
        <w:t xml:space="preserve"> émissions de CO</w:t>
      </w:r>
      <w:r w:rsidR="00EB1D83" w:rsidRPr="007549C4">
        <w:rPr>
          <w:vertAlign w:val="subscript"/>
          <w:lang w:val="fr-FR"/>
        </w:rPr>
        <w:t>2</w:t>
      </w:r>
      <w:r w:rsidR="00EB1D83">
        <w:rPr>
          <w:lang w:val="fr-FR"/>
        </w:rPr>
        <w:t xml:space="preserve"> </w:t>
      </w:r>
      <w:r w:rsidR="00694CAA">
        <w:rPr>
          <w:lang w:val="fr-FR"/>
        </w:rPr>
        <w:t xml:space="preserve">et </w:t>
      </w:r>
      <w:r w:rsidR="006F5516">
        <w:rPr>
          <w:lang w:val="fr-FR"/>
        </w:rPr>
        <w:t>à</w:t>
      </w:r>
      <w:r w:rsidR="00EB1D83">
        <w:rPr>
          <w:lang w:val="fr-FR"/>
        </w:rPr>
        <w:t xml:space="preserve"> notifier </w:t>
      </w:r>
      <w:r w:rsidR="006F5516">
        <w:rPr>
          <w:lang w:val="fr-FR"/>
        </w:rPr>
        <w:t>une</w:t>
      </w:r>
      <w:r w:rsidR="00EB1D83">
        <w:rPr>
          <w:lang w:val="fr-FR"/>
        </w:rPr>
        <w:t xml:space="preserve"> contribution nationale déterminée en vue d’atteindre l’objectif de 1</w:t>
      </w:r>
      <w:r w:rsidR="00523EE9">
        <w:rPr>
          <w:lang w:val="fr-FR"/>
        </w:rPr>
        <w:t>,</w:t>
      </w:r>
      <w:r w:rsidR="00EB1D83">
        <w:rPr>
          <w:lang w:val="fr-FR"/>
        </w:rPr>
        <w:t xml:space="preserve">5 degré </w:t>
      </w:r>
      <w:r w:rsidR="00B77538">
        <w:rPr>
          <w:lang w:val="fr-FR"/>
        </w:rPr>
        <w:t>fixé par l’</w:t>
      </w:r>
      <w:r w:rsidR="001F2231">
        <w:rPr>
          <w:lang w:val="fr-FR"/>
        </w:rPr>
        <w:t>A</w:t>
      </w:r>
      <w:r w:rsidR="00B77538">
        <w:rPr>
          <w:lang w:val="fr-FR"/>
        </w:rPr>
        <w:t>ccord de Paris</w:t>
      </w:r>
      <w:r w:rsidR="006F5516">
        <w:rPr>
          <w:lang w:val="fr-FR"/>
        </w:rPr>
        <w:t>. Expliquer quelles sont</w:t>
      </w:r>
      <w:r w:rsidR="00060315">
        <w:rPr>
          <w:lang w:val="fr-FR"/>
        </w:rPr>
        <w:t xml:space="preserve"> </w:t>
      </w:r>
      <w:r w:rsidR="00B77538">
        <w:rPr>
          <w:lang w:val="fr-FR"/>
        </w:rPr>
        <w:t xml:space="preserve">les mesures envisagées </w:t>
      </w:r>
      <w:r w:rsidR="006F5516">
        <w:rPr>
          <w:lang w:val="fr-FR"/>
        </w:rPr>
        <w:t xml:space="preserve">pour </w:t>
      </w:r>
      <w:r w:rsidR="00B77538">
        <w:rPr>
          <w:lang w:val="fr-FR"/>
        </w:rPr>
        <w:t xml:space="preserve">atteindre cet objectif et </w:t>
      </w:r>
      <w:r w:rsidR="00F80747">
        <w:rPr>
          <w:lang w:val="fr-FR"/>
        </w:rPr>
        <w:t>comment</w:t>
      </w:r>
      <w:r w:rsidR="00B77538">
        <w:rPr>
          <w:lang w:val="fr-FR"/>
        </w:rPr>
        <w:t xml:space="preserve"> l’adéquation des mesures prises</w:t>
      </w:r>
      <w:r w:rsidR="00060315">
        <w:rPr>
          <w:lang w:val="fr-FR"/>
        </w:rPr>
        <w:t xml:space="preserve"> sera évaluée</w:t>
      </w:r>
      <w:r w:rsidR="00B77538">
        <w:rPr>
          <w:lang w:val="fr-FR"/>
        </w:rPr>
        <w:t xml:space="preserve">. </w:t>
      </w:r>
      <w:r w:rsidR="00C92DDC">
        <w:rPr>
          <w:lang w:val="fr-FR"/>
        </w:rPr>
        <w:t>Indiquer comment l’</w:t>
      </w:r>
      <w:r w:rsidR="00021936">
        <w:rPr>
          <w:lang w:val="fr-FR"/>
        </w:rPr>
        <w:t>État</w:t>
      </w:r>
      <w:r w:rsidR="00C92DDC">
        <w:rPr>
          <w:lang w:val="fr-FR"/>
        </w:rPr>
        <w:t xml:space="preserve"> partie</w:t>
      </w:r>
      <w:r w:rsidR="00B77538">
        <w:rPr>
          <w:lang w:val="fr-FR"/>
        </w:rPr>
        <w:t xml:space="preserve"> </w:t>
      </w:r>
      <w:r w:rsidR="00C92DDC">
        <w:rPr>
          <w:lang w:val="fr-FR"/>
        </w:rPr>
        <w:t>évalue</w:t>
      </w:r>
      <w:r w:rsidR="00B77538">
        <w:rPr>
          <w:lang w:val="fr-FR"/>
        </w:rPr>
        <w:t xml:space="preserve"> l’impact potentiel du changement climatique </w:t>
      </w:r>
      <w:r w:rsidR="003E4A5F">
        <w:rPr>
          <w:lang w:val="fr-FR"/>
        </w:rPr>
        <w:t>sur la jouissance des</w:t>
      </w:r>
      <w:r w:rsidR="00B77538">
        <w:rPr>
          <w:lang w:val="fr-FR"/>
        </w:rPr>
        <w:t xml:space="preserve"> droits économiques, sociaux et culturels</w:t>
      </w:r>
      <w:r w:rsidR="00C31FBE">
        <w:rPr>
          <w:lang w:val="fr-FR"/>
        </w:rPr>
        <w:t xml:space="preserve"> </w:t>
      </w:r>
      <w:r w:rsidR="00BF0F8B">
        <w:rPr>
          <w:lang w:val="fr-FR"/>
        </w:rPr>
        <w:t>dans l’État partie</w:t>
      </w:r>
      <w:r w:rsidR="003E4A5F">
        <w:rPr>
          <w:lang w:val="fr-FR"/>
        </w:rPr>
        <w:t xml:space="preserve"> et </w:t>
      </w:r>
      <w:r w:rsidR="00C92DDC">
        <w:rPr>
          <w:lang w:val="fr-FR"/>
        </w:rPr>
        <w:t xml:space="preserve">quelles sont </w:t>
      </w:r>
      <w:r w:rsidR="003E4A5F">
        <w:rPr>
          <w:lang w:val="fr-FR"/>
        </w:rPr>
        <w:t>les mesures</w:t>
      </w:r>
      <w:r w:rsidR="008C4F08">
        <w:rPr>
          <w:lang w:val="fr-FR"/>
        </w:rPr>
        <w:t xml:space="preserve"> d’adaptation</w:t>
      </w:r>
      <w:r w:rsidR="003E4A5F">
        <w:rPr>
          <w:lang w:val="fr-FR"/>
        </w:rPr>
        <w:t xml:space="preserve"> envisagées</w:t>
      </w:r>
      <w:r w:rsidR="00B77538">
        <w:rPr>
          <w:lang w:val="fr-FR"/>
        </w:rPr>
        <w:t>.</w:t>
      </w:r>
    </w:p>
    <w:p w14:paraId="04976519" w14:textId="36D0A89E" w:rsidR="00076244" w:rsidRPr="00ED750E" w:rsidRDefault="00F06304" w:rsidP="007549C4">
      <w:pPr>
        <w:pStyle w:val="H23G"/>
        <w:rPr>
          <w:lang w:val="fr-FR"/>
        </w:rPr>
      </w:pPr>
      <w:r>
        <w:rPr>
          <w:lang w:val="fr-FR"/>
        </w:rPr>
        <w:tab/>
      </w:r>
      <w:r>
        <w:rPr>
          <w:lang w:val="fr-FR"/>
        </w:rPr>
        <w:tab/>
      </w:r>
      <w:r w:rsidR="00076244">
        <w:rPr>
          <w:lang w:val="fr-FR"/>
        </w:rPr>
        <w:t xml:space="preserve">Objectifs de </w:t>
      </w:r>
      <w:r w:rsidR="00523EE9">
        <w:rPr>
          <w:lang w:val="fr-FR"/>
        </w:rPr>
        <w:t>d</w:t>
      </w:r>
      <w:r w:rsidR="00076244">
        <w:rPr>
          <w:lang w:val="fr-FR"/>
        </w:rPr>
        <w:t xml:space="preserve">éveloppement </w:t>
      </w:r>
      <w:r w:rsidR="00523EE9">
        <w:rPr>
          <w:lang w:val="fr-FR"/>
        </w:rPr>
        <w:t>d</w:t>
      </w:r>
      <w:r w:rsidR="00076244">
        <w:rPr>
          <w:lang w:val="fr-FR"/>
        </w:rPr>
        <w:t>urable</w:t>
      </w:r>
    </w:p>
    <w:p w14:paraId="3DA86DCC" w14:textId="3DD30E09" w:rsidR="00EB1D83" w:rsidRPr="007549C4" w:rsidRDefault="00D66F2E" w:rsidP="00EB1D83">
      <w:pPr>
        <w:pStyle w:val="SingleTxtG"/>
        <w:rPr>
          <w:lang w:val="fr-FR"/>
        </w:rPr>
      </w:pPr>
      <w:r>
        <w:rPr>
          <w:lang w:val="fr-FR"/>
        </w:rPr>
        <w:t>9</w:t>
      </w:r>
      <w:r w:rsidR="00EB1D83" w:rsidRPr="007549C4">
        <w:rPr>
          <w:lang w:val="fr-FR"/>
        </w:rPr>
        <w:t>.</w:t>
      </w:r>
      <w:r w:rsidR="002F33A7">
        <w:rPr>
          <w:lang w:val="fr-FR"/>
        </w:rPr>
        <w:tab/>
      </w:r>
      <w:r w:rsidR="00F41A8E" w:rsidRPr="007549C4">
        <w:rPr>
          <w:lang w:val="fr-FR"/>
        </w:rPr>
        <w:t>Expliquer si l’</w:t>
      </w:r>
      <w:r w:rsidR="00021936">
        <w:rPr>
          <w:lang w:val="fr-FR"/>
        </w:rPr>
        <w:t>État</w:t>
      </w:r>
      <w:r w:rsidR="00F41A8E" w:rsidRPr="007549C4">
        <w:rPr>
          <w:lang w:val="fr-FR"/>
        </w:rPr>
        <w:t xml:space="preserve"> partie envisage de lier la mise en </w:t>
      </w:r>
      <w:r w:rsidR="00EA7376" w:rsidRPr="00EA7376">
        <w:rPr>
          <w:lang w:val="fr-FR"/>
        </w:rPr>
        <w:t>œuvre</w:t>
      </w:r>
      <w:r w:rsidR="00F41A8E" w:rsidRPr="007549C4">
        <w:rPr>
          <w:lang w:val="fr-FR"/>
        </w:rPr>
        <w:t xml:space="preserve"> nationale du plan pour le</w:t>
      </w:r>
      <w:r w:rsidR="007B34E2">
        <w:rPr>
          <w:lang w:val="fr-FR"/>
        </w:rPr>
        <w:t>s</w:t>
      </w:r>
      <w:r w:rsidR="00F41A8E" w:rsidRPr="007549C4">
        <w:rPr>
          <w:lang w:val="fr-FR"/>
        </w:rPr>
        <w:t xml:space="preserve"> </w:t>
      </w:r>
      <w:r w:rsidR="00BA39A0">
        <w:rPr>
          <w:lang w:val="fr-FR"/>
        </w:rPr>
        <w:t>o</w:t>
      </w:r>
      <w:r w:rsidR="007B34E2">
        <w:rPr>
          <w:lang w:val="fr-FR"/>
        </w:rPr>
        <w:t>bjectifs</w:t>
      </w:r>
      <w:r w:rsidR="00F41A8E" w:rsidRPr="007549C4">
        <w:rPr>
          <w:lang w:val="fr-FR"/>
        </w:rPr>
        <w:t xml:space="preserve"> de </w:t>
      </w:r>
      <w:r w:rsidR="00523EE9">
        <w:rPr>
          <w:lang w:val="fr-FR"/>
        </w:rPr>
        <w:t>d</w:t>
      </w:r>
      <w:r w:rsidR="00F41A8E">
        <w:rPr>
          <w:lang w:val="fr-FR"/>
        </w:rPr>
        <w:t xml:space="preserve">éveloppement </w:t>
      </w:r>
      <w:r w:rsidR="00523EE9">
        <w:rPr>
          <w:lang w:val="fr-FR"/>
        </w:rPr>
        <w:t>d</w:t>
      </w:r>
      <w:r w:rsidR="00F41A8E">
        <w:rPr>
          <w:lang w:val="fr-FR"/>
        </w:rPr>
        <w:t xml:space="preserve">urable </w:t>
      </w:r>
      <w:r w:rsidR="00AC37B9">
        <w:rPr>
          <w:lang w:val="fr-FR"/>
        </w:rPr>
        <w:t xml:space="preserve">à </w:t>
      </w:r>
      <w:r w:rsidR="00584214">
        <w:rPr>
          <w:lang w:val="fr-FR"/>
        </w:rPr>
        <w:t>une évaluation de la jouissance</w:t>
      </w:r>
      <w:r w:rsidR="00AC37B9">
        <w:rPr>
          <w:lang w:val="fr-FR"/>
        </w:rPr>
        <w:t xml:space="preserve"> des droits économiques, sociaux et culturels.</w:t>
      </w:r>
      <w:r w:rsidR="003A4701">
        <w:rPr>
          <w:lang w:val="fr-FR"/>
        </w:rPr>
        <w:t xml:space="preserve"> Expliquer quels sont les </w:t>
      </w:r>
      <w:r w:rsidR="00F068F9">
        <w:rPr>
          <w:lang w:val="fr-FR"/>
        </w:rPr>
        <w:t>instruments existant</w:t>
      </w:r>
      <w:r w:rsidR="00F97965">
        <w:rPr>
          <w:lang w:val="fr-FR"/>
        </w:rPr>
        <w:t>s</w:t>
      </w:r>
      <w:r w:rsidR="003A4701">
        <w:rPr>
          <w:lang w:val="fr-FR"/>
        </w:rPr>
        <w:t xml:space="preserve"> visant à orienter la politique de développement de l’</w:t>
      </w:r>
      <w:r w:rsidR="00021936">
        <w:rPr>
          <w:lang w:val="fr-FR"/>
        </w:rPr>
        <w:t>État</w:t>
      </w:r>
      <w:r w:rsidR="003A4701">
        <w:rPr>
          <w:lang w:val="fr-FR"/>
        </w:rPr>
        <w:t xml:space="preserve"> partie et ses activités</w:t>
      </w:r>
      <w:r w:rsidR="00694CAA">
        <w:rPr>
          <w:lang w:val="fr-FR"/>
        </w:rPr>
        <w:t xml:space="preserve"> liées aux</w:t>
      </w:r>
      <w:r w:rsidR="003A4701">
        <w:rPr>
          <w:lang w:val="fr-FR"/>
        </w:rPr>
        <w:t xml:space="preserve"> </w:t>
      </w:r>
      <w:r w:rsidR="00BA39A0">
        <w:rPr>
          <w:lang w:val="fr-FR"/>
        </w:rPr>
        <w:t>o</w:t>
      </w:r>
      <w:r w:rsidR="00694CAA">
        <w:rPr>
          <w:lang w:val="fr-FR"/>
        </w:rPr>
        <w:t xml:space="preserve">bjectifs de </w:t>
      </w:r>
      <w:r w:rsidR="00523EE9">
        <w:rPr>
          <w:lang w:val="fr-FR"/>
        </w:rPr>
        <w:t>d</w:t>
      </w:r>
      <w:r w:rsidR="00694CAA">
        <w:rPr>
          <w:lang w:val="fr-FR"/>
        </w:rPr>
        <w:t xml:space="preserve">éveloppement </w:t>
      </w:r>
      <w:r w:rsidR="00523EE9">
        <w:rPr>
          <w:lang w:val="fr-FR"/>
        </w:rPr>
        <w:t>d</w:t>
      </w:r>
      <w:r w:rsidR="00694CAA">
        <w:rPr>
          <w:lang w:val="fr-FR"/>
        </w:rPr>
        <w:t xml:space="preserve">urable </w:t>
      </w:r>
      <w:r w:rsidR="003A4701">
        <w:rPr>
          <w:lang w:val="fr-FR"/>
        </w:rPr>
        <w:t>vers les droits de l’homme, particulièrement les droits éc</w:t>
      </w:r>
      <w:r w:rsidR="00694CAA">
        <w:rPr>
          <w:lang w:val="fr-FR"/>
        </w:rPr>
        <w:t>onomiques, sociaux et culturels</w:t>
      </w:r>
      <w:r w:rsidR="003A4701">
        <w:rPr>
          <w:lang w:val="fr-FR"/>
        </w:rPr>
        <w:t>.</w:t>
      </w:r>
    </w:p>
    <w:p w14:paraId="02083F03" w14:textId="22D4605A" w:rsidR="008D671A" w:rsidRPr="00A805AE" w:rsidRDefault="009F4347" w:rsidP="007549C4">
      <w:pPr>
        <w:pStyle w:val="H23G"/>
        <w:rPr>
          <w:lang w:val="fr-FR"/>
        </w:rPr>
      </w:pPr>
      <w:r w:rsidRPr="00F41A8E">
        <w:rPr>
          <w:lang w:val="fr-FR"/>
        </w:rPr>
        <w:tab/>
      </w:r>
      <w:r w:rsidRPr="00F41A8E">
        <w:rPr>
          <w:lang w:val="fr-FR"/>
        </w:rPr>
        <w:tab/>
      </w:r>
      <w:r w:rsidR="008D671A" w:rsidRPr="00C92C43">
        <w:rPr>
          <w:lang w:val="fr-FR"/>
        </w:rPr>
        <w:t>Non-discrimination</w:t>
      </w:r>
    </w:p>
    <w:p w14:paraId="4E097199" w14:textId="6B220A8B" w:rsidR="002F33A7" w:rsidRDefault="00D66F2E" w:rsidP="00FF05B6">
      <w:pPr>
        <w:pStyle w:val="SingleTxtG"/>
        <w:rPr>
          <w:rFonts w:eastAsia="SimSun"/>
          <w:lang w:val="fr-FR" w:eastAsia="zh-CN"/>
        </w:rPr>
      </w:pPr>
      <w:r>
        <w:rPr>
          <w:rFonts w:eastAsia="SimSun"/>
          <w:lang w:val="fr-FR" w:eastAsia="zh-CN"/>
        </w:rPr>
        <w:t>10</w:t>
      </w:r>
      <w:r w:rsidR="002F33A7">
        <w:rPr>
          <w:rFonts w:eastAsia="SimSun"/>
          <w:lang w:val="fr-FR" w:eastAsia="zh-CN"/>
        </w:rPr>
        <w:t>.</w:t>
      </w:r>
      <w:r w:rsidR="002F33A7">
        <w:rPr>
          <w:rFonts w:eastAsia="SimSun"/>
          <w:lang w:val="fr-FR" w:eastAsia="zh-CN"/>
        </w:rPr>
        <w:tab/>
        <w:t xml:space="preserve">Fournir des renseignements au Comité sur les mesures adoptées en vue de réduire les inégalités </w:t>
      </w:r>
      <w:r w:rsidR="00584214">
        <w:rPr>
          <w:rFonts w:eastAsia="SimSun"/>
          <w:lang w:val="fr-FR" w:eastAsia="zh-CN"/>
        </w:rPr>
        <w:t>entre</w:t>
      </w:r>
      <w:r w:rsidR="005355B9">
        <w:rPr>
          <w:rFonts w:eastAsia="SimSun"/>
          <w:lang w:val="fr-FR" w:eastAsia="zh-CN"/>
        </w:rPr>
        <w:t xml:space="preserve"> des communautés</w:t>
      </w:r>
      <w:r w:rsidR="00584214" w:rsidRPr="00584214">
        <w:rPr>
          <w:rFonts w:eastAsia="SimSun"/>
          <w:lang w:val="fr-FR" w:eastAsia="zh-CN"/>
        </w:rPr>
        <w:t xml:space="preserve"> </w:t>
      </w:r>
      <w:r w:rsidR="00584214">
        <w:rPr>
          <w:rFonts w:eastAsia="SimSun"/>
          <w:lang w:val="fr-FR" w:eastAsia="zh-CN"/>
        </w:rPr>
        <w:t>s’agissant de la jouissance des droits économiques, sociaux et culturels</w:t>
      </w:r>
      <w:r w:rsidR="002F33A7">
        <w:rPr>
          <w:rFonts w:eastAsia="SimSun"/>
          <w:lang w:val="fr-FR" w:eastAsia="zh-CN"/>
        </w:rPr>
        <w:t>.</w:t>
      </w:r>
    </w:p>
    <w:p w14:paraId="488F2CEF" w14:textId="2AD73853" w:rsidR="003A5B63" w:rsidRDefault="00D66F2E" w:rsidP="003A5B63">
      <w:pPr>
        <w:pStyle w:val="SingleTxtG"/>
        <w:rPr>
          <w:rFonts w:eastAsia="SimSun"/>
          <w:lang w:val="fr-FR" w:eastAsia="zh-CN"/>
        </w:rPr>
      </w:pPr>
      <w:r>
        <w:rPr>
          <w:rFonts w:eastAsia="SimSun"/>
          <w:lang w:val="fr-FR" w:eastAsia="zh-CN"/>
        </w:rPr>
        <w:t>11</w:t>
      </w:r>
      <w:r w:rsidR="00FF05B6">
        <w:rPr>
          <w:rFonts w:eastAsia="SimSun"/>
          <w:lang w:val="fr-FR" w:eastAsia="zh-CN"/>
        </w:rPr>
        <w:t>.</w:t>
      </w:r>
      <w:r w:rsidR="00FF05B6">
        <w:rPr>
          <w:rFonts w:eastAsia="SimSun"/>
          <w:lang w:val="fr-FR" w:eastAsia="zh-CN"/>
        </w:rPr>
        <w:tab/>
      </w:r>
      <w:r w:rsidR="008D671A">
        <w:rPr>
          <w:rFonts w:eastAsia="SimSun"/>
          <w:lang w:val="fr-FR" w:eastAsia="zh-CN"/>
        </w:rPr>
        <w:t xml:space="preserve">Donner des </w:t>
      </w:r>
      <w:r w:rsidR="008D671A" w:rsidRPr="008D671A">
        <w:rPr>
          <w:lang w:val="fr-FR"/>
        </w:rPr>
        <w:t>renseignements</w:t>
      </w:r>
      <w:r w:rsidR="008D671A">
        <w:rPr>
          <w:rFonts w:eastAsia="SimSun"/>
          <w:lang w:val="fr-FR" w:eastAsia="zh-CN"/>
        </w:rPr>
        <w:t xml:space="preserve"> sur les mesures adoptées dans le cadre de la mise en œuvre effective de </w:t>
      </w:r>
      <w:r w:rsidR="008D671A" w:rsidRPr="00523EE9">
        <w:rPr>
          <w:rFonts w:eastAsia="SimSun"/>
          <w:lang w:val="fr-FR" w:eastAsia="zh-CN"/>
        </w:rPr>
        <w:t xml:space="preserve">la </w:t>
      </w:r>
      <w:r w:rsidR="00523EE9" w:rsidRPr="007549C4">
        <w:rPr>
          <w:rFonts w:eastAsia="SimSun"/>
          <w:color w:val="000000"/>
          <w:lang w:val="fr-FR" w:eastAsia="zh-CN"/>
        </w:rPr>
        <w:t xml:space="preserve">loi </w:t>
      </w:r>
      <w:r w:rsidR="008D671A" w:rsidRPr="007549C4">
        <w:rPr>
          <w:rFonts w:eastAsia="SimSun"/>
          <w:color w:val="000000"/>
          <w:lang w:val="fr-FR" w:eastAsia="zh-CN"/>
        </w:rPr>
        <w:t>tendant à lutter contre certaines formes de discrimination</w:t>
      </w:r>
      <w:r w:rsidR="008D671A" w:rsidRPr="00523EE9">
        <w:rPr>
          <w:rFonts w:eastAsia="SimSun"/>
          <w:color w:val="000000"/>
          <w:lang w:val="fr-FR" w:eastAsia="zh-CN"/>
        </w:rPr>
        <w:t xml:space="preserve"> </w:t>
      </w:r>
      <w:r w:rsidR="008D671A">
        <w:rPr>
          <w:rFonts w:eastAsia="SimSun"/>
          <w:lang w:val="fr-FR" w:eastAsia="zh-CN"/>
        </w:rPr>
        <w:t>et</w:t>
      </w:r>
      <w:r w:rsidR="003A5B63">
        <w:rPr>
          <w:rFonts w:eastAsia="SimSun"/>
          <w:lang w:val="fr-FR" w:eastAsia="zh-CN"/>
        </w:rPr>
        <w:t xml:space="preserve"> de la</w:t>
      </w:r>
      <w:r w:rsidR="008D671A">
        <w:rPr>
          <w:rFonts w:eastAsia="SimSun"/>
          <w:lang w:val="fr-FR" w:eastAsia="zh-CN"/>
        </w:rPr>
        <w:t xml:space="preserve"> </w:t>
      </w:r>
      <w:r w:rsidR="00523EE9" w:rsidRPr="007549C4">
        <w:rPr>
          <w:rFonts w:eastAsia="SimSun"/>
          <w:iCs/>
          <w:lang w:val="fr-FR" w:eastAsia="zh-CN"/>
        </w:rPr>
        <w:t>l</w:t>
      </w:r>
      <w:r w:rsidR="003A5B63" w:rsidRPr="007549C4">
        <w:rPr>
          <w:rFonts w:eastAsia="SimSun"/>
          <w:iCs/>
          <w:lang w:val="fr-FR" w:eastAsia="zh-CN"/>
        </w:rPr>
        <w:t>oi tendant à réprimer certains actes inspirés par le racisme et la xénophobie</w:t>
      </w:r>
      <w:r w:rsidR="003A5B63">
        <w:rPr>
          <w:rFonts w:eastAsia="SimSun"/>
          <w:lang w:val="fr-FR" w:eastAsia="zh-CN"/>
        </w:rPr>
        <w:t xml:space="preserve"> et sur leur impact</w:t>
      </w:r>
      <w:r w:rsidR="00BA39A0">
        <w:rPr>
          <w:rFonts w:eastAsia="SimSun"/>
          <w:lang w:val="fr-FR" w:eastAsia="zh-CN"/>
        </w:rPr>
        <w:t>.</w:t>
      </w:r>
      <w:r w:rsidR="003A5B63" w:rsidRPr="003A5B63">
        <w:rPr>
          <w:rFonts w:eastAsia="SimSun"/>
          <w:lang w:val="fr-FR" w:eastAsia="zh-CN"/>
        </w:rPr>
        <w:t xml:space="preserve"> </w:t>
      </w:r>
      <w:r w:rsidR="003A5B63">
        <w:rPr>
          <w:rFonts w:eastAsia="SimSun"/>
          <w:lang w:val="fr-FR" w:eastAsia="zh-CN"/>
        </w:rPr>
        <w:t>En</w:t>
      </w:r>
      <w:r w:rsidR="00A9699A">
        <w:rPr>
          <w:rFonts w:eastAsia="SimSun"/>
          <w:lang w:val="fr-FR" w:eastAsia="zh-CN"/>
        </w:rPr>
        <w:t> </w:t>
      </w:r>
      <w:r w:rsidR="003A5B63">
        <w:rPr>
          <w:rFonts w:eastAsia="SimSun"/>
          <w:lang w:val="fr-FR" w:eastAsia="zh-CN"/>
        </w:rPr>
        <w:t xml:space="preserve">particulier, fournir des informations sur </w:t>
      </w:r>
      <w:r w:rsidR="008D671A">
        <w:rPr>
          <w:rFonts w:eastAsia="SimSun"/>
          <w:lang w:val="fr-FR" w:eastAsia="zh-CN"/>
        </w:rPr>
        <w:t>le nombre de plaintes déposées dans le cadre de ce</w:t>
      </w:r>
      <w:r w:rsidR="003A5B63">
        <w:rPr>
          <w:rFonts w:eastAsia="SimSun"/>
          <w:lang w:val="fr-FR" w:eastAsia="zh-CN"/>
        </w:rPr>
        <w:t>s</w:t>
      </w:r>
      <w:r w:rsidR="008D671A">
        <w:rPr>
          <w:rFonts w:eastAsia="SimSun"/>
          <w:lang w:val="fr-FR" w:eastAsia="zh-CN"/>
        </w:rPr>
        <w:t xml:space="preserve"> loi</w:t>
      </w:r>
      <w:r w:rsidR="003A5B63">
        <w:rPr>
          <w:rFonts w:eastAsia="SimSun"/>
          <w:lang w:val="fr-FR" w:eastAsia="zh-CN"/>
        </w:rPr>
        <w:t>s</w:t>
      </w:r>
      <w:r w:rsidR="008D671A">
        <w:rPr>
          <w:rFonts w:eastAsia="SimSun"/>
          <w:lang w:val="fr-FR" w:eastAsia="zh-CN"/>
        </w:rPr>
        <w:t xml:space="preserve"> et le nombre de cas où </w:t>
      </w:r>
      <w:r w:rsidR="003A5B63">
        <w:rPr>
          <w:rFonts w:eastAsia="SimSun"/>
          <w:lang w:val="fr-FR" w:eastAsia="zh-CN"/>
        </w:rPr>
        <w:t>une</w:t>
      </w:r>
      <w:r w:rsidR="008D671A">
        <w:rPr>
          <w:rFonts w:eastAsia="SimSun"/>
          <w:lang w:val="fr-FR" w:eastAsia="zh-CN"/>
        </w:rPr>
        <w:t xml:space="preserve"> discrimination</w:t>
      </w:r>
      <w:r w:rsidR="003A5B63">
        <w:rPr>
          <w:rFonts w:eastAsia="SimSun"/>
          <w:lang w:val="fr-FR" w:eastAsia="zh-CN"/>
        </w:rPr>
        <w:t xml:space="preserve"> relative aux droits économiques, sociaux et culturels</w:t>
      </w:r>
      <w:r w:rsidR="008D671A">
        <w:rPr>
          <w:rFonts w:eastAsia="SimSun"/>
          <w:lang w:val="fr-FR" w:eastAsia="zh-CN"/>
        </w:rPr>
        <w:t xml:space="preserve"> a été avérée au cours des cinq dernières </w:t>
      </w:r>
      <w:r w:rsidR="00FF05B6">
        <w:rPr>
          <w:rFonts w:eastAsia="SimSun"/>
          <w:lang w:val="fr-FR" w:eastAsia="zh-CN"/>
        </w:rPr>
        <w:t>années (2013-</w:t>
      </w:r>
      <w:r w:rsidR="008D671A">
        <w:rPr>
          <w:rFonts w:eastAsia="SimSun"/>
          <w:lang w:val="fr-FR" w:eastAsia="zh-CN"/>
        </w:rPr>
        <w:t xml:space="preserve">2018). Fournir également des informations </w:t>
      </w:r>
      <w:r w:rsidR="003A5B63">
        <w:rPr>
          <w:rFonts w:eastAsia="SimSun"/>
          <w:lang w:val="fr-FR" w:eastAsia="zh-CN"/>
        </w:rPr>
        <w:t>sur les mesures spécifiques adoptées</w:t>
      </w:r>
      <w:r w:rsidR="000508C0">
        <w:rPr>
          <w:rFonts w:eastAsia="SimSun"/>
          <w:lang w:val="fr-FR" w:eastAsia="zh-CN"/>
        </w:rPr>
        <w:t>,</w:t>
      </w:r>
      <w:r w:rsidR="00437A5A">
        <w:rPr>
          <w:rFonts w:eastAsia="SimSun"/>
          <w:lang w:val="fr-FR" w:eastAsia="zh-CN"/>
        </w:rPr>
        <w:t xml:space="preserve"> </w:t>
      </w:r>
      <w:r w:rsidR="000508C0">
        <w:rPr>
          <w:rFonts w:eastAsia="SimSun"/>
          <w:lang w:val="fr-FR" w:eastAsia="zh-CN"/>
        </w:rPr>
        <w:t>ainsi que</w:t>
      </w:r>
      <w:r w:rsidR="00437A5A">
        <w:rPr>
          <w:rFonts w:eastAsia="SimSun"/>
          <w:lang w:val="fr-FR" w:eastAsia="zh-CN"/>
        </w:rPr>
        <w:t xml:space="preserve"> leur impact</w:t>
      </w:r>
      <w:r w:rsidR="00A839A1">
        <w:rPr>
          <w:rFonts w:eastAsia="SimSun"/>
          <w:lang w:val="fr-FR" w:eastAsia="zh-CN"/>
        </w:rPr>
        <w:t> </w:t>
      </w:r>
      <w:r w:rsidR="003A5B63">
        <w:rPr>
          <w:rFonts w:eastAsia="SimSun"/>
          <w:lang w:val="fr-FR" w:eastAsia="zh-CN"/>
        </w:rPr>
        <w:t>:</w:t>
      </w:r>
    </w:p>
    <w:p w14:paraId="11660659" w14:textId="3688B8A1" w:rsidR="008D671A" w:rsidRDefault="009415C0" w:rsidP="007549C4">
      <w:pPr>
        <w:pStyle w:val="SingleTxtG"/>
        <w:ind w:firstLine="567"/>
        <w:rPr>
          <w:rFonts w:eastAsia="SimSun"/>
          <w:lang w:val="fr-FR" w:eastAsia="zh-CN"/>
        </w:rPr>
      </w:pPr>
      <w:r>
        <w:rPr>
          <w:rFonts w:eastAsia="SimSun"/>
          <w:lang w:val="fr-FR" w:eastAsia="zh-CN"/>
        </w:rPr>
        <w:t>a)</w:t>
      </w:r>
      <w:r>
        <w:rPr>
          <w:rFonts w:eastAsia="SimSun"/>
          <w:lang w:val="fr-FR" w:eastAsia="zh-CN"/>
        </w:rPr>
        <w:tab/>
      </w:r>
      <w:r w:rsidR="003A5B63">
        <w:rPr>
          <w:rFonts w:eastAsia="SimSun"/>
          <w:lang w:val="fr-FR" w:eastAsia="zh-CN"/>
        </w:rPr>
        <w:t>Dans</w:t>
      </w:r>
      <w:r w:rsidR="00437A5A">
        <w:rPr>
          <w:rFonts w:eastAsia="SimSun"/>
          <w:lang w:val="fr-FR" w:eastAsia="zh-CN"/>
        </w:rPr>
        <w:t xml:space="preserve"> </w:t>
      </w:r>
      <w:r w:rsidR="008D671A">
        <w:rPr>
          <w:rFonts w:eastAsia="SimSun"/>
          <w:lang w:val="fr-FR" w:eastAsia="zh-CN"/>
        </w:rPr>
        <w:t>le cadre de la mise en œuvre du</w:t>
      </w:r>
      <w:r w:rsidR="008D671A" w:rsidRPr="0069108D">
        <w:rPr>
          <w:rFonts w:eastAsia="SimSun"/>
          <w:lang w:val="fr-FR" w:eastAsia="zh-CN"/>
        </w:rPr>
        <w:t xml:space="preserve"> </w:t>
      </w:r>
      <w:r w:rsidR="00BA39A0">
        <w:rPr>
          <w:rFonts w:eastAsia="SimSun"/>
          <w:lang w:val="fr-FR" w:eastAsia="zh-CN"/>
        </w:rPr>
        <w:t>p</w:t>
      </w:r>
      <w:r w:rsidR="00BA39A0" w:rsidRPr="0069108D">
        <w:rPr>
          <w:rFonts w:eastAsia="SimSun"/>
          <w:lang w:val="fr-FR" w:eastAsia="zh-CN"/>
        </w:rPr>
        <w:t xml:space="preserve">lan </w:t>
      </w:r>
      <w:r w:rsidR="008D671A" w:rsidRPr="0069108D">
        <w:rPr>
          <w:rFonts w:eastAsia="SimSun"/>
          <w:lang w:val="fr-FR" w:eastAsia="zh-CN"/>
        </w:rPr>
        <w:t>d</w:t>
      </w:r>
      <w:r w:rsidR="00523EE9">
        <w:rPr>
          <w:rFonts w:eastAsia="SimSun"/>
          <w:lang w:val="fr-FR" w:eastAsia="zh-CN"/>
        </w:rPr>
        <w:t>’</w:t>
      </w:r>
      <w:r w:rsidR="008D671A" w:rsidRPr="0069108D">
        <w:rPr>
          <w:rFonts w:eastAsia="SimSun"/>
          <w:lang w:val="fr-FR" w:eastAsia="zh-CN"/>
        </w:rPr>
        <w:t xml:space="preserve">action </w:t>
      </w:r>
      <w:r w:rsidR="00C56053">
        <w:rPr>
          <w:rFonts w:eastAsia="SimSun"/>
          <w:lang w:val="fr-FR" w:eastAsia="zh-CN"/>
        </w:rPr>
        <w:t>i</w:t>
      </w:r>
      <w:r w:rsidR="008D671A" w:rsidRPr="0069108D">
        <w:rPr>
          <w:rFonts w:eastAsia="SimSun"/>
          <w:lang w:val="fr-FR" w:eastAsia="zh-CN"/>
        </w:rPr>
        <w:t>nterfédéral contre la discrimination et la violence à l</w:t>
      </w:r>
      <w:r w:rsidR="004B5DCF">
        <w:rPr>
          <w:rFonts w:eastAsia="SimSun"/>
          <w:lang w:val="fr-FR" w:eastAsia="zh-CN"/>
        </w:rPr>
        <w:t>’</w:t>
      </w:r>
      <w:r w:rsidR="008D671A" w:rsidRPr="0069108D">
        <w:rPr>
          <w:rFonts w:eastAsia="SimSun"/>
          <w:lang w:val="fr-FR" w:eastAsia="zh-CN"/>
        </w:rPr>
        <w:t xml:space="preserve">égard des personnes </w:t>
      </w:r>
      <w:r w:rsidR="004B5DCF">
        <w:rPr>
          <w:rFonts w:eastAsia="SimSun"/>
          <w:lang w:val="fr-FR" w:eastAsia="zh-CN"/>
        </w:rPr>
        <w:t xml:space="preserve">lesbiennes, gays, bisexuelles, transgenres et </w:t>
      </w:r>
      <w:r w:rsidR="003649F7">
        <w:rPr>
          <w:rFonts w:eastAsia="SimSun"/>
          <w:lang w:val="fr-FR" w:eastAsia="zh-CN"/>
        </w:rPr>
        <w:t>intersexes</w:t>
      </w:r>
      <w:r w:rsidR="008D671A" w:rsidRPr="0069108D">
        <w:rPr>
          <w:rFonts w:eastAsia="SimSun"/>
          <w:lang w:val="fr-FR" w:eastAsia="zh-CN"/>
        </w:rPr>
        <w:t xml:space="preserve"> (2018-2019)</w:t>
      </w:r>
      <w:r w:rsidR="008D671A">
        <w:rPr>
          <w:rFonts w:eastAsia="SimSun"/>
          <w:lang w:val="fr-FR" w:eastAsia="zh-CN"/>
        </w:rPr>
        <w:t>,</w:t>
      </w:r>
      <w:r w:rsidR="008D671A" w:rsidRPr="00136E84">
        <w:rPr>
          <w:rFonts w:eastAsia="SimSun"/>
          <w:lang w:val="fr-FR" w:eastAsia="zh-CN"/>
        </w:rPr>
        <w:t xml:space="preserve"> </w:t>
      </w:r>
      <w:r w:rsidR="008D671A" w:rsidRPr="0069108D">
        <w:rPr>
          <w:rFonts w:eastAsia="SimSun"/>
          <w:lang w:val="fr-FR" w:eastAsia="zh-CN"/>
        </w:rPr>
        <w:t xml:space="preserve">notamment en ce qui concerne </w:t>
      </w:r>
      <w:r w:rsidR="002970BA">
        <w:rPr>
          <w:rFonts w:eastAsia="SimSun"/>
          <w:lang w:val="fr-FR" w:eastAsia="zh-CN"/>
        </w:rPr>
        <w:t xml:space="preserve">la </w:t>
      </w:r>
      <w:r w:rsidR="008D671A" w:rsidRPr="0069108D">
        <w:rPr>
          <w:rFonts w:eastAsia="SimSun"/>
          <w:lang w:val="fr-FR" w:eastAsia="zh-CN"/>
        </w:rPr>
        <w:t xml:space="preserve">discrimination envers </w:t>
      </w:r>
      <w:r w:rsidR="004B5DCF">
        <w:rPr>
          <w:rFonts w:eastAsia="SimSun"/>
          <w:lang w:val="fr-FR" w:eastAsia="zh-CN"/>
        </w:rPr>
        <w:t>c</w:t>
      </w:r>
      <w:r w:rsidR="008D671A" w:rsidRPr="0069108D">
        <w:rPr>
          <w:rFonts w:eastAsia="SimSun"/>
          <w:lang w:val="fr-FR" w:eastAsia="zh-CN"/>
        </w:rPr>
        <w:t>es personnes dans les domaines de l’accès à l’emploi et sur le lieu de travail et dans le domaine de l’accès aux soins de santé (</w:t>
      </w:r>
      <w:r w:rsidR="008D671A">
        <w:rPr>
          <w:rFonts w:eastAsia="SimSun"/>
          <w:lang w:val="fr-FR" w:eastAsia="zh-CN"/>
        </w:rPr>
        <w:t>en particulier</w:t>
      </w:r>
      <w:r w:rsidR="008D671A" w:rsidRPr="0069108D">
        <w:rPr>
          <w:rFonts w:eastAsia="SimSun"/>
          <w:lang w:val="fr-FR" w:eastAsia="zh-CN"/>
        </w:rPr>
        <w:t xml:space="preserve"> p</w:t>
      </w:r>
      <w:r w:rsidR="007A2655">
        <w:rPr>
          <w:rFonts w:eastAsia="SimSun"/>
          <w:lang w:val="fr-FR" w:eastAsia="zh-CN"/>
        </w:rPr>
        <w:t>our les personnes transgenre</w:t>
      </w:r>
      <w:r w:rsidR="004F2EAB">
        <w:rPr>
          <w:rFonts w:eastAsia="SimSun"/>
          <w:lang w:val="fr-FR" w:eastAsia="zh-CN"/>
        </w:rPr>
        <w:t>s</w:t>
      </w:r>
      <w:r w:rsidR="008D671A" w:rsidRPr="0069108D">
        <w:rPr>
          <w:rFonts w:eastAsia="SimSun"/>
          <w:lang w:val="fr-FR" w:eastAsia="zh-CN"/>
        </w:rPr>
        <w:t>)</w:t>
      </w:r>
      <w:r w:rsidR="005355B9">
        <w:rPr>
          <w:rFonts w:eastAsia="SimSun"/>
          <w:lang w:val="fr-FR" w:eastAsia="zh-CN"/>
        </w:rPr>
        <w:t> ;</w:t>
      </w:r>
      <w:r w:rsidR="00437A5A">
        <w:rPr>
          <w:rFonts w:eastAsia="SimSun"/>
          <w:lang w:val="fr-FR" w:eastAsia="zh-CN"/>
        </w:rPr>
        <w:t xml:space="preserve"> </w:t>
      </w:r>
    </w:p>
    <w:p w14:paraId="31F79E78" w14:textId="7F9DAA75" w:rsidR="003A5B63" w:rsidRDefault="009415C0" w:rsidP="007549C4">
      <w:pPr>
        <w:pStyle w:val="SingleTxtG"/>
        <w:ind w:firstLine="567"/>
        <w:rPr>
          <w:rFonts w:eastAsia="SimSun"/>
          <w:lang w:val="fr-FR" w:eastAsia="zh-CN"/>
        </w:rPr>
      </w:pPr>
      <w:r>
        <w:rPr>
          <w:rFonts w:eastAsia="SimSun"/>
          <w:lang w:val="fr-FR" w:eastAsia="zh-CN"/>
        </w:rPr>
        <w:t>b)</w:t>
      </w:r>
      <w:r>
        <w:rPr>
          <w:rFonts w:eastAsia="SimSun"/>
          <w:lang w:val="fr-FR" w:eastAsia="zh-CN"/>
        </w:rPr>
        <w:tab/>
      </w:r>
      <w:r w:rsidR="00523EE9">
        <w:rPr>
          <w:rFonts w:eastAsia="SimSun"/>
          <w:lang w:val="fr-FR" w:eastAsia="zh-CN"/>
        </w:rPr>
        <w:t>D</w:t>
      </w:r>
      <w:r w:rsidR="00C56053" w:rsidRPr="0069108D">
        <w:rPr>
          <w:rFonts w:eastAsia="SimSun"/>
          <w:lang w:val="fr-FR" w:eastAsia="zh-CN"/>
        </w:rPr>
        <w:t xml:space="preserve">ans la mise en œuvre de la </w:t>
      </w:r>
      <w:r w:rsidR="00BA39A0">
        <w:rPr>
          <w:rFonts w:eastAsia="SimSun"/>
          <w:lang w:val="fr-FR" w:eastAsia="zh-CN"/>
        </w:rPr>
        <w:t>s</w:t>
      </w:r>
      <w:r w:rsidR="00C56053" w:rsidRPr="0069108D">
        <w:rPr>
          <w:rFonts w:eastAsia="SimSun"/>
          <w:lang w:val="fr-FR" w:eastAsia="zh-CN"/>
        </w:rPr>
        <w:t>tratégie nationale pour l’intégration des Rom</w:t>
      </w:r>
      <w:r w:rsidR="00C56053">
        <w:rPr>
          <w:rFonts w:eastAsia="SimSun"/>
          <w:lang w:val="fr-FR" w:eastAsia="zh-CN"/>
        </w:rPr>
        <w:t>s</w:t>
      </w:r>
      <w:r w:rsidR="00C56053" w:rsidRPr="0069108D">
        <w:rPr>
          <w:rFonts w:eastAsia="SimSun"/>
          <w:lang w:val="fr-FR" w:eastAsia="zh-CN"/>
        </w:rPr>
        <w:t xml:space="preserve"> adoptée en 2012</w:t>
      </w:r>
      <w:r w:rsidR="00C56053">
        <w:rPr>
          <w:rFonts w:eastAsia="SimSun"/>
          <w:lang w:val="fr-FR" w:eastAsia="zh-CN"/>
        </w:rPr>
        <w:t xml:space="preserve">, </w:t>
      </w:r>
      <w:r w:rsidR="003A5B63" w:rsidRPr="0069108D">
        <w:rPr>
          <w:rFonts w:eastAsia="SimSun"/>
          <w:lang w:val="fr-FR" w:eastAsia="zh-CN"/>
        </w:rPr>
        <w:t>particulièrement en matière d’accès à l’enseignement, aux formations professionnelles, au marché du travail, aux soins de santé et au logement</w:t>
      </w:r>
      <w:r w:rsidR="00305DC0">
        <w:rPr>
          <w:rFonts w:eastAsia="SimSun"/>
          <w:lang w:val="fr-FR" w:eastAsia="zh-CN"/>
        </w:rPr>
        <w:t>,</w:t>
      </w:r>
      <w:r w:rsidR="003A5B63" w:rsidRPr="0069108D">
        <w:rPr>
          <w:rFonts w:eastAsia="SimSun"/>
          <w:lang w:val="fr-FR" w:eastAsia="zh-CN"/>
        </w:rPr>
        <w:t xml:space="preserve"> et contre les stéréotypes négatifs à l’encontre des Rom</w:t>
      </w:r>
      <w:r w:rsidR="00D577E3">
        <w:rPr>
          <w:rFonts w:eastAsia="SimSun"/>
          <w:lang w:val="fr-FR" w:eastAsia="zh-CN"/>
        </w:rPr>
        <w:t>s</w:t>
      </w:r>
      <w:r w:rsidR="003A5B63" w:rsidRPr="0069108D">
        <w:rPr>
          <w:rFonts w:eastAsia="SimSun"/>
          <w:lang w:val="fr-FR" w:eastAsia="zh-CN"/>
        </w:rPr>
        <w:t xml:space="preserve">. Fournir des </w:t>
      </w:r>
      <w:r w:rsidR="00437A5A">
        <w:rPr>
          <w:rFonts w:eastAsia="SimSun"/>
          <w:lang w:val="fr-FR" w:eastAsia="zh-CN"/>
        </w:rPr>
        <w:t xml:space="preserve">renseignements </w:t>
      </w:r>
      <w:r w:rsidR="003A5B63" w:rsidRPr="0069108D">
        <w:rPr>
          <w:rFonts w:eastAsia="SimSun"/>
          <w:lang w:val="fr-FR" w:eastAsia="zh-CN"/>
        </w:rPr>
        <w:t>sur les progrès accomplis</w:t>
      </w:r>
      <w:r w:rsidR="003A5B63">
        <w:rPr>
          <w:rFonts w:eastAsia="SimSun"/>
          <w:lang w:val="fr-FR" w:eastAsia="zh-CN"/>
        </w:rPr>
        <w:t xml:space="preserve"> et les défis rencontrés.</w:t>
      </w:r>
    </w:p>
    <w:p w14:paraId="1525943A" w14:textId="295DED40" w:rsidR="008D671A" w:rsidRPr="00C92C43" w:rsidRDefault="00C66656" w:rsidP="007549C4">
      <w:pPr>
        <w:pStyle w:val="H23G"/>
        <w:rPr>
          <w:lang w:val="fr-FR"/>
        </w:rPr>
      </w:pPr>
      <w:r>
        <w:rPr>
          <w:lang w:val="fr-FR" w:eastAsia="zh-CN"/>
        </w:rPr>
        <w:tab/>
      </w:r>
      <w:r>
        <w:rPr>
          <w:lang w:val="fr-FR" w:eastAsia="zh-CN"/>
        </w:rPr>
        <w:tab/>
      </w:r>
      <w:r w:rsidR="008D671A" w:rsidRPr="00A805AE">
        <w:rPr>
          <w:lang w:val="fr-FR"/>
        </w:rPr>
        <w:tab/>
      </w:r>
      <w:r w:rsidR="008D671A" w:rsidRPr="00C92C43">
        <w:rPr>
          <w:lang w:val="fr-FR"/>
        </w:rPr>
        <w:t>Droit au travail</w:t>
      </w:r>
    </w:p>
    <w:p w14:paraId="5DB423AD" w14:textId="3D7896F5" w:rsidR="008D671A" w:rsidRPr="009171E3" w:rsidRDefault="00A67AF6" w:rsidP="00FF05B6">
      <w:pPr>
        <w:pStyle w:val="SingleTxtG"/>
        <w:rPr>
          <w:lang w:val="fr-FR"/>
        </w:rPr>
      </w:pPr>
      <w:r>
        <w:rPr>
          <w:lang w:val="fr-FR"/>
        </w:rPr>
        <w:t>12</w:t>
      </w:r>
      <w:r w:rsidR="00FF05B6" w:rsidRPr="009171E3">
        <w:rPr>
          <w:lang w:val="fr-FR"/>
        </w:rPr>
        <w:t>.</w:t>
      </w:r>
      <w:r w:rsidR="00FF05B6" w:rsidRPr="009171E3">
        <w:rPr>
          <w:lang w:val="fr-FR"/>
        </w:rPr>
        <w:tab/>
      </w:r>
      <w:r w:rsidR="008D671A" w:rsidRPr="00E5392D">
        <w:rPr>
          <w:lang w:val="fr-FR"/>
        </w:rPr>
        <w:t>Fournir des données statistiques relatives au chômage</w:t>
      </w:r>
      <w:r w:rsidR="00503C38">
        <w:rPr>
          <w:lang w:val="fr-FR"/>
        </w:rPr>
        <w:t xml:space="preserve"> et au sous-emploi</w:t>
      </w:r>
      <w:r w:rsidR="008D671A" w:rsidRPr="00E5392D">
        <w:rPr>
          <w:lang w:val="fr-FR"/>
        </w:rPr>
        <w:t xml:space="preserve"> ventilées par</w:t>
      </w:r>
      <w:r w:rsidR="008D671A">
        <w:rPr>
          <w:lang w:val="fr-FR"/>
        </w:rPr>
        <w:t xml:space="preserve"> région et par</w:t>
      </w:r>
      <w:r w:rsidR="008D671A" w:rsidRPr="00E5392D">
        <w:rPr>
          <w:lang w:val="fr-FR"/>
        </w:rPr>
        <w:t xml:space="preserve"> sexe, âge, origine ethnique, zone urbaine/rurale, ou tout autre critère pertinent, sur une base comparative </w:t>
      </w:r>
      <w:r w:rsidR="008D671A">
        <w:rPr>
          <w:lang w:val="fr-FR"/>
        </w:rPr>
        <w:t>pour les cinq dernières années</w:t>
      </w:r>
      <w:r w:rsidR="008D671A" w:rsidRPr="00E5392D">
        <w:rPr>
          <w:lang w:val="fr-FR"/>
        </w:rPr>
        <w:t xml:space="preserve">. Fournir des informations sur les mesures prises en vue de lutter contre le chômage et </w:t>
      </w:r>
      <w:r w:rsidR="00AB30E0">
        <w:rPr>
          <w:lang w:val="fr-FR"/>
        </w:rPr>
        <w:t>faciliter</w:t>
      </w:r>
      <w:r w:rsidR="00AB30E0" w:rsidRPr="00E5392D">
        <w:rPr>
          <w:lang w:val="fr-FR"/>
        </w:rPr>
        <w:t xml:space="preserve"> </w:t>
      </w:r>
      <w:r w:rsidR="008D671A" w:rsidRPr="00E5392D">
        <w:rPr>
          <w:lang w:val="fr-FR"/>
        </w:rPr>
        <w:t xml:space="preserve">l’accès à </w:t>
      </w:r>
      <w:r w:rsidR="008D671A" w:rsidRPr="009F4347">
        <w:rPr>
          <w:rFonts w:eastAsia="SimSun"/>
          <w:lang w:val="fr-FR" w:eastAsia="zh-CN"/>
        </w:rPr>
        <w:t>l’emploi</w:t>
      </w:r>
      <w:r w:rsidR="008D671A" w:rsidRPr="00E5392D">
        <w:rPr>
          <w:lang w:val="fr-FR"/>
        </w:rPr>
        <w:t>, en pa</w:t>
      </w:r>
      <w:r w:rsidR="00AD15C4">
        <w:rPr>
          <w:lang w:val="fr-FR"/>
        </w:rPr>
        <w:t xml:space="preserve">rticulier </w:t>
      </w:r>
      <w:r w:rsidR="00C97779">
        <w:rPr>
          <w:lang w:val="fr-FR"/>
        </w:rPr>
        <w:t>des</w:t>
      </w:r>
      <w:r w:rsidR="00AD15C4">
        <w:rPr>
          <w:lang w:val="fr-FR"/>
        </w:rPr>
        <w:t xml:space="preserve"> jeunes (15-</w:t>
      </w:r>
      <w:r w:rsidR="008D671A" w:rsidRPr="00E5392D">
        <w:rPr>
          <w:lang w:val="fr-FR"/>
        </w:rPr>
        <w:t xml:space="preserve">24 ans), </w:t>
      </w:r>
      <w:r w:rsidR="00C97779">
        <w:rPr>
          <w:lang w:val="fr-FR"/>
        </w:rPr>
        <w:t>d</w:t>
      </w:r>
      <w:r w:rsidR="008D671A" w:rsidRPr="00E5392D">
        <w:rPr>
          <w:lang w:val="fr-FR"/>
        </w:rPr>
        <w:t>e</w:t>
      </w:r>
      <w:r w:rsidR="008D671A">
        <w:rPr>
          <w:lang w:val="fr-FR"/>
        </w:rPr>
        <w:t xml:space="preserve">s personnes entre 55 et 64 ans et </w:t>
      </w:r>
      <w:r w:rsidR="00C97779">
        <w:rPr>
          <w:lang w:val="fr-FR"/>
        </w:rPr>
        <w:t>d</w:t>
      </w:r>
      <w:r w:rsidR="008D671A" w:rsidRPr="00E5392D">
        <w:rPr>
          <w:lang w:val="fr-FR"/>
        </w:rPr>
        <w:t>es personnes handicapées</w:t>
      </w:r>
      <w:r w:rsidR="008D671A">
        <w:rPr>
          <w:lang w:val="fr-FR"/>
        </w:rPr>
        <w:t>, et sur l’impact de ces mesures</w:t>
      </w:r>
      <w:r w:rsidR="008D671A" w:rsidRPr="00E5392D">
        <w:rPr>
          <w:lang w:val="fr-FR"/>
        </w:rPr>
        <w:t xml:space="preserve">. </w:t>
      </w:r>
      <w:r w:rsidR="008D671A" w:rsidRPr="00E5392D">
        <w:rPr>
          <w:rFonts w:eastAsia="SimSun"/>
          <w:lang w:val="fr-FR" w:eastAsia="zh-CN"/>
        </w:rPr>
        <w:t>Fournir des informations sur les mesures prises</w:t>
      </w:r>
      <w:r w:rsidR="008D671A">
        <w:rPr>
          <w:rFonts w:eastAsia="SimSun"/>
          <w:lang w:val="fr-FR" w:eastAsia="zh-CN"/>
        </w:rPr>
        <w:t xml:space="preserve"> </w:t>
      </w:r>
      <w:r w:rsidR="00C97779">
        <w:rPr>
          <w:rFonts w:eastAsia="SimSun"/>
          <w:lang w:val="fr-FR" w:eastAsia="zh-CN"/>
        </w:rPr>
        <w:t xml:space="preserve">et leur impact </w:t>
      </w:r>
      <w:r w:rsidR="008D671A" w:rsidRPr="00E5392D">
        <w:rPr>
          <w:rFonts w:eastAsia="SimSun"/>
          <w:lang w:val="fr-FR" w:eastAsia="zh-CN"/>
        </w:rPr>
        <w:t xml:space="preserve">en vue de promouvoir </w:t>
      </w:r>
      <w:r w:rsidR="00503C38">
        <w:rPr>
          <w:rFonts w:eastAsia="SimSun"/>
          <w:lang w:val="fr-FR" w:eastAsia="zh-CN"/>
        </w:rPr>
        <w:t>l</w:t>
      </w:r>
      <w:r w:rsidR="008D671A" w:rsidRPr="00E5392D">
        <w:rPr>
          <w:rFonts w:eastAsia="SimSun"/>
          <w:lang w:val="fr-FR" w:eastAsia="zh-CN"/>
        </w:rPr>
        <w:t>es femm</w:t>
      </w:r>
      <w:r w:rsidR="008D671A">
        <w:rPr>
          <w:rFonts w:eastAsia="SimSun"/>
          <w:lang w:val="fr-FR" w:eastAsia="zh-CN"/>
        </w:rPr>
        <w:t xml:space="preserve">es </w:t>
      </w:r>
      <w:r w:rsidR="00D577E3">
        <w:rPr>
          <w:rFonts w:eastAsia="SimSun"/>
          <w:lang w:val="fr-FR" w:eastAsia="zh-CN"/>
        </w:rPr>
        <w:t>dans d</w:t>
      </w:r>
      <w:r w:rsidR="00503C38">
        <w:rPr>
          <w:rFonts w:eastAsia="SimSun"/>
          <w:lang w:val="fr-FR" w:eastAsia="zh-CN"/>
        </w:rPr>
        <w:t>es emplois permanents</w:t>
      </w:r>
      <w:r w:rsidR="008D671A">
        <w:rPr>
          <w:rFonts w:eastAsia="SimSun"/>
          <w:lang w:val="fr-FR" w:eastAsia="zh-CN"/>
        </w:rPr>
        <w:t xml:space="preserve">, </w:t>
      </w:r>
      <w:r w:rsidR="00305DC0">
        <w:rPr>
          <w:rFonts w:eastAsia="SimSun"/>
          <w:lang w:val="fr-FR" w:eastAsia="zh-CN"/>
        </w:rPr>
        <w:t>notamment</w:t>
      </w:r>
      <w:r w:rsidR="00503C38" w:rsidRPr="00E5392D">
        <w:rPr>
          <w:rFonts w:eastAsia="SimSun"/>
          <w:lang w:val="fr-FR" w:eastAsia="zh-CN"/>
        </w:rPr>
        <w:t xml:space="preserve"> </w:t>
      </w:r>
      <w:r w:rsidR="008D671A" w:rsidRPr="00E5392D">
        <w:rPr>
          <w:rFonts w:eastAsia="SimSun"/>
          <w:lang w:val="fr-FR" w:eastAsia="zh-CN"/>
        </w:rPr>
        <w:t xml:space="preserve">les femmes ayant des enfants en bas âge. </w:t>
      </w:r>
    </w:p>
    <w:p w14:paraId="62C97CF0" w14:textId="4C7DFB1F" w:rsidR="008D671A" w:rsidRPr="002B6DAF" w:rsidRDefault="00FF05B6" w:rsidP="00FF05B6">
      <w:pPr>
        <w:pStyle w:val="SingleTxtG"/>
        <w:rPr>
          <w:lang w:val="fr-FR"/>
        </w:rPr>
      </w:pPr>
      <w:r w:rsidRPr="002B6DAF">
        <w:rPr>
          <w:lang w:val="fr-FR"/>
        </w:rPr>
        <w:t>1</w:t>
      </w:r>
      <w:r w:rsidR="00A67AF6">
        <w:rPr>
          <w:lang w:val="fr-FR"/>
        </w:rPr>
        <w:t>3</w:t>
      </w:r>
      <w:r w:rsidRPr="002B6DAF">
        <w:rPr>
          <w:lang w:val="fr-FR"/>
        </w:rPr>
        <w:t>.</w:t>
      </w:r>
      <w:r w:rsidRPr="002B6DAF">
        <w:rPr>
          <w:lang w:val="fr-FR"/>
        </w:rPr>
        <w:tab/>
      </w:r>
      <w:r w:rsidR="008D671A">
        <w:rPr>
          <w:lang w:val="fr-FR"/>
        </w:rPr>
        <w:t>Indiquer quelles sont</w:t>
      </w:r>
      <w:r w:rsidR="008D671A" w:rsidRPr="00A805AE">
        <w:rPr>
          <w:lang w:val="fr-FR"/>
        </w:rPr>
        <w:t xml:space="preserve"> les mesures prises en vue </w:t>
      </w:r>
      <w:r w:rsidR="00305DC0">
        <w:rPr>
          <w:lang w:val="fr-FR"/>
        </w:rPr>
        <w:t xml:space="preserve">de </w:t>
      </w:r>
      <w:r w:rsidR="008D671A">
        <w:rPr>
          <w:lang w:val="fr-FR"/>
        </w:rPr>
        <w:t>faciliter l’accès à l’emploi</w:t>
      </w:r>
      <w:r w:rsidR="008D671A" w:rsidRPr="00A805AE">
        <w:rPr>
          <w:lang w:val="fr-FR"/>
        </w:rPr>
        <w:t xml:space="preserve"> des personnes </w:t>
      </w:r>
      <w:r w:rsidR="008D671A">
        <w:rPr>
          <w:lang w:val="fr-FR"/>
        </w:rPr>
        <w:t>migrantes</w:t>
      </w:r>
      <w:r w:rsidR="008D671A" w:rsidRPr="00A805AE">
        <w:rPr>
          <w:lang w:val="fr-FR"/>
        </w:rPr>
        <w:t>, en particulier les personnes originaires d</w:t>
      </w:r>
      <w:r w:rsidR="007257EF">
        <w:rPr>
          <w:lang w:val="fr-FR"/>
        </w:rPr>
        <w:t>’États</w:t>
      </w:r>
      <w:r w:rsidR="007257EF" w:rsidRPr="00A805AE" w:rsidDel="007257EF">
        <w:rPr>
          <w:lang w:val="fr-FR"/>
        </w:rPr>
        <w:t xml:space="preserve"> </w:t>
      </w:r>
      <w:r w:rsidR="008D671A" w:rsidRPr="00A805AE">
        <w:rPr>
          <w:lang w:val="fr-FR"/>
        </w:rPr>
        <w:t>non</w:t>
      </w:r>
      <w:r w:rsidR="00EF04CC">
        <w:rPr>
          <w:lang w:val="fr-FR"/>
        </w:rPr>
        <w:t xml:space="preserve"> </w:t>
      </w:r>
      <w:r w:rsidR="008D671A" w:rsidRPr="00A805AE">
        <w:rPr>
          <w:lang w:val="fr-FR"/>
        </w:rPr>
        <w:t>membre</w:t>
      </w:r>
      <w:r w:rsidR="007257EF">
        <w:rPr>
          <w:lang w:val="fr-FR"/>
        </w:rPr>
        <w:t>s</w:t>
      </w:r>
      <w:r w:rsidR="008D671A" w:rsidRPr="00A805AE">
        <w:rPr>
          <w:lang w:val="fr-FR"/>
        </w:rPr>
        <w:t xml:space="preserve"> de l’Union </w:t>
      </w:r>
      <w:r w:rsidR="00A839A1">
        <w:rPr>
          <w:lang w:val="fr-FR"/>
        </w:rPr>
        <w:t>e</w:t>
      </w:r>
      <w:r w:rsidR="00A839A1" w:rsidRPr="00A805AE">
        <w:rPr>
          <w:lang w:val="fr-FR"/>
        </w:rPr>
        <w:t xml:space="preserve">uropéenne </w:t>
      </w:r>
      <w:r w:rsidR="008D671A" w:rsidRPr="00A805AE">
        <w:rPr>
          <w:lang w:val="fr-FR"/>
        </w:rPr>
        <w:t>et les Rom</w:t>
      </w:r>
      <w:r w:rsidR="00D577E3">
        <w:rPr>
          <w:lang w:val="fr-FR"/>
        </w:rPr>
        <w:t>s</w:t>
      </w:r>
      <w:r w:rsidR="008D671A" w:rsidRPr="00A805AE">
        <w:rPr>
          <w:lang w:val="fr-FR"/>
        </w:rPr>
        <w:t xml:space="preserve"> originaires d</w:t>
      </w:r>
      <w:r w:rsidR="007257EF">
        <w:rPr>
          <w:lang w:val="fr-FR"/>
        </w:rPr>
        <w:t>’États</w:t>
      </w:r>
      <w:r w:rsidR="007257EF" w:rsidRPr="00A805AE" w:rsidDel="007257EF">
        <w:rPr>
          <w:lang w:val="fr-FR"/>
        </w:rPr>
        <w:t xml:space="preserve"> </w:t>
      </w:r>
      <w:r w:rsidR="008D671A" w:rsidRPr="00A805AE">
        <w:rPr>
          <w:lang w:val="fr-FR"/>
        </w:rPr>
        <w:t>membres et non</w:t>
      </w:r>
      <w:r w:rsidR="00EF04CC">
        <w:rPr>
          <w:lang w:val="fr-FR"/>
        </w:rPr>
        <w:t xml:space="preserve"> </w:t>
      </w:r>
      <w:r w:rsidR="008D671A" w:rsidRPr="00A805AE">
        <w:rPr>
          <w:lang w:val="fr-FR"/>
        </w:rPr>
        <w:t xml:space="preserve">membres de l’Union </w:t>
      </w:r>
      <w:r w:rsidR="00A839A1">
        <w:rPr>
          <w:lang w:val="fr-FR"/>
        </w:rPr>
        <w:t>e</w:t>
      </w:r>
      <w:r w:rsidR="00A839A1" w:rsidRPr="00A805AE">
        <w:rPr>
          <w:lang w:val="fr-FR"/>
        </w:rPr>
        <w:t>uropéenne</w:t>
      </w:r>
      <w:r w:rsidR="008D671A" w:rsidRPr="00A805AE">
        <w:rPr>
          <w:lang w:val="fr-FR"/>
        </w:rPr>
        <w:t xml:space="preserve">, et de lutter contre la discrimination à l’embauche envers ces </w:t>
      </w:r>
      <w:r w:rsidR="00724824">
        <w:rPr>
          <w:lang w:val="fr-FR"/>
        </w:rPr>
        <w:t>groupes</w:t>
      </w:r>
      <w:r w:rsidR="008D671A" w:rsidRPr="00A805AE">
        <w:rPr>
          <w:lang w:val="fr-FR"/>
        </w:rPr>
        <w:t>.</w:t>
      </w:r>
      <w:r w:rsidR="008D671A">
        <w:rPr>
          <w:lang w:val="fr-FR"/>
        </w:rPr>
        <w:t xml:space="preserve"> Donner des informations sur l’impact de ces mesures et sur le pourcentage d’individu</w:t>
      </w:r>
      <w:r w:rsidR="00A55521">
        <w:rPr>
          <w:lang w:val="fr-FR"/>
        </w:rPr>
        <w:t>s</w:t>
      </w:r>
      <w:r w:rsidR="008D671A">
        <w:rPr>
          <w:lang w:val="fr-FR"/>
        </w:rPr>
        <w:t xml:space="preserve"> (données ventilées par catégorie) en ayant bénéficié. Donner </w:t>
      </w:r>
      <w:r w:rsidR="008D671A" w:rsidRPr="00A805AE">
        <w:rPr>
          <w:lang w:val="fr-FR"/>
        </w:rPr>
        <w:t>des informations sur les mesures prises en vue de promouvoir l’accès des Rom</w:t>
      </w:r>
      <w:r w:rsidR="00D577E3">
        <w:rPr>
          <w:lang w:val="fr-FR"/>
        </w:rPr>
        <w:t>s</w:t>
      </w:r>
      <w:r w:rsidR="008D671A" w:rsidRPr="00A805AE">
        <w:rPr>
          <w:lang w:val="fr-FR"/>
        </w:rPr>
        <w:t xml:space="preserve"> et des personnes d’origine étrangère à la formation </w:t>
      </w:r>
      <w:r w:rsidR="008D671A" w:rsidRPr="00A805AE">
        <w:rPr>
          <w:lang w:val="fr-FR"/>
        </w:rPr>
        <w:lastRenderedPageBreak/>
        <w:t>professionnelle ; fournir des données statistiques ventilées par sexe sur le nombre de Rom</w:t>
      </w:r>
      <w:r w:rsidR="00D577E3">
        <w:rPr>
          <w:lang w:val="fr-FR"/>
        </w:rPr>
        <w:t>s</w:t>
      </w:r>
      <w:r w:rsidR="008D671A" w:rsidRPr="00A805AE">
        <w:rPr>
          <w:lang w:val="fr-FR"/>
        </w:rPr>
        <w:t xml:space="preserve"> et de personnes d’origine étrangère ayant </w:t>
      </w:r>
      <w:r w:rsidR="00DC5A23">
        <w:rPr>
          <w:lang w:val="fr-FR"/>
        </w:rPr>
        <w:t>suivi</w:t>
      </w:r>
      <w:r w:rsidR="00DC5A23" w:rsidRPr="00A805AE">
        <w:rPr>
          <w:lang w:val="fr-FR"/>
        </w:rPr>
        <w:t xml:space="preserve"> </w:t>
      </w:r>
      <w:r w:rsidR="008D671A" w:rsidRPr="00A805AE">
        <w:rPr>
          <w:lang w:val="fr-FR"/>
        </w:rPr>
        <w:t>une formation professionnelle sur une base comparative durant les cinq dernières années.</w:t>
      </w:r>
    </w:p>
    <w:p w14:paraId="66CADBE7" w14:textId="5EEC53B6" w:rsidR="008D671A" w:rsidRPr="007549C4" w:rsidRDefault="008D671A" w:rsidP="007549C4">
      <w:pPr>
        <w:pStyle w:val="H23G"/>
        <w:rPr>
          <w:lang w:val="fr-FR"/>
        </w:rPr>
      </w:pPr>
      <w:r w:rsidRPr="00A805AE">
        <w:rPr>
          <w:lang w:val="fr-FR"/>
        </w:rPr>
        <w:tab/>
      </w:r>
      <w:r w:rsidR="00BA69E1">
        <w:rPr>
          <w:lang w:val="fr-FR"/>
        </w:rPr>
        <w:tab/>
      </w:r>
      <w:r w:rsidRPr="00C92C43">
        <w:rPr>
          <w:lang w:val="fr-FR"/>
        </w:rPr>
        <w:t>Droit à des conditions de travail justes et favorables</w:t>
      </w:r>
    </w:p>
    <w:p w14:paraId="65630E02" w14:textId="1BFAB02A" w:rsidR="008D671A" w:rsidRDefault="00FF05B6" w:rsidP="009D70D3">
      <w:pPr>
        <w:pStyle w:val="SingleTxtG"/>
        <w:rPr>
          <w:lang w:val="fr-FR"/>
        </w:rPr>
      </w:pPr>
      <w:r>
        <w:rPr>
          <w:lang w:val="fr-FR"/>
        </w:rPr>
        <w:t>1</w:t>
      </w:r>
      <w:r w:rsidR="00D86904">
        <w:rPr>
          <w:lang w:val="fr-FR"/>
        </w:rPr>
        <w:t>4</w:t>
      </w:r>
      <w:r>
        <w:rPr>
          <w:lang w:val="fr-FR"/>
        </w:rPr>
        <w:t>.</w:t>
      </w:r>
      <w:r>
        <w:rPr>
          <w:lang w:val="fr-FR"/>
        </w:rPr>
        <w:tab/>
      </w:r>
      <w:r w:rsidR="008D671A">
        <w:rPr>
          <w:lang w:val="fr-FR"/>
        </w:rPr>
        <w:t xml:space="preserve">Indiquer quelles sont les mesures prises et les défis rencontrés </w:t>
      </w:r>
      <w:r w:rsidR="00DC5A23">
        <w:rPr>
          <w:lang w:val="fr-FR"/>
        </w:rPr>
        <w:t>pour</w:t>
      </w:r>
      <w:r w:rsidR="008D671A">
        <w:rPr>
          <w:lang w:val="fr-FR"/>
        </w:rPr>
        <w:t xml:space="preserve"> mettre en œuvre la Convention </w:t>
      </w:r>
      <w:r w:rsidR="00DC5A23">
        <w:rPr>
          <w:lang w:val="fr-FR"/>
        </w:rPr>
        <w:t>n</w:t>
      </w:r>
      <w:r w:rsidR="00DC5A23" w:rsidRPr="00473FFF">
        <w:rPr>
          <w:vertAlign w:val="superscript"/>
          <w:lang w:val="fr-FR"/>
        </w:rPr>
        <w:t>o</w:t>
      </w:r>
      <w:r w:rsidR="00DC5A23">
        <w:rPr>
          <w:lang w:val="fr-FR"/>
        </w:rPr>
        <w:t xml:space="preserve"> 189 </w:t>
      </w:r>
      <w:r w:rsidR="008D671A">
        <w:rPr>
          <w:lang w:val="fr-FR"/>
        </w:rPr>
        <w:t xml:space="preserve">de </w:t>
      </w:r>
      <w:r w:rsidR="008D671A" w:rsidRPr="009F4347">
        <w:rPr>
          <w:rFonts w:eastAsia="SimSun"/>
          <w:lang w:val="fr-FR" w:eastAsia="zh-CN"/>
        </w:rPr>
        <w:t>l’Organisation</w:t>
      </w:r>
      <w:r w:rsidR="008D671A">
        <w:rPr>
          <w:lang w:val="fr-FR"/>
        </w:rPr>
        <w:t xml:space="preserve"> </w:t>
      </w:r>
      <w:r w:rsidR="00DC5A23">
        <w:rPr>
          <w:lang w:val="fr-FR"/>
        </w:rPr>
        <w:t>i</w:t>
      </w:r>
      <w:r w:rsidR="008D671A">
        <w:rPr>
          <w:lang w:val="fr-FR"/>
        </w:rPr>
        <w:t>nternationale du Travail sur les travailleuses et travailleurs domestiques</w:t>
      </w:r>
      <w:r w:rsidR="00DC5A23">
        <w:rPr>
          <w:lang w:val="fr-FR"/>
        </w:rPr>
        <w:t xml:space="preserve"> (2011)</w:t>
      </w:r>
      <w:r w:rsidR="008D671A">
        <w:rPr>
          <w:lang w:val="fr-FR"/>
        </w:rPr>
        <w:t xml:space="preserve"> suite à sa ratification par </w:t>
      </w:r>
      <w:r w:rsidR="00BF0F8B">
        <w:rPr>
          <w:lang w:val="fr-FR"/>
        </w:rPr>
        <w:t xml:space="preserve">l’État partie </w:t>
      </w:r>
      <w:r w:rsidR="008D671A">
        <w:rPr>
          <w:lang w:val="fr-FR"/>
        </w:rPr>
        <w:t>le 10 juin 2015</w:t>
      </w:r>
      <w:r w:rsidR="0091242C">
        <w:rPr>
          <w:lang w:val="fr-FR"/>
        </w:rPr>
        <w:t> ;</w:t>
      </w:r>
      <w:r w:rsidR="008D671A">
        <w:rPr>
          <w:lang w:val="fr-FR"/>
        </w:rPr>
        <w:t xml:space="preserve"> fournir des renseignements sur l’impact de ces mesures sur les droits et la protection sociale des travailleurs domestiques, notamment ceux qui se trouvent en situation illégale.</w:t>
      </w:r>
    </w:p>
    <w:p w14:paraId="241D51B3" w14:textId="7B44FC71" w:rsidR="008D671A" w:rsidRPr="00A805AE" w:rsidRDefault="008D671A" w:rsidP="007549C4">
      <w:pPr>
        <w:pStyle w:val="H23G"/>
        <w:rPr>
          <w:lang w:val="fr-FR"/>
        </w:rPr>
      </w:pPr>
      <w:r w:rsidRPr="00987671">
        <w:rPr>
          <w:lang w:val="fr-FR"/>
        </w:rPr>
        <w:tab/>
      </w:r>
      <w:r w:rsidRPr="00987671">
        <w:rPr>
          <w:lang w:val="fr-FR"/>
        </w:rPr>
        <w:tab/>
      </w:r>
      <w:r w:rsidRPr="00C92C43">
        <w:rPr>
          <w:lang w:val="fr-FR"/>
        </w:rPr>
        <w:t>Droits syndicaux</w:t>
      </w:r>
    </w:p>
    <w:p w14:paraId="453FCCE3" w14:textId="0069389A" w:rsidR="008D671A" w:rsidRPr="007549C4" w:rsidRDefault="00FF05B6" w:rsidP="009D70D3">
      <w:pPr>
        <w:pStyle w:val="SingleTxtG"/>
        <w:rPr>
          <w:lang w:val="fr-FR"/>
        </w:rPr>
      </w:pPr>
      <w:r w:rsidRPr="00A805AE">
        <w:rPr>
          <w:rFonts w:eastAsia="SimSun"/>
          <w:lang w:val="fr-FR" w:eastAsia="zh-CN"/>
        </w:rPr>
        <w:t>1</w:t>
      </w:r>
      <w:r w:rsidR="00E90206">
        <w:rPr>
          <w:rFonts w:eastAsia="SimSun"/>
          <w:lang w:val="fr-FR" w:eastAsia="zh-CN"/>
        </w:rPr>
        <w:t>5</w:t>
      </w:r>
      <w:r w:rsidRPr="00A805AE">
        <w:rPr>
          <w:rFonts w:eastAsia="SimSun"/>
          <w:lang w:val="fr-FR" w:eastAsia="zh-CN"/>
        </w:rPr>
        <w:t>.</w:t>
      </w:r>
      <w:r w:rsidRPr="00A805AE">
        <w:rPr>
          <w:rFonts w:eastAsia="SimSun"/>
          <w:lang w:val="fr-FR" w:eastAsia="zh-CN"/>
        </w:rPr>
        <w:tab/>
      </w:r>
      <w:r w:rsidR="008D671A" w:rsidRPr="00A805AE">
        <w:rPr>
          <w:rFonts w:eastAsia="SimSun"/>
          <w:lang w:val="fr-FR" w:eastAsia="zh-CN"/>
        </w:rPr>
        <w:t xml:space="preserve">Fournir des renseignements sur les démarches entreprises en vue d’inscrire explicitement le droit de grève dans la législation </w:t>
      </w:r>
      <w:r w:rsidR="00BF0F8B">
        <w:rPr>
          <w:rFonts w:eastAsia="SimSun"/>
          <w:lang w:val="fr-FR" w:eastAsia="zh-CN"/>
        </w:rPr>
        <w:t>d</w:t>
      </w:r>
      <w:r w:rsidR="00BF0F8B" w:rsidRPr="00A805AE">
        <w:rPr>
          <w:rFonts w:eastAsia="SimSun"/>
          <w:lang w:val="fr-FR" w:eastAsia="zh-CN"/>
        </w:rPr>
        <w:t>e</w:t>
      </w:r>
      <w:r w:rsidR="00BF0F8B">
        <w:rPr>
          <w:rFonts w:eastAsia="SimSun"/>
          <w:lang w:val="fr-FR" w:eastAsia="zh-CN"/>
        </w:rPr>
        <w:t xml:space="preserve"> </w:t>
      </w:r>
      <w:r w:rsidR="00BF0F8B">
        <w:rPr>
          <w:lang w:val="fr-FR"/>
        </w:rPr>
        <w:t>l’État partie</w:t>
      </w:r>
      <w:r w:rsidR="00AD15C4">
        <w:rPr>
          <w:rFonts w:eastAsia="SimSun"/>
          <w:lang w:val="fr-FR" w:eastAsia="zh-CN"/>
        </w:rPr>
        <w:t xml:space="preserve">. </w:t>
      </w:r>
      <w:r w:rsidR="00B43EDC">
        <w:rPr>
          <w:rFonts w:eastAsia="SimSun"/>
          <w:lang w:val="fr-FR" w:eastAsia="zh-CN"/>
        </w:rPr>
        <w:t xml:space="preserve">Fournir </w:t>
      </w:r>
      <w:r w:rsidR="0091242C">
        <w:rPr>
          <w:rFonts w:eastAsia="SimSun"/>
          <w:lang w:val="fr-FR" w:eastAsia="zh-CN"/>
        </w:rPr>
        <w:t xml:space="preserve">également </w:t>
      </w:r>
      <w:r w:rsidR="00B43EDC">
        <w:rPr>
          <w:rFonts w:eastAsia="SimSun"/>
          <w:lang w:val="fr-FR" w:eastAsia="zh-CN"/>
        </w:rPr>
        <w:t>des renseignements sur le taux d’adhérence aux syndicats</w:t>
      </w:r>
      <w:r w:rsidR="00BC077D">
        <w:rPr>
          <w:rFonts w:eastAsia="SimSun"/>
          <w:lang w:val="fr-FR" w:eastAsia="zh-CN"/>
        </w:rPr>
        <w:t xml:space="preserve"> sur une base comparative durant les cinq dernières années et sur les causes des </w:t>
      </w:r>
      <w:r w:rsidR="00074CE3">
        <w:rPr>
          <w:rFonts w:eastAsia="SimSun"/>
          <w:lang w:val="fr-FR" w:eastAsia="zh-CN"/>
        </w:rPr>
        <w:t>fluctuations</w:t>
      </w:r>
      <w:r w:rsidR="00B30E13">
        <w:rPr>
          <w:rFonts w:eastAsia="SimSun"/>
          <w:lang w:val="fr-FR" w:eastAsia="zh-CN"/>
        </w:rPr>
        <w:t xml:space="preserve"> de ce taux</w:t>
      </w:r>
      <w:r w:rsidR="008875D9">
        <w:rPr>
          <w:rFonts w:eastAsia="SimSun"/>
          <w:lang w:val="fr-FR" w:eastAsia="zh-CN"/>
        </w:rPr>
        <w:t>, s’il y en a</w:t>
      </w:r>
      <w:r w:rsidR="00B43EDC">
        <w:rPr>
          <w:rFonts w:eastAsia="SimSun"/>
          <w:lang w:val="fr-FR" w:eastAsia="zh-CN"/>
        </w:rPr>
        <w:t xml:space="preserve">. </w:t>
      </w:r>
    </w:p>
    <w:p w14:paraId="3BA40B9D" w14:textId="5FAD2D22" w:rsidR="008D671A" w:rsidRPr="00A805AE" w:rsidRDefault="008D671A" w:rsidP="007549C4">
      <w:pPr>
        <w:pStyle w:val="H23G"/>
        <w:rPr>
          <w:lang w:val="fr-FR"/>
        </w:rPr>
      </w:pPr>
      <w:r w:rsidRPr="00D97B48">
        <w:rPr>
          <w:lang w:val="fr-FR"/>
        </w:rPr>
        <w:tab/>
      </w:r>
      <w:r w:rsidRPr="00C92C43">
        <w:rPr>
          <w:lang w:val="fr-FR"/>
        </w:rPr>
        <w:tab/>
        <w:t>Droit à la sécurité sociale</w:t>
      </w:r>
    </w:p>
    <w:p w14:paraId="1F5E5623" w14:textId="6BCD07FD" w:rsidR="000C225F" w:rsidRPr="008D4C8C" w:rsidRDefault="00FF05B6" w:rsidP="008D4C8C">
      <w:pPr>
        <w:pStyle w:val="SingleTxtG"/>
        <w:rPr>
          <w:lang w:val="fr-FR" w:eastAsia="zh-CN"/>
        </w:rPr>
      </w:pPr>
      <w:r w:rsidRPr="007B7B07">
        <w:rPr>
          <w:lang w:val="fr-FR" w:eastAsia="zh-CN"/>
        </w:rPr>
        <w:t>1</w:t>
      </w:r>
      <w:r w:rsidR="00A65EC5">
        <w:rPr>
          <w:lang w:val="fr-FR" w:eastAsia="zh-CN"/>
        </w:rPr>
        <w:t>6</w:t>
      </w:r>
      <w:r w:rsidRPr="007B7B07">
        <w:rPr>
          <w:lang w:val="fr-FR" w:eastAsia="zh-CN"/>
        </w:rPr>
        <w:t>.</w:t>
      </w:r>
      <w:r w:rsidRPr="007B7B07">
        <w:rPr>
          <w:lang w:val="fr-FR" w:eastAsia="zh-CN"/>
        </w:rPr>
        <w:tab/>
      </w:r>
      <w:r w:rsidR="008D671A" w:rsidRPr="00A805AE">
        <w:rPr>
          <w:lang w:val="fr-FR" w:eastAsia="zh-CN"/>
        </w:rPr>
        <w:t xml:space="preserve">Fournir des renseignements sur l’impact </w:t>
      </w:r>
      <w:r w:rsidR="008D671A">
        <w:rPr>
          <w:lang w:val="fr-FR" w:eastAsia="zh-CN"/>
        </w:rPr>
        <w:t xml:space="preserve">de </w:t>
      </w:r>
      <w:r w:rsidR="00841A94">
        <w:rPr>
          <w:lang w:val="fr-FR" w:eastAsia="zh-CN"/>
        </w:rPr>
        <w:t>l’arrêté</w:t>
      </w:r>
      <w:r w:rsidR="00841A94" w:rsidRPr="00A805AE">
        <w:rPr>
          <w:lang w:val="fr-FR" w:eastAsia="zh-CN"/>
        </w:rPr>
        <w:t xml:space="preserve"> </w:t>
      </w:r>
      <w:r w:rsidR="00841A94">
        <w:rPr>
          <w:lang w:val="fr-FR" w:eastAsia="zh-CN"/>
        </w:rPr>
        <w:t>r</w:t>
      </w:r>
      <w:r w:rsidR="00841A94" w:rsidRPr="00A805AE">
        <w:rPr>
          <w:lang w:val="fr-FR" w:eastAsia="zh-CN"/>
        </w:rPr>
        <w:t xml:space="preserve">oyal </w:t>
      </w:r>
      <w:r w:rsidR="008D671A" w:rsidRPr="00A805AE">
        <w:rPr>
          <w:lang w:val="fr-FR" w:eastAsia="zh-CN"/>
        </w:rPr>
        <w:t>du 23 juillet 2012 renforçant la dégression des allocations chômage et limitant les allocations d’insertion dans le temps</w:t>
      </w:r>
      <w:r w:rsidR="008D671A">
        <w:rPr>
          <w:lang w:val="fr-FR" w:eastAsia="zh-CN"/>
        </w:rPr>
        <w:t xml:space="preserve"> </w:t>
      </w:r>
      <w:r w:rsidR="00652BEF">
        <w:rPr>
          <w:lang w:val="fr-FR" w:eastAsia="zh-CN"/>
        </w:rPr>
        <w:t xml:space="preserve">pour </w:t>
      </w:r>
      <w:r w:rsidR="008D671A">
        <w:rPr>
          <w:lang w:val="fr-FR" w:eastAsia="zh-CN"/>
        </w:rPr>
        <w:t>les bénéficiaires</w:t>
      </w:r>
      <w:r w:rsidR="00D577E3">
        <w:rPr>
          <w:lang w:val="fr-FR" w:eastAsia="zh-CN"/>
        </w:rPr>
        <w:t>, ainsi que</w:t>
      </w:r>
      <w:r w:rsidR="00A65EC5">
        <w:rPr>
          <w:lang w:val="fr-FR" w:eastAsia="zh-CN"/>
        </w:rPr>
        <w:t xml:space="preserve"> </w:t>
      </w:r>
      <w:r w:rsidR="00084C9E">
        <w:rPr>
          <w:lang w:val="fr-FR" w:eastAsia="zh-CN"/>
        </w:rPr>
        <w:t>sur toute</w:t>
      </w:r>
      <w:r w:rsidR="00A65EC5">
        <w:rPr>
          <w:lang w:val="fr-FR" w:eastAsia="zh-CN"/>
        </w:rPr>
        <w:t xml:space="preserve"> évaluation de</w:t>
      </w:r>
      <w:r w:rsidR="00084C9E">
        <w:rPr>
          <w:lang w:val="fr-FR" w:eastAsia="zh-CN"/>
        </w:rPr>
        <w:t xml:space="preserve"> la mise en œuvre de</w:t>
      </w:r>
      <w:r w:rsidR="005C1DA9">
        <w:rPr>
          <w:lang w:val="fr-FR" w:eastAsia="zh-CN"/>
        </w:rPr>
        <w:t xml:space="preserve"> cet arrêté</w:t>
      </w:r>
      <w:r w:rsidR="00084C9E">
        <w:rPr>
          <w:lang w:eastAsia="zh-CN"/>
        </w:rPr>
        <w:t>.</w:t>
      </w:r>
      <w:r w:rsidR="008D671A">
        <w:rPr>
          <w:lang w:val="fr-FR" w:eastAsia="zh-CN"/>
        </w:rPr>
        <w:t xml:space="preserve"> </w:t>
      </w:r>
      <w:r w:rsidR="008D671A" w:rsidRPr="00A805AE">
        <w:rPr>
          <w:lang w:val="fr-FR" w:eastAsia="zh-CN"/>
        </w:rPr>
        <w:t>Fournir de</w:t>
      </w:r>
      <w:r w:rsidR="008D671A">
        <w:rPr>
          <w:lang w:val="fr-FR" w:eastAsia="zh-CN"/>
        </w:rPr>
        <w:t xml:space="preserve">s données ventilées par sexe, </w:t>
      </w:r>
      <w:r w:rsidR="008D671A" w:rsidRPr="00A805AE">
        <w:rPr>
          <w:lang w:val="fr-FR" w:eastAsia="zh-CN"/>
        </w:rPr>
        <w:t>âge</w:t>
      </w:r>
      <w:r w:rsidR="008D671A">
        <w:rPr>
          <w:lang w:val="fr-FR" w:eastAsia="zh-CN"/>
        </w:rPr>
        <w:t xml:space="preserve"> et région</w:t>
      </w:r>
      <w:r w:rsidR="008D671A" w:rsidRPr="00A805AE">
        <w:rPr>
          <w:lang w:val="fr-FR" w:eastAsia="zh-CN"/>
        </w:rPr>
        <w:t xml:space="preserve"> sur le nombre de personnes ayant perdu leurs allocations chômage suite à l’introduction dudit </w:t>
      </w:r>
      <w:r w:rsidR="005C1DA9">
        <w:rPr>
          <w:lang w:val="fr-FR" w:eastAsia="zh-CN"/>
        </w:rPr>
        <w:t>arrêté</w:t>
      </w:r>
      <w:r w:rsidR="008D671A" w:rsidRPr="00A805AE">
        <w:rPr>
          <w:lang w:val="fr-FR" w:eastAsia="zh-CN"/>
        </w:rPr>
        <w:t xml:space="preserve">, y compris </w:t>
      </w:r>
      <w:r w:rsidR="00A65EC5">
        <w:rPr>
          <w:lang w:val="fr-FR" w:eastAsia="zh-CN"/>
        </w:rPr>
        <w:t>la proportion de jeunes et</w:t>
      </w:r>
      <w:r w:rsidR="008D671A" w:rsidRPr="00A805AE">
        <w:rPr>
          <w:lang w:val="fr-FR" w:eastAsia="zh-CN"/>
        </w:rPr>
        <w:t xml:space="preserve"> de personnes </w:t>
      </w:r>
      <w:r w:rsidR="008D671A">
        <w:rPr>
          <w:lang w:val="fr-FR" w:eastAsia="zh-CN"/>
        </w:rPr>
        <w:t>appartenant à des groupes désavantagés et marginalisés</w:t>
      </w:r>
      <w:r w:rsidR="00A65EC5">
        <w:rPr>
          <w:lang w:val="fr-FR" w:eastAsia="zh-CN"/>
        </w:rPr>
        <w:t xml:space="preserve">, et expliquer dans quelle mesure leur accès </w:t>
      </w:r>
      <w:r w:rsidR="000C225F">
        <w:rPr>
          <w:lang w:val="fr-FR" w:eastAsia="zh-CN"/>
        </w:rPr>
        <w:t>à un revenu minimum de subsistance</w:t>
      </w:r>
      <w:r w:rsidR="00A65EC5">
        <w:rPr>
          <w:lang w:val="fr-FR" w:eastAsia="zh-CN"/>
        </w:rPr>
        <w:t xml:space="preserve"> est garanti</w:t>
      </w:r>
      <w:r w:rsidR="000C225F">
        <w:rPr>
          <w:lang w:val="fr-FR" w:eastAsia="zh-CN"/>
        </w:rPr>
        <w:t xml:space="preserve">. </w:t>
      </w:r>
      <w:r w:rsidR="008D4C8C">
        <w:rPr>
          <w:lang w:val="fr-FR" w:eastAsia="zh-CN"/>
        </w:rPr>
        <w:t>Fournir des renseignements sur le niveau actuel du forfait introduit pour le paiement des allocations chômage.</w:t>
      </w:r>
    </w:p>
    <w:p w14:paraId="011B36DD" w14:textId="432A510C" w:rsidR="008D671A" w:rsidRPr="008D4C8C" w:rsidRDefault="00FF05B6" w:rsidP="008D4C8C">
      <w:pPr>
        <w:pStyle w:val="SingleTxtG"/>
        <w:rPr>
          <w:lang w:val="fr-FR"/>
        </w:rPr>
      </w:pPr>
      <w:r w:rsidRPr="007B7B07">
        <w:rPr>
          <w:lang w:val="fr-FR" w:eastAsia="zh-CN"/>
        </w:rPr>
        <w:t>1</w:t>
      </w:r>
      <w:r w:rsidR="00584DAB">
        <w:rPr>
          <w:lang w:val="fr-FR" w:eastAsia="zh-CN"/>
        </w:rPr>
        <w:t>7</w:t>
      </w:r>
      <w:r w:rsidRPr="007B7B07">
        <w:rPr>
          <w:lang w:val="fr-FR" w:eastAsia="zh-CN"/>
        </w:rPr>
        <w:t>.</w:t>
      </w:r>
      <w:r w:rsidRPr="007B7B07">
        <w:rPr>
          <w:lang w:val="fr-FR" w:eastAsia="zh-CN"/>
        </w:rPr>
        <w:tab/>
      </w:r>
      <w:r w:rsidR="008D671A" w:rsidRPr="007B7B07">
        <w:rPr>
          <w:lang w:val="fr-FR" w:eastAsia="zh-CN"/>
        </w:rPr>
        <w:t xml:space="preserve">Fournir des </w:t>
      </w:r>
      <w:r w:rsidR="008D671A" w:rsidRPr="009F4347">
        <w:rPr>
          <w:rFonts w:eastAsia="SimSun"/>
          <w:lang w:val="fr-FR" w:eastAsia="zh-CN"/>
        </w:rPr>
        <w:t>renseignements</w:t>
      </w:r>
      <w:r w:rsidR="008D671A" w:rsidRPr="007B7B07">
        <w:rPr>
          <w:lang w:val="fr-FR" w:eastAsia="zh-CN"/>
        </w:rPr>
        <w:t xml:space="preserve"> sur l’impact sur le travail des travailleurs sociaux et sur les bénéficiaires des mesures législatives fédérales de 2017 levant le secret professionnel des institutions de sécurité sociale dans les cas où le bénéficiaire se trouve</w:t>
      </w:r>
      <w:r w:rsidR="009D70D3">
        <w:rPr>
          <w:lang w:val="fr-FR" w:eastAsia="zh-CN"/>
        </w:rPr>
        <w:t>rait</w:t>
      </w:r>
      <w:r w:rsidR="008D671A" w:rsidRPr="007B7B07">
        <w:rPr>
          <w:lang w:val="fr-FR" w:eastAsia="zh-CN"/>
        </w:rPr>
        <w:t xml:space="preserve"> sous investigation et dans le cadre de la lutte contre le crime organisé et le terrorisme</w:t>
      </w:r>
      <w:r w:rsidR="00AD15C4" w:rsidRPr="00AD15C4">
        <w:rPr>
          <w:rStyle w:val="Appelnotedebasdep"/>
          <w:vertAlign w:val="baseline"/>
          <w:lang w:val="fr-FR"/>
        </w:rPr>
        <w:t>.</w:t>
      </w:r>
      <w:r w:rsidR="008D4C8C">
        <w:rPr>
          <w:lang w:val="fr-FR"/>
        </w:rPr>
        <w:t xml:space="preserve"> </w:t>
      </w:r>
    </w:p>
    <w:p w14:paraId="06CB609F" w14:textId="5303E308" w:rsidR="00C74AB0" w:rsidRPr="007549C4" w:rsidRDefault="00FF05B6" w:rsidP="000F5FCF">
      <w:pPr>
        <w:pStyle w:val="SingleTxtG"/>
        <w:rPr>
          <w:spacing w:val="-3"/>
          <w:lang w:val="fr-FR" w:eastAsia="zh-CN"/>
        </w:rPr>
      </w:pPr>
      <w:r w:rsidRPr="007549C4">
        <w:rPr>
          <w:rFonts w:eastAsia="SimSun"/>
          <w:spacing w:val="-3"/>
          <w:lang w:val="fr-FR" w:eastAsia="zh-CN"/>
        </w:rPr>
        <w:t>1</w:t>
      </w:r>
      <w:r w:rsidR="00EC77A3" w:rsidRPr="007549C4">
        <w:rPr>
          <w:rFonts w:eastAsia="SimSun"/>
          <w:spacing w:val="-3"/>
          <w:lang w:val="fr-FR" w:eastAsia="zh-CN"/>
        </w:rPr>
        <w:t>8</w:t>
      </w:r>
      <w:r w:rsidRPr="007549C4">
        <w:rPr>
          <w:rFonts w:eastAsia="SimSun"/>
          <w:spacing w:val="-3"/>
          <w:lang w:val="fr-FR" w:eastAsia="zh-CN"/>
        </w:rPr>
        <w:t>.</w:t>
      </w:r>
      <w:r w:rsidRPr="007549C4">
        <w:rPr>
          <w:rFonts w:eastAsia="SimSun"/>
          <w:spacing w:val="-3"/>
          <w:lang w:val="fr-FR" w:eastAsia="zh-CN"/>
        </w:rPr>
        <w:tab/>
      </w:r>
      <w:r w:rsidR="008D671A" w:rsidRPr="007549C4">
        <w:rPr>
          <w:spacing w:val="-3"/>
          <w:lang w:val="fr-FR" w:eastAsia="zh-CN"/>
        </w:rPr>
        <w:t xml:space="preserve">Fournir des informations sur </w:t>
      </w:r>
      <w:r w:rsidR="001336CE" w:rsidRPr="007549C4">
        <w:rPr>
          <w:spacing w:val="-3"/>
          <w:lang w:val="fr-FR" w:eastAsia="zh-CN"/>
        </w:rPr>
        <w:t xml:space="preserve">l’évaluation </w:t>
      </w:r>
      <w:r w:rsidR="006C7D96" w:rsidRPr="007549C4">
        <w:rPr>
          <w:spacing w:val="-3"/>
          <w:lang w:val="fr-FR" w:eastAsia="zh-CN"/>
        </w:rPr>
        <w:t>de</w:t>
      </w:r>
      <w:r w:rsidR="001336CE" w:rsidRPr="007549C4">
        <w:rPr>
          <w:spacing w:val="-3"/>
          <w:lang w:val="fr-FR" w:eastAsia="zh-CN"/>
        </w:rPr>
        <w:t xml:space="preserve"> </w:t>
      </w:r>
      <w:r w:rsidR="006C7D96" w:rsidRPr="007549C4">
        <w:rPr>
          <w:spacing w:val="-3"/>
          <w:lang w:val="fr-FR" w:eastAsia="zh-CN"/>
        </w:rPr>
        <w:t>l’</w:t>
      </w:r>
      <w:r w:rsidR="008D671A" w:rsidRPr="007549C4">
        <w:rPr>
          <w:spacing w:val="-3"/>
          <w:lang w:val="fr-FR" w:eastAsia="zh-CN"/>
        </w:rPr>
        <w:t>impact</w:t>
      </w:r>
      <w:r w:rsidR="006C7D96" w:rsidRPr="007549C4">
        <w:rPr>
          <w:spacing w:val="-3"/>
          <w:lang w:val="fr-FR" w:eastAsia="zh-CN"/>
        </w:rPr>
        <w:t xml:space="preserve"> potentiel</w:t>
      </w:r>
      <w:r w:rsidR="008D671A" w:rsidRPr="007549C4">
        <w:rPr>
          <w:spacing w:val="-3"/>
          <w:lang w:val="fr-FR" w:eastAsia="zh-CN"/>
        </w:rPr>
        <w:t xml:space="preserve"> d</w:t>
      </w:r>
      <w:r w:rsidR="006C7D96" w:rsidRPr="007549C4">
        <w:rPr>
          <w:spacing w:val="-3"/>
          <w:lang w:val="fr-FR" w:eastAsia="zh-CN"/>
        </w:rPr>
        <w:t xml:space="preserve">u projet </w:t>
      </w:r>
      <w:r w:rsidR="008D671A" w:rsidRPr="007549C4">
        <w:rPr>
          <w:spacing w:val="-3"/>
          <w:lang w:val="fr-FR" w:eastAsia="zh-CN"/>
        </w:rPr>
        <w:t xml:space="preserve">envisagé par le </w:t>
      </w:r>
      <w:r w:rsidR="003C3BA9">
        <w:rPr>
          <w:spacing w:val="-3"/>
          <w:lang w:val="fr-FR" w:eastAsia="zh-CN"/>
        </w:rPr>
        <w:t>G</w:t>
      </w:r>
      <w:r w:rsidR="003C3BA9" w:rsidRPr="007549C4">
        <w:rPr>
          <w:spacing w:val="-3"/>
          <w:lang w:val="fr-FR" w:eastAsia="zh-CN"/>
        </w:rPr>
        <w:t xml:space="preserve">ouvernement </w:t>
      </w:r>
      <w:r w:rsidR="008D671A" w:rsidRPr="007549C4">
        <w:rPr>
          <w:spacing w:val="-3"/>
          <w:lang w:val="fr-FR" w:eastAsia="zh-CN"/>
        </w:rPr>
        <w:t xml:space="preserve">fédéral d’imposer des sanctions à l’encontre des personnes en incapacité de travail dans les cas où elles refuseraient de soumettre un questionnaire évaluant leur capacité de travail ou manqueraient un entretien, à savoir une réduction de </w:t>
      </w:r>
      <w:r w:rsidR="00523EE9">
        <w:rPr>
          <w:spacing w:val="-3"/>
          <w:lang w:val="fr-FR" w:eastAsia="zh-CN"/>
        </w:rPr>
        <w:t>5</w:t>
      </w:r>
      <w:r w:rsidR="009515C1" w:rsidRPr="007549C4">
        <w:rPr>
          <w:spacing w:val="-3"/>
          <w:lang w:val="fr-FR" w:eastAsia="zh-CN"/>
        </w:rPr>
        <w:t xml:space="preserve"> </w:t>
      </w:r>
      <w:r w:rsidR="008D671A" w:rsidRPr="007549C4">
        <w:rPr>
          <w:spacing w:val="-3"/>
          <w:lang w:val="fr-FR" w:eastAsia="zh-CN"/>
        </w:rPr>
        <w:t xml:space="preserve">à </w:t>
      </w:r>
      <w:r w:rsidR="00523EE9">
        <w:rPr>
          <w:spacing w:val="-3"/>
          <w:lang w:val="fr-FR" w:eastAsia="zh-CN"/>
        </w:rPr>
        <w:t>10 %</w:t>
      </w:r>
      <w:r w:rsidR="008D671A" w:rsidRPr="007549C4">
        <w:rPr>
          <w:spacing w:val="-3"/>
          <w:lang w:val="fr-FR" w:eastAsia="zh-CN"/>
        </w:rPr>
        <w:t xml:space="preserve"> de leur allocation d’incapacité. Fournir </w:t>
      </w:r>
      <w:r w:rsidR="008D671A" w:rsidRPr="007549C4">
        <w:rPr>
          <w:rFonts w:eastAsia="SimSun"/>
          <w:spacing w:val="-3"/>
          <w:lang w:val="fr-FR" w:eastAsia="zh-CN"/>
        </w:rPr>
        <w:t>également</w:t>
      </w:r>
      <w:r w:rsidR="008D671A" w:rsidRPr="007549C4">
        <w:rPr>
          <w:spacing w:val="-3"/>
          <w:lang w:val="fr-FR" w:eastAsia="zh-CN"/>
        </w:rPr>
        <w:t xml:space="preserve"> des informations sur l’impact des restrictions à l’accès aux allocations d’insertion pour les jeunes et de leur réduction à une période de trois ans. </w:t>
      </w:r>
    </w:p>
    <w:p w14:paraId="4346621B" w14:textId="423981E7" w:rsidR="00C74AB0" w:rsidRPr="007549C4" w:rsidRDefault="000F5FCF" w:rsidP="00C74AB0">
      <w:pPr>
        <w:pStyle w:val="SingleTxtG"/>
        <w:rPr>
          <w:lang w:val="fr-FR"/>
        </w:rPr>
      </w:pPr>
      <w:r>
        <w:rPr>
          <w:lang w:val="fr-FR" w:eastAsia="zh-CN"/>
        </w:rPr>
        <w:t>19</w:t>
      </w:r>
      <w:r w:rsidR="00C74AB0" w:rsidRPr="00C74AB0">
        <w:rPr>
          <w:lang w:val="fr-FR" w:eastAsia="zh-CN"/>
        </w:rPr>
        <w:t>.</w:t>
      </w:r>
      <w:r w:rsidR="00C74AB0" w:rsidRPr="00C74AB0">
        <w:rPr>
          <w:lang w:val="fr-FR" w:eastAsia="zh-CN"/>
        </w:rPr>
        <w:tab/>
      </w:r>
      <w:r w:rsidR="00BA69E1">
        <w:rPr>
          <w:lang w:val="fr-FR" w:eastAsia="zh-CN"/>
        </w:rPr>
        <w:t>Décrire quels sont</w:t>
      </w:r>
      <w:r w:rsidR="00C74AB0" w:rsidRPr="007549C4">
        <w:rPr>
          <w:lang w:val="fr-FR" w:eastAsia="zh-CN"/>
        </w:rPr>
        <w:t xml:space="preserve"> les </w:t>
      </w:r>
      <w:r w:rsidR="00C74AB0" w:rsidRPr="00C74AB0">
        <w:rPr>
          <w:lang w:val="fr-FR" w:eastAsia="zh-CN"/>
        </w:rPr>
        <w:t>ré</w:t>
      </w:r>
      <w:r w:rsidR="00C74AB0" w:rsidRPr="007549C4">
        <w:rPr>
          <w:lang w:val="fr-FR" w:eastAsia="zh-CN"/>
        </w:rPr>
        <w:t xml:space="preserve">gimes d’assistance sociale de base </w:t>
      </w:r>
      <w:r w:rsidR="00FF7AE4">
        <w:rPr>
          <w:lang w:val="fr-FR"/>
        </w:rPr>
        <w:t>accessibles aux personnes qui se trouvent</w:t>
      </w:r>
      <w:r w:rsidR="00C74AB0">
        <w:rPr>
          <w:lang w:val="fr-FR"/>
        </w:rPr>
        <w:t xml:space="preserve"> da</w:t>
      </w:r>
      <w:r w:rsidR="00FE3E54">
        <w:rPr>
          <w:lang w:val="fr-FR"/>
        </w:rPr>
        <w:t xml:space="preserve">ns l’incapacité de travailler, quelle est la proportion </w:t>
      </w:r>
      <w:r w:rsidR="00C74AB0">
        <w:rPr>
          <w:lang w:val="fr-FR"/>
        </w:rPr>
        <w:t xml:space="preserve">de personnes qui </w:t>
      </w:r>
      <w:r w:rsidR="00FE3E54">
        <w:rPr>
          <w:lang w:val="fr-FR"/>
        </w:rPr>
        <w:t>a droit à une telle assistance et quelle est la proportion</w:t>
      </w:r>
      <w:r w:rsidR="00D577E3">
        <w:rPr>
          <w:lang w:val="fr-FR"/>
        </w:rPr>
        <w:t xml:space="preserve"> de personnes qui en bénéficie</w:t>
      </w:r>
      <w:r w:rsidR="00C74AB0">
        <w:rPr>
          <w:lang w:val="fr-FR"/>
        </w:rPr>
        <w:t xml:space="preserve">. </w:t>
      </w:r>
    </w:p>
    <w:p w14:paraId="57FF4F38" w14:textId="6EA1A8B4" w:rsidR="008D671A" w:rsidRPr="007549C4" w:rsidRDefault="008D671A" w:rsidP="007549C4">
      <w:pPr>
        <w:pStyle w:val="H23G"/>
        <w:rPr>
          <w:lang w:val="fr-FR"/>
        </w:rPr>
      </w:pPr>
      <w:r w:rsidRPr="00C92C43">
        <w:rPr>
          <w:lang w:val="fr-FR"/>
        </w:rPr>
        <w:tab/>
      </w:r>
      <w:r w:rsidRPr="00C92C43">
        <w:rPr>
          <w:lang w:val="fr-FR"/>
        </w:rPr>
        <w:tab/>
      </w:r>
      <w:r w:rsidR="0004434E" w:rsidRPr="007549C4">
        <w:rPr>
          <w:lang w:val="fr-FR"/>
        </w:rPr>
        <w:t>Violence contre les femmes et les enfants</w:t>
      </w:r>
    </w:p>
    <w:p w14:paraId="214B4CC7" w14:textId="3C8D02BE" w:rsidR="008D671A" w:rsidRPr="00DB7332" w:rsidRDefault="00C036AC" w:rsidP="00FF05B6">
      <w:pPr>
        <w:pStyle w:val="SingleTxtG"/>
        <w:rPr>
          <w:lang w:val="fr-FR"/>
        </w:rPr>
      </w:pPr>
      <w:r>
        <w:rPr>
          <w:lang w:val="fr-FR"/>
        </w:rPr>
        <w:t>20</w:t>
      </w:r>
      <w:r w:rsidR="00FF05B6" w:rsidRPr="00DB7332">
        <w:rPr>
          <w:lang w:val="fr-FR"/>
        </w:rPr>
        <w:t>.</w:t>
      </w:r>
      <w:r w:rsidR="00FF05B6" w:rsidRPr="00DB7332">
        <w:rPr>
          <w:lang w:val="fr-FR"/>
        </w:rPr>
        <w:tab/>
      </w:r>
      <w:r w:rsidR="008D671A">
        <w:rPr>
          <w:lang w:val="fr-FR"/>
        </w:rPr>
        <w:t>Indiquer quelles sont les</w:t>
      </w:r>
      <w:r w:rsidR="008D671A" w:rsidRPr="00A805AE">
        <w:rPr>
          <w:lang w:val="fr-FR"/>
        </w:rPr>
        <w:t xml:space="preserve"> démarches entreprises en vue de </w:t>
      </w:r>
      <w:r w:rsidR="00F65A36">
        <w:rPr>
          <w:lang w:val="fr-FR"/>
        </w:rPr>
        <w:t>renforcer la législation sur la</w:t>
      </w:r>
      <w:r w:rsidR="008D671A" w:rsidRPr="00A805AE">
        <w:rPr>
          <w:lang w:val="fr-FR"/>
        </w:rPr>
        <w:t xml:space="preserve"> violence domestique</w:t>
      </w:r>
      <w:r w:rsidR="00F65A36">
        <w:rPr>
          <w:lang w:val="fr-FR"/>
        </w:rPr>
        <w:t xml:space="preserve"> et la violence contre les enfants</w:t>
      </w:r>
      <w:r w:rsidR="008D671A" w:rsidRPr="00A805AE">
        <w:rPr>
          <w:lang w:val="fr-FR"/>
        </w:rPr>
        <w:t>. Fournir des informations sur les progrès accomplis</w:t>
      </w:r>
      <w:r w:rsidR="008D671A">
        <w:rPr>
          <w:lang w:val="fr-FR"/>
        </w:rPr>
        <w:t>, et leur impact,</w:t>
      </w:r>
      <w:r w:rsidR="008D671A" w:rsidRPr="00A805AE">
        <w:rPr>
          <w:lang w:val="fr-FR"/>
        </w:rPr>
        <w:t xml:space="preserve"> dans la mise en œuvre du </w:t>
      </w:r>
      <w:r w:rsidR="00BA39A0">
        <w:rPr>
          <w:lang w:val="fr-FR"/>
        </w:rPr>
        <w:t>p</w:t>
      </w:r>
      <w:r w:rsidR="00BA39A0" w:rsidRPr="00A805AE">
        <w:rPr>
          <w:lang w:val="fr-FR"/>
        </w:rPr>
        <w:t xml:space="preserve">lan </w:t>
      </w:r>
      <w:r w:rsidR="008D671A" w:rsidRPr="00A805AE">
        <w:rPr>
          <w:lang w:val="fr-FR"/>
        </w:rPr>
        <w:t xml:space="preserve">d’action national de lutte </w:t>
      </w:r>
      <w:r w:rsidR="008D671A" w:rsidRPr="009F4347">
        <w:rPr>
          <w:rFonts w:eastAsia="SimSun"/>
          <w:lang w:val="fr-FR" w:eastAsia="zh-CN"/>
        </w:rPr>
        <w:t>contre</w:t>
      </w:r>
      <w:r w:rsidR="008D671A" w:rsidRPr="00A805AE">
        <w:rPr>
          <w:lang w:val="fr-FR"/>
        </w:rPr>
        <w:t xml:space="preserve"> toutes les formes de violence basée sur le genre 2015-2019, notamment ses </w:t>
      </w:r>
      <w:r w:rsidR="003C3BA9">
        <w:rPr>
          <w:lang w:val="fr-FR"/>
        </w:rPr>
        <w:t>dispositions</w:t>
      </w:r>
      <w:r w:rsidR="003C3BA9" w:rsidRPr="00A805AE">
        <w:rPr>
          <w:lang w:val="fr-FR"/>
        </w:rPr>
        <w:t xml:space="preserve"> </w:t>
      </w:r>
      <w:r w:rsidR="008D671A" w:rsidRPr="00A805AE">
        <w:rPr>
          <w:lang w:val="fr-FR"/>
        </w:rPr>
        <w:t xml:space="preserve">relatives à la prévention de la violence domestique, </w:t>
      </w:r>
      <w:r w:rsidR="003C3BA9">
        <w:rPr>
          <w:lang w:val="fr-FR"/>
        </w:rPr>
        <w:t xml:space="preserve">à </w:t>
      </w:r>
      <w:r w:rsidR="008D671A" w:rsidRPr="00A805AE">
        <w:rPr>
          <w:lang w:val="fr-FR"/>
        </w:rPr>
        <w:t>la protection et l’assistance aux victimes –</w:t>
      </w:r>
      <w:r w:rsidR="003C3BA9">
        <w:rPr>
          <w:lang w:val="fr-FR"/>
        </w:rPr>
        <w:t> </w:t>
      </w:r>
      <w:r w:rsidR="008D671A" w:rsidRPr="00A805AE">
        <w:rPr>
          <w:lang w:val="fr-FR"/>
        </w:rPr>
        <w:t>y compris les femmes et filles handicapées et migrantes</w:t>
      </w:r>
      <w:r w:rsidR="003C3BA9">
        <w:rPr>
          <w:lang w:val="fr-FR"/>
        </w:rPr>
        <w:t> </w:t>
      </w:r>
      <w:r w:rsidR="008D671A" w:rsidRPr="00A805AE">
        <w:rPr>
          <w:lang w:val="fr-FR"/>
        </w:rPr>
        <w:t xml:space="preserve">– et </w:t>
      </w:r>
      <w:r w:rsidR="003C3BA9">
        <w:rPr>
          <w:lang w:val="fr-FR"/>
        </w:rPr>
        <w:t xml:space="preserve">à </w:t>
      </w:r>
      <w:r w:rsidR="008D671A" w:rsidRPr="00A805AE">
        <w:rPr>
          <w:lang w:val="fr-FR"/>
        </w:rPr>
        <w:t xml:space="preserve">la poursuite des auteurs de violence. </w:t>
      </w:r>
      <w:r w:rsidR="008D671A">
        <w:rPr>
          <w:lang w:val="fr-FR"/>
        </w:rPr>
        <w:t>Fournir des renseignements sur le</w:t>
      </w:r>
      <w:r w:rsidR="003C3BA9">
        <w:rPr>
          <w:lang w:val="fr-FR"/>
        </w:rPr>
        <w:t>s</w:t>
      </w:r>
      <w:r w:rsidR="008D671A">
        <w:rPr>
          <w:lang w:val="fr-FR"/>
        </w:rPr>
        <w:t xml:space="preserve"> défis rencontrés dans la mise en œuvre du </w:t>
      </w:r>
      <w:r w:rsidR="00D66C6E">
        <w:rPr>
          <w:lang w:val="fr-FR"/>
        </w:rPr>
        <w:t>p</w:t>
      </w:r>
      <w:r w:rsidR="008D671A">
        <w:rPr>
          <w:lang w:val="fr-FR"/>
        </w:rPr>
        <w:t>lan</w:t>
      </w:r>
      <w:r w:rsidR="00D66C6E">
        <w:rPr>
          <w:lang w:val="fr-FR"/>
        </w:rPr>
        <w:t xml:space="preserve"> national</w:t>
      </w:r>
      <w:r w:rsidR="00C56053">
        <w:rPr>
          <w:lang w:val="fr-FR"/>
        </w:rPr>
        <w:t xml:space="preserve"> ainsi que</w:t>
      </w:r>
      <w:r w:rsidR="008D671A">
        <w:rPr>
          <w:lang w:val="fr-FR"/>
        </w:rPr>
        <w:t xml:space="preserve"> </w:t>
      </w:r>
      <w:r w:rsidR="008D671A" w:rsidRPr="00DB7332">
        <w:rPr>
          <w:lang w:val="fr-FR"/>
        </w:rPr>
        <w:t>des</w:t>
      </w:r>
      <w:r w:rsidR="002E48EB">
        <w:rPr>
          <w:lang w:val="fr-FR"/>
        </w:rPr>
        <w:t xml:space="preserve"> données</w:t>
      </w:r>
      <w:r w:rsidR="008D671A" w:rsidRPr="00DB7332">
        <w:rPr>
          <w:lang w:val="fr-FR"/>
        </w:rPr>
        <w:t xml:space="preserve"> statistiques ventilées par sexe et par âge sur les cas de violence domestique (y compris les différents types de violence) sur une base comparative pour les cinq dernières années. </w:t>
      </w:r>
    </w:p>
    <w:p w14:paraId="3096CFB7" w14:textId="1BEC6753" w:rsidR="008D671A" w:rsidRPr="00EB261B" w:rsidRDefault="008D671A" w:rsidP="007549C4">
      <w:pPr>
        <w:pStyle w:val="H23G"/>
        <w:rPr>
          <w:lang w:val="fr-FR" w:eastAsia="zh-CN"/>
        </w:rPr>
      </w:pPr>
      <w:r w:rsidRPr="00A805AE">
        <w:rPr>
          <w:lang w:val="fr-FR"/>
        </w:rPr>
        <w:lastRenderedPageBreak/>
        <w:tab/>
      </w:r>
      <w:r w:rsidRPr="00C92C43">
        <w:rPr>
          <w:lang w:val="fr-FR"/>
        </w:rPr>
        <w:tab/>
      </w:r>
      <w:r w:rsidR="00496179">
        <w:rPr>
          <w:lang w:val="fr-FR"/>
        </w:rPr>
        <w:t>Pauvreté</w:t>
      </w:r>
    </w:p>
    <w:p w14:paraId="1DFA5D29" w14:textId="70109190" w:rsidR="00317E06" w:rsidRDefault="00FF05B6" w:rsidP="00155520">
      <w:pPr>
        <w:pStyle w:val="SingleTxtG"/>
        <w:rPr>
          <w:lang w:val="fr-FR" w:eastAsia="zh-CN"/>
        </w:rPr>
      </w:pPr>
      <w:r w:rsidRPr="00A805AE">
        <w:rPr>
          <w:lang w:val="fr-FR" w:eastAsia="zh-CN"/>
        </w:rPr>
        <w:t>21.</w:t>
      </w:r>
      <w:r w:rsidRPr="00A805AE">
        <w:rPr>
          <w:lang w:val="fr-FR" w:eastAsia="zh-CN"/>
        </w:rPr>
        <w:tab/>
      </w:r>
      <w:r w:rsidR="00496179">
        <w:rPr>
          <w:lang w:val="fr-FR" w:eastAsia="zh-CN"/>
        </w:rPr>
        <w:t>Fournir</w:t>
      </w:r>
      <w:r w:rsidR="00496179" w:rsidRPr="00104C5E">
        <w:rPr>
          <w:lang w:val="fr-FR" w:eastAsia="zh-CN"/>
        </w:rPr>
        <w:t xml:space="preserve"> des statistiques ventilées par sexe et par région sur le nombre d’enfants en situation de pauvreté et des renseignements sur les mesures envisagées </w:t>
      </w:r>
      <w:r w:rsidR="00122DAB">
        <w:rPr>
          <w:lang w:val="fr-FR" w:eastAsia="zh-CN"/>
        </w:rPr>
        <w:t>pour</w:t>
      </w:r>
      <w:r w:rsidR="00496179" w:rsidRPr="00104C5E">
        <w:rPr>
          <w:lang w:val="fr-FR" w:eastAsia="zh-CN"/>
        </w:rPr>
        <w:t xml:space="preserve"> lutter contre la pauvreté infantile, y compris la pauvreté chez les enfants étrangers non</w:t>
      </w:r>
      <w:r w:rsidR="00122DAB">
        <w:rPr>
          <w:lang w:val="fr-FR" w:eastAsia="zh-CN"/>
        </w:rPr>
        <w:t xml:space="preserve"> </w:t>
      </w:r>
      <w:r w:rsidR="00496179" w:rsidRPr="00104C5E">
        <w:rPr>
          <w:lang w:val="fr-FR" w:eastAsia="zh-CN"/>
        </w:rPr>
        <w:t xml:space="preserve">accompagnés et les migrants nés en dehors de l’Union </w:t>
      </w:r>
      <w:r w:rsidR="00A839A1">
        <w:rPr>
          <w:lang w:val="fr-FR" w:eastAsia="zh-CN"/>
        </w:rPr>
        <w:t>e</w:t>
      </w:r>
      <w:r w:rsidR="00496179" w:rsidRPr="00104C5E">
        <w:rPr>
          <w:lang w:val="fr-FR" w:eastAsia="zh-CN"/>
        </w:rPr>
        <w:t xml:space="preserve">uropéenne. </w:t>
      </w:r>
      <w:r w:rsidR="008D671A" w:rsidRPr="00104C5E">
        <w:rPr>
          <w:lang w:val="fr-FR" w:eastAsia="zh-CN"/>
        </w:rPr>
        <w:t xml:space="preserve">Indiquer </w:t>
      </w:r>
      <w:r w:rsidR="004715C1">
        <w:rPr>
          <w:lang w:val="fr-FR" w:eastAsia="zh-CN"/>
        </w:rPr>
        <w:t>dans quelle mesure</w:t>
      </w:r>
      <w:r w:rsidR="001C6F2E">
        <w:rPr>
          <w:lang w:val="fr-FR" w:eastAsia="zh-CN"/>
        </w:rPr>
        <w:t xml:space="preserve"> le </w:t>
      </w:r>
      <w:r w:rsidR="008D671A" w:rsidRPr="00104C5E">
        <w:rPr>
          <w:lang w:val="fr-FR" w:eastAsia="zh-CN"/>
        </w:rPr>
        <w:t xml:space="preserve">troisième plan fédéral de lutte contre la pauvreté 2016-2019 </w:t>
      </w:r>
      <w:r w:rsidR="001C6F2E">
        <w:rPr>
          <w:lang w:val="fr-FR" w:eastAsia="zh-CN"/>
        </w:rPr>
        <w:t>va permettre à l’</w:t>
      </w:r>
      <w:r w:rsidR="00A839A1">
        <w:rPr>
          <w:lang w:val="fr-FR" w:eastAsia="zh-CN"/>
        </w:rPr>
        <w:t>É</w:t>
      </w:r>
      <w:r w:rsidR="001C6F2E">
        <w:rPr>
          <w:lang w:val="fr-FR" w:eastAsia="zh-CN"/>
        </w:rPr>
        <w:t xml:space="preserve">tat partie </w:t>
      </w:r>
      <w:r w:rsidR="008D671A" w:rsidRPr="00104C5E">
        <w:rPr>
          <w:lang w:val="fr-FR" w:eastAsia="zh-CN"/>
        </w:rPr>
        <w:t>d’atteindre l’objectif européen de sortir 380</w:t>
      </w:r>
      <w:r w:rsidR="002C75BA">
        <w:rPr>
          <w:lang w:val="fr-FR" w:eastAsia="zh-CN"/>
        </w:rPr>
        <w:t> 0</w:t>
      </w:r>
      <w:r w:rsidR="008D671A" w:rsidRPr="00104C5E">
        <w:rPr>
          <w:lang w:val="fr-FR" w:eastAsia="zh-CN"/>
        </w:rPr>
        <w:t>00 personnes de la pauvreté et de l’exclusion sociale d’ici à 2020</w:t>
      </w:r>
      <w:r w:rsidR="001C6F2E">
        <w:rPr>
          <w:lang w:val="fr-FR" w:eastAsia="zh-CN"/>
        </w:rPr>
        <w:t xml:space="preserve"> et de réduire le nombre d’enfants, d’enfants étrangers non</w:t>
      </w:r>
      <w:r w:rsidR="00122DAB">
        <w:rPr>
          <w:lang w:val="fr-FR" w:eastAsia="zh-CN"/>
        </w:rPr>
        <w:t xml:space="preserve"> </w:t>
      </w:r>
      <w:r w:rsidR="001C6F2E">
        <w:rPr>
          <w:lang w:val="fr-FR" w:eastAsia="zh-CN"/>
        </w:rPr>
        <w:t xml:space="preserve">accompagnés et de migrants nés en dehors de l’Union </w:t>
      </w:r>
      <w:r w:rsidR="00A839A1">
        <w:rPr>
          <w:lang w:val="fr-FR" w:eastAsia="zh-CN"/>
        </w:rPr>
        <w:t>e</w:t>
      </w:r>
      <w:r w:rsidR="001C6F2E">
        <w:rPr>
          <w:lang w:val="fr-FR" w:eastAsia="zh-CN"/>
        </w:rPr>
        <w:t xml:space="preserve">uropéenne </w:t>
      </w:r>
      <w:r w:rsidR="006A563D">
        <w:rPr>
          <w:lang w:val="fr-FR" w:eastAsia="zh-CN"/>
        </w:rPr>
        <w:t>vivant</w:t>
      </w:r>
      <w:r w:rsidR="001C6F2E">
        <w:rPr>
          <w:lang w:val="fr-FR" w:eastAsia="zh-CN"/>
        </w:rPr>
        <w:t xml:space="preserve"> en situation de pauvreté</w:t>
      </w:r>
      <w:r w:rsidR="008D671A" w:rsidRPr="00104C5E">
        <w:rPr>
          <w:lang w:val="fr-FR" w:eastAsia="zh-CN"/>
        </w:rPr>
        <w:t xml:space="preserve">. </w:t>
      </w:r>
    </w:p>
    <w:p w14:paraId="5EE37C78" w14:textId="27F45A63" w:rsidR="00F3777D" w:rsidRPr="007549C4" w:rsidRDefault="00317E06" w:rsidP="007549C4">
      <w:pPr>
        <w:pStyle w:val="H23G"/>
        <w:rPr>
          <w:sz w:val="24"/>
          <w:lang w:val="fr-FR"/>
        </w:rPr>
      </w:pPr>
      <w:r>
        <w:rPr>
          <w:lang w:val="fr-FR"/>
        </w:rPr>
        <w:tab/>
      </w:r>
      <w:r>
        <w:rPr>
          <w:lang w:val="fr-FR"/>
        </w:rPr>
        <w:tab/>
      </w:r>
      <w:r w:rsidR="00F3777D" w:rsidRPr="00317E06">
        <w:rPr>
          <w:lang w:val="fr-FR"/>
        </w:rPr>
        <w:t>Droit à l’alimentation</w:t>
      </w:r>
    </w:p>
    <w:p w14:paraId="41F6E6EC" w14:textId="5626F331" w:rsidR="00013A4F" w:rsidRDefault="00FF05B6" w:rsidP="00013A4F">
      <w:pPr>
        <w:pStyle w:val="SingleTxtG"/>
        <w:rPr>
          <w:lang w:val="fr-FR" w:eastAsia="zh-CN"/>
        </w:rPr>
      </w:pPr>
      <w:r>
        <w:rPr>
          <w:lang w:val="fr-FR" w:eastAsia="zh-CN"/>
        </w:rPr>
        <w:t>22.</w:t>
      </w:r>
      <w:r>
        <w:rPr>
          <w:lang w:val="fr-FR" w:eastAsia="zh-CN"/>
        </w:rPr>
        <w:tab/>
      </w:r>
      <w:r w:rsidR="008457DD">
        <w:rPr>
          <w:lang w:val="fr-FR" w:eastAsia="zh-CN"/>
        </w:rPr>
        <w:t>Fournir</w:t>
      </w:r>
      <w:r w:rsidR="00013A4F">
        <w:rPr>
          <w:lang w:val="fr-FR" w:eastAsia="zh-CN"/>
        </w:rPr>
        <w:t xml:space="preserve"> des statistiques relatives à la sécurité alimentaire dans l’</w:t>
      </w:r>
      <w:r w:rsidR="00021936">
        <w:rPr>
          <w:lang w:val="fr-FR" w:eastAsia="zh-CN"/>
        </w:rPr>
        <w:t>État</w:t>
      </w:r>
      <w:r w:rsidR="00013A4F">
        <w:rPr>
          <w:lang w:val="fr-FR" w:eastAsia="zh-CN"/>
        </w:rPr>
        <w:t xml:space="preserve"> partie et des informations sur les raisons </w:t>
      </w:r>
      <w:r w:rsidR="005E6DED">
        <w:rPr>
          <w:lang w:val="fr-FR" w:eastAsia="zh-CN"/>
        </w:rPr>
        <w:t xml:space="preserve">pour lesquelles des </w:t>
      </w:r>
      <w:r w:rsidR="00013A4F">
        <w:rPr>
          <w:lang w:val="fr-FR" w:eastAsia="zh-CN"/>
        </w:rPr>
        <w:t xml:space="preserve">personnes </w:t>
      </w:r>
      <w:r w:rsidR="005E6DED">
        <w:rPr>
          <w:lang w:val="fr-FR" w:eastAsia="zh-CN"/>
        </w:rPr>
        <w:t xml:space="preserve">ont régulièrement recours </w:t>
      </w:r>
      <w:r w:rsidR="00013A4F">
        <w:rPr>
          <w:lang w:val="fr-FR" w:eastAsia="zh-CN"/>
        </w:rPr>
        <w:t xml:space="preserve">aux banques alimentaires. </w:t>
      </w:r>
    </w:p>
    <w:p w14:paraId="5495915B" w14:textId="2F4C9257" w:rsidR="008A3DC2" w:rsidRPr="00AC23D8" w:rsidRDefault="00013A4F" w:rsidP="00D11E16">
      <w:pPr>
        <w:pStyle w:val="SingleTxtG"/>
        <w:rPr>
          <w:lang w:val="fr-FR"/>
        </w:rPr>
      </w:pPr>
      <w:r>
        <w:rPr>
          <w:lang w:val="fr-FR" w:eastAsia="zh-CN"/>
        </w:rPr>
        <w:t>23.</w:t>
      </w:r>
      <w:r>
        <w:rPr>
          <w:lang w:val="fr-FR" w:eastAsia="zh-CN"/>
        </w:rPr>
        <w:tab/>
        <w:t xml:space="preserve">Fournir des </w:t>
      </w:r>
      <w:r w:rsidR="008457DD">
        <w:rPr>
          <w:lang w:val="fr-FR" w:eastAsia="zh-CN"/>
        </w:rPr>
        <w:t>donnée</w:t>
      </w:r>
      <w:r>
        <w:rPr>
          <w:lang w:val="fr-FR" w:eastAsia="zh-CN"/>
        </w:rPr>
        <w:t>s ventilées par sexe et par âge sur le</w:t>
      </w:r>
      <w:r w:rsidR="00AC23D8">
        <w:rPr>
          <w:lang w:val="fr-FR" w:eastAsia="zh-CN"/>
        </w:rPr>
        <w:t xml:space="preserve"> pourcentage de personnes en</w:t>
      </w:r>
      <w:r w:rsidR="00B52D65">
        <w:rPr>
          <w:lang w:val="fr-FR" w:eastAsia="zh-CN"/>
        </w:rPr>
        <w:t xml:space="preserve"> situation de</w:t>
      </w:r>
      <w:r w:rsidR="00AC23D8">
        <w:rPr>
          <w:lang w:val="fr-FR" w:eastAsia="zh-CN"/>
        </w:rPr>
        <w:t xml:space="preserve"> surcharge pondérale et </w:t>
      </w:r>
      <w:r w:rsidR="00B52D65">
        <w:rPr>
          <w:lang w:val="fr-FR" w:eastAsia="zh-CN"/>
        </w:rPr>
        <w:t>d’obésité</w:t>
      </w:r>
      <w:r w:rsidR="00AC23D8">
        <w:rPr>
          <w:lang w:val="fr-FR" w:eastAsia="zh-CN"/>
        </w:rPr>
        <w:t xml:space="preserve"> et </w:t>
      </w:r>
      <w:r w:rsidR="00D90311">
        <w:rPr>
          <w:lang w:val="fr-FR" w:eastAsia="zh-CN"/>
        </w:rPr>
        <w:t>fournir des informations sur</w:t>
      </w:r>
      <w:r w:rsidR="00AC23D8">
        <w:rPr>
          <w:lang w:val="fr-FR" w:eastAsia="zh-CN"/>
        </w:rPr>
        <w:t xml:space="preserve"> les mesures prises pour lutter contre la surcharge pondérale et l’obésité</w:t>
      </w:r>
      <w:r w:rsidR="002E48EB">
        <w:rPr>
          <w:lang w:val="fr-FR" w:eastAsia="zh-CN"/>
        </w:rPr>
        <w:t>, ainsi que</w:t>
      </w:r>
      <w:r w:rsidR="00D90311">
        <w:rPr>
          <w:lang w:val="fr-FR" w:eastAsia="zh-CN"/>
        </w:rPr>
        <w:t xml:space="preserve"> leur impact</w:t>
      </w:r>
      <w:r w:rsidR="00AC23D8">
        <w:rPr>
          <w:lang w:val="fr-FR" w:eastAsia="zh-CN"/>
        </w:rPr>
        <w:t>.</w:t>
      </w:r>
    </w:p>
    <w:p w14:paraId="0DC905BA" w14:textId="445CFA1D" w:rsidR="008D671A" w:rsidRPr="00A805AE" w:rsidRDefault="00FF05B6" w:rsidP="00FF05B6">
      <w:pPr>
        <w:pStyle w:val="SingleTxtG"/>
        <w:rPr>
          <w:lang w:val="fr-FR" w:eastAsia="zh-CN"/>
        </w:rPr>
      </w:pPr>
      <w:r w:rsidRPr="00A805AE">
        <w:rPr>
          <w:lang w:val="fr-FR" w:eastAsia="zh-CN"/>
        </w:rPr>
        <w:t>2</w:t>
      </w:r>
      <w:r w:rsidR="008A3DC2">
        <w:rPr>
          <w:lang w:val="fr-FR" w:eastAsia="zh-CN"/>
        </w:rPr>
        <w:t>4</w:t>
      </w:r>
      <w:r w:rsidRPr="00A805AE">
        <w:rPr>
          <w:lang w:val="fr-FR" w:eastAsia="zh-CN"/>
        </w:rPr>
        <w:t>.</w:t>
      </w:r>
      <w:r w:rsidRPr="00A805AE">
        <w:rPr>
          <w:lang w:val="fr-FR" w:eastAsia="zh-CN"/>
        </w:rPr>
        <w:tab/>
      </w:r>
      <w:r w:rsidR="008457DD">
        <w:rPr>
          <w:lang w:val="fr-FR" w:eastAsia="zh-CN"/>
        </w:rPr>
        <w:t xml:space="preserve">Décrire la </w:t>
      </w:r>
      <w:r w:rsidR="00636978">
        <w:rPr>
          <w:lang w:val="fr-FR" w:eastAsia="zh-CN"/>
        </w:rPr>
        <w:t>nat</w:t>
      </w:r>
      <w:r w:rsidR="008457DD">
        <w:rPr>
          <w:lang w:val="fr-FR" w:eastAsia="zh-CN"/>
        </w:rPr>
        <w:t>ure et l’impact des</w:t>
      </w:r>
      <w:r w:rsidR="008D671A">
        <w:rPr>
          <w:lang w:val="fr-FR" w:eastAsia="zh-CN"/>
        </w:rPr>
        <w:t xml:space="preserve"> mesures adoptées</w:t>
      </w:r>
      <w:r w:rsidR="00636978">
        <w:rPr>
          <w:lang w:val="fr-FR" w:eastAsia="zh-CN"/>
        </w:rPr>
        <w:t xml:space="preserve"> </w:t>
      </w:r>
      <w:r w:rsidR="008D671A">
        <w:rPr>
          <w:lang w:val="fr-FR" w:eastAsia="zh-CN"/>
        </w:rPr>
        <w:t xml:space="preserve">en vue de protéger l’agriculture à petite échelle, </w:t>
      </w:r>
      <w:r w:rsidR="00624E89">
        <w:rPr>
          <w:lang w:val="fr-FR" w:eastAsia="zh-CN"/>
        </w:rPr>
        <w:t>conformément aux</w:t>
      </w:r>
      <w:r w:rsidR="008D671A">
        <w:rPr>
          <w:lang w:val="fr-FR" w:eastAsia="zh-CN"/>
        </w:rPr>
        <w:t xml:space="preserve"> </w:t>
      </w:r>
      <w:r w:rsidR="008D671A" w:rsidRPr="00224ABC">
        <w:rPr>
          <w:lang w:val="fr-FR" w:eastAsia="zh-CN"/>
        </w:rPr>
        <w:t xml:space="preserve">Directives volontaires </w:t>
      </w:r>
      <w:r w:rsidR="00350733">
        <w:rPr>
          <w:lang w:val="fr-FR" w:eastAsia="zh-CN"/>
        </w:rPr>
        <w:t xml:space="preserve">à l’appui de la concrétisation progressive </w:t>
      </w:r>
      <w:r w:rsidR="00A733CD">
        <w:rPr>
          <w:lang w:val="fr-FR" w:eastAsia="zh-CN"/>
        </w:rPr>
        <w:t>du</w:t>
      </w:r>
      <w:r w:rsidR="008D671A" w:rsidRPr="00224ABC">
        <w:rPr>
          <w:lang w:val="fr-FR" w:eastAsia="zh-CN"/>
        </w:rPr>
        <w:t xml:space="preserve"> droit à </w:t>
      </w:r>
      <w:r w:rsidR="00A733CD">
        <w:rPr>
          <w:lang w:val="fr-FR" w:eastAsia="zh-CN"/>
        </w:rPr>
        <w:t xml:space="preserve">une </w:t>
      </w:r>
      <w:r w:rsidR="008D671A" w:rsidRPr="00224ABC">
        <w:rPr>
          <w:lang w:val="fr-FR" w:eastAsia="zh-CN"/>
        </w:rPr>
        <w:t>alimentation</w:t>
      </w:r>
      <w:r w:rsidR="008D671A">
        <w:rPr>
          <w:lang w:val="fr-FR" w:eastAsia="zh-CN"/>
        </w:rPr>
        <w:t xml:space="preserve"> </w:t>
      </w:r>
      <w:r w:rsidR="00A733CD">
        <w:rPr>
          <w:lang w:val="fr-FR" w:eastAsia="zh-CN"/>
        </w:rPr>
        <w:t xml:space="preserve">adéquate </w:t>
      </w:r>
      <w:r w:rsidR="00A733CD" w:rsidRPr="00224ABC">
        <w:rPr>
          <w:lang w:val="fr-FR" w:eastAsia="zh-CN"/>
        </w:rPr>
        <w:t>dans le contexte de la sécurité alimentaire national</w:t>
      </w:r>
      <w:r w:rsidR="00A733CD">
        <w:rPr>
          <w:lang w:val="fr-FR" w:eastAsia="zh-CN"/>
        </w:rPr>
        <w:t xml:space="preserve">e </w:t>
      </w:r>
      <w:r w:rsidR="008D671A">
        <w:rPr>
          <w:lang w:val="fr-FR" w:eastAsia="zh-CN"/>
        </w:rPr>
        <w:t xml:space="preserve">et </w:t>
      </w:r>
      <w:r w:rsidR="00624E89">
        <w:rPr>
          <w:lang w:val="fr-FR" w:eastAsia="zh-CN"/>
        </w:rPr>
        <w:t xml:space="preserve">aux </w:t>
      </w:r>
      <w:r w:rsidR="008D671A" w:rsidRPr="00224ABC">
        <w:rPr>
          <w:lang w:val="fr-FR" w:eastAsia="zh-CN"/>
        </w:rPr>
        <w:t>Directives volontaires pour une gouvernance responsable des régimes fonciers applicables aux terres, aux pêches et aux forêts dans le contexte de la sécurité alimentaire national</w:t>
      </w:r>
      <w:r w:rsidR="008D671A">
        <w:rPr>
          <w:lang w:val="fr-FR" w:eastAsia="zh-CN"/>
        </w:rPr>
        <w:t>e de l</w:t>
      </w:r>
      <w:r w:rsidR="00636978">
        <w:rPr>
          <w:lang w:val="fr-FR" w:eastAsia="zh-CN"/>
        </w:rPr>
        <w:t>’Organisation des Nations Unies pour l’</w:t>
      </w:r>
      <w:r w:rsidR="007E01B8">
        <w:rPr>
          <w:lang w:val="fr-FR" w:eastAsia="zh-CN"/>
        </w:rPr>
        <w:t>a</w:t>
      </w:r>
      <w:r w:rsidR="00636978">
        <w:rPr>
          <w:lang w:val="fr-FR" w:eastAsia="zh-CN"/>
        </w:rPr>
        <w:t>limentation et l’</w:t>
      </w:r>
      <w:r w:rsidR="007E01B8">
        <w:rPr>
          <w:lang w:val="fr-FR" w:eastAsia="zh-CN"/>
        </w:rPr>
        <w:t>a</w:t>
      </w:r>
      <w:r w:rsidR="00636978">
        <w:rPr>
          <w:lang w:val="fr-FR" w:eastAsia="zh-CN"/>
        </w:rPr>
        <w:t>griculture</w:t>
      </w:r>
      <w:r w:rsidR="008D671A">
        <w:rPr>
          <w:lang w:val="fr-FR" w:eastAsia="zh-CN"/>
        </w:rPr>
        <w:t>.</w:t>
      </w:r>
    </w:p>
    <w:p w14:paraId="7497185E" w14:textId="11990DDC" w:rsidR="008D671A" w:rsidRPr="007549C4" w:rsidRDefault="008A3DC2" w:rsidP="007549C4">
      <w:pPr>
        <w:pStyle w:val="H23G"/>
        <w:rPr>
          <w:lang w:val="fr-FR"/>
        </w:rPr>
      </w:pPr>
      <w:r>
        <w:rPr>
          <w:lang w:val="fr-FR" w:eastAsia="zh-CN"/>
        </w:rPr>
        <w:tab/>
      </w:r>
      <w:r w:rsidRPr="007549C4">
        <w:rPr>
          <w:lang w:val="fr-FR"/>
        </w:rPr>
        <w:tab/>
      </w:r>
      <w:r w:rsidR="008D671A" w:rsidRPr="007549C4">
        <w:rPr>
          <w:lang w:val="fr-FR"/>
        </w:rPr>
        <w:t>Droit à la santé physique et mentale</w:t>
      </w:r>
    </w:p>
    <w:p w14:paraId="638EB1BA" w14:textId="165930F5" w:rsidR="008D671A" w:rsidRDefault="00FF05B6" w:rsidP="00FF05B6">
      <w:pPr>
        <w:pStyle w:val="SingleTxtG"/>
        <w:rPr>
          <w:lang w:val="fr-FR" w:eastAsia="zh-CN"/>
        </w:rPr>
      </w:pPr>
      <w:r>
        <w:rPr>
          <w:lang w:val="fr-FR" w:eastAsia="zh-CN"/>
        </w:rPr>
        <w:t>2</w:t>
      </w:r>
      <w:r w:rsidR="00D66F2E">
        <w:rPr>
          <w:lang w:val="fr-FR" w:eastAsia="zh-CN"/>
        </w:rPr>
        <w:t>5</w:t>
      </w:r>
      <w:r>
        <w:rPr>
          <w:lang w:val="fr-FR" w:eastAsia="zh-CN"/>
        </w:rPr>
        <w:t>.</w:t>
      </w:r>
      <w:r>
        <w:rPr>
          <w:lang w:val="fr-FR" w:eastAsia="zh-CN"/>
        </w:rPr>
        <w:tab/>
      </w:r>
      <w:r w:rsidR="008D671A" w:rsidRPr="00A805AE">
        <w:rPr>
          <w:lang w:val="fr-FR" w:eastAsia="zh-CN"/>
        </w:rPr>
        <w:t xml:space="preserve">Fournir des </w:t>
      </w:r>
      <w:r w:rsidR="00E477C7">
        <w:rPr>
          <w:lang w:val="fr-FR" w:eastAsia="zh-CN"/>
        </w:rPr>
        <w:t>renseignements</w:t>
      </w:r>
      <w:r w:rsidR="00E477C7" w:rsidRPr="00A805AE">
        <w:rPr>
          <w:lang w:val="fr-FR" w:eastAsia="zh-CN"/>
        </w:rPr>
        <w:t xml:space="preserve"> </w:t>
      </w:r>
      <w:r w:rsidR="008D671A" w:rsidRPr="00A805AE">
        <w:rPr>
          <w:lang w:val="fr-FR" w:eastAsia="zh-CN"/>
        </w:rPr>
        <w:t>sur les mesures prises en vue de garantir</w:t>
      </w:r>
      <w:r w:rsidR="008D671A">
        <w:rPr>
          <w:lang w:val="fr-FR" w:eastAsia="zh-CN"/>
        </w:rPr>
        <w:t xml:space="preserve"> l’accès à la santé</w:t>
      </w:r>
      <w:r w:rsidR="006A2E75">
        <w:rPr>
          <w:lang w:val="fr-FR" w:eastAsia="zh-CN"/>
        </w:rPr>
        <w:t xml:space="preserve"> sans discrimination</w:t>
      </w:r>
      <w:r w:rsidR="008D671A">
        <w:rPr>
          <w:lang w:val="fr-FR" w:eastAsia="zh-CN"/>
        </w:rPr>
        <w:t xml:space="preserve"> aux membres des groupes marginalisés et défavorisés</w:t>
      </w:r>
      <w:r w:rsidR="00F97353">
        <w:rPr>
          <w:lang w:val="fr-FR" w:eastAsia="zh-CN"/>
        </w:rPr>
        <w:t xml:space="preserve">, </w:t>
      </w:r>
      <w:r w:rsidR="006A2E75">
        <w:rPr>
          <w:lang w:val="fr-FR" w:eastAsia="zh-CN"/>
        </w:rPr>
        <w:t xml:space="preserve">y compris les communautés </w:t>
      </w:r>
      <w:r w:rsidR="008F4460">
        <w:rPr>
          <w:lang w:val="fr-FR" w:eastAsia="zh-CN"/>
        </w:rPr>
        <w:t>r</w:t>
      </w:r>
      <w:r w:rsidR="006A2E75">
        <w:rPr>
          <w:lang w:val="fr-FR" w:eastAsia="zh-CN"/>
        </w:rPr>
        <w:t>om</w:t>
      </w:r>
      <w:r w:rsidR="008F4460">
        <w:rPr>
          <w:lang w:val="fr-FR" w:eastAsia="zh-CN"/>
        </w:rPr>
        <w:t>s</w:t>
      </w:r>
      <w:r w:rsidR="006A2E75">
        <w:rPr>
          <w:lang w:val="fr-FR" w:eastAsia="zh-CN"/>
        </w:rPr>
        <w:t xml:space="preserve"> et les migrants, </w:t>
      </w:r>
      <w:r w:rsidR="00C96FC5">
        <w:rPr>
          <w:lang w:val="fr-FR" w:eastAsia="zh-CN"/>
        </w:rPr>
        <w:t xml:space="preserve">et </w:t>
      </w:r>
      <w:r w:rsidR="006A2E75">
        <w:rPr>
          <w:lang w:val="fr-FR" w:eastAsia="zh-CN"/>
        </w:rPr>
        <w:t>en particulier ceux qui se tr</w:t>
      </w:r>
      <w:r w:rsidR="002E48EB">
        <w:rPr>
          <w:lang w:val="fr-FR" w:eastAsia="zh-CN"/>
        </w:rPr>
        <w:t>ouvent en situation irrégulière</w:t>
      </w:r>
      <w:r w:rsidR="006A2E75">
        <w:rPr>
          <w:lang w:val="fr-FR" w:eastAsia="zh-CN"/>
        </w:rPr>
        <w:t xml:space="preserve">. Fournir également des renseignements </w:t>
      </w:r>
      <w:r w:rsidR="00F97353">
        <w:rPr>
          <w:lang w:val="fr-FR" w:eastAsia="zh-CN"/>
        </w:rPr>
        <w:t xml:space="preserve">sur l’impact de ces mesures et sur les difficultés rencontrées dans leur mise en </w:t>
      </w:r>
      <w:r w:rsidR="008A3DC2">
        <w:rPr>
          <w:lang w:val="fr-FR" w:eastAsia="zh-CN"/>
        </w:rPr>
        <w:t>œuvre</w:t>
      </w:r>
      <w:r w:rsidR="008D671A">
        <w:rPr>
          <w:lang w:val="fr-FR" w:eastAsia="zh-CN"/>
        </w:rPr>
        <w:t>.</w:t>
      </w:r>
    </w:p>
    <w:p w14:paraId="647BED6B" w14:textId="78595520" w:rsidR="008D671A" w:rsidRPr="00A805AE" w:rsidRDefault="008D671A" w:rsidP="007549C4">
      <w:pPr>
        <w:pStyle w:val="H23G"/>
        <w:rPr>
          <w:lang w:val="fr-FR"/>
        </w:rPr>
      </w:pPr>
      <w:r w:rsidRPr="007549C4">
        <w:rPr>
          <w:lang w:val="fr-FR"/>
        </w:rPr>
        <w:tab/>
      </w:r>
      <w:r w:rsidRPr="007549C4">
        <w:rPr>
          <w:lang w:val="fr-FR"/>
        </w:rPr>
        <w:tab/>
      </w:r>
      <w:r w:rsidRPr="007549C4">
        <w:t>Droit</w:t>
      </w:r>
      <w:r w:rsidRPr="00C92C43">
        <w:rPr>
          <w:lang w:val="fr-FR"/>
        </w:rPr>
        <w:t xml:space="preserve"> à l’éducation</w:t>
      </w:r>
    </w:p>
    <w:p w14:paraId="01501770" w14:textId="7359E78D" w:rsidR="008D671A" w:rsidRDefault="00FF05B6" w:rsidP="00FF05B6">
      <w:pPr>
        <w:pStyle w:val="SingleTxtG"/>
        <w:rPr>
          <w:lang w:val="fr-FR"/>
        </w:rPr>
      </w:pPr>
      <w:r>
        <w:rPr>
          <w:lang w:val="fr-FR"/>
        </w:rPr>
        <w:t>2</w:t>
      </w:r>
      <w:r w:rsidR="00D66F2E">
        <w:rPr>
          <w:lang w:val="fr-FR"/>
        </w:rPr>
        <w:t>6</w:t>
      </w:r>
      <w:r>
        <w:rPr>
          <w:lang w:val="fr-FR"/>
        </w:rPr>
        <w:t>.</w:t>
      </w:r>
      <w:r>
        <w:rPr>
          <w:lang w:val="fr-FR"/>
        </w:rPr>
        <w:tab/>
      </w:r>
      <w:r w:rsidR="008D671A">
        <w:rPr>
          <w:lang w:val="fr-FR"/>
        </w:rPr>
        <w:t>Indiquer quelles sont</w:t>
      </w:r>
      <w:r w:rsidR="008D671A" w:rsidRPr="00A805AE">
        <w:rPr>
          <w:lang w:val="fr-FR"/>
        </w:rPr>
        <w:t xml:space="preserve"> les mesures </w:t>
      </w:r>
      <w:r w:rsidR="00671015">
        <w:rPr>
          <w:lang w:val="fr-FR"/>
        </w:rPr>
        <w:t>adoptées</w:t>
      </w:r>
      <w:r w:rsidR="008D671A">
        <w:rPr>
          <w:lang w:val="fr-FR"/>
        </w:rPr>
        <w:t>, et leur impact</w:t>
      </w:r>
      <w:r w:rsidR="00BC1D00">
        <w:rPr>
          <w:lang w:val="fr-FR"/>
        </w:rPr>
        <w:t>,</w:t>
      </w:r>
      <w:r w:rsidR="008D671A" w:rsidRPr="00A805AE">
        <w:rPr>
          <w:lang w:val="fr-FR"/>
        </w:rPr>
        <w:t xml:space="preserve"> en vue de faciliter l’accès à l’éducation des enfants appartenant à des groupes marginalisés et défavorisés. En</w:t>
      </w:r>
      <w:r w:rsidR="00A9699A">
        <w:rPr>
          <w:lang w:val="fr-FR"/>
        </w:rPr>
        <w:t> </w:t>
      </w:r>
      <w:r w:rsidR="008D671A" w:rsidRPr="00A805AE">
        <w:rPr>
          <w:lang w:val="fr-FR"/>
        </w:rPr>
        <w:t>particulier</w:t>
      </w:r>
      <w:r w:rsidR="00BC1D00">
        <w:rPr>
          <w:lang w:val="fr-FR"/>
        </w:rPr>
        <w:t>, fournir des renseignements sur</w:t>
      </w:r>
      <w:r w:rsidR="008D671A">
        <w:rPr>
          <w:lang w:val="fr-FR"/>
        </w:rPr>
        <w:t> :</w:t>
      </w:r>
    </w:p>
    <w:p w14:paraId="789FD6EF" w14:textId="78F7A1F5" w:rsidR="00087F6E" w:rsidRPr="00087F6E" w:rsidRDefault="00FF05B6" w:rsidP="0076340F">
      <w:pPr>
        <w:pStyle w:val="SingleTxtG"/>
        <w:ind w:firstLine="567"/>
        <w:rPr>
          <w:lang w:val="fr-FR"/>
        </w:rPr>
      </w:pPr>
      <w:r w:rsidRPr="00087F6E">
        <w:rPr>
          <w:lang w:val="fr-FR"/>
        </w:rPr>
        <w:t>a)</w:t>
      </w:r>
      <w:r w:rsidRPr="00087F6E">
        <w:rPr>
          <w:lang w:val="fr-FR"/>
        </w:rPr>
        <w:tab/>
      </w:r>
      <w:r w:rsidR="00671015">
        <w:rPr>
          <w:lang w:val="fr-FR"/>
        </w:rPr>
        <w:t>L</w:t>
      </w:r>
      <w:r w:rsidR="00BC1D00">
        <w:rPr>
          <w:lang w:val="fr-FR"/>
        </w:rPr>
        <w:t>a</w:t>
      </w:r>
      <w:r w:rsidR="00087F6E" w:rsidRPr="007549C4">
        <w:rPr>
          <w:lang w:val="fr-FR"/>
        </w:rPr>
        <w:t xml:space="preserve"> </w:t>
      </w:r>
      <w:r w:rsidR="002D02EB" w:rsidRPr="002D02EB">
        <w:rPr>
          <w:lang w:val="fr-FR"/>
        </w:rPr>
        <w:t>ségrégation</w:t>
      </w:r>
      <w:r w:rsidR="00087F6E" w:rsidRPr="007549C4">
        <w:rPr>
          <w:lang w:val="fr-FR"/>
        </w:rPr>
        <w:t xml:space="preserve"> social</w:t>
      </w:r>
      <w:r w:rsidR="00087F6E">
        <w:rPr>
          <w:lang w:val="fr-FR"/>
        </w:rPr>
        <w:t>e</w:t>
      </w:r>
      <w:r w:rsidR="00BC1D00">
        <w:rPr>
          <w:lang w:val="fr-FR"/>
        </w:rPr>
        <w:t xml:space="preserve"> </w:t>
      </w:r>
      <w:r w:rsidR="00BC1D00" w:rsidRPr="007549C4">
        <w:rPr>
          <w:iCs/>
          <w:lang w:val="fr-FR"/>
        </w:rPr>
        <w:t>de facto</w:t>
      </w:r>
      <w:r w:rsidR="00087F6E" w:rsidRPr="007549C4">
        <w:rPr>
          <w:lang w:val="fr-FR"/>
        </w:rPr>
        <w:t xml:space="preserve"> </w:t>
      </w:r>
      <w:r w:rsidR="00BC1D00">
        <w:rPr>
          <w:lang w:val="fr-FR"/>
        </w:rPr>
        <w:t>observée entre</w:t>
      </w:r>
      <w:r w:rsidR="00087F6E" w:rsidRPr="007549C4">
        <w:rPr>
          <w:lang w:val="fr-FR"/>
        </w:rPr>
        <w:t xml:space="preserve"> élèves </w:t>
      </w:r>
      <w:r w:rsidR="00087F6E">
        <w:rPr>
          <w:lang w:val="fr-FR"/>
        </w:rPr>
        <w:t xml:space="preserve">ayant </w:t>
      </w:r>
      <w:r w:rsidR="00BC1D00">
        <w:rPr>
          <w:lang w:val="fr-FR"/>
        </w:rPr>
        <w:t>des origines socio-économiques différentes</w:t>
      </w:r>
      <w:r w:rsidR="00671015">
        <w:rPr>
          <w:lang w:val="fr-FR"/>
        </w:rPr>
        <w:t xml:space="preserve">, placés dans des écoles différentes, </w:t>
      </w:r>
      <w:r w:rsidR="00BC1D00">
        <w:rPr>
          <w:lang w:val="fr-FR"/>
        </w:rPr>
        <w:t xml:space="preserve">et </w:t>
      </w:r>
      <w:r w:rsidR="002D02EB">
        <w:rPr>
          <w:lang w:val="fr-FR"/>
        </w:rPr>
        <w:t>les mesures envisagées pour y remédier</w:t>
      </w:r>
      <w:r w:rsidR="006410CC">
        <w:rPr>
          <w:lang w:val="fr-FR"/>
        </w:rPr>
        <w:t> ;</w:t>
      </w:r>
    </w:p>
    <w:p w14:paraId="58DBDAC4" w14:textId="7F628F15" w:rsidR="008D671A" w:rsidRDefault="00BC1D00" w:rsidP="0076340F">
      <w:pPr>
        <w:pStyle w:val="SingleTxtG"/>
        <w:ind w:firstLine="567"/>
        <w:rPr>
          <w:lang w:val="fr-FR"/>
        </w:rPr>
      </w:pPr>
      <w:r>
        <w:rPr>
          <w:lang w:val="fr-FR"/>
        </w:rPr>
        <w:t>b</w:t>
      </w:r>
      <w:r w:rsidR="00FF05B6" w:rsidRPr="001C7C71">
        <w:rPr>
          <w:lang w:val="fr-FR"/>
        </w:rPr>
        <w:t>)</w:t>
      </w:r>
      <w:r w:rsidR="00FF05B6" w:rsidRPr="001C7C71">
        <w:rPr>
          <w:lang w:val="fr-FR"/>
        </w:rPr>
        <w:tab/>
      </w:r>
      <w:r w:rsidR="00671015">
        <w:rPr>
          <w:lang w:val="fr-FR"/>
        </w:rPr>
        <w:t>L</w:t>
      </w:r>
      <w:r w:rsidR="008D671A" w:rsidRPr="001C7C71">
        <w:rPr>
          <w:lang w:val="fr-FR"/>
        </w:rPr>
        <w:t xml:space="preserve">es mesures prises en vue de promouvoir l’accès à l’enseignement et lutter contre l’absentéisme des enfants </w:t>
      </w:r>
      <w:r w:rsidR="002E48EB">
        <w:rPr>
          <w:lang w:val="fr-FR"/>
        </w:rPr>
        <w:t>r</w:t>
      </w:r>
      <w:r w:rsidR="008D671A" w:rsidRPr="001C7C71">
        <w:rPr>
          <w:lang w:val="fr-FR"/>
        </w:rPr>
        <w:t>om</w:t>
      </w:r>
      <w:r w:rsidR="002E48EB">
        <w:rPr>
          <w:lang w:val="fr-FR"/>
        </w:rPr>
        <w:t>s</w:t>
      </w:r>
      <w:r w:rsidR="008D671A" w:rsidRPr="001C7C71">
        <w:rPr>
          <w:lang w:val="fr-FR"/>
        </w:rPr>
        <w:t xml:space="preserve"> aux niveaux primaire et secondaire</w:t>
      </w:r>
      <w:r w:rsidR="008D671A">
        <w:rPr>
          <w:lang w:val="fr-FR"/>
        </w:rPr>
        <w:t>, leur impact, et les défis rencontrés dans la mise en œuvre de ces mesures</w:t>
      </w:r>
      <w:r w:rsidR="008D671A" w:rsidRPr="001C7C71">
        <w:rPr>
          <w:lang w:val="fr-FR"/>
        </w:rPr>
        <w:t> ; fournir des données statistiques ventilées par sexe</w:t>
      </w:r>
      <w:r w:rsidR="008D671A">
        <w:rPr>
          <w:lang w:val="fr-FR"/>
        </w:rPr>
        <w:t xml:space="preserve"> et par région</w:t>
      </w:r>
      <w:r w:rsidR="008D671A" w:rsidRPr="001C7C71">
        <w:rPr>
          <w:lang w:val="fr-FR"/>
        </w:rPr>
        <w:t xml:space="preserve"> sur le nombre d’enfants </w:t>
      </w:r>
      <w:r w:rsidR="002E48EB">
        <w:rPr>
          <w:lang w:val="fr-FR"/>
        </w:rPr>
        <w:t>r</w:t>
      </w:r>
      <w:r w:rsidR="008D671A" w:rsidRPr="001C7C71">
        <w:rPr>
          <w:lang w:val="fr-FR"/>
        </w:rPr>
        <w:t>om</w:t>
      </w:r>
      <w:r w:rsidR="002E48EB">
        <w:rPr>
          <w:lang w:val="fr-FR"/>
        </w:rPr>
        <w:t>s</w:t>
      </w:r>
      <w:r w:rsidR="008D671A" w:rsidRPr="001C7C71">
        <w:rPr>
          <w:lang w:val="fr-FR"/>
        </w:rPr>
        <w:t xml:space="preserve"> ayant achevé l’école obligatoire sur une base comparative durant les cinq dernières années</w:t>
      </w:r>
      <w:r w:rsidR="006410CC">
        <w:rPr>
          <w:lang w:val="fr-FR"/>
        </w:rPr>
        <w:t> ;</w:t>
      </w:r>
    </w:p>
    <w:p w14:paraId="031B0C93" w14:textId="03180F78" w:rsidR="00BC1D00" w:rsidRPr="001C7C71" w:rsidRDefault="00671015" w:rsidP="0076340F">
      <w:pPr>
        <w:pStyle w:val="SingleTxtG"/>
        <w:ind w:firstLine="567"/>
        <w:rPr>
          <w:lang w:val="fr-FR"/>
        </w:rPr>
      </w:pPr>
      <w:r>
        <w:rPr>
          <w:lang w:val="fr-FR"/>
        </w:rPr>
        <w:t>c)</w:t>
      </w:r>
      <w:r>
        <w:rPr>
          <w:lang w:val="fr-FR"/>
        </w:rPr>
        <w:tab/>
        <w:t>L</w:t>
      </w:r>
      <w:r w:rsidR="00BC1D00">
        <w:rPr>
          <w:lang w:val="fr-FR"/>
        </w:rPr>
        <w:t>a proportion d’enfants</w:t>
      </w:r>
      <w:r w:rsidR="009965DC">
        <w:rPr>
          <w:lang w:val="fr-FR"/>
        </w:rPr>
        <w:t xml:space="preserve"> déscolarisés</w:t>
      </w:r>
      <w:r w:rsidR="00BC1D00">
        <w:rPr>
          <w:lang w:val="fr-FR"/>
        </w:rPr>
        <w:t xml:space="preserve"> sur une base comparative pour les cinq dernières années, y compris des données</w:t>
      </w:r>
      <w:r w:rsidR="002E48EB">
        <w:rPr>
          <w:lang w:val="fr-FR"/>
        </w:rPr>
        <w:t xml:space="preserve"> statistiques</w:t>
      </w:r>
      <w:r w:rsidR="00BC1D00">
        <w:rPr>
          <w:lang w:val="fr-FR"/>
        </w:rPr>
        <w:t xml:space="preserve"> relatives à l’abandon scolaire des filles issues de l’immigration, la cause de ces abandons et les mesures adoptées pour y remédier.</w:t>
      </w:r>
    </w:p>
    <w:p w14:paraId="056474F0" w14:textId="23A0372C" w:rsidR="008D671A" w:rsidRPr="00A805AE" w:rsidRDefault="00FF05B6" w:rsidP="00FF05B6">
      <w:pPr>
        <w:pStyle w:val="SingleTxtG"/>
        <w:rPr>
          <w:lang w:val="fr-FR"/>
        </w:rPr>
      </w:pPr>
      <w:r w:rsidRPr="00A805AE">
        <w:rPr>
          <w:lang w:val="fr-FR"/>
        </w:rPr>
        <w:t>2</w:t>
      </w:r>
      <w:r w:rsidR="00D66F2E">
        <w:rPr>
          <w:lang w:val="fr-FR"/>
        </w:rPr>
        <w:t>7</w:t>
      </w:r>
      <w:r w:rsidRPr="00A805AE">
        <w:rPr>
          <w:lang w:val="fr-FR"/>
        </w:rPr>
        <w:t>.</w:t>
      </w:r>
      <w:r w:rsidRPr="00A805AE">
        <w:rPr>
          <w:lang w:val="fr-FR"/>
        </w:rPr>
        <w:tab/>
      </w:r>
      <w:r w:rsidR="008D671A" w:rsidRPr="00A805AE">
        <w:rPr>
          <w:lang w:val="fr-FR"/>
        </w:rPr>
        <w:t xml:space="preserve">Fournir des renseignements sur l’impact de l’interdiction généralisée des signes philosophiques et religieux à l’école dans l’enseignement officiel flamand et dans le règlement de certaines écoles </w:t>
      </w:r>
      <w:r w:rsidR="00C56053">
        <w:rPr>
          <w:lang w:val="fr-FR"/>
        </w:rPr>
        <w:t>de l’État partie</w:t>
      </w:r>
      <w:r w:rsidR="008D671A" w:rsidRPr="00A805AE">
        <w:rPr>
          <w:lang w:val="fr-FR"/>
        </w:rPr>
        <w:t xml:space="preserve"> sur l’accès à l’éducation des </w:t>
      </w:r>
      <w:r w:rsidR="008D671A" w:rsidRPr="00A805AE">
        <w:rPr>
          <w:lang w:val="fr-FR" w:eastAsia="zh-CN"/>
        </w:rPr>
        <w:t>filles</w:t>
      </w:r>
      <w:r w:rsidR="008D671A" w:rsidRPr="00A805AE">
        <w:rPr>
          <w:lang w:val="fr-FR"/>
        </w:rPr>
        <w:t xml:space="preserve"> et des jeunes femmes portant le foulard.</w:t>
      </w:r>
      <w:r w:rsidR="008D671A">
        <w:rPr>
          <w:lang w:val="fr-FR"/>
        </w:rPr>
        <w:t xml:space="preserve"> Fournir des données ventilées par région sur le pourcentage de filles et jeunes femmes portant le foulard qui ont été exclues de l’enseignement ou ont renoncé au port du foulard.</w:t>
      </w:r>
    </w:p>
    <w:p w14:paraId="48330C42" w14:textId="2E16D67A" w:rsidR="008D671A" w:rsidRPr="00A805AE" w:rsidRDefault="008D671A" w:rsidP="007549C4">
      <w:pPr>
        <w:pStyle w:val="H1G"/>
        <w:rPr>
          <w:lang w:val="fr-FR"/>
        </w:rPr>
      </w:pPr>
      <w:r w:rsidRPr="00A805AE">
        <w:rPr>
          <w:lang w:val="fr-FR"/>
        </w:rPr>
        <w:lastRenderedPageBreak/>
        <w:tab/>
      </w:r>
      <w:r w:rsidR="00C66656">
        <w:rPr>
          <w:lang w:val="fr-FR"/>
        </w:rPr>
        <w:t>C</w:t>
      </w:r>
      <w:r w:rsidR="00096CE6">
        <w:rPr>
          <w:lang w:val="fr-FR"/>
        </w:rPr>
        <w:t>.</w:t>
      </w:r>
      <w:r w:rsidR="00096CE6">
        <w:rPr>
          <w:lang w:val="fr-FR"/>
        </w:rPr>
        <w:tab/>
      </w:r>
      <w:r w:rsidRPr="00A805AE">
        <w:rPr>
          <w:lang w:val="fr-FR"/>
        </w:rPr>
        <w:t>Bonnes pratiques</w:t>
      </w:r>
    </w:p>
    <w:p w14:paraId="696A0BBA" w14:textId="5C66B560" w:rsidR="008D671A" w:rsidRPr="00A805AE" w:rsidRDefault="00FF05B6" w:rsidP="00FF05B6">
      <w:pPr>
        <w:pStyle w:val="SingleTxtG"/>
        <w:rPr>
          <w:lang w:val="fr-FR"/>
        </w:rPr>
      </w:pPr>
      <w:r w:rsidRPr="00A805AE">
        <w:rPr>
          <w:lang w:val="fr-FR"/>
        </w:rPr>
        <w:t>2</w:t>
      </w:r>
      <w:r w:rsidR="00D66F2E">
        <w:rPr>
          <w:lang w:val="fr-FR"/>
        </w:rPr>
        <w:t>8</w:t>
      </w:r>
      <w:r w:rsidRPr="00A805AE">
        <w:rPr>
          <w:lang w:val="fr-FR"/>
        </w:rPr>
        <w:t>.</w:t>
      </w:r>
      <w:r w:rsidRPr="00A805AE">
        <w:rPr>
          <w:lang w:val="fr-FR"/>
        </w:rPr>
        <w:tab/>
      </w:r>
      <w:r w:rsidR="00A04B95">
        <w:rPr>
          <w:lang w:val="fr-FR"/>
        </w:rPr>
        <w:t>Indiquer</w:t>
      </w:r>
      <w:r w:rsidR="00A04B95" w:rsidRPr="00A805AE">
        <w:rPr>
          <w:lang w:val="fr-FR"/>
        </w:rPr>
        <w:t xml:space="preserve"> </w:t>
      </w:r>
      <w:r w:rsidR="008D671A" w:rsidRPr="00A805AE">
        <w:rPr>
          <w:lang w:val="fr-FR"/>
        </w:rPr>
        <w:t>les bonnes pratiques adoptées par l’</w:t>
      </w:r>
      <w:r w:rsidR="00021936">
        <w:rPr>
          <w:lang w:val="fr-FR"/>
        </w:rPr>
        <w:t>État</w:t>
      </w:r>
      <w:r w:rsidR="008D671A" w:rsidRPr="00A805AE">
        <w:rPr>
          <w:lang w:val="fr-FR"/>
        </w:rPr>
        <w:t xml:space="preserve"> partie dans la formulation et l’application de ses politiques pendant la période considérée</w:t>
      </w:r>
      <w:r w:rsidR="00B10F3D">
        <w:rPr>
          <w:lang w:val="fr-FR"/>
        </w:rPr>
        <w:t>,</w:t>
      </w:r>
      <w:r w:rsidR="008D671A" w:rsidRPr="00A805AE">
        <w:rPr>
          <w:lang w:val="fr-FR"/>
        </w:rPr>
        <w:t xml:space="preserve"> qui ont contribué efficacement à la réalisation des droits économiques, sociaux et culturels des personnes et des groupes marginalisés et défavorisés. Indiquer la façon dont les ob</w:t>
      </w:r>
      <w:r w:rsidR="008D671A">
        <w:rPr>
          <w:lang w:val="fr-FR"/>
        </w:rPr>
        <w:t>servations finales précédentes</w:t>
      </w:r>
      <w:r w:rsidR="00DC59A1">
        <w:rPr>
          <w:lang w:val="fr-FR"/>
        </w:rPr>
        <w:t xml:space="preserve"> (E/C.12/BEL/CO/4)</w:t>
      </w:r>
      <w:r w:rsidR="008D671A">
        <w:rPr>
          <w:lang w:val="fr-FR"/>
        </w:rPr>
        <w:t xml:space="preserve"> </w:t>
      </w:r>
      <w:r w:rsidR="008D671A" w:rsidRPr="00A805AE">
        <w:rPr>
          <w:lang w:val="fr-FR"/>
        </w:rPr>
        <w:t>ont été prises en considération pour établir ces pratiques.</w:t>
      </w:r>
    </w:p>
    <w:p w14:paraId="2450D0EA" w14:textId="77777777" w:rsidR="00446FE5" w:rsidRPr="00364239" w:rsidRDefault="00364239" w:rsidP="00364239">
      <w:pPr>
        <w:pStyle w:val="SingleTxtG"/>
        <w:spacing w:before="240" w:after="0"/>
        <w:jc w:val="center"/>
        <w:rPr>
          <w:u w:val="single"/>
        </w:rPr>
      </w:pPr>
      <w:r>
        <w:rPr>
          <w:u w:val="single"/>
        </w:rPr>
        <w:tab/>
      </w:r>
      <w:r>
        <w:rPr>
          <w:u w:val="single"/>
        </w:rPr>
        <w:tab/>
      </w:r>
      <w:r>
        <w:rPr>
          <w:u w:val="single"/>
        </w:rPr>
        <w:tab/>
      </w:r>
      <w:r w:rsidR="0076340F">
        <w:rPr>
          <w:u w:val="single"/>
        </w:rPr>
        <w:tab/>
      </w:r>
    </w:p>
    <w:sectPr w:rsidR="00446FE5" w:rsidRPr="00364239" w:rsidSect="007549C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5C00" w14:textId="77777777" w:rsidR="00076A2E" w:rsidRDefault="00076A2E" w:rsidP="00F95C08">
      <w:pPr>
        <w:spacing w:line="240" w:lineRule="auto"/>
      </w:pPr>
    </w:p>
  </w:endnote>
  <w:endnote w:type="continuationSeparator" w:id="0">
    <w:p w14:paraId="06624879" w14:textId="77777777" w:rsidR="00076A2E" w:rsidRPr="00AC3823" w:rsidRDefault="00076A2E" w:rsidP="00AC3823">
      <w:pPr>
        <w:pStyle w:val="Pieddepage"/>
      </w:pPr>
    </w:p>
  </w:endnote>
  <w:endnote w:type="continuationNotice" w:id="1">
    <w:p w14:paraId="54696FAD" w14:textId="77777777" w:rsidR="00076A2E" w:rsidRDefault="00076A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1BCB" w14:textId="1BFCBFC4" w:rsidR="00076A2E" w:rsidRPr="002A17CF" w:rsidRDefault="00076A2E" w:rsidP="002A17CF">
    <w:pPr>
      <w:pStyle w:val="Pieddepage"/>
      <w:tabs>
        <w:tab w:val="right" w:pos="9638"/>
      </w:tabs>
    </w:pPr>
    <w:r w:rsidRPr="002A17CF">
      <w:rPr>
        <w:b/>
        <w:sz w:val="18"/>
      </w:rPr>
      <w:fldChar w:fldCharType="begin"/>
    </w:r>
    <w:r w:rsidRPr="002A17CF">
      <w:rPr>
        <w:b/>
        <w:sz w:val="18"/>
      </w:rPr>
      <w:instrText xml:space="preserve"> PAGE  \* MERGEFORMAT </w:instrText>
    </w:r>
    <w:r w:rsidRPr="002A17CF">
      <w:rPr>
        <w:b/>
        <w:sz w:val="18"/>
      </w:rPr>
      <w:fldChar w:fldCharType="separate"/>
    </w:r>
    <w:r w:rsidR="0069046B">
      <w:rPr>
        <w:b/>
        <w:noProof/>
        <w:sz w:val="18"/>
      </w:rPr>
      <w:t>2</w:t>
    </w:r>
    <w:r w:rsidRPr="002A17C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83C1" w14:textId="4FF2CA69" w:rsidR="00076A2E" w:rsidRPr="002A17CF" w:rsidRDefault="00076A2E" w:rsidP="002A17CF">
    <w:pPr>
      <w:pStyle w:val="Pieddepage"/>
      <w:tabs>
        <w:tab w:val="right" w:pos="9638"/>
      </w:tabs>
      <w:rPr>
        <w:b/>
        <w:sz w:val="18"/>
      </w:rPr>
    </w:pPr>
    <w:r>
      <w:tab/>
    </w:r>
    <w:r w:rsidRPr="002A17CF">
      <w:rPr>
        <w:b/>
        <w:sz w:val="18"/>
      </w:rPr>
      <w:fldChar w:fldCharType="begin"/>
    </w:r>
    <w:r w:rsidRPr="002A17CF">
      <w:rPr>
        <w:b/>
        <w:sz w:val="18"/>
      </w:rPr>
      <w:instrText xml:space="preserve"> PAGE  \* MERGEFORMAT </w:instrText>
    </w:r>
    <w:r w:rsidRPr="002A17CF">
      <w:rPr>
        <w:b/>
        <w:sz w:val="18"/>
      </w:rPr>
      <w:fldChar w:fldCharType="separate"/>
    </w:r>
    <w:r w:rsidR="0069046B">
      <w:rPr>
        <w:b/>
        <w:noProof/>
        <w:sz w:val="18"/>
      </w:rPr>
      <w:t>5</w:t>
    </w:r>
    <w:r w:rsidRPr="002A17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E5FF" w14:textId="6AFC5B6C" w:rsidR="00076A2E" w:rsidRPr="00917E99" w:rsidRDefault="00917E99" w:rsidP="006F53E8">
    <w:pPr>
      <w:pStyle w:val="Pieddepage"/>
      <w:spacing w:before="120"/>
      <w:rPr>
        <w:rFonts w:ascii="C39T30Lfz" w:hAnsi="C39T30Lfz"/>
        <w:sz w:val="56"/>
      </w:rPr>
    </w:pPr>
    <w:r>
      <w:rPr>
        <w:sz w:val="20"/>
      </w:rPr>
      <w:t>GE.</w:t>
    </w:r>
    <w:r>
      <w:rPr>
        <w:noProof/>
        <w:lang w:eastAsia="fr-CH"/>
      </w:rPr>
      <w:drawing>
        <wp:anchor distT="0" distB="0" distL="114300" distR="114300" simplePos="0" relativeHeight="251660288" behindDoc="0" locked="0" layoutInCell="1" allowOverlap="0" wp14:anchorId="02054A3B" wp14:editId="1FFD62CC">
          <wp:simplePos x="0" y="0"/>
          <wp:positionH relativeFrom="margin">
            <wp:posOffset>4319905</wp:posOffset>
          </wp:positionH>
          <wp:positionV relativeFrom="margin">
            <wp:posOffset>9144000</wp:posOffset>
          </wp:positionV>
          <wp:extent cx="1105200" cy="234000"/>
          <wp:effectExtent l="0" t="0" r="0" b="0"/>
          <wp:wrapNone/>
          <wp:docPr id="8" name="Image 8"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w:t>
    </w:r>
    <w:r>
      <w:rPr>
        <w:sz w:val="20"/>
      </w:rPr>
      <w:t>9308</w:t>
    </w:r>
    <w:r>
      <w:rPr>
        <w:sz w:val="20"/>
      </w:rPr>
      <w:t xml:space="preserve">  (F)</w:t>
    </w:r>
    <w:r>
      <w:rPr>
        <w:rFonts w:ascii="C39T30Lfz" w:hAnsi="C39T30Lfz"/>
        <w:noProof/>
        <w:sz w:val="56"/>
        <w:lang w:eastAsia="fr-CH"/>
      </w:rPr>
      <w:drawing>
        <wp:anchor distT="0" distB="0" distL="114300" distR="114300" simplePos="0" relativeHeight="251658240" behindDoc="0" locked="0" layoutInCell="1" allowOverlap="1" wp14:anchorId="1D2F1373" wp14:editId="2375C383">
          <wp:simplePos x="0" y="0"/>
          <wp:positionH relativeFrom="column">
            <wp:posOffset>5476875</wp:posOffset>
          </wp:positionH>
          <wp:positionV relativeFrom="paragraph">
            <wp:posOffset>19050</wp:posOffset>
          </wp:positionV>
          <wp:extent cx="638175" cy="638175"/>
          <wp:effectExtent l="0" t="0" r="9525" b="9525"/>
          <wp:wrapNone/>
          <wp:docPr id="1" name="Image 1" descr="https://undocs.org/m2/QRCode.ashx?DS=E/C.12/BEL/QPR/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L/QPR/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br/>
    </w:r>
    <w:r w:rsidRPr="00917E99">
      <w:rPr>
        <w:rFonts w:ascii="C39T30Lfz" w:hAnsi="C39T30Lfz"/>
        <w:sz w:val="56"/>
      </w:rPr>
      <w:t></w:t>
    </w:r>
    <w:r w:rsidRPr="00917E99">
      <w:rPr>
        <w:rFonts w:ascii="C39T30Lfz" w:hAnsi="C39T30Lfz"/>
        <w:sz w:val="56"/>
      </w:rPr>
      <w:t></w:t>
    </w:r>
    <w:r w:rsidRPr="00917E99">
      <w:rPr>
        <w:rFonts w:ascii="C39T30Lfz" w:hAnsi="C39T30Lfz"/>
        <w:sz w:val="56"/>
      </w:rPr>
      <w:t></w:t>
    </w:r>
    <w:r w:rsidRPr="00917E99">
      <w:rPr>
        <w:rFonts w:ascii="C39T30Lfz" w:hAnsi="C39T30Lfz"/>
        <w:sz w:val="56"/>
      </w:rPr>
      <w:t></w:t>
    </w:r>
    <w:r w:rsidRPr="00917E99">
      <w:rPr>
        <w:rFonts w:ascii="C39T30Lfz" w:hAnsi="C39T30Lfz"/>
        <w:sz w:val="56"/>
      </w:rPr>
      <w:t></w:t>
    </w:r>
    <w:r w:rsidRPr="00917E99">
      <w:rPr>
        <w:rFonts w:ascii="C39T30Lfz" w:hAnsi="C39T30Lfz"/>
        <w:sz w:val="56"/>
      </w:rPr>
      <w:t></w:t>
    </w:r>
    <w:r w:rsidRPr="00917E99">
      <w:rPr>
        <w:rFonts w:ascii="C39T30Lfz" w:hAnsi="C39T30Lfz"/>
        <w:sz w:val="56"/>
      </w:rPr>
      <w:t></w:t>
    </w:r>
    <w:r w:rsidRPr="00917E99">
      <w:rPr>
        <w:rFonts w:ascii="C39T30Lfz" w:hAnsi="C39T30Lfz"/>
        <w:sz w:val="56"/>
      </w:rPr>
      <w:t></w:t>
    </w:r>
    <w:r w:rsidRPr="00917E99">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0A10" w14:textId="77777777" w:rsidR="00076A2E" w:rsidRPr="00AC3823" w:rsidRDefault="00076A2E" w:rsidP="00AC3823">
      <w:pPr>
        <w:pStyle w:val="Pieddepage"/>
        <w:tabs>
          <w:tab w:val="right" w:pos="2155"/>
        </w:tabs>
        <w:spacing w:after="80" w:line="240" w:lineRule="atLeast"/>
        <w:ind w:left="680"/>
        <w:rPr>
          <w:u w:val="single"/>
        </w:rPr>
      </w:pPr>
      <w:r>
        <w:rPr>
          <w:u w:val="single"/>
        </w:rPr>
        <w:tab/>
      </w:r>
    </w:p>
  </w:footnote>
  <w:footnote w:type="continuationSeparator" w:id="0">
    <w:p w14:paraId="7FEBBEE4" w14:textId="77777777" w:rsidR="00076A2E" w:rsidRPr="00AC3823" w:rsidRDefault="00076A2E" w:rsidP="00AC3823">
      <w:pPr>
        <w:pStyle w:val="Pieddepage"/>
        <w:tabs>
          <w:tab w:val="right" w:pos="2155"/>
        </w:tabs>
        <w:spacing w:after="80" w:line="240" w:lineRule="atLeast"/>
        <w:ind w:left="680"/>
        <w:rPr>
          <w:u w:val="single"/>
        </w:rPr>
      </w:pPr>
      <w:r>
        <w:rPr>
          <w:u w:val="single"/>
        </w:rPr>
        <w:tab/>
      </w:r>
    </w:p>
  </w:footnote>
  <w:footnote w:type="continuationNotice" w:id="1">
    <w:p w14:paraId="37950161" w14:textId="77777777" w:rsidR="00076A2E" w:rsidRPr="00AC3823" w:rsidRDefault="00076A2E">
      <w:pPr>
        <w:spacing w:line="240" w:lineRule="auto"/>
        <w:rPr>
          <w:sz w:val="2"/>
          <w:szCs w:val="2"/>
        </w:rPr>
      </w:pPr>
    </w:p>
  </w:footnote>
  <w:footnote w:id="2">
    <w:p w14:paraId="3469AFD4" w14:textId="379954F3" w:rsidR="00076A2E" w:rsidRPr="007549C4" w:rsidRDefault="00076A2E">
      <w:pPr>
        <w:pStyle w:val="Notedebasdepage"/>
        <w:rPr>
          <w:lang w:val="fr-FR"/>
        </w:rPr>
      </w:pPr>
      <w:r>
        <w:rPr>
          <w:rStyle w:val="Appelnotedebasdep"/>
        </w:rPr>
        <w:tab/>
      </w:r>
      <w:r w:rsidRPr="007549C4">
        <w:rPr>
          <w:rStyle w:val="Appelnotedebasdep"/>
          <w:sz w:val="20"/>
          <w:vertAlign w:val="baseline"/>
        </w:rPr>
        <w:t>*</w:t>
      </w:r>
      <w:r>
        <w:rPr>
          <w:rStyle w:val="Appelnotedebasdep"/>
          <w:sz w:val="20"/>
          <w:vertAlign w:val="baseline"/>
        </w:rPr>
        <w:tab/>
      </w:r>
      <w:r>
        <w:rPr>
          <w:lang w:val="fr-FR"/>
        </w:rPr>
        <w:t xml:space="preserve">Adoptée par le </w:t>
      </w:r>
      <w:r w:rsidRPr="002F5D62">
        <w:rPr>
          <w:lang w:val="fr-FR"/>
        </w:rPr>
        <w:t>g</w:t>
      </w:r>
      <w:r w:rsidRPr="00B16F5C">
        <w:rPr>
          <w:lang w:val="fr-FR"/>
        </w:rPr>
        <w:t>roupe de travail de présession</w:t>
      </w:r>
      <w:r>
        <w:rPr>
          <w:lang w:val="fr-FR"/>
        </w:rPr>
        <w:t xml:space="preserve"> à sa soixante-</w:t>
      </w:r>
      <w:bookmarkStart w:id="0" w:name="_GoBack"/>
      <w:bookmarkEnd w:id="0"/>
      <w:r>
        <w:rPr>
          <w:lang w:val="fr-FR"/>
        </w:rPr>
        <w:t>troisième session (15-19 octobre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2BA8" w14:textId="6B4917B6" w:rsidR="00076A2E" w:rsidRPr="009F4347" w:rsidRDefault="00076A2E">
    <w:pPr>
      <w:pStyle w:val="En-tte"/>
      <w:rPr>
        <w:lang w:val="en-GB"/>
      </w:rPr>
    </w:pPr>
    <w:r>
      <w:rPr>
        <w:lang w:val="en-GB"/>
      </w:rPr>
      <w:t>E/C.12/BEL/QPR/5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E400" w14:textId="6E1F9A46" w:rsidR="00076A2E" w:rsidRPr="009F4347" w:rsidRDefault="00076A2E" w:rsidP="009F4347">
    <w:pPr>
      <w:pStyle w:val="En-tte"/>
      <w:jc w:val="right"/>
      <w:rPr>
        <w:b w:val="0"/>
      </w:rPr>
    </w:pPr>
    <w:r>
      <w:rPr>
        <w:lang w:val="en-GB"/>
      </w:rPr>
      <w:t>E/C.12/BEL/QPR/5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48111A"/>
    <w:multiLevelType w:val="hybridMultilevel"/>
    <w:tmpl w:val="6F10305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7">
      <w:start w:val="1"/>
      <w:numFmt w:val="lowerLetter"/>
      <w:lvlText w:val="%3)"/>
      <w:lvlJc w:val="lef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5531152"/>
    <w:multiLevelType w:val="hybridMultilevel"/>
    <w:tmpl w:val="6D84D7F6"/>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CCF46A6"/>
    <w:multiLevelType w:val="hybridMultilevel"/>
    <w:tmpl w:val="32D0A842"/>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BA97AFF"/>
    <w:multiLevelType w:val="hybridMultilevel"/>
    <w:tmpl w:val="88E8AFD6"/>
    <w:lvl w:ilvl="0" w:tplc="23BEA256">
      <w:start w:val="1"/>
      <w:numFmt w:val="lowerLetter"/>
      <w:lvlText w:val="(%1)"/>
      <w:lvlJc w:val="left"/>
      <w:pPr>
        <w:ind w:left="3141" w:hanging="360"/>
      </w:pPr>
      <w:rPr>
        <w:rFonts w:hint="default"/>
        <w:i w:val="0"/>
      </w:r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6" w15:restartNumberingAfterBreak="0">
    <w:nsid w:val="418E3463"/>
    <w:multiLevelType w:val="hybridMultilevel"/>
    <w:tmpl w:val="D15C3098"/>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F151149"/>
    <w:multiLevelType w:val="hybridMultilevel"/>
    <w:tmpl w:val="88E8AFD6"/>
    <w:lvl w:ilvl="0" w:tplc="23BEA256">
      <w:start w:val="1"/>
      <w:numFmt w:val="lowerLetter"/>
      <w:lvlText w:val="(%1)"/>
      <w:lvlJc w:val="left"/>
      <w:pPr>
        <w:ind w:left="3141" w:hanging="360"/>
      </w:pPr>
      <w:rPr>
        <w:rFonts w:hint="default"/>
        <w:i w:val="0"/>
      </w:rPr>
    </w:lvl>
    <w:lvl w:ilvl="1" w:tplc="08090019" w:tentative="1">
      <w:start w:val="1"/>
      <w:numFmt w:val="lowerLetter"/>
      <w:lvlText w:val="%2."/>
      <w:lvlJc w:val="left"/>
      <w:pPr>
        <w:ind w:left="3861" w:hanging="360"/>
      </w:pPr>
    </w:lvl>
    <w:lvl w:ilvl="2" w:tplc="0809001B" w:tentative="1">
      <w:start w:val="1"/>
      <w:numFmt w:val="lowerRoman"/>
      <w:lvlText w:val="%3."/>
      <w:lvlJc w:val="right"/>
      <w:pPr>
        <w:ind w:left="4581" w:hanging="180"/>
      </w:pPr>
    </w:lvl>
    <w:lvl w:ilvl="3" w:tplc="0809000F" w:tentative="1">
      <w:start w:val="1"/>
      <w:numFmt w:val="decimal"/>
      <w:lvlText w:val="%4."/>
      <w:lvlJc w:val="left"/>
      <w:pPr>
        <w:ind w:left="5301" w:hanging="360"/>
      </w:pPr>
    </w:lvl>
    <w:lvl w:ilvl="4" w:tplc="08090019" w:tentative="1">
      <w:start w:val="1"/>
      <w:numFmt w:val="lowerLetter"/>
      <w:lvlText w:val="%5."/>
      <w:lvlJc w:val="left"/>
      <w:pPr>
        <w:ind w:left="6021" w:hanging="360"/>
      </w:pPr>
    </w:lvl>
    <w:lvl w:ilvl="5" w:tplc="0809001B" w:tentative="1">
      <w:start w:val="1"/>
      <w:numFmt w:val="lowerRoman"/>
      <w:lvlText w:val="%6."/>
      <w:lvlJc w:val="right"/>
      <w:pPr>
        <w:ind w:left="6741" w:hanging="180"/>
      </w:pPr>
    </w:lvl>
    <w:lvl w:ilvl="6" w:tplc="0809000F" w:tentative="1">
      <w:start w:val="1"/>
      <w:numFmt w:val="decimal"/>
      <w:lvlText w:val="%7."/>
      <w:lvlJc w:val="left"/>
      <w:pPr>
        <w:ind w:left="7461" w:hanging="360"/>
      </w:pPr>
    </w:lvl>
    <w:lvl w:ilvl="7" w:tplc="08090019" w:tentative="1">
      <w:start w:val="1"/>
      <w:numFmt w:val="lowerLetter"/>
      <w:lvlText w:val="%8."/>
      <w:lvlJc w:val="left"/>
      <w:pPr>
        <w:ind w:left="8181" w:hanging="360"/>
      </w:pPr>
    </w:lvl>
    <w:lvl w:ilvl="8" w:tplc="0809001B" w:tentative="1">
      <w:start w:val="1"/>
      <w:numFmt w:val="lowerRoman"/>
      <w:lvlText w:val="%9."/>
      <w:lvlJc w:val="right"/>
      <w:pPr>
        <w:ind w:left="8901" w:hanging="180"/>
      </w:pPr>
    </w:lvl>
  </w:abstractNum>
  <w:abstractNum w:abstractNumId="18" w15:restartNumberingAfterBreak="0">
    <w:nsid w:val="55753C2C"/>
    <w:multiLevelType w:val="hybridMultilevel"/>
    <w:tmpl w:val="3856C44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7423957"/>
    <w:multiLevelType w:val="hybridMultilevel"/>
    <w:tmpl w:val="3BD495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AA4CBA"/>
    <w:multiLevelType w:val="hybridMultilevel"/>
    <w:tmpl w:val="A224BC1A"/>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4D216CA"/>
    <w:multiLevelType w:val="hybridMultilevel"/>
    <w:tmpl w:val="856020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ED91FA9"/>
    <w:multiLevelType w:val="hybridMultilevel"/>
    <w:tmpl w:val="3BE4EF3E"/>
    <w:lvl w:ilvl="0" w:tplc="0809000F">
      <w:start w:val="1"/>
      <w:numFmt w:val="decimal"/>
      <w:lvlText w:val="%1."/>
      <w:lvlJc w:val="left"/>
      <w:pPr>
        <w:ind w:left="720" w:hanging="360"/>
      </w:pPr>
      <w:rPr>
        <w:rFonts w:hint="default"/>
      </w:rPr>
    </w:lvl>
    <w:lvl w:ilvl="1" w:tplc="23BEA256">
      <w:start w:val="1"/>
      <w:numFmt w:val="lowerLetter"/>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FC3DDE"/>
    <w:multiLevelType w:val="hybridMultilevel"/>
    <w:tmpl w:val="672C603A"/>
    <w:lvl w:ilvl="0" w:tplc="9FDE9F30">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22"/>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4"/>
  </w:num>
  <w:num w:numId="16">
    <w:abstractNumId w:val="10"/>
  </w:num>
  <w:num w:numId="17">
    <w:abstractNumId w:val="19"/>
  </w:num>
  <w:num w:numId="18">
    <w:abstractNumId w:val="23"/>
  </w:num>
  <w:num w:numId="19">
    <w:abstractNumId w:val="21"/>
  </w:num>
  <w:num w:numId="20">
    <w:abstractNumId w:val="13"/>
  </w:num>
  <w:num w:numId="21">
    <w:abstractNumId w:val="17"/>
  </w:num>
  <w:num w:numId="22">
    <w:abstractNumId w:val="15"/>
  </w:num>
  <w:num w:numId="23">
    <w:abstractNumId w:val="20"/>
  </w:num>
  <w:num w:numId="24">
    <w:abstractNumId w:val="12"/>
  </w:num>
  <w:num w:numId="25">
    <w:abstractNumId w:val="16"/>
  </w:num>
  <w:num w:numId="26">
    <w:abstractNumId w:val="18"/>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675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8D"/>
    <w:rsid w:val="00013A4F"/>
    <w:rsid w:val="00017F94"/>
    <w:rsid w:val="00021936"/>
    <w:rsid w:val="00023842"/>
    <w:rsid w:val="000334F9"/>
    <w:rsid w:val="0004434E"/>
    <w:rsid w:val="00046EB1"/>
    <w:rsid w:val="000508C0"/>
    <w:rsid w:val="00056C2D"/>
    <w:rsid w:val="000573CB"/>
    <w:rsid w:val="00060315"/>
    <w:rsid w:val="0006193F"/>
    <w:rsid w:val="00074CE3"/>
    <w:rsid w:val="00076244"/>
    <w:rsid w:val="00076A2E"/>
    <w:rsid w:val="0007796D"/>
    <w:rsid w:val="00084C9E"/>
    <w:rsid w:val="000857BB"/>
    <w:rsid w:val="00087F6E"/>
    <w:rsid w:val="00096CE6"/>
    <w:rsid w:val="000A3CB9"/>
    <w:rsid w:val="000B7790"/>
    <w:rsid w:val="000C225F"/>
    <w:rsid w:val="000D3EE9"/>
    <w:rsid w:val="000E363A"/>
    <w:rsid w:val="000E5896"/>
    <w:rsid w:val="000F5FCF"/>
    <w:rsid w:val="000F7C53"/>
    <w:rsid w:val="00104C5E"/>
    <w:rsid w:val="00111F2F"/>
    <w:rsid w:val="00115740"/>
    <w:rsid w:val="00122DAB"/>
    <w:rsid w:val="001336CE"/>
    <w:rsid w:val="0013695C"/>
    <w:rsid w:val="00137100"/>
    <w:rsid w:val="001376BA"/>
    <w:rsid w:val="001433FD"/>
    <w:rsid w:val="0014365E"/>
    <w:rsid w:val="001541D3"/>
    <w:rsid w:val="00155520"/>
    <w:rsid w:val="001555BD"/>
    <w:rsid w:val="00156845"/>
    <w:rsid w:val="00166517"/>
    <w:rsid w:val="0017188A"/>
    <w:rsid w:val="00176178"/>
    <w:rsid w:val="00195145"/>
    <w:rsid w:val="001A3B3E"/>
    <w:rsid w:val="001C6F2E"/>
    <w:rsid w:val="001E39F9"/>
    <w:rsid w:val="001F2231"/>
    <w:rsid w:val="001F278D"/>
    <w:rsid w:val="001F525A"/>
    <w:rsid w:val="002200E5"/>
    <w:rsid w:val="00223272"/>
    <w:rsid w:val="00223EDE"/>
    <w:rsid w:val="00227BC8"/>
    <w:rsid w:val="0024779E"/>
    <w:rsid w:val="00262510"/>
    <w:rsid w:val="00263687"/>
    <w:rsid w:val="002832AC"/>
    <w:rsid w:val="0028417F"/>
    <w:rsid w:val="00295CCA"/>
    <w:rsid w:val="002970BA"/>
    <w:rsid w:val="002A17CF"/>
    <w:rsid w:val="002B4EC8"/>
    <w:rsid w:val="002C0FF2"/>
    <w:rsid w:val="002C5458"/>
    <w:rsid w:val="002C75BA"/>
    <w:rsid w:val="002D02EB"/>
    <w:rsid w:val="002D7C93"/>
    <w:rsid w:val="002E48EB"/>
    <w:rsid w:val="002E6659"/>
    <w:rsid w:val="002F33A7"/>
    <w:rsid w:val="002F43E5"/>
    <w:rsid w:val="00305DC0"/>
    <w:rsid w:val="00317E06"/>
    <w:rsid w:val="00326417"/>
    <w:rsid w:val="00327A88"/>
    <w:rsid w:val="00347880"/>
    <w:rsid w:val="00350733"/>
    <w:rsid w:val="00350EFC"/>
    <w:rsid w:val="0035428C"/>
    <w:rsid w:val="00364239"/>
    <w:rsid w:val="003649F7"/>
    <w:rsid w:val="00372CB9"/>
    <w:rsid w:val="00375EA9"/>
    <w:rsid w:val="00382EB8"/>
    <w:rsid w:val="003835D3"/>
    <w:rsid w:val="003A44B9"/>
    <w:rsid w:val="003A4701"/>
    <w:rsid w:val="003A5B63"/>
    <w:rsid w:val="003C21F3"/>
    <w:rsid w:val="003C3BA9"/>
    <w:rsid w:val="003E24B4"/>
    <w:rsid w:val="003E29EF"/>
    <w:rsid w:val="003E3172"/>
    <w:rsid w:val="003E4A5F"/>
    <w:rsid w:val="003F3C3D"/>
    <w:rsid w:val="003F7FE7"/>
    <w:rsid w:val="00410580"/>
    <w:rsid w:val="00437A5A"/>
    <w:rsid w:val="00441C3B"/>
    <w:rsid w:val="00446B0A"/>
    <w:rsid w:val="00446FE5"/>
    <w:rsid w:val="00452396"/>
    <w:rsid w:val="004715C1"/>
    <w:rsid w:val="00482CF6"/>
    <w:rsid w:val="00496179"/>
    <w:rsid w:val="004A2172"/>
    <w:rsid w:val="004A2301"/>
    <w:rsid w:val="004A6466"/>
    <w:rsid w:val="004B5DCF"/>
    <w:rsid w:val="004C2B25"/>
    <w:rsid w:val="004E138A"/>
    <w:rsid w:val="004E468C"/>
    <w:rsid w:val="004E68E9"/>
    <w:rsid w:val="004F0FF1"/>
    <w:rsid w:val="004F2EAB"/>
    <w:rsid w:val="00503C38"/>
    <w:rsid w:val="00506BE1"/>
    <w:rsid w:val="005152C0"/>
    <w:rsid w:val="00523EE9"/>
    <w:rsid w:val="005316B0"/>
    <w:rsid w:val="005355B9"/>
    <w:rsid w:val="005505B7"/>
    <w:rsid w:val="00556D7D"/>
    <w:rsid w:val="00573BE5"/>
    <w:rsid w:val="00575D88"/>
    <w:rsid w:val="00583C17"/>
    <w:rsid w:val="00583EA2"/>
    <w:rsid w:val="00584214"/>
    <w:rsid w:val="00584DAB"/>
    <w:rsid w:val="00586ED3"/>
    <w:rsid w:val="00596811"/>
    <w:rsid w:val="00596AA9"/>
    <w:rsid w:val="00596F6A"/>
    <w:rsid w:val="005A6765"/>
    <w:rsid w:val="005B7B74"/>
    <w:rsid w:val="005C1DA9"/>
    <w:rsid w:val="005D613F"/>
    <w:rsid w:val="005E6DED"/>
    <w:rsid w:val="005F2182"/>
    <w:rsid w:val="005F2353"/>
    <w:rsid w:val="00605FB8"/>
    <w:rsid w:val="006132E4"/>
    <w:rsid w:val="00615B16"/>
    <w:rsid w:val="00617078"/>
    <w:rsid w:val="00623C17"/>
    <w:rsid w:val="00624E89"/>
    <w:rsid w:val="00626D4F"/>
    <w:rsid w:val="00636978"/>
    <w:rsid w:val="006410CC"/>
    <w:rsid w:val="0064139E"/>
    <w:rsid w:val="0064235B"/>
    <w:rsid w:val="00645F9A"/>
    <w:rsid w:val="00652BEF"/>
    <w:rsid w:val="0067026C"/>
    <w:rsid w:val="00671015"/>
    <w:rsid w:val="006812D0"/>
    <w:rsid w:val="0069046B"/>
    <w:rsid w:val="00694CAA"/>
    <w:rsid w:val="006A2E75"/>
    <w:rsid w:val="006A563D"/>
    <w:rsid w:val="006B6882"/>
    <w:rsid w:val="006C0157"/>
    <w:rsid w:val="006C0854"/>
    <w:rsid w:val="006C3371"/>
    <w:rsid w:val="006C5969"/>
    <w:rsid w:val="006C7D96"/>
    <w:rsid w:val="006E51D2"/>
    <w:rsid w:val="006F53E8"/>
    <w:rsid w:val="006F5516"/>
    <w:rsid w:val="00703B8E"/>
    <w:rsid w:val="00706363"/>
    <w:rsid w:val="00714358"/>
    <w:rsid w:val="0071601D"/>
    <w:rsid w:val="00716CA9"/>
    <w:rsid w:val="00724824"/>
    <w:rsid w:val="007257EF"/>
    <w:rsid w:val="00730A44"/>
    <w:rsid w:val="00733190"/>
    <w:rsid w:val="0074674C"/>
    <w:rsid w:val="007537FB"/>
    <w:rsid w:val="007549C4"/>
    <w:rsid w:val="0076340F"/>
    <w:rsid w:val="007651E7"/>
    <w:rsid w:val="0076713B"/>
    <w:rsid w:val="007673E8"/>
    <w:rsid w:val="0077355F"/>
    <w:rsid w:val="0077530F"/>
    <w:rsid w:val="0079721B"/>
    <w:rsid w:val="007A2655"/>
    <w:rsid w:val="007A62E6"/>
    <w:rsid w:val="007B34E2"/>
    <w:rsid w:val="007B5D82"/>
    <w:rsid w:val="007C56D6"/>
    <w:rsid w:val="007C7E47"/>
    <w:rsid w:val="007D15F0"/>
    <w:rsid w:val="007D1C68"/>
    <w:rsid w:val="007E01B8"/>
    <w:rsid w:val="007E6CFA"/>
    <w:rsid w:val="0080158D"/>
    <w:rsid w:val="0080684C"/>
    <w:rsid w:val="008104AD"/>
    <w:rsid w:val="008121EB"/>
    <w:rsid w:val="008268BA"/>
    <w:rsid w:val="00832891"/>
    <w:rsid w:val="00841A94"/>
    <w:rsid w:val="008457DD"/>
    <w:rsid w:val="008523AD"/>
    <w:rsid w:val="0085643B"/>
    <w:rsid w:val="00871C75"/>
    <w:rsid w:val="008776DC"/>
    <w:rsid w:val="00883888"/>
    <w:rsid w:val="008875D9"/>
    <w:rsid w:val="008912CF"/>
    <w:rsid w:val="008A3DC2"/>
    <w:rsid w:val="008A6B68"/>
    <w:rsid w:val="008A7916"/>
    <w:rsid w:val="008B007A"/>
    <w:rsid w:val="008B34CD"/>
    <w:rsid w:val="008C127F"/>
    <w:rsid w:val="008C4F08"/>
    <w:rsid w:val="008C67F1"/>
    <w:rsid w:val="008D264A"/>
    <w:rsid w:val="008D28B8"/>
    <w:rsid w:val="008D4C8C"/>
    <w:rsid w:val="008D5A2E"/>
    <w:rsid w:val="008D671A"/>
    <w:rsid w:val="008E315C"/>
    <w:rsid w:val="008F4460"/>
    <w:rsid w:val="008F494F"/>
    <w:rsid w:val="00906B2F"/>
    <w:rsid w:val="009076C2"/>
    <w:rsid w:val="0091242C"/>
    <w:rsid w:val="00917E99"/>
    <w:rsid w:val="00930348"/>
    <w:rsid w:val="00934A25"/>
    <w:rsid w:val="009415C0"/>
    <w:rsid w:val="009515C1"/>
    <w:rsid w:val="00952C95"/>
    <w:rsid w:val="00962DDC"/>
    <w:rsid w:val="009705C8"/>
    <w:rsid w:val="00971536"/>
    <w:rsid w:val="00974B1D"/>
    <w:rsid w:val="00991A62"/>
    <w:rsid w:val="009956E0"/>
    <w:rsid w:val="009965DC"/>
    <w:rsid w:val="009A4087"/>
    <w:rsid w:val="009C1CF4"/>
    <w:rsid w:val="009D70D3"/>
    <w:rsid w:val="009D73CA"/>
    <w:rsid w:val="009F4347"/>
    <w:rsid w:val="00A01C0F"/>
    <w:rsid w:val="00A04B95"/>
    <w:rsid w:val="00A21347"/>
    <w:rsid w:val="00A30353"/>
    <w:rsid w:val="00A55521"/>
    <w:rsid w:val="00A5562D"/>
    <w:rsid w:val="00A65EC5"/>
    <w:rsid w:val="00A67AF6"/>
    <w:rsid w:val="00A733CD"/>
    <w:rsid w:val="00A839A1"/>
    <w:rsid w:val="00A859DA"/>
    <w:rsid w:val="00A92EDB"/>
    <w:rsid w:val="00A9699A"/>
    <w:rsid w:val="00A97C24"/>
    <w:rsid w:val="00AA113A"/>
    <w:rsid w:val="00AA53FF"/>
    <w:rsid w:val="00AB2B18"/>
    <w:rsid w:val="00AB30E0"/>
    <w:rsid w:val="00AC23D8"/>
    <w:rsid w:val="00AC37B9"/>
    <w:rsid w:val="00AC3823"/>
    <w:rsid w:val="00AC5D78"/>
    <w:rsid w:val="00AD15C4"/>
    <w:rsid w:val="00AE323C"/>
    <w:rsid w:val="00AE3A20"/>
    <w:rsid w:val="00AE6FD3"/>
    <w:rsid w:val="00B00181"/>
    <w:rsid w:val="00B00B0D"/>
    <w:rsid w:val="00B01940"/>
    <w:rsid w:val="00B05513"/>
    <w:rsid w:val="00B05543"/>
    <w:rsid w:val="00B07266"/>
    <w:rsid w:val="00B10F3D"/>
    <w:rsid w:val="00B23AF6"/>
    <w:rsid w:val="00B27E88"/>
    <w:rsid w:val="00B30E13"/>
    <w:rsid w:val="00B43EDC"/>
    <w:rsid w:val="00B45CE1"/>
    <w:rsid w:val="00B52D65"/>
    <w:rsid w:val="00B765F7"/>
    <w:rsid w:val="00B77538"/>
    <w:rsid w:val="00BA0CA9"/>
    <w:rsid w:val="00BA39A0"/>
    <w:rsid w:val="00BA69E1"/>
    <w:rsid w:val="00BA7C84"/>
    <w:rsid w:val="00BC077D"/>
    <w:rsid w:val="00BC1D00"/>
    <w:rsid w:val="00BE4600"/>
    <w:rsid w:val="00BE76D3"/>
    <w:rsid w:val="00BF0F8B"/>
    <w:rsid w:val="00C02897"/>
    <w:rsid w:val="00C036AC"/>
    <w:rsid w:val="00C0628F"/>
    <w:rsid w:val="00C142FB"/>
    <w:rsid w:val="00C20B62"/>
    <w:rsid w:val="00C31FBE"/>
    <w:rsid w:val="00C56053"/>
    <w:rsid w:val="00C66656"/>
    <w:rsid w:val="00C74AB0"/>
    <w:rsid w:val="00C83E97"/>
    <w:rsid w:val="00C902E5"/>
    <w:rsid w:val="00C91901"/>
    <w:rsid w:val="00C92C43"/>
    <w:rsid w:val="00C92DDC"/>
    <w:rsid w:val="00C96FC5"/>
    <w:rsid w:val="00C97779"/>
    <w:rsid w:val="00CA06BF"/>
    <w:rsid w:val="00CA4592"/>
    <w:rsid w:val="00CA5F2A"/>
    <w:rsid w:val="00CF0109"/>
    <w:rsid w:val="00CF536E"/>
    <w:rsid w:val="00CF6C80"/>
    <w:rsid w:val="00D11DB2"/>
    <w:rsid w:val="00D11E16"/>
    <w:rsid w:val="00D1337E"/>
    <w:rsid w:val="00D3439C"/>
    <w:rsid w:val="00D52965"/>
    <w:rsid w:val="00D577E3"/>
    <w:rsid w:val="00D66C6E"/>
    <w:rsid w:val="00D66F2E"/>
    <w:rsid w:val="00D76306"/>
    <w:rsid w:val="00D77CA1"/>
    <w:rsid w:val="00D86904"/>
    <w:rsid w:val="00D90311"/>
    <w:rsid w:val="00D9149D"/>
    <w:rsid w:val="00D93875"/>
    <w:rsid w:val="00D97B48"/>
    <w:rsid w:val="00DA3206"/>
    <w:rsid w:val="00DA5268"/>
    <w:rsid w:val="00DB1831"/>
    <w:rsid w:val="00DC59A1"/>
    <w:rsid w:val="00DC5A23"/>
    <w:rsid w:val="00DD3BFD"/>
    <w:rsid w:val="00DE214F"/>
    <w:rsid w:val="00DF45E1"/>
    <w:rsid w:val="00DF5CA2"/>
    <w:rsid w:val="00DF6678"/>
    <w:rsid w:val="00E26425"/>
    <w:rsid w:val="00E45535"/>
    <w:rsid w:val="00E477C7"/>
    <w:rsid w:val="00E500AC"/>
    <w:rsid w:val="00E53FCE"/>
    <w:rsid w:val="00E603FB"/>
    <w:rsid w:val="00E620CB"/>
    <w:rsid w:val="00E67E54"/>
    <w:rsid w:val="00E8355C"/>
    <w:rsid w:val="00E90206"/>
    <w:rsid w:val="00EA3C48"/>
    <w:rsid w:val="00EA7376"/>
    <w:rsid w:val="00EB1D83"/>
    <w:rsid w:val="00EC77A3"/>
    <w:rsid w:val="00ED750E"/>
    <w:rsid w:val="00EE1129"/>
    <w:rsid w:val="00EF04CC"/>
    <w:rsid w:val="00EF2E22"/>
    <w:rsid w:val="00EF6D42"/>
    <w:rsid w:val="00F00982"/>
    <w:rsid w:val="00F06304"/>
    <w:rsid w:val="00F068F9"/>
    <w:rsid w:val="00F074CA"/>
    <w:rsid w:val="00F3777D"/>
    <w:rsid w:val="00F40571"/>
    <w:rsid w:val="00F41A8E"/>
    <w:rsid w:val="00F427D4"/>
    <w:rsid w:val="00F5165C"/>
    <w:rsid w:val="00F5470A"/>
    <w:rsid w:val="00F65A36"/>
    <w:rsid w:val="00F660DF"/>
    <w:rsid w:val="00F80747"/>
    <w:rsid w:val="00F906BC"/>
    <w:rsid w:val="00F95C08"/>
    <w:rsid w:val="00F97353"/>
    <w:rsid w:val="00F97965"/>
    <w:rsid w:val="00FC3E25"/>
    <w:rsid w:val="00FD5473"/>
    <w:rsid w:val="00FD5B34"/>
    <w:rsid w:val="00FE3E54"/>
    <w:rsid w:val="00FF05B6"/>
    <w:rsid w:val="00FF1A60"/>
    <w:rsid w:val="00FF7A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20B128DB"/>
  <w15:docId w15:val="{6D49A5EA-45EE-4CA2-BE03-8E86EC04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callout,Footnote Refernece,Footnote Reference Number,Fußnotenzeichen_Raxen,BVI fnr,Fago Fußnotenzeichen,4_G Char Char,Footnote number,Footnotes refss,Footnote Ref,16 Point,Superscript 6 Point,ftref,[0],Ref"/>
    <w:basedOn w:val="Policepardfaut"/>
    <w:link w:val="AppelnotedebasdepageCharCharCharCharCharCharChar"/>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basedOn w:val="Policepardfaut"/>
    <w:link w:val="SingleTxtG"/>
    <w:rsid w:val="008D671A"/>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8D671A"/>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GB"/>
    </w:rPr>
  </w:style>
  <w:style w:type="paragraph" w:customStyle="1" w:styleId="Default">
    <w:name w:val="Default"/>
    <w:rsid w:val="008D671A"/>
    <w:pPr>
      <w:autoSpaceDE w:val="0"/>
      <w:autoSpaceDN w:val="0"/>
      <w:adjustRightInd w:val="0"/>
      <w:spacing w:after="0" w:line="240" w:lineRule="auto"/>
    </w:pPr>
    <w:rPr>
      <w:rFonts w:ascii="Arial" w:eastAsiaTheme="minorHAnsi" w:hAnsi="Arial" w:cs="Arial"/>
      <w:color w:val="000000"/>
      <w:sz w:val="24"/>
      <w:szCs w:val="24"/>
      <w:lang w:val="en-GB" w:eastAsia="en-US"/>
    </w:rPr>
  </w:style>
  <w:style w:type="character" w:customStyle="1" w:styleId="HChGChar">
    <w:name w:val="_ H _Ch_G Char"/>
    <w:link w:val="HChG"/>
    <w:rsid w:val="008D671A"/>
    <w:rPr>
      <w:rFonts w:ascii="Times New Roman" w:eastAsiaTheme="minorHAnsi" w:hAnsi="Times New Roman" w:cs="Times New Roman"/>
      <w:b/>
      <w:sz w:val="28"/>
      <w:szCs w:val="20"/>
      <w:lang w:eastAsia="en-US"/>
    </w:rPr>
  </w:style>
  <w:style w:type="paragraph" w:customStyle="1" w:styleId="AppelnotedebasdepageCharCharCharCharCharCharChar">
    <w:name w:val="Appel note de bas de page Char Char Char Char Char Char Char"/>
    <w:basedOn w:val="Normal"/>
    <w:link w:val="Appelnotedebasdep"/>
    <w:uiPriority w:val="99"/>
    <w:rsid w:val="008D671A"/>
    <w:pPr>
      <w:suppressAutoHyphens w:val="0"/>
      <w:kinsoku/>
      <w:overflowPunct/>
      <w:autoSpaceDE/>
      <w:autoSpaceDN/>
      <w:adjustRightInd/>
      <w:snapToGrid/>
      <w:spacing w:line="240" w:lineRule="auto"/>
      <w:jc w:val="both"/>
    </w:pPr>
    <w:rPr>
      <w:rFonts w:eastAsia="Times New Roman" w:cstheme="minorBidi"/>
      <w:sz w:val="18"/>
      <w:szCs w:val="22"/>
      <w:vertAlign w:val="superscript"/>
      <w:lang w:eastAsia="zh-CN"/>
    </w:rPr>
  </w:style>
  <w:style w:type="character" w:styleId="Marquedecommentaire">
    <w:name w:val="annotation reference"/>
    <w:basedOn w:val="Policepardfaut"/>
    <w:uiPriority w:val="99"/>
    <w:semiHidden/>
    <w:unhideWhenUsed/>
    <w:rsid w:val="00E620CB"/>
    <w:rPr>
      <w:sz w:val="16"/>
      <w:szCs w:val="16"/>
    </w:rPr>
  </w:style>
  <w:style w:type="paragraph" w:styleId="Commentaire">
    <w:name w:val="annotation text"/>
    <w:basedOn w:val="Normal"/>
    <w:link w:val="CommentaireCar"/>
    <w:uiPriority w:val="99"/>
    <w:semiHidden/>
    <w:unhideWhenUsed/>
    <w:rsid w:val="00E620CB"/>
    <w:pPr>
      <w:spacing w:line="240" w:lineRule="auto"/>
    </w:pPr>
  </w:style>
  <w:style w:type="character" w:customStyle="1" w:styleId="CommentaireCar">
    <w:name w:val="Commentaire Car"/>
    <w:basedOn w:val="Policepardfaut"/>
    <w:link w:val="Commentaire"/>
    <w:uiPriority w:val="99"/>
    <w:semiHidden/>
    <w:rsid w:val="00E620CB"/>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620CB"/>
    <w:rPr>
      <w:b/>
      <w:bCs/>
    </w:rPr>
  </w:style>
  <w:style w:type="character" w:customStyle="1" w:styleId="ObjetducommentaireCar">
    <w:name w:val="Objet du commentaire Car"/>
    <w:basedOn w:val="CommentaireCar"/>
    <w:link w:val="Objetducommentaire"/>
    <w:uiPriority w:val="99"/>
    <w:semiHidden/>
    <w:rsid w:val="00E620CB"/>
    <w:rPr>
      <w:rFonts w:ascii="Times New Roman" w:eastAsiaTheme="minorHAnsi" w:hAnsi="Times New Roman" w:cs="Times New Roman"/>
      <w:b/>
      <w:bCs/>
      <w:sz w:val="20"/>
      <w:szCs w:val="20"/>
      <w:lang w:eastAsia="en-US"/>
    </w:rPr>
  </w:style>
  <w:style w:type="paragraph" w:styleId="Rvision">
    <w:name w:val="Revision"/>
    <w:hidden/>
    <w:uiPriority w:val="99"/>
    <w:semiHidden/>
    <w:rsid w:val="0085643B"/>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34951">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1CB3-83BD-4C59-9702-8A8502CB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6</Pages>
  <Words>2851</Words>
  <Characters>15682</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E/C.12/BEL/QPR/R.5</vt:lpstr>
      <vt:lpstr>E/C.12/BEL/QPR/R.5</vt:lpstr>
    </vt:vector>
  </TitlesOfParts>
  <Company>DCM</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E/C.12/BEL/QPR/R.5</dc:title>
  <dc:subject/>
  <dc:creator>Edith BOURION</dc:creator>
  <cp:keywords/>
  <dc:description/>
  <cp:lastModifiedBy>Fabienne Crelier</cp:lastModifiedBy>
  <cp:revision>3</cp:revision>
  <cp:lastPrinted>2018-11-14T14:14:00Z</cp:lastPrinted>
  <dcterms:created xsi:type="dcterms:W3CDTF">2018-11-14T14:14:00Z</dcterms:created>
  <dcterms:modified xsi:type="dcterms:W3CDTF">2018-11-14T14:15:00Z</dcterms:modified>
</cp:coreProperties>
</file>