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76" w:rsidRDefault="00530C76">
      <w:pPr>
        <w:rPr>
          <w:sz w:val="2"/>
        </w:rPr>
      </w:pPr>
      <w:r>
        <w:rPr>
          <w:noProof/>
          <w:sz w:val="2"/>
          <w:lang w:val="en-US"/>
        </w:rPr>
        <w:fldChar w:fldCharType="begin">
          <w:ffData>
            <w:name w:val="ПолеСоСписком3"/>
            <w:enabled/>
            <w:calcOnExit w:val="0"/>
            <w:ddList/>
          </w:ffData>
        </w:fldChar>
      </w:r>
      <w:bookmarkStart w:id="0" w:name="ПолеСоСписком3"/>
      <w:r>
        <w:rPr>
          <w:noProof/>
          <w:sz w:val="2"/>
          <w:lang w:val="en-US"/>
        </w:rPr>
        <w:instrText xml:space="preserve"> FORMDROPDOWN </w:instrText>
      </w:r>
      <w:r>
        <w:rPr>
          <w:noProof/>
          <w:sz w:val="2"/>
          <w:lang w:val="en-US"/>
        </w:rPr>
      </w:r>
      <w:r>
        <w:rPr>
          <w:noProof/>
          <w:sz w:val="2"/>
          <w:lang w:val="en-US"/>
        </w:rPr>
        <w:fldChar w:fldCharType="end"/>
      </w:r>
      <w:bookmarkEnd w:id="0"/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84.85pt;margin-top:713.65pt;width:198pt;height:19.85pt;z-index:1;mso-wrap-distance-top:56.7pt;mso-wrap-distance-bottom:56.7pt;mso-position-horizontal-relative:page;mso-position-vertical-relative:text" filled="f" stroked="f" strokecolor="white">
            <v:textbox style="mso-next-textbox:#_x0000_s2050" inset="0,0,0,0">
              <w:txbxContent>
                <w:p w:rsidR="00166BA7" w:rsidRPr="00F437BE" w:rsidRDefault="00166BA7">
                  <w:r>
                    <w:rPr>
                      <w:lang w:val="en-US"/>
                    </w:rPr>
                    <w:t>GE.07-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"Введите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44187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 xml:space="preserve">  </w:t>
                  </w:r>
                  <w:r>
                    <w:rPr>
                      <w:lang w:val="en-US"/>
                    </w:rPr>
                    <w:t>(R)</w:t>
                  </w:r>
                  <w:r>
                    <w:t xml:space="preserve">    011107</w:t>
                  </w:r>
                  <w:r>
                    <w:rPr>
                      <w:lang w:val="en-US"/>
                    </w:rPr>
                    <w:t xml:space="preserve">    </w:t>
                  </w:r>
                  <w:r>
                    <w:t>011107</w:t>
                  </w:r>
                </w:p>
              </w:txbxContent>
            </v:textbox>
            <w10:wrap type="topAndBottom" anchorx="page"/>
            <w10:anchorlock/>
          </v:shape>
        </w:pict>
      </w:r>
    </w:p>
    <w:tbl>
      <w:tblPr>
        <w:tblW w:w="9356" w:type="dxa"/>
        <w:tblInd w:w="8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4535"/>
      </w:tblGrid>
      <w:tr w:rsidR="00530C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4821" w:type="dxa"/>
          </w:tcPr>
          <w:p w:rsidR="00530C76" w:rsidRDefault="00530C76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6"/>
                <w:lang w:val="en-US"/>
              </w:rPr>
            </w:pPr>
          </w:p>
          <w:p w:rsidR="00530C76" w:rsidRDefault="00530C76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ОРГАНИЗАЦИЯ </w:t>
            </w:r>
            <w:r>
              <w:rPr>
                <w:rFonts w:ascii="Arial" w:hAnsi="Arial" w:cs="Arial"/>
                <w:b/>
                <w:sz w:val="28"/>
              </w:rPr>
              <w:br/>
              <w:t>ОБЪЕДИНЕННЫХ НАЦИЙ</w:t>
            </w:r>
          </w:p>
        </w:tc>
        <w:tc>
          <w:tcPr>
            <w:tcW w:w="4535" w:type="dxa"/>
            <w:tcMar>
              <w:bottom w:w="57" w:type="dxa"/>
            </w:tcMar>
            <w:vAlign w:val="center"/>
          </w:tcPr>
          <w:p w:rsidR="00530C76" w:rsidRDefault="00530C76">
            <w:pPr>
              <w:pStyle w:val="Heading4"/>
              <w:tabs>
                <w:tab w:val="left" w:pos="4418"/>
              </w:tabs>
              <w:spacing w:after="120"/>
              <w:jc w:val="right"/>
              <w:rPr>
                <w:rFonts w:ascii="Arial" w:hAnsi="Arial" w:cs="Arial"/>
                <w:i w:val="0"/>
                <w:iCs/>
                <w:sz w:val="68"/>
              </w:rPr>
            </w:pPr>
            <w:r>
              <w:rPr>
                <w:rFonts w:ascii="Arial" w:hAnsi="Arial" w:cs="Arial"/>
                <w:i w:val="0"/>
                <w:iCs/>
                <w:sz w:val="68"/>
              </w:rPr>
              <w:t xml:space="preserve">E  </w:t>
            </w:r>
          </w:p>
        </w:tc>
      </w:tr>
    </w:tbl>
    <w:p w:rsidR="00530C76" w:rsidRDefault="00530C76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Borders>
          <w:bottom w:val="single" w:sz="3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5558"/>
        <w:gridCol w:w="2268"/>
      </w:tblGrid>
      <w:tr w:rsidR="00530C76" w:rsidTr="004E328B">
        <w:tblPrEx>
          <w:tblCellMar>
            <w:top w:w="0" w:type="dxa"/>
            <w:bottom w:w="0" w:type="dxa"/>
          </w:tblCellMar>
        </w:tblPrEx>
        <w:tc>
          <w:tcPr>
            <w:tcW w:w="1558" w:type="dxa"/>
          </w:tcPr>
          <w:p w:rsidR="00530C76" w:rsidRDefault="00530C76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object w:dxaOrig="1361" w:dyaOrig="12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63.75pt" o:ole="" o:allowoverlap="f">
                  <v:imagedata r:id="rId7" o:title=""/>
                </v:shape>
                <o:OLEObject Type="Embed" ProgID="Word.Picture.8" ShapeID="_x0000_i1025" DrawAspect="Content" ObjectID="_1418826168" r:id="rId8"/>
              </w:object>
            </w:r>
          </w:p>
          <w:p w:rsidR="00530C76" w:rsidRDefault="00530C76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 w:rsidR="00B47409"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530C76" w:rsidRDefault="00530C76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558" w:type="dxa"/>
          </w:tcPr>
          <w:p w:rsidR="00530C76" w:rsidRDefault="00530C76">
            <w:pPr>
              <w:tabs>
                <w:tab w:val="left" w:pos="0"/>
                <w:tab w:val="left" w:pos="7086"/>
              </w:tabs>
              <w:suppressAutoHyphens/>
              <w:ind w:right="255"/>
              <w:rPr>
                <w:b/>
                <w:sz w:val="10"/>
              </w:rPr>
            </w:pPr>
          </w:p>
          <w:p w:rsidR="00530C76" w:rsidRDefault="00530C76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right="255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sz w:val="34"/>
              </w:rPr>
              <w:t>Экономический</w:t>
            </w:r>
            <w:r>
              <w:rPr>
                <w:rFonts w:ascii="Arial" w:hAnsi="Arial" w:cs="Arial"/>
                <w:b/>
                <w:sz w:val="16"/>
              </w:rPr>
              <w:br/>
            </w:r>
            <w:r>
              <w:rPr>
                <w:rFonts w:ascii="Arial" w:hAnsi="Arial" w:cs="Arial"/>
                <w:b/>
                <w:sz w:val="34"/>
              </w:rPr>
              <w:t>и Социальный Совет</w:t>
            </w:r>
          </w:p>
        </w:tc>
        <w:tc>
          <w:tcPr>
            <w:tcW w:w="2268" w:type="dxa"/>
          </w:tcPr>
          <w:p w:rsidR="00530C76" w:rsidRDefault="00530C76">
            <w:pPr>
              <w:spacing w:line="216" w:lineRule="auto"/>
            </w:pPr>
            <w:r>
              <w:rPr>
                <w:lang w:val="en-US"/>
              </w:rPr>
              <w:t>Distr</w:t>
            </w:r>
            <w:r>
              <w:t>.</w:t>
            </w:r>
          </w:p>
          <w:p w:rsidR="00530C76" w:rsidRDefault="00530C76">
            <w:pPr>
              <w:spacing w:line="216" w:lineRule="auto"/>
            </w:pPr>
            <w:r>
              <w:rPr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instrText xml:space="preserve"> </w:instrText>
            </w:r>
            <w:r>
              <w:rPr>
                <w:lang w:val="en-US"/>
              </w:rPr>
              <w:instrText>FORMDROPDOWN</w:instrText>
            </w:r>
            <w:r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1"/>
          </w:p>
          <w:p w:rsidR="00530C76" w:rsidRDefault="00530C76">
            <w:pPr>
              <w:spacing w:line="216" w:lineRule="auto"/>
            </w:pPr>
          </w:p>
          <w:p w:rsidR="00530C76" w:rsidRPr="00D70DAD" w:rsidRDefault="00530C76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 w:rsidRPr="00D70DAD"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>FILLIN</w:instrText>
            </w:r>
            <w:r w:rsidRPr="00D70DAD">
              <w:rPr>
                <w:lang w:val="en-US"/>
              </w:rPr>
              <w:instrText xml:space="preserve">  "</w:instrText>
            </w:r>
            <w:r>
              <w:instrText>Введите</w:instrText>
            </w:r>
            <w:r w:rsidRPr="00D70DAD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D70DAD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D70DAD">
              <w:rPr>
                <w:lang w:val="en-US"/>
              </w:rPr>
              <w:instrText xml:space="preserve">" \* </w:instrText>
            </w:r>
            <w:r>
              <w:rPr>
                <w:lang w:val="en-US"/>
              </w:rPr>
              <w:instrText>MERGEFORMAT</w:instrText>
            </w:r>
            <w:r w:rsidRPr="00D70DAD">
              <w:rPr>
                <w:lang w:val="en-US"/>
              </w:rPr>
              <w:instrText xml:space="preserve"> </w:instrText>
            </w:r>
            <w:r w:rsidR="00D70DAD">
              <w:rPr>
                <w:lang w:val="en-US"/>
              </w:rPr>
              <w:fldChar w:fldCharType="separate"/>
            </w:r>
            <w:r w:rsidR="00D70DAD">
              <w:rPr>
                <w:lang w:val="en-US"/>
              </w:rPr>
              <w:t>E/C.12/BEN/Q/2</w:t>
            </w:r>
            <w:r>
              <w:rPr>
                <w:lang w:val="en-US"/>
              </w:rPr>
              <w:fldChar w:fldCharType="end"/>
            </w:r>
          </w:p>
          <w:p w:rsidR="00530C76" w:rsidRPr="00D70DAD" w:rsidRDefault="00530C76">
            <w:pPr>
              <w:spacing w:line="216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 w:rsidRPr="00D70DAD"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>FILLIN</w:instrText>
            </w:r>
            <w:r w:rsidRPr="00D70DAD">
              <w:rPr>
                <w:lang w:val="en-US"/>
              </w:rPr>
              <w:instrText xml:space="preserve">  "</w:instrText>
            </w:r>
            <w:r>
              <w:instrText>Введите</w:instrText>
            </w:r>
            <w:r w:rsidRPr="00D70DAD">
              <w:rPr>
                <w:lang w:val="en-US"/>
              </w:rPr>
              <w:instrText xml:space="preserve"> </w:instrText>
            </w:r>
            <w:r>
              <w:instrText>дату</w:instrText>
            </w:r>
            <w:r w:rsidRPr="00D70DAD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D70DAD">
              <w:rPr>
                <w:lang w:val="en-US"/>
              </w:rPr>
              <w:instrText xml:space="preserve">" \* </w:instrText>
            </w:r>
            <w:r>
              <w:rPr>
                <w:lang w:val="en-US"/>
              </w:rPr>
              <w:instrText>MERGEFORMAT</w:instrText>
            </w:r>
            <w:r w:rsidRPr="00D70DAD">
              <w:rPr>
                <w:lang w:val="en-US"/>
              </w:rPr>
              <w:instrText xml:space="preserve"> </w:instrText>
            </w:r>
            <w:r w:rsidR="00D70DAD">
              <w:rPr>
                <w:lang w:val="en-US"/>
              </w:rPr>
              <w:fldChar w:fldCharType="separate"/>
            </w:r>
            <w:r w:rsidR="00D70DAD">
              <w:rPr>
                <w:lang w:val="en-US"/>
              </w:rPr>
              <w:t>24 September 2007</w:t>
            </w:r>
            <w:r>
              <w:rPr>
                <w:lang w:val="en-US"/>
              </w:rPr>
              <w:fldChar w:fldCharType="end"/>
            </w:r>
          </w:p>
          <w:p w:rsidR="00530C76" w:rsidRPr="00D70DAD" w:rsidRDefault="00530C76">
            <w:pPr>
              <w:spacing w:line="216" w:lineRule="auto"/>
              <w:rPr>
                <w:lang w:val="en-US"/>
              </w:rPr>
            </w:pPr>
          </w:p>
          <w:p w:rsidR="00530C76" w:rsidRDefault="00530C76">
            <w:pPr>
              <w:spacing w:line="216" w:lineRule="auto"/>
            </w:pPr>
            <w:r>
              <w:rPr>
                <w:lang w:val="en-US"/>
              </w:rPr>
              <w:t>RUSSIAN</w:t>
            </w:r>
          </w:p>
          <w:p w:rsidR="00530C76" w:rsidRDefault="00530C76">
            <w:pPr>
              <w:spacing w:line="216" w:lineRule="auto"/>
            </w:pPr>
            <w:r>
              <w:rPr>
                <w:lang w:val="en-US"/>
              </w:rPr>
              <w:t>Original</w:t>
            </w:r>
            <w:r>
              <w:t xml:space="preserve">:  </w:t>
            </w:r>
            <w:r>
              <w:rPr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bookmarkStart w:id="2" w:name="ПолеСоСписком2"/>
            <w:r>
              <w:instrText xml:space="preserve"> </w:instrText>
            </w:r>
            <w:r>
              <w:rPr>
                <w:lang w:val="en-US"/>
              </w:rPr>
              <w:instrText>FORMDROPDOWN</w:instrText>
            </w:r>
            <w:r>
              <w:instrText xml:space="preserve"> </w:instrText>
            </w:r>
            <w:r w:rsidRPr="00D70DAD"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2"/>
          </w:p>
          <w:p w:rsidR="00530C76" w:rsidRDefault="00530C76">
            <w:pPr>
              <w:spacing w:line="216" w:lineRule="auto"/>
              <w:rPr>
                <w:sz w:val="16"/>
              </w:rPr>
            </w:pPr>
          </w:p>
          <w:p w:rsidR="00530C76" w:rsidRDefault="00530C76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55"/>
              <w:rPr>
                <w:sz w:val="22"/>
              </w:rPr>
            </w:pPr>
          </w:p>
        </w:tc>
      </w:tr>
    </w:tbl>
    <w:p w:rsidR="00934255" w:rsidRDefault="00934255" w:rsidP="00F437BE">
      <w:pPr>
        <w:spacing w:line="240" w:lineRule="auto"/>
        <w:rPr>
          <w:lang w:val="en-US"/>
        </w:rPr>
      </w:pPr>
    </w:p>
    <w:p w:rsidR="00934255" w:rsidRDefault="00934255" w:rsidP="00934255">
      <w:r w:rsidRPr="00F17595">
        <w:t>КОМИТЕТ ПО ЭКОНОМИЧЕСКИМ,</w:t>
      </w:r>
    </w:p>
    <w:p w:rsidR="00934255" w:rsidRDefault="00934255" w:rsidP="00934255">
      <w:r w:rsidRPr="00F17595">
        <w:t>СОЦИАЛЬНЫМ И КУЛЬТУРНЫМ ПРАВАМ</w:t>
      </w:r>
    </w:p>
    <w:p w:rsidR="00934255" w:rsidRDefault="00934255" w:rsidP="00934255">
      <w:r w:rsidRPr="00F17595">
        <w:t>Предсессионная рабочая группа</w:t>
      </w:r>
    </w:p>
    <w:p w:rsidR="00934255" w:rsidRDefault="00934255" w:rsidP="00934255">
      <w:r w:rsidRPr="00F17595">
        <w:t>Женева, 21-25 мая 2007 года</w:t>
      </w:r>
    </w:p>
    <w:p w:rsidR="00934255" w:rsidRDefault="00934255" w:rsidP="00F437BE">
      <w:pPr>
        <w:spacing w:line="240" w:lineRule="auto"/>
        <w:rPr>
          <w:lang w:val="en-US"/>
        </w:rPr>
      </w:pPr>
    </w:p>
    <w:p w:rsidR="00F437BE" w:rsidRPr="00F437BE" w:rsidRDefault="00F437BE" w:rsidP="00F437BE">
      <w:pPr>
        <w:spacing w:line="240" w:lineRule="auto"/>
        <w:rPr>
          <w:lang w:val="en-US"/>
        </w:rPr>
      </w:pPr>
    </w:p>
    <w:p w:rsidR="00934255" w:rsidRDefault="00934255" w:rsidP="00934255">
      <w:pPr>
        <w:jc w:val="center"/>
        <w:rPr>
          <w:b/>
        </w:rPr>
      </w:pPr>
      <w:r w:rsidRPr="00F17595">
        <w:rPr>
          <w:b/>
        </w:rPr>
        <w:t>ОСУЩЕСТВЛЕНИЕ МЕЖДУНАРОДНОГО ПАКТА ОБ ЭКОНОМИЧЕСКИХ,</w:t>
      </w:r>
    </w:p>
    <w:p w:rsidR="00934255" w:rsidRDefault="00934255" w:rsidP="00934255">
      <w:pPr>
        <w:jc w:val="center"/>
        <w:rPr>
          <w:b/>
        </w:rPr>
      </w:pPr>
      <w:r w:rsidRPr="00F17595">
        <w:rPr>
          <w:b/>
        </w:rPr>
        <w:t>СОЦИАЛЬНЫХ И КУЛЬТУРНЫХ ПРАВАХ</w:t>
      </w:r>
    </w:p>
    <w:p w:rsidR="00934255" w:rsidRDefault="00934255" w:rsidP="00934255">
      <w:pPr>
        <w:jc w:val="center"/>
        <w:rPr>
          <w:b/>
        </w:rPr>
      </w:pPr>
    </w:p>
    <w:p w:rsidR="00934255" w:rsidRDefault="00934255" w:rsidP="00934255">
      <w:pPr>
        <w:ind w:left="1134" w:hanging="1134"/>
        <w:rPr>
          <w:b/>
        </w:rPr>
      </w:pPr>
      <w:r w:rsidRPr="00F17595">
        <w:rPr>
          <w:b/>
        </w:rPr>
        <w:tab/>
      </w:r>
      <w:r w:rsidRPr="00F17595">
        <w:rPr>
          <w:b/>
        </w:rPr>
        <w:tab/>
        <w:t>Переч</w:t>
      </w:r>
      <w:r>
        <w:rPr>
          <w:b/>
        </w:rPr>
        <w:t>ень</w:t>
      </w:r>
      <w:r w:rsidRPr="00F17595">
        <w:rPr>
          <w:b/>
        </w:rPr>
        <w:t xml:space="preserve"> вопросов, которые надлежит затронуть в связи с рассмотрение второго периодического доклада Бенина об осуществлении прав,</w:t>
      </w:r>
    </w:p>
    <w:p w:rsidR="00934255" w:rsidRDefault="00934255" w:rsidP="00934255">
      <w:pPr>
        <w:ind w:left="567" w:hanging="567"/>
        <w:rPr>
          <w:b/>
        </w:rPr>
      </w:pPr>
      <w:r w:rsidRPr="00F17595">
        <w:rPr>
          <w:b/>
        </w:rPr>
        <w:tab/>
      </w:r>
      <w:r w:rsidRPr="00F17595">
        <w:rPr>
          <w:b/>
        </w:rPr>
        <w:tab/>
        <w:t>охватываемых статьями 1</w:t>
      </w:r>
      <w:r w:rsidRPr="00F17595">
        <w:rPr>
          <w:b/>
        </w:rPr>
        <w:noBreakHyphen/>
        <w:t>15 Международного па</w:t>
      </w:r>
      <w:r w:rsidR="00EA0899">
        <w:rPr>
          <w:b/>
        </w:rPr>
        <w:t>к</w:t>
      </w:r>
      <w:r w:rsidRPr="00F17595">
        <w:rPr>
          <w:b/>
        </w:rPr>
        <w:t>та об экономических,</w:t>
      </w:r>
    </w:p>
    <w:p w:rsidR="00934255" w:rsidRDefault="00934255" w:rsidP="00934255">
      <w:pPr>
        <w:ind w:left="567" w:hanging="567"/>
        <w:jc w:val="center"/>
        <w:rPr>
          <w:b/>
        </w:rPr>
      </w:pPr>
      <w:r w:rsidRPr="00F17595">
        <w:rPr>
          <w:b/>
        </w:rPr>
        <w:t>социальных и культурных правах (Е/С.12/BEN/2)</w:t>
      </w:r>
    </w:p>
    <w:p w:rsidR="00934255" w:rsidRDefault="00934255" w:rsidP="00934255">
      <w:pPr>
        <w:ind w:left="567" w:hanging="567"/>
        <w:jc w:val="center"/>
        <w:rPr>
          <w:b/>
        </w:rPr>
      </w:pPr>
    </w:p>
    <w:p w:rsidR="00934255" w:rsidRDefault="00934255" w:rsidP="00934255">
      <w:pPr>
        <w:jc w:val="center"/>
      </w:pPr>
      <w:r w:rsidRPr="00F17595">
        <w:rPr>
          <w:b/>
        </w:rPr>
        <w:t>I.</w:t>
      </w:r>
      <w:r w:rsidRPr="00F17595">
        <w:rPr>
          <w:b/>
        </w:rPr>
        <w:tab/>
        <w:t>ПОДГОТОВКА ВТОРОГО ПЕРИОДИЧЕСКОГО ДОКЛАДА</w:t>
      </w:r>
    </w:p>
    <w:p w:rsidR="00934255" w:rsidRDefault="00934255" w:rsidP="00934255">
      <w:pPr>
        <w:jc w:val="center"/>
      </w:pPr>
    </w:p>
    <w:p w:rsidR="00934255" w:rsidRDefault="00934255" w:rsidP="00934255">
      <w:r w:rsidRPr="00F17595">
        <w:t>1.</w:t>
      </w:r>
      <w:r w:rsidRPr="00F17595">
        <w:tab/>
        <w:t>Просьба уточнить, были ли в соответствии с рекомендацией, содержащейся в пункте 48 заключительных замечаний Комитета по первоначальному докладу государства-участника (E/C.12/1/Add.78), привлечены к подготовке его второго периодического доклада неправительственные организации и другие представители гражданского общества.</w:t>
      </w:r>
    </w:p>
    <w:p w:rsidR="00934255" w:rsidRDefault="00934255" w:rsidP="00934255"/>
    <w:p w:rsidR="00934255" w:rsidRDefault="00934255" w:rsidP="00934255">
      <w:pPr>
        <w:jc w:val="center"/>
      </w:pPr>
      <w:r w:rsidRPr="00F17595">
        <w:rPr>
          <w:b/>
        </w:rPr>
        <w:t>II.</w:t>
      </w:r>
      <w:r w:rsidRPr="00F17595">
        <w:rPr>
          <w:b/>
        </w:rPr>
        <w:tab/>
        <w:t>ОБЩИЕ РАМКИ ОСУЩЕСТВЛЕНИЯ ПАКТА</w:t>
      </w:r>
    </w:p>
    <w:p w:rsidR="00934255" w:rsidRDefault="00934255" w:rsidP="00934255">
      <w:pPr>
        <w:jc w:val="center"/>
      </w:pPr>
    </w:p>
    <w:p w:rsidR="00934255" w:rsidRDefault="00934255" w:rsidP="00934255">
      <w:r w:rsidRPr="00F17595">
        <w:t>2.</w:t>
      </w:r>
      <w:r w:rsidRPr="00F17595">
        <w:tab/>
        <w:t xml:space="preserve">Просьба привести </w:t>
      </w:r>
      <w:r w:rsidR="00BF3A3F">
        <w:t xml:space="preserve">сведения </w:t>
      </w:r>
      <w:r w:rsidRPr="00F17595">
        <w:t>о месте Пакта во внутр</w:t>
      </w:r>
      <w:r w:rsidR="00BF3A3F">
        <w:t xml:space="preserve">еннем праве </w:t>
      </w:r>
      <w:r w:rsidRPr="00F17595">
        <w:t>государства-участника и примеры судебных решений, в которых делались бы ссылки на положения Пакта.</w:t>
      </w:r>
    </w:p>
    <w:p w:rsidR="00934255" w:rsidRDefault="00934255" w:rsidP="00934255"/>
    <w:p w:rsidR="00934255" w:rsidRDefault="00934255" w:rsidP="00934255">
      <w:pPr>
        <w:jc w:val="center"/>
        <w:rPr>
          <w:b/>
        </w:rPr>
      </w:pPr>
      <w:r w:rsidRPr="00F17595">
        <w:rPr>
          <w:b/>
        </w:rPr>
        <w:t>III.</w:t>
      </w:r>
      <w:r w:rsidRPr="00F17595">
        <w:rPr>
          <w:b/>
        </w:rPr>
        <w:tab/>
        <w:t>ВОПРОСЫ, КАСАЮЩИЕСЯ ОБЩИХ ПОЛОЖЕНИЙ ПАКТА</w:t>
      </w:r>
    </w:p>
    <w:p w:rsidR="00934255" w:rsidRDefault="00934255" w:rsidP="00934255">
      <w:pPr>
        <w:jc w:val="center"/>
        <w:rPr>
          <w:b/>
        </w:rPr>
      </w:pPr>
      <w:r w:rsidRPr="00F17595">
        <w:rPr>
          <w:b/>
        </w:rPr>
        <w:t>(статьи 1-5)</w:t>
      </w:r>
    </w:p>
    <w:p w:rsidR="00934255" w:rsidRDefault="00934255" w:rsidP="00934255">
      <w:pPr>
        <w:jc w:val="center"/>
        <w:rPr>
          <w:b/>
        </w:rPr>
      </w:pPr>
    </w:p>
    <w:p w:rsidR="00934255" w:rsidRDefault="00934255" w:rsidP="00934255">
      <w:pPr>
        <w:jc w:val="center"/>
      </w:pPr>
      <w:r w:rsidRPr="00F17595">
        <w:rPr>
          <w:b/>
        </w:rPr>
        <w:t>Статья 2.2</w:t>
      </w:r>
      <w:r w:rsidR="00BF3A3F">
        <w:rPr>
          <w:b/>
        </w:rPr>
        <w:t xml:space="preserve">. </w:t>
      </w:r>
      <w:r w:rsidRPr="00F17595">
        <w:rPr>
          <w:b/>
        </w:rPr>
        <w:t xml:space="preserve"> Недискриминация</w:t>
      </w:r>
    </w:p>
    <w:p w:rsidR="00934255" w:rsidRDefault="00934255" w:rsidP="00934255">
      <w:pPr>
        <w:jc w:val="center"/>
      </w:pPr>
    </w:p>
    <w:p w:rsidR="00934255" w:rsidRDefault="00934255" w:rsidP="00934255">
      <w:r w:rsidRPr="00F17595">
        <w:t>3.</w:t>
      </w:r>
      <w:r w:rsidRPr="00F17595">
        <w:tab/>
        <w:t>Просьба сообщить, намерено ли государство принять конкретный закон с целью запрещения дискриминации в отношении инвалидов и предусмотреть юридические обяза</w:t>
      </w:r>
      <w:r w:rsidR="009255FD">
        <w:t>тельства</w:t>
      </w:r>
      <w:r w:rsidRPr="00F17595">
        <w:t>, гарантирующие доступ инвалидов в здания.</w:t>
      </w:r>
    </w:p>
    <w:p w:rsidR="00934255" w:rsidRDefault="00934255" w:rsidP="00934255"/>
    <w:p w:rsidR="00934255" w:rsidRDefault="00934255" w:rsidP="00934255">
      <w:r w:rsidRPr="00F17595">
        <w:t>4.</w:t>
      </w:r>
      <w:r w:rsidRPr="00F17595">
        <w:tab/>
        <w:t xml:space="preserve">Просьба указать, намерено ли государство-участник </w:t>
      </w:r>
      <w:r w:rsidR="009255FD">
        <w:t xml:space="preserve">принять программу </w:t>
      </w:r>
      <w:r w:rsidRPr="00F17595">
        <w:t>интеграции беженцев.</w:t>
      </w:r>
    </w:p>
    <w:p w:rsidR="00934255" w:rsidRDefault="00934255" w:rsidP="00934255"/>
    <w:p w:rsidR="009255FD" w:rsidRDefault="009255FD" w:rsidP="009255FD">
      <w:pPr>
        <w:jc w:val="center"/>
        <w:rPr>
          <w:b/>
        </w:rPr>
      </w:pPr>
      <w:r>
        <w:rPr>
          <w:b/>
        </w:rPr>
        <w:t>Статья 3</w:t>
      </w:r>
      <w:r w:rsidR="00CD1E8C">
        <w:rPr>
          <w:b/>
        </w:rPr>
        <w:t>.</w:t>
      </w:r>
      <w:r>
        <w:rPr>
          <w:b/>
        </w:rPr>
        <w:t xml:space="preserve">  Равенство мужчин и женщин</w:t>
      </w:r>
    </w:p>
    <w:p w:rsidR="009255FD" w:rsidRDefault="009255FD" w:rsidP="009255FD">
      <w:pPr>
        <w:jc w:val="center"/>
        <w:rPr>
          <w:b/>
        </w:rPr>
      </w:pPr>
    </w:p>
    <w:p w:rsidR="009255FD" w:rsidRDefault="009255FD" w:rsidP="009255FD">
      <w:r>
        <w:t>5.</w:t>
      </w:r>
      <w:r>
        <w:tab/>
        <w:t>Просьба сообщить, какие меры прин</w:t>
      </w:r>
      <w:r w:rsidR="00CD1E8C">
        <w:t>яло</w:t>
      </w:r>
      <w:r>
        <w:t xml:space="preserve"> государство-участник для преодоления стереотипных традиций и подходов, негативно отражающихся на равноправном осуществлении женщинами экономических, социальных и культурных прав (</w:t>
      </w:r>
      <w:r>
        <w:rPr>
          <w:lang w:val="en-US"/>
        </w:rPr>
        <w:t>E</w:t>
      </w:r>
      <w:r w:rsidRPr="00FD1C79">
        <w:t>/</w:t>
      </w:r>
      <w:r>
        <w:rPr>
          <w:lang w:val="en-US"/>
        </w:rPr>
        <w:t>C</w:t>
      </w:r>
      <w:r w:rsidRPr="00FD1C79">
        <w:t>.</w:t>
      </w:r>
      <w:r>
        <w:t>12/</w:t>
      </w:r>
      <w:r>
        <w:rPr>
          <w:lang w:val="en-US"/>
        </w:rPr>
        <w:t>BEN</w:t>
      </w:r>
      <w:r w:rsidRPr="00FD1C79">
        <w:t>/2</w:t>
      </w:r>
      <w:r>
        <w:t>, пункт 68).</w:t>
      </w:r>
    </w:p>
    <w:p w:rsidR="009255FD" w:rsidRDefault="009255FD" w:rsidP="009255FD"/>
    <w:p w:rsidR="009255FD" w:rsidRDefault="009255FD" w:rsidP="009255FD">
      <w:pPr>
        <w:jc w:val="center"/>
        <w:rPr>
          <w:b/>
        </w:rPr>
      </w:pPr>
      <w:r>
        <w:rPr>
          <w:b/>
          <w:lang w:val="en-US"/>
        </w:rPr>
        <w:t>IV</w:t>
      </w:r>
      <w:r w:rsidRPr="00CC3F98">
        <w:rPr>
          <w:b/>
        </w:rPr>
        <w:t>.</w:t>
      </w:r>
      <w:r w:rsidRPr="00CC3F98">
        <w:rPr>
          <w:b/>
        </w:rPr>
        <w:tab/>
      </w:r>
      <w:r>
        <w:rPr>
          <w:b/>
        </w:rPr>
        <w:t>ВОПРОСЫ, КАСАЮЩИЕСЯ КОНКРЕТНЫХ ПОЛОЖЕНИЙ ПАКТА (статьи 6-15)</w:t>
      </w:r>
    </w:p>
    <w:p w:rsidR="009255FD" w:rsidRDefault="009255FD" w:rsidP="009255FD">
      <w:pPr>
        <w:jc w:val="center"/>
        <w:rPr>
          <w:b/>
        </w:rPr>
      </w:pPr>
    </w:p>
    <w:p w:rsidR="009255FD" w:rsidRDefault="00CD1E8C" w:rsidP="009255FD">
      <w:pPr>
        <w:jc w:val="center"/>
        <w:rPr>
          <w:b/>
        </w:rPr>
      </w:pPr>
      <w:r>
        <w:rPr>
          <w:b/>
        </w:rPr>
        <w:t>Статья 6.</w:t>
      </w:r>
      <w:r w:rsidR="009255FD">
        <w:rPr>
          <w:b/>
        </w:rPr>
        <w:t xml:space="preserve">  Право на труд</w:t>
      </w:r>
    </w:p>
    <w:p w:rsidR="009255FD" w:rsidRDefault="009255FD" w:rsidP="009255FD">
      <w:pPr>
        <w:jc w:val="center"/>
        <w:rPr>
          <w:b/>
        </w:rPr>
      </w:pPr>
    </w:p>
    <w:p w:rsidR="009255FD" w:rsidRDefault="009255FD" w:rsidP="009255FD">
      <w:r>
        <w:t>6.</w:t>
      </w:r>
      <w:r>
        <w:tab/>
        <w:t>Просьба привести дополнительные статистические данные об уровне безработицы в государстве-участнике в разбивке по п</w:t>
      </w:r>
      <w:r w:rsidR="00CD1E8C">
        <w:t>ризнаку п</w:t>
      </w:r>
      <w:r>
        <w:t>ол</w:t>
      </w:r>
      <w:r w:rsidR="00CD1E8C">
        <w:t>а,</w:t>
      </w:r>
      <w:r>
        <w:t xml:space="preserve"> возрастным группам</w:t>
      </w:r>
      <w:r w:rsidR="00CD1E8C">
        <w:t>,</w:t>
      </w:r>
      <w:r>
        <w:t xml:space="preserve"> городско</w:t>
      </w:r>
      <w:r w:rsidR="00CD1E8C">
        <w:t>му/</w:t>
      </w:r>
      <w:r>
        <w:t>сельско</w:t>
      </w:r>
      <w:r w:rsidR="00CD1E8C">
        <w:t>му</w:t>
      </w:r>
      <w:r>
        <w:t xml:space="preserve"> населени</w:t>
      </w:r>
      <w:r w:rsidR="00CD1E8C">
        <w:t>ю</w:t>
      </w:r>
      <w:r>
        <w:t xml:space="preserve"> и этнически</w:t>
      </w:r>
      <w:r w:rsidR="00CD1E8C">
        <w:t>м</w:t>
      </w:r>
      <w:r>
        <w:t xml:space="preserve"> групп</w:t>
      </w:r>
      <w:r w:rsidR="00CD1E8C">
        <w:t xml:space="preserve">ам </w:t>
      </w:r>
      <w:r>
        <w:t>(пункты 57-60).  Просьба также предоставить обновленную информацию о масштабах занятости в неформальном секторе, а также о мерах, принятых государством-участником для легализации этого сектора (например, информационн</w:t>
      </w:r>
      <w:r w:rsidR="00CD1E8C">
        <w:t>о-</w:t>
      </w:r>
      <w:r>
        <w:t>разъяснительные к</w:t>
      </w:r>
      <w:r w:rsidR="00CD1E8C">
        <w:t>а</w:t>
      </w:r>
      <w:r>
        <w:t>мпании, просвещение, подготовка кадров и создание рабочих мест).</w:t>
      </w:r>
    </w:p>
    <w:p w:rsidR="009255FD" w:rsidRDefault="009255FD" w:rsidP="009255FD"/>
    <w:p w:rsidR="009255FD" w:rsidRDefault="009255FD" w:rsidP="009255FD">
      <w:r>
        <w:t>7.</w:t>
      </w:r>
      <w:r>
        <w:tab/>
        <w:t xml:space="preserve">Просьба предоставить </w:t>
      </w:r>
      <w:r w:rsidR="002D300C">
        <w:t xml:space="preserve">сведения </w:t>
      </w:r>
      <w:r>
        <w:t>о принятых мерах по расширению возможностей занятости для беженцев, в частности для женщин</w:t>
      </w:r>
      <w:r w:rsidR="00EA0899">
        <w:t xml:space="preserve"> </w:t>
      </w:r>
      <w:r w:rsidR="002D300C">
        <w:noBreakHyphen/>
      </w:r>
      <w:r w:rsidR="00EA0899">
        <w:t xml:space="preserve"> </w:t>
      </w:r>
      <w:r w:rsidR="002D300C">
        <w:t xml:space="preserve">глав </w:t>
      </w:r>
      <w:r>
        <w:t>сем</w:t>
      </w:r>
      <w:r w:rsidR="002D300C">
        <w:t>ей</w:t>
      </w:r>
      <w:r>
        <w:t xml:space="preserve"> с одним родителем.</w:t>
      </w:r>
    </w:p>
    <w:p w:rsidR="009255FD" w:rsidRDefault="009255FD" w:rsidP="009255FD"/>
    <w:p w:rsidR="009255FD" w:rsidRDefault="009255FD" w:rsidP="009255FD">
      <w:pPr>
        <w:jc w:val="center"/>
        <w:rPr>
          <w:b/>
        </w:rPr>
      </w:pPr>
      <w:r>
        <w:rPr>
          <w:b/>
        </w:rPr>
        <w:t>Статья 7.</w:t>
      </w:r>
      <w:r w:rsidR="00EA0899">
        <w:rPr>
          <w:b/>
        </w:rPr>
        <w:t xml:space="preserve">  </w:t>
      </w:r>
      <w:r>
        <w:rPr>
          <w:b/>
        </w:rPr>
        <w:t>Право на справедливые и благоприятные условия труда</w:t>
      </w:r>
    </w:p>
    <w:p w:rsidR="009255FD" w:rsidRDefault="009255FD" w:rsidP="009255FD">
      <w:pPr>
        <w:jc w:val="center"/>
        <w:rPr>
          <w:b/>
        </w:rPr>
      </w:pPr>
    </w:p>
    <w:p w:rsidR="009255FD" w:rsidRDefault="009255FD" w:rsidP="009255FD">
      <w:r>
        <w:t>8.</w:t>
      </w:r>
      <w:r>
        <w:tab/>
        <w:t xml:space="preserve">Просьба сообщить, намерено ли государство-участник, сообразуясь с </w:t>
      </w:r>
      <w:r w:rsidR="002D300C">
        <w:t>подпунктом</w:t>
      </w:r>
      <w:r w:rsidR="00EA0899">
        <w:t> </w:t>
      </w:r>
      <w:r w:rsidR="002D300C">
        <w:rPr>
          <w:lang w:val="en-US"/>
        </w:rPr>
        <w:t>ii</w:t>
      </w:r>
      <w:r w:rsidR="002D300C" w:rsidRPr="002D300C">
        <w:t>)</w:t>
      </w:r>
      <w:r w:rsidR="002D300C">
        <w:t xml:space="preserve"> </w:t>
      </w:r>
      <w:r>
        <w:t>пункт</w:t>
      </w:r>
      <w:r w:rsidR="002D300C">
        <w:t>а</w:t>
      </w:r>
      <w:r>
        <w:t xml:space="preserve"> a) статьи 7</w:t>
      </w:r>
      <w:r w:rsidR="002D300C">
        <w:t>,</w:t>
      </w:r>
      <w:r>
        <w:t xml:space="preserve"> повысить уровень минимальной </w:t>
      </w:r>
      <w:r w:rsidR="002D300C">
        <w:t xml:space="preserve">гарантированной </w:t>
      </w:r>
      <w:r>
        <w:t>зарплаты</w:t>
      </w:r>
      <w:r w:rsidR="00EA0899">
        <w:t>,</w:t>
      </w:r>
      <w:r>
        <w:t xml:space="preserve"> для того чтобы она обеспечивала достойный уровень жизни всем трудящимся и их семьям (пункты</w:t>
      </w:r>
      <w:r w:rsidR="00EA0899">
        <w:t> </w:t>
      </w:r>
      <w:r>
        <w:t>128-133).</w:t>
      </w:r>
    </w:p>
    <w:p w:rsidR="009255FD" w:rsidRDefault="009255FD" w:rsidP="009255FD"/>
    <w:p w:rsidR="009255FD" w:rsidRDefault="009255FD" w:rsidP="009255FD">
      <w:r>
        <w:t>9.</w:t>
      </w:r>
      <w:r>
        <w:tab/>
        <w:t xml:space="preserve">Просьба предоставить сведения о том, как в государстве-участнике применяются нормы техники безопасности и гигиены труда (пункты 136-141).  Просьба также привести </w:t>
      </w:r>
      <w:r w:rsidR="002D300C">
        <w:t xml:space="preserve">сведения </w:t>
      </w:r>
      <w:r>
        <w:t>о том, как соблюдается право работников покидать место работы, когда условия труда являются опасными, не подвергаясь при этом увольнению.</w:t>
      </w:r>
    </w:p>
    <w:p w:rsidR="009255FD" w:rsidRDefault="009255FD" w:rsidP="009255FD"/>
    <w:p w:rsidR="009255FD" w:rsidRDefault="009255FD" w:rsidP="009255FD">
      <w:pPr>
        <w:jc w:val="center"/>
        <w:rPr>
          <w:b/>
        </w:rPr>
      </w:pPr>
      <w:r>
        <w:rPr>
          <w:b/>
        </w:rPr>
        <w:t>Статья 9.  Право на социальное обеспечение</w:t>
      </w:r>
    </w:p>
    <w:p w:rsidR="009255FD" w:rsidRDefault="009255FD" w:rsidP="009255FD">
      <w:pPr>
        <w:jc w:val="center"/>
        <w:rPr>
          <w:b/>
        </w:rPr>
      </w:pPr>
    </w:p>
    <w:p w:rsidR="009255FD" w:rsidRDefault="009255FD" w:rsidP="009255FD">
      <w:r w:rsidRPr="00CA0B8D">
        <w:t>10.</w:t>
      </w:r>
      <w:r w:rsidRPr="00CA0B8D">
        <w:tab/>
      </w:r>
      <w:r>
        <w:t>Просьба при</w:t>
      </w:r>
      <w:r w:rsidR="002D300C">
        <w:t>ве</w:t>
      </w:r>
      <w:r>
        <w:t xml:space="preserve">сти </w:t>
      </w:r>
      <w:r w:rsidR="002D300C">
        <w:t xml:space="preserve">статистические данные </w:t>
      </w:r>
      <w:r>
        <w:t>в разбивке по категориям трудящихся</w:t>
      </w:r>
      <w:r w:rsidR="002D300C">
        <w:t>,</w:t>
      </w:r>
      <w:r>
        <w:t xml:space="preserve"> охваченных социальным обеспечением и пособиями, предоставляемыми </w:t>
      </w:r>
      <w:r w:rsidR="00C65D6E">
        <w:t xml:space="preserve">после </w:t>
      </w:r>
      <w:r>
        <w:t>вступлени</w:t>
      </w:r>
      <w:r w:rsidR="00C65D6E">
        <w:t>я</w:t>
      </w:r>
      <w:r>
        <w:t xml:space="preserve"> </w:t>
      </w:r>
      <w:r w:rsidR="00C65D6E">
        <w:t>в</w:t>
      </w:r>
      <w:r>
        <w:t xml:space="preserve"> силу закона № </w:t>
      </w:r>
      <w:r w:rsidR="00C65D6E">
        <w:t>9</w:t>
      </w:r>
      <w:r>
        <w:t xml:space="preserve">8-019 от 21 марта 2003 года, касающегося </w:t>
      </w:r>
      <w:r w:rsidR="00C65D6E">
        <w:t>К</w:t>
      </w:r>
      <w:r>
        <w:t>одекса социального обеспечения (пункты 166-167).</w:t>
      </w:r>
    </w:p>
    <w:p w:rsidR="009255FD" w:rsidRDefault="009255FD" w:rsidP="009255FD"/>
    <w:p w:rsidR="009255FD" w:rsidRDefault="009255FD" w:rsidP="009255FD">
      <w:r>
        <w:t>11.</w:t>
      </w:r>
      <w:r>
        <w:tab/>
        <w:t>Просьба уточить, намерено ли государство</w:t>
      </w:r>
      <w:r w:rsidR="00C65D6E">
        <w:noBreakHyphen/>
        <w:t xml:space="preserve">участник </w:t>
      </w:r>
      <w:r>
        <w:t xml:space="preserve">ратифицировать </w:t>
      </w:r>
      <w:r w:rsidR="00EA0899">
        <w:t>К</w:t>
      </w:r>
      <w:r>
        <w:t>онвенцию</w:t>
      </w:r>
      <w:r w:rsidR="00C65D6E">
        <w:t> </w:t>
      </w:r>
      <w:r>
        <w:t>№</w:t>
      </w:r>
      <w:r w:rsidR="00EA0899">
        <w:t> </w:t>
      </w:r>
      <w:r>
        <w:t xml:space="preserve">102 Международной организации труда о </w:t>
      </w:r>
      <w:r w:rsidR="00C65D6E">
        <w:t xml:space="preserve">минимальных нормах </w:t>
      </w:r>
      <w:r>
        <w:t>социально</w:t>
      </w:r>
      <w:r w:rsidR="00C65D6E">
        <w:t>го</w:t>
      </w:r>
      <w:r>
        <w:t xml:space="preserve"> обеспечени</w:t>
      </w:r>
      <w:r w:rsidR="00C65D6E">
        <w:t>я</w:t>
      </w:r>
      <w:r>
        <w:t xml:space="preserve"> (пункт 156).</w:t>
      </w:r>
    </w:p>
    <w:p w:rsidR="009255FD" w:rsidRDefault="009255FD" w:rsidP="009255FD"/>
    <w:p w:rsidR="009255FD" w:rsidRDefault="009255FD" w:rsidP="009255FD">
      <w:r>
        <w:t>12.</w:t>
      </w:r>
      <w:r>
        <w:tab/>
        <w:t>Просьба привести обновленную информацию о прогрессе, достигнутом в п</w:t>
      </w:r>
      <w:r w:rsidR="00C65D6E">
        <w:t>е</w:t>
      </w:r>
      <w:r>
        <w:t>р</w:t>
      </w:r>
      <w:r w:rsidR="00C65D6E">
        <w:t>и</w:t>
      </w:r>
      <w:r>
        <w:t>о</w:t>
      </w:r>
      <w:r w:rsidR="00C65D6E">
        <w:t xml:space="preserve">д существования </w:t>
      </w:r>
      <w:r>
        <w:t>"</w:t>
      </w:r>
      <w:r w:rsidR="00C65D6E">
        <w:t>О</w:t>
      </w:r>
      <w:r>
        <w:t xml:space="preserve">бщества взаимопомощи </w:t>
      </w:r>
      <w:r w:rsidR="00C65D6E">
        <w:t xml:space="preserve">в системе </w:t>
      </w:r>
      <w:r>
        <w:t>социального обеспечения для неформального сектора"</w:t>
      </w:r>
      <w:r w:rsidR="00B81068">
        <w:t>,</w:t>
      </w:r>
      <w:r>
        <w:t xml:space="preserve"> в том числе о </w:t>
      </w:r>
      <w:r w:rsidR="00B81068">
        <w:t>численности его членов</w:t>
      </w:r>
      <w:r>
        <w:t xml:space="preserve">, минимальных </w:t>
      </w:r>
      <w:r w:rsidR="00B81068">
        <w:t xml:space="preserve">ставках страхования </w:t>
      </w:r>
      <w:r>
        <w:t xml:space="preserve">по старости и </w:t>
      </w:r>
      <w:r w:rsidR="00B81068">
        <w:t xml:space="preserve">на случай </w:t>
      </w:r>
      <w:r>
        <w:t xml:space="preserve">болезни, а также о возможности распространения сферы охвата Общества на всю территорию государства-участника (Общество взаимопомощи </w:t>
      </w:r>
      <w:r w:rsidR="00B81068">
        <w:t>в</w:t>
      </w:r>
      <w:r>
        <w:t xml:space="preserve"> </w:t>
      </w:r>
      <w:r w:rsidR="00B81068">
        <w:t xml:space="preserve">системе </w:t>
      </w:r>
      <w:r>
        <w:t>социального об</w:t>
      </w:r>
      <w:r w:rsidR="00B81068">
        <w:t>еспечения для неформального сек</w:t>
      </w:r>
      <w:r>
        <w:t>тора, пункты</w:t>
      </w:r>
      <w:r w:rsidR="00EA0899">
        <w:t> </w:t>
      </w:r>
      <w:r>
        <w:t>162-165</w:t>
      </w:r>
      <w:r w:rsidR="00B81068">
        <w:t>)</w:t>
      </w:r>
      <w:r>
        <w:t>.</w:t>
      </w:r>
    </w:p>
    <w:p w:rsidR="009255FD" w:rsidRDefault="009255FD" w:rsidP="009255FD"/>
    <w:p w:rsidR="002F6428" w:rsidRPr="00F43D2D" w:rsidRDefault="002F6428" w:rsidP="002F6428">
      <w:pPr>
        <w:jc w:val="center"/>
        <w:rPr>
          <w:b/>
        </w:rPr>
      </w:pPr>
      <w:r w:rsidRPr="00F43D2D">
        <w:rPr>
          <w:b/>
        </w:rPr>
        <w:t>Статья 10.  Охрана семьи, материнства и детства</w:t>
      </w:r>
    </w:p>
    <w:p w:rsidR="002F6428" w:rsidRPr="00F43D2D" w:rsidRDefault="002F6428" w:rsidP="002F6428">
      <w:pPr>
        <w:jc w:val="center"/>
        <w:rPr>
          <w:b/>
        </w:rPr>
      </w:pPr>
    </w:p>
    <w:p w:rsidR="002F6428" w:rsidRPr="00F43D2D" w:rsidRDefault="002F6428" w:rsidP="002F6428">
      <w:r w:rsidRPr="00F43D2D">
        <w:t>13.</w:t>
      </w:r>
      <w:r w:rsidRPr="00F43D2D">
        <w:tab/>
        <w:t>Просьба привести сведения о правовых рамках борьбы с проблемой насилия в семье, включая изнасилование супругом и сексуальные надругательства, а также насилие в отношении детей в семье, равно как и о принятых мерах по предотвращению актов насилия в семье, например об обучении сотрудников полиции и судей, проведении разъяснительных кампаний с целью привлечения внимания к этой проблеме и об оказании медицинской, социальной и юридической помощи жертвам насилия в семье, которые подчас неохотно сообщают о случаях жестокого обращения с ними.</w:t>
      </w:r>
    </w:p>
    <w:p w:rsidR="002F6428" w:rsidRPr="00F43D2D" w:rsidRDefault="002F6428" w:rsidP="002F6428"/>
    <w:p w:rsidR="002F6428" w:rsidRPr="00F43D2D" w:rsidRDefault="002F6428" w:rsidP="002F6428">
      <w:r w:rsidRPr="00F43D2D">
        <w:t>14.</w:t>
      </w:r>
      <w:r w:rsidRPr="00F43D2D">
        <w:tab/>
        <w:t>В связи с рекомендацией, содержащейся в пункте 37 заключительных замечаний Комитета по первоначальному докладу государства-участника, просьба привести сведения о мерах, принятых государством-участником для ликвидации практики "видомегон", а также об их эффективности.  Просьба также конкретно указать, каковы результаты мер, которые стали недавно приниматься в области борьбы с торговлей детьми (пункты 179</w:t>
      </w:r>
      <w:r w:rsidRPr="00F43D2D">
        <w:noBreakHyphen/>
        <w:t>190), и сообщить, намерено ли государство-участник принять законодательные меры для того, чтобы наказуемой стала также и практика торговли взрослыми.</w:t>
      </w:r>
    </w:p>
    <w:p w:rsidR="002F6428" w:rsidRPr="00F43D2D" w:rsidRDefault="002F6428" w:rsidP="002F6428"/>
    <w:p w:rsidR="002F6428" w:rsidRPr="00F43D2D" w:rsidRDefault="002F6428" w:rsidP="002F6428">
      <w:r w:rsidRPr="00F43D2D">
        <w:t>15.</w:t>
      </w:r>
      <w:r w:rsidRPr="00F43D2D">
        <w:tab/>
        <w:t>Просьба предоставить сведения о мерах, в том числе законодательных, принятых государством-участником для предупреждения и пресечения практики убийства так называемых детей-"колдунов" под влиянием традиционных верований, сохраняющихся в некоторых районах, а также убийства младенцев-инвалидов.  Кроме того, просьба предоставить обновленные статистические данные о числе поданных в полицию жалоб на детоубийства, о числе лиц, совершивших детоубийства, которые были преданы суду, а также о назначенных им наказаниях.</w:t>
      </w:r>
    </w:p>
    <w:p w:rsidR="002F6428" w:rsidRPr="00F43D2D" w:rsidRDefault="002F6428" w:rsidP="002F6428"/>
    <w:p w:rsidR="002F6428" w:rsidRPr="00F43D2D" w:rsidRDefault="002F6428" w:rsidP="002F6428">
      <w:r w:rsidRPr="00F43D2D">
        <w:t>16.</w:t>
      </w:r>
      <w:r w:rsidRPr="00F43D2D">
        <w:tab/>
        <w:t>Просьба предоставить сведения о распространении труда детей в возрасте младше 14 лет, в том числе в неформальном секторе, а также об эффективности трудовых инспекций и основных правовых положениях, позволяющих бороться против использования детского труда (пункт 73).</w:t>
      </w:r>
    </w:p>
    <w:p w:rsidR="002F6428" w:rsidRPr="00F43D2D" w:rsidRDefault="002F6428" w:rsidP="002F6428"/>
    <w:p w:rsidR="002F6428" w:rsidRPr="00F43D2D" w:rsidRDefault="002F6428" w:rsidP="002F6428">
      <w:pPr>
        <w:jc w:val="center"/>
        <w:rPr>
          <w:b/>
        </w:rPr>
      </w:pPr>
      <w:r w:rsidRPr="00F43D2D">
        <w:rPr>
          <w:b/>
        </w:rPr>
        <w:t>Статья 11.  Право на достаточный жизненный уровень</w:t>
      </w:r>
    </w:p>
    <w:p w:rsidR="002F6428" w:rsidRPr="00F43D2D" w:rsidRDefault="002F6428" w:rsidP="002F6428">
      <w:pPr>
        <w:jc w:val="center"/>
        <w:rPr>
          <w:b/>
        </w:rPr>
      </w:pPr>
    </w:p>
    <w:p w:rsidR="002F6428" w:rsidRPr="00F43D2D" w:rsidRDefault="002F6428" w:rsidP="002F6428">
      <w:r w:rsidRPr="00F43D2D">
        <w:t>17.</w:t>
      </w:r>
      <w:r w:rsidRPr="00F43D2D">
        <w:tab/>
        <w:t>Просьба с учетом того, что 29,6% населения страны живут ниже уровня бедности (пункт 196), предоставить дополнительные сведения о мерах, принятых в рамках стратегии сокращения масштабов нищеты на период 2002-2004 годов и Программы действий правительства на период 2001-2006 годов (ПДП-II), а также об их эффективности (пункт 6).</w:t>
      </w:r>
    </w:p>
    <w:p w:rsidR="002F6428" w:rsidRPr="00F43D2D" w:rsidRDefault="002F6428" w:rsidP="002F6428"/>
    <w:p w:rsidR="002F6428" w:rsidRPr="00F43D2D" w:rsidRDefault="002F6428" w:rsidP="002F6428">
      <w:r w:rsidRPr="00F43D2D">
        <w:t>18.</w:t>
      </w:r>
      <w:r w:rsidRPr="00F43D2D">
        <w:tab/>
        <w:t>В связи с рекомендацией, содержащейся в пункте 40 заключительных замечаний Комитета по первоначальному докладу государства-участника, просьба предоставить дополнительную информацию о мерах, принятых государством-участником для разработки последовательной программы строительства социального жилья для обездоленных и маргинализированных лиц, регулирования уровня квартплаты применительно к социальному жилью и недопущения случаев принудительного выселения без компенсации и предоставления взамен другого жилья.</w:t>
      </w:r>
    </w:p>
    <w:p w:rsidR="002F6428" w:rsidRPr="00F43D2D" w:rsidRDefault="002F6428" w:rsidP="002F6428"/>
    <w:p w:rsidR="002F6428" w:rsidRPr="00F43D2D" w:rsidRDefault="002F6428" w:rsidP="002F6428">
      <w:r w:rsidRPr="00F43D2D">
        <w:t>19.</w:t>
      </w:r>
      <w:r w:rsidRPr="00F43D2D">
        <w:tab/>
        <w:t>Просьба предоставить информацию о мерах, принятых в интересах бездомных и лиц, живущих в трущобах в антисанитарных условиях (пункты 224-237).</w:t>
      </w:r>
    </w:p>
    <w:p w:rsidR="002F6428" w:rsidRPr="00F43D2D" w:rsidRDefault="002F6428" w:rsidP="002F6428"/>
    <w:p w:rsidR="002F6428" w:rsidRPr="00F43D2D" w:rsidRDefault="002F6428" w:rsidP="002F6428">
      <w:r w:rsidRPr="00F43D2D">
        <w:t>20.</w:t>
      </w:r>
      <w:r w:rsidRPr="00F43D2D">
        <w:tab/>
        <w:t>Просьба предоставить сведения о мерах, принятых государством-участником для улучшения положения в тюрьмах, в частности в плане питания и медико-санитарной инфраструктуры, а также для решения проблемы переполненности тюрем.</w:t>
      </w:r>
    </w:p>
    <w:p w:rsidR="002F6428" w:rsidRPr="00F43D2D" w:rsidRDefault="002F6428" w:rsidP="002F6428"/>
    <w:p w:rsidR="002F6428" w:rsidRPr="00F43D2D" w:rsidRDefault="002F6428" w:rsidP="002F6428">
      <w:pPr>
        <w:jc w:val="center"/>
        <w:rPr>
          <w:b/>
        </w:rPr>
      </w:pPr>
      <w:r w:rsidRPr="00F43D2D">
        <w:rPr>
          <w:b/>
        </w:rPr>
        <w:t>Статья 12.  Право на физическое и психическое здоровье</w:t>
      </w:r>
    </w:p>
    <w:p w:rsidR="002F6428" w:rsidRPr="00F43D2D" w:rsidRDefault="002F6428" w:rsidP="002F6428">
      <w:pPr>
        <w:jc w:val="center"/>
        <w:rPr>
          <w:b/>
        </w:rPr>
      </w:pPr>
    </w:p>
    <w:p w:rsidR="002F6428" w:rsidRPr="00F43D2D" w:rsidRDefault="002F6428" w:rsidP="002F6428">
      <w:r w:rsidRPr="00F43D2D">
        <w:t>21.</w:t>
      </w:r>
      <w:r w:rsidRPr="00F43D2D">
        <w:tab/>
        <w:t>Просьба представить дополнительную информацию о принятых мерах по улучшению доступа к питьевой воде и канализации на территории государства-участника, в частности в сельских зонах и трущобах, а также о результатах, достигнутых благодаря этим мерам (пункты 241-242).</w:t>
      </w:r>
    </w:p>
    <w:p w:rsidR="002F6428" w:rsidRPr="00F43D2D" w:rsidRDefault="002F6428" w:rsidP="002F6428"/>
    <w:p w:rsidR="002F6428" w:rsidRPr="00F43D2D" w:rsidRDefault="002F6428" w:rsidP="002F6428">
      <w:r w:rsidRPr="00F43D2D">
        <w:t>22.</w:t>
      </w:r>
      <w:r w:rsidRPr="00F43D2D">
        <w:tab/>
        <w:t>В связи с рекомендацией, содержащейся в пункте 31 заключительных замечаний Комитета по первоначальному докладу государства-участника, просьба предоставить сведения о прогрессе, достигнутом в деле борьбы с практикой калечения половых органов, в том числе путем принятия закона, предусматривающего уголовное наказание за такую практику, создания механизмов защиты прав женщин, а также осуществления просветительских программ и оказания финансовой помощи женщинам, прекращающим заниматься практикой эксцизии.</w:t>
      </w:r>
    </w:p>
    <w:p w:rsidR="002F6428" w:rsidRPr="00F43D2D" w:rsidRDefault="002F6428" w:rsidP="002F6428"/>
    <w:p w:rsidR="002F6428" w:rsidRPr="00F43D2D" w:rsidRDefault="002F6428" w:rsidP="002F6428">
      <w:r w:rsidRPr="00F43D2D">
        <w:t>23.</w:t>
      </w:r>
      <w:r w:rsidRPr="00F43D2D">
        <w:tab/>
        <w:t>Просьба представить информацию о мерах, принятых государством-участником для улучшения доступа женщин и девушек-подростков к медико-репродуктивным услугам, половому просвещению, противозачаточным средствам и услугам по планированию семьи, особенно в сельских зонах.</w:t>
      </w:r>
    </w:p>
    <w:p w:rsidR="002F6428" w:rsidRPr="00F43D2D" w:rsidRDefault="002F6428" w:rsidP="002F6428"/>
    <w:p w:rsidR="002F6428" w:rsidRPr="00F43D2D" w:rsidRDefault="002F6428" w:rsidP="002F6428">
      <w:r w:rsidRPr="00F43D2D">
        <w:t>24.</w:t>
      </w:r>
      <w:r w:rsidRPr="00F43D2D">
        <w:tab/>
        <w:t>Просьба предоставить дополнительные сведения о достигнутом прогрессе в деле борьбы со СПИДом, в частности в плане профилактического обслуживания, просвещения по вопросам передачи ВИЧ/СПИДа, создания системы добровольной диагностики ВИЧ/СПИДа, бесплатного предоставления антиретровирусных медикаментов, а также разработки и выполнения программ и стратегий, направленных против ВИЧ/СПИДа (пункты 275-279).</w:t>
      </w:r>
    </w:p>
    <w:p w:rsidR="002F6428" w:rsidRPr="00F43D2D" w:rsidRDefault="002F6428" w:rsidP="002F6428"/>
    <w:p w:rsidR="002F6428" w:rsidRPr="00F43D2D" w:rsidRDefault="002F6428" w:rsidP="002F6428">
      <w:pPr>
        <w:jc w:val="center"/>
        <w:rPr>
          <w:b/>
        </w:rPr>
      </w:pPr>
      <w:r w:rsidRPr="00F43D2D">
        <w:rPr>
          <w:b/>
        </w:rPr>
        <w:t>Статьи 13 и 14.  Право на образование</w:t>
      </w:r>
    </w:p>
    <w:p w:rsidR="002F6428" w:rsidRPr="00F43D2D" w:rsidRDefault="002F6428" w:rsidP="002F6428">
      <w:pPr>
        <w:jc w:val="center"/>
        <w:rPr>
          <w:b/>
        </w:rPr>
      </w:pPr>
    </w:p>
    <w:p w:rsidR="002F6428" w:rsidRPr="00F43D2D" w:rsidRDefault="002F6428" w:rsidP="002F6428">
      <w:r w:rsidRPr="00F43D2D">
        <w:t>25.</w:t>
      </w:r>
      <w:r w:rsidRPr="00F43D2D">
        <w:tab/>
        <w:t>Просьба конкретно указать в связи с рекомендацией, содержащейся в пункте 45 заключительных замечаний Комитета по первоначальному докладу государства-участника, и в сообразии с положениями статьи 14 Пакта, приняло ли государство-участник подробный план необходимых мероприятий в целях последовательной реализации в течение разумного срока, оговоренного в этом плане, полномасштабного применения принципа всеобщего обязательного и бесплатного начального образования (пункт 292).</w:t>
      </w:r>
    </w:p>
    <w:p w:rsidR="002F6428" w:rsidRPr="00F43D2D" w:rsidRDefault="002F6428" w:rsidP="002F6428"/>
    <w:p w:rsidR="002F6428" w:rsidRPr="00F43D2D" w:rsidRDefault="002F6428" w:rsidP="002F6428">
      <w:r w:rsidRPr="00F43D2D">
        <w:t>26.</w:t>
      </w:r>
      <w:r w:rsidRPr="00F43D2D">
        <w:tab/>
        <w:t>Просьба указать размеры бюджета государства-участника на 2005 год и долю бюджетных ассигнований, предназначенных для начального, среднего и высшего образования, а также сообщить о мерах, принятых для улучшения инфраструктуры в системе образования и увеличения количества школ и числа преподавателей.  Просьба также предоставить дополнительные сведения о содержании и действенности мер, которые были приняты для того, чтобы устранить традиционные стереотипы, препятствующие образованию девочек, гарантировать девочкам и молодым женщинам равный доступ ко всем уровням системы образования, удержать девочек в школе и повысить уровень грамотности среди женщин и девочек (пункт</w:t>
      </w:r>
      <w:r>
        <w:t>ы</w:t>
      </w:r>
      <w:r w:rsidRPr="00F43D2D">
        <w:t xml:space="preserve"> 305 и 312).</w:t>
      </w:r>
    </w:p>
    <w:p w:rsidR="002F6428" w:rsidRPr="00F43D2D" w:rsidRDefault="002F6428" w:rsidP="002F6428"/>
    <w:p w:rsidR="002F6428" w:rsidRPr="00F43D2D" w:rsidRDefault="002F6428" w:rsidP="002F6428">
      <w:r w:rsidRPr="00F43D2D">
        <w:t>27.</w:t>
      </w:r>
      <w:r w:rsidRPr="00F43D2D">
        <w:tab/>
        <w:t>Просьба предоставить дополнительную информацию о мерах, принятых государством-участником для того, чтобы компенсировать негативное воздействие на бюджет семей значительного повышения платы за обучение в национальных университетах в начале 2004</w:t>
      </w:r>
      <w:r>
        <w:rPr>
          <w:lang w:val="en-US"/>
        </w:rPr>
        <w:t>/</w:t>
      </w:r>
      <w:r w:rsidRPr="00F43D2D">
        <w:t>2005 учебного года (пункт 297).</w:t>
      </w:r>
    </w:p>
    <w:p w:rsidR="002F6428" w:rsidRPr="00F43D2D" w:rsidRDefault="002F6428" w:rsidP="002F6428"/>
    <w:p w:rsidR="002F6428" w:rsidRPr="00F43D2D" w:rsidRDefault="002F6428" w:rsidP="002F6428">
      <w:pPr>
        <w:jc w:val="center"/>
        <w:rPr>
          <w:b/>
        </w:rPr>
      </w:pPr>
      <w:r w:rsidRPr="00F43D2D">
        <w:rPr>
          <w:b/>
        </w:rPr>
        <w:t>Статья 15.  Право на участие в культурной жизни</w:t>
      </w:r>
    </w:p>
    <w:p w:rsidR="002F6428" w:rsidRPr="00F43D2D" w:rsidRDefault="002F6428" w:rsidP="002F6428">
      <w:pPr>
        <w:jc w:val="center"/>
        <w:rPr>
          <w:b/>
        </w:rPr>
      </w:pPr>
    </w:p>
    <w:p w:rsidR="002F6428" w:rsidRPr="00F43D2D" w:rsidRDefault="002F6428" w:rsidP="002F6428">
      <w:r w:rsidRPr="00F43D2D">
        <w:t>28.</w:t>
      </w:r>
      <w:r w:rsidRPr="00F43D2D">
        <w:tab/>
        <w:t>Просьба привести информацию о мерах, принятых государством-участником для сохранения своего языкового наследия с учетом рекомендации, содержащейся в пункте 47 заключительных замечаний Комитета по первоначальному докладу государства-участника.</w:t>
      </w:r>
    </w:p>
    <w:p w:rsidR="002F6428" w:rsidRPr="00F43D2D" w:rsidRDefault="002F6428" w:rsidP="002F6428"/>
    <w:p w:rsidR="002F6428" w:rsidRPr="00F43D2D" w:rsidRDefault="002F6428" w:rsidP="002F6428"/>
    <w:p w:rsidR="002F6428" w:rsidRPr="00F43D2D" w:rsidRDefault="002F6428" w:rsidP="002F6428">
      <w:pPr>
        <w:jc w:val="center"/>
      </w:pPr>
      <w:r w:rsidRPr="00F43D2D">
        <w:t>-------</w:t>
      </w:r>
    </w:p>
    <w:p w:rsidR="009255FD" w:rsidRDefault="009255FD" w:rsidP="009255FD"/>
    <w:sectPr w:rsidR="009255FD">
      <w:headerReference w:type="even" r:id="rId9"/>
      <w:headerReference w:type="default" r:id="rId10"/>
      <w:type w:val="continuous"/>
      <w:pgSz w:w="11906" w:h="16838" w:code="9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EF7" w:rsidRDefault="00EC5EF7">
      <w:r>
        <w:separator/>
      </w:r>
    </w:p>
  </w:endnote>
  <w:endnote w:type="continuationSeparator" w:id="0">
    <w:p w:rsidR="00EC5EF7" w:rsidRDefault="00EC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EF7" w:rsidRDefault="00EC5EF7">
      <w:r>
        <w:separator/>
      </w:r>
    </w:p>
  </w:footnote>
  <w:footnote w:type="continuationSeparator" w:id="0">
    <w:p w:rsidR="00EC5EF7" w:rsidRDefault="00EC5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A7" w:rsidRDefault="00166BA7">
    <w:pPr>
      <w:pStyle w:val="Header"/>
      <w:rPr>
        <w:lang w:val="en-US"/>
      </w:rPr>
    </w:pPr>
    <w:r>
      <w:rPr>
        <w:lang w:val="en-US"/>
      </w:rPr>
      <w:t>E/C.12/BEN/Q/2</w:t>
    </w:r>
  </w:p>
  <w:p w:rsidR="00166BA7" w:rsidRDefault="00166BA7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47409">
      <w:rPr>
        <w:rStyle w:val="PageNumber"/>
        <w:noProof/>
      </w:rPr>
      <w:t>2</w:t>
    </w:r>
    <w:r>
      <w:rPr>
        <w:rStyle w:val="PageNumber"/>
      </w:rPr>
      <w:fldChar w:fldCharType="end"/>
    </w:r>
  </w:p>
  <w:p w:rsidR="00166BA7" w:rsidRDefault="00166BA7">
    <w:pPr>
      <w:pStyle w:val="Header"/>
      <w:rPr>
        <w:rStyle w:val="PageNumber"/>
        <w:lang w:val="en-US"/>
      </w:rPr>
    </w:pPr>
  </w:p>
  <w:p w:rsidR="00166BA7" w:rsidRDefault="00166BA7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A7" w:rsidRDefault="00166BA7" w:rsidP="004E328B">
    <w:pPr>
      <w:pStyle w:val="Header"/>
      <w:tabs>
        <w:tab w:val="left" w:pos="7513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E/C.12/BEN/Q/2</w:t>
    </w:r>
  </w:p>
  <w:p w:rsidR="00166BA7" w:rsidRDefault="00166BA7" w:rsidP="004E328B">
    <w:pPr>
      <w:pStyle w:val="Header"/>
      <w:tabs>
        <w:tab w:val="left" w:pos="7513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47409">
      <w:rPr>
        <w:rStyle w:val="PageNumber"/>
        <w:noProof/>
      </w:rPr>
      <w:t>5</w:t>
    </w:r>
    <w:r>
      <w:rPr>
        <w:rStyle w:val="PageNumber"/>
      </w:rPr>
      <w:fldChar w:fldCharType="end"/>
    </w:r>
  </w:p>
  <w:p w:rsidR="00166BA7" w:rsidRDefault="00166BA7">
    <w:pPr>
      <w:pStyle w:val="Header"/>
      <w:tabs>
        <w:tab w:val="left" w:pos="6237"/>
      </w:tabs>
      <w:rPr>
        <w:rStyle w:val="PageNumber"/>
        <w:lang w:val="en-US"/>
      </w:rPr>
    </w:pPr>
  </w:p>
  <w:p w:rsidR="00166BA7" w:rsidRDefault="00166BA7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DAD"/>
    <w:rsid w:val="00166BA7"/>
    <w:rsid w:val="002D300C"/>
    <w:rsid w:val="002F6428"/>
    <w:rsid w:val="004E328B"/>
    <w:rsid w:val="00530C76"/>
    <w:rsid w:val="006548A3"/>
    <w:rsid w:val="008A0961"/>
    <w:rsid w:val="008B2C96"/>
    <w:rsid w:val="009255FD"/>
    <w:rsid w:val="00934255"/>
    <w:rsid w:val="00A262BC"/>
    <w:rsid w:val="00AE5865"/>
    <w:rsid w:val="00B47409"/>
    <w:rsid w:val="00B81068"/>
    <w:rsid w:val="00B814A6"/>
    <w:rsid w:val="00BF3A3F"/>
    <w:rsid w:val="00C65D6E"/>
    <w:rsid w:val="00CD1E8C"/>
    <w:rsid w:val="00D70DAD"/>
    <w:rsid w:val="00E8725D"/>
    <w:rsid w:val="00EA0899"/>
    <w:rsid w:val="00EC5EF7"/>
    <w:rsid w:val="00F4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</Template>
  <TotalTime>0</TotalTime>
  <Pages>1</Pages>
  <Words>1636</Words>
  <Characters>9326</Characters>
  <Application>Microsoft Office Word</Application>
  <DocSecurity>4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0744187.doc</vt:lpstr>
    </vt:vector>
  </TitlesOfParts>
  <Company>ONU</Company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0744187.doc</dc:title>
  <dc:subject>Grigoriev</dc:subject>
  <dc:creator>TDm</dc:creator>
  <cp:keywords/>
  <dc:description/>
  <cp:lastModifiedBy>Tatiana Dmitrieva</cp:lastModifiedBy>
  <cp:revision>3</cp:revision>
  <cp:lastPrinted>2007-11-01T09:46:00Z</cp:lastPrinted>
  <dcterms:created xsi:type="dcterms:W3CDTF">2007-11-01T09:46:00Z</dcterms:created>
  <dcterms:modified xsi:type="dcterms:W3CDTF">2007-11-01T09:46:00Z</dcterms:modified>
</cp:coreProperties>
</file>